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20"/>
          <w:sz w:val="32"/>
        </w:rPr>
      </w:pPr>
      <w:r>
        <w:rPr>
          <w:rFonts w:hAnsi="宋体"/>
          <w:spacing w:val="20"/>
          <w:sz w:val="32"/>
        </w:rPr>
        <w:t>《建设项目环境影响报告表》编制说明</w:t>
      </w:r>
    </w:p>
    <w:p>
      <w:pPr>
        <w:spacing w:line="360" w:lineRule="auto"/>
        <w:rPr>
          <w:sz w:val="24"/>
        </w:rPr>
      </w:pPr>
    </w:p>
    <w:p>
      <w:pPr>
        <w:spacing w:line="360" w:lineRule="auto"/>
        <w:rPr>
          <w:sz w:val="28"/>
        </w:rPr>
      </w:pPr>
      <w:r>
        <w:rPr>
          <w:rFonts w:hAnsi="宋体"/>
          <w:sz w:val="28"/>
        </w:rPr>
        <w:t>《建设项目环境影响报告表》由具有从事环境影响评价工作资质的单位编制。</w:t>
      </w:r>
    </w:p>
    <w:p>
      <w:pPr>
        <w:spacing w:line="360" w:lineRule="auto"/>
        <w:rPr>
          <w:sz w:val="28"/>
        </w:rPr>
      </w:pPr>
      <w:r>
        <w:rPr>
          <w:sz w:val="28"/>
        </w:rPr>
        <w:t xml:space="preserve">    1</w:t>
      </w:r>
      <w:r>
        <w:rPr>
          <w:rFonts w:hAnsi="宋体"/>
          <w:sz w:val="28"/>
        </w:rPr>
        <w:t>．项目名称</w:t>
      </w:r>
      <w:r>
        <w:rPr>
          <w:sz w:val="28"/>
        </w:rPr>
        <w:t>——</w:t>
      </w:r>
      <w:r>
        <w:rPr>
          <w:rFonts w:hAnsi="宋体"/>
          <w:sz w:val="28"/>
        </w:rPr>
        <w:t>指项目立项批复时的名称，应不超过</w:t>
      </w:r>
      <w:r>
        <w:rPr>
          <w:sz w:val="28"/>
        </w:rPr>
        <w:t>30</w:t>
      </w:r>
      <w:r>
        <w:rPr>
          <w:rFonts w:hAnsi="宋体"/>
          <w:sz w:val="28"/>
        </w:rPr>
        <w:t>个字</w:t>
      </w:r>
      <w:r>
        <w:rPr>
          <w:sz w:val="28"/>
        </w:rPr>
        <w:t>(</w:t>
      </w:r>
      <w:r>
        <w:rPr>
          <w:rFonts w:hAnsi="宋体"/>
          <w:sz w:val="28"/>
        </w:rPr>
        <w:t>两个英文字段作一个汉字</w:t>
      </w:r>
      <w:r>
        <w:rPr>
          <w:sz w:val="28"/>
        </w:rPr>
        <w:t>)</w:t>
      </w:r>
      <w:r>
        <w:rPr>
          <w:rFonts w:hAnsi="宋体"/>
          <w:sz w:val="28"/>
        </w:rPr>
        <w:t>。</w:t>
      </w:r>
    </w:p>
    <w:p>
      <w:pPr>
        <w:spacing w:line="360" w:lineRule="auto"/>
        <w:rPr>
          <w:sz w:val="28"/>
        </w:rPr>
      </w:pPr>
      <w:r>
        <w:rPr>
          <w:sz w:val="28"/>
        </w:rPr>
        <w:t xml:space="preserve">    2</w:t>
      </w:r>
      <w:r>
        <w:rPr>
          <w:rFonts w:hAnsi="宋体"/>
          <w:sz w:val="28"/>
        </w:rPr>
        <w:t>．建设地点</w:t>
      </w:r>
      <w:r>
        <w:rPr>
          <w:sz w:val="28"/>
        </w:rPr>
        <w:t>——</w:t>
      </w:r>
      <w:r>
        <w:rPr>
          <w:rFonts w:hAnsi="宋体"/>
          <w:sz w:val="28"/>
        </w:rPr>
        <w:t>指项目所在地详细地址，公路、铁路应填写起止地点。</w:t>
      </w:r>
    </w:p>
    <w:p>
      <w:pPr>
        <w:spacing w:line="360" w:lineRule="auto"/>
        <w:rPr>
          <w:sz w:val="28"/>
        </w:rPr>
      </w:pPr>
      <w:r>
        <w:rPr>
          <w:sz w:val="28"/>
        </w:rPr>
        <w:t xml:space="preserve">    3</w:t>
      </w:r>
      <w:r>
        <w:rPr>
          <w:rFonts w:hAnsi="宋体"/>
          <w:sz w:val="28"/>
        </w:rPr>
        <w:t>．行业类别</w:t>
      </w:r>
      <w:r>
        <w:rPr>
          <w:sz w:val="28"/>
        </w:rPr>
        <w:t>——</w:t>
      </w:r>
      <w:r>
        <w:rPr>
          <w:rFonts w:hAnsi="宋体"/>
          <w:sz w:val="28"/>
        </w:rPr>
        <w:t>按国标填写。</w:t>
      </w:r>
    </w:p>
    <w:p>
      <w:pPr>
        <w:spacing w:line="360" w:lineRule="auto"/>
        <w:rPr>
          <w:sz w:val="28"/>
        </w:rPr>
      </w:pPr>
      <w:r>
        <w:rPr>
          <w:sz w:val="28"/>
        </w:rPr>
        <w:t xml:space="preserve">    4</w:t>
      </w:r>
      <w:r>
        <w:rPr>
          <w:rFonts w:hAnsi="宋体"/>
          <w:sz w:val="28"/>
        </w:rPr>
        <w:t>．总投资</w:t>
      </w:r>
      <w:r>
        <w:rPr>
          <w:sz w:val="28"/>
        </w:rPr>
        <w:t>——</w:t>
      </w:r>
      <w:r>
        <w:rPr>
          <w:rFonts w:hAnsi="宋体"/>
          <w:sz w:val="28"/>
        </w:rPr>
        <w:t>指项目投资总额。</w:t>
      </w:r>
    </w:p>
    <w:p>
      <w:pPr>
        <w:spacing w:line="360" w:lineRule="auto"/>
        <w:rPr>
          <w:sz w:val="28"/>
        </w:rPr>
      </w:pPr>
      <w:r>
        <w:rPr>
          <w:sz w:val="28"/>
        </w:rPr>
        <w:t xml:space="preserve">    5</w:t>
      </w:r>
      <w:r>
        <w:rPr>
          <w:rFonts w:hAnsi="宋体"/>
          <w:sz w:val="28"/>
        </w:rPr>
        <w:t>．主要环境保护目标</w:t>
      </w:r>
      <w:r>
        <w:rPr>
          <w:sz w:val="28"/>
        </w:rPr>
        <w:t>——</w:t>
      </w:r>
      <w:r>
        <w:rPr>
          <w:rFonts w:hAnsi="宋体"/>
          <w:sz w:val="28"/>
        </w:rPr>
        <w:t>指项目区周围一定范围内集中居民住宅区、学校、医院、保护文物、风景名胜区、水源地和生态敏感点等，应尽可能给出保护目标、性质、规模和距厂界距离等。</w:t>
      </w:r>
    </w:p>
    <w:p>
      <w:pPr>
        <w:spacing w:line="360" w:lineRule="auto"/>
        <w:rPr>
          <w:sz w:val="28"/>
        </w:rPr>
      </w:pPr>
      <w:r>
        <w:rPr>
          <w:sz w:val="28"/>
        </w:rPr>
        <w:t xml:space="preserve">    6</w:t>
      </w:r>
      <w:r>
        <w:rPr>
          <w:rFonts w:hAnsi="宋体"/>
          <w:sz w:val="28"/>
        </w:rPr>
        <w:t>．结论与建议</w:t>
      </w:r>
      <w:r>
        <w:rPr>
          <w:sz w:val="28"/>
        </w:rPr>
        <w:t>——</w:t>
      </w:r>
      <w:r>
        <w:rPr>
          <w:rFonts w:hAnsi="宋体"/>
          <w:sz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rPr>
          <w:sz w:val="28"/>
        </w:rPr>
      </w:pPr>
      <w:r>
        <w:rPr>
          <w:sz w:val="28"/>
        </w:rPr>
        <w:t xml:space="preserve">    7</w:t>
      </w:r>
      <w:r>
        <w:rPr>
          <w:rFonts w:hAnsi="宋体"/>
          <w:sz w:val="28"/>
        </w:rPr>
        <w:t>．预审意见</w:t>
      </w:r>
      <w:r>
        <w:rPr>
          <w:sz w:val="28"/>
        </w:rPr>
        <w:t>——</w:t>
      </w:r>
      <w:r>
        <w:rPr>
          <w:rFonts w:hAnsi="宋体"/>
          <w:sz w:val="28"/>
        </w:rPr>
        <w:t>由行业主管部门填写答复意见，无主管部门项目，可不填。</w:t>
      </w:r>
    </w:p>
    <w:p>
      <w:pPr>
        <w:spacing w:line="360" w:lineRule="auto"/>
        <w:ind w:firstLine="543" w:firstLineChars="194"/>
        <w:rPr>
          <w:sz w:val="28"/>
        </w:rPr>
      </w:pPr>
      <w:r>
        <w:rPr>
          <w:sz w:val="28"/>
        </w:rPr>
        <w:t>8</w:t>
      </w:r>
      <w:r>
        <w:rPr>
          <w:rFonts w:hAnsi="宋体"/>
          <w:sz w:val="28"/>
        </w:rPr>
        <w:t>．审批意见</w:t>
      </w:r>
      <w:r>
        <w:rPr>
          <w:sz w:val="28"/>
        </w:rPr>
        <w:t>——</w:t>
      </w:r>
      <w:r>
        <w:rPr>
          <w:rFonts w:hAnsi="宋体"/>
          <w:sz w:val="28"/>
        </w:rPr>
        <w:t>由负责审批该项目的环境保护行政主管部门批复。</w:t>
      </w:r>
    </w:p>
    <w:p>
      <w:pPr>
        <w:rPr>
          <w:sz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adjustRightInd w:val="0"/>
        <w:snapToGrid w:val="0"/>
        <w:jc w:val="center"/>
        <w:rPr>
          <w:rFonts w:hint="eastAsia" w:ascii="方正小标宋_GBK" w:hAnsi="华文中宋" w:eastAsia="方正小标宋_GBK"/>
          <w:sz w:val="28"/>
          <w:szCs w:val="28"/>
          <w:lang w:val="en-US" w:eastAsia="zh-CN"/>
        </w:rPr>
      </w:pPr>
      <w:bookmarkStart w:id="0" w:name="_Toc29453_WPSOffice_Level1"/>
      <w:bookmarkStart w:id="1" w:name="_Toc5781_WPSOffice_Level1"/>
      <w:bookmarkStart w:id="2" w:name="_Toc22304_WPSOffice_Level1"/>
      <w:bookmarkStart w:id="3" w:name="_Toc1591_WPSOffice_Level1"/>
      <w:r>
        <w:rPr>
          <w:rFonts w:hint="eastAsia" w:ascii="方正小标宋_GBK" w:hAnsi="华文中宋" w:eastAsia="方正小标宋_GBK"/>
          <w:sz w:val="28"/>
          <w:szCs w:val="28"/>
          <w:lang w:val="en-US" w:eastAsia="zh-CN"/>
        </w:rPr>
        <w:t>岳阳市兴燕贸易有限公司新港分公司吉利4S店建设项目</w:t>
      </w:r>
    </w:p>
    <w:p>
      <w:pPr>
        <w:adjustRightInd w:val="0"/>
        <w:snapToGrid w:val="0"/>
        <w:jc w:val="center"/>
        <w:rPr>
          <w:rFonts w:hint="eastAsia" w:ascii="方正小标宋_GBK" w:hAnsi="华文中宋" w:eastAsia="方正小标宋_GBK"/>
          <w:sz w:val="28"/>
          <w:szCs w:val="28"/>
        </w:rPr>
      </w:pPr>
      <w:r>
        <w:rPr>
          <w:rFonts w:hint="eastAsia" w:ascii="方正小标宋_GBK" w:hAnsi="华文中宋" w:eastAsia="方正小标宋_GBK"/>
          <w:sz w:val="28"/>
          <w:szCs w:val="28"/>
          <w:lang w:val="en-US" w:eastAsia="zh-CN"/>
        </w:rPr>
        <w:t>环境影响报告表</w:t>
      </w:r>
      <w:r>
        <w:rPr>
          <w:rFonts w:hint="eastAsia" w:ascii="方正小标宋_GBK" w:hAnsi="华文中宋" w:eastAsia="方正小标宋_GBK"/>
          <w:sz w:val="28"/>
          <w:szCs w:val="28"/>
        </w:rPr>
        <w:t>修改说明表</w:t>
      </w:r>
    </w:p>
    <w:p>
      <w:pPr>
        <w:pStyle w:val="2"/>
        <w:rPr>
          <w:rFonts w:hint="eastAsia"/>
        </w:rPr>
      </w:pPr>
      <w:r>
        <w:rPr>
          <w:rFonts w:hint="eastAsia"/>
        </w:rPr>
        <w:br w:type="textWrapping"/>
      </w:r>
    </w:p>
    <w:tbl>
      <w:tblPr>
        <w:tblStyle w:val="2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441"/>
        <w:gridCol w:w="1063"/>
        <w:gridCol w:w="1732"/>
        <w:gridCol w:w="1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44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评审意见</w:t>
            </w:r>
          </w:p>
        </w:tc>
        <w:tc>
          <w:tcPr>
            <w:tcW w:w="10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采纳情况</w:t>
            </w:r>
          </w:p>
        </w:tc>
        <w:tc>
          <w:tcPr>
            <w:tcW w:w="173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  明</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索引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4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进一步调查区域管网与象骨港污水处理厂的对接情况；核实油漆（包括稀释剂）用量，最大储存量</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已采纳</w:t>
            </w:r>
          </w:p>
        </w:tc>
        <w:tc>
          <w:tcPr>
            <w:tcW w:w="17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已核实与象骨港污水处理厂的对接情况，油漆（稀释剂）的用量以及最大储存量</w:t>
            </w:r>
          </w:p>
        </w:tc>
        <w:tc>
          <w:tcPr>
            <w:tcW w:w="10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val="en-US" w:eastAsia="zh-CN"/>
              </w:rPr>
              <w:t>P7~8</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P54~55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41" w:type="dxa"/>
            <w:noWrap w:val="0"/>
            <w:vAlign w:val="top"/>
          </w:tcPr>
          <w:p>
            <w:pPr>
              <w:pStyle w:val="57"/>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收集2019年大气常规数据，完善大气环境质量现状评价内容，分析说明引用地下水数据的合理有效性，核实环境保护目标方位、距离及规模。</w:t>
            </w:r>
          </w:p>
        </w:tc>
        <w:tc>
          <w:tcPr>
            <w:tcW w:w="10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已采纳</w:t>
            </w:r>
          </w:p>
        </w:tc>
        <w:tc>
          <w:tcPr>
            <w:tcW w:w="173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已收集完善2019年大气常规数据</w:t>
            </w:r>
            <w:r>
              <w:rPr>
                <w:rFonts w:hint="default" w:ascii="Times New Roman" w:hAnsi="Times New Roman" w:eastAsia="宋体" w:cs="Times New Roman"/>
                <w:kern w:val="2"/>
                <w:sz w:val="21"/>
                <w:szCs w:val="21"/>
                <w:lang w:val="en-US" w:eastAsia="zh-CN" w:bidi="ar-SA"/>
              </w:rPr>
              <w:br w:type="textWrapping"/>
            </w:r>
            <w:r>
              <w:rPr>
                <w:rFonts w:hint="default" w:ascii="Times New Roman" w:hAnsi="Times New Roman" w:eastAsia="宋体" w:cs="Times New Roman"/>
                <w:kern w:val="2"/>
                <w:sz w:val="21"/>
                <w:szCs w:val="21"/>
                <w:lang w:val="en-US" w:eastAsia="zh-CN" w:bidi="ar-SA"/>
              </w:rPr>
              <w:t>已核实地下水引用数据</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P24</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P28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4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进一步调查工程目前采取的污防措施，结合监测数据，强化目前存在的环境问题调查，细化整改措施及要求。</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已采纳</w:t>
            </w:r>
          </w:p>
        </w:tc>
        <w:tc>
          <w:tcPr>
            <w:tcW w:w="17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已结合数据细化整改措施及要求</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val="en-US" w:eastAsia="zh-CN"/>
              </w:rPr>
              <w:t>P16~17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4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在核实油漆（稀释剂）用量基础上，核算有机废气产生源强，完善废气影响内容。</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已采纳</w:t>
            </w:r>
          </w:p>
        </w:tc>
        <w:tc>
          <w:tcPr>
            <w:tcW w:w="17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已核实油漆用量，有机废气源强已核实</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P38~39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4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结合区域管网建设情况，强化项目含油洗车废水、地面冲洗废水及生活废水进象骨港污水处理厂的可靠性分析。</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已采纳</w:t>
            </w:r>
          </w:p>
        </w:tc>
        <w:tc>
          <w:tcPr>
            <w:tcW w:w="17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已细化对象骨港污水处理厂的可靠性分析</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4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核实各类危废种类、产生量，细化危废分类暂存及建设要求，明确各类危废处置措施。</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已采纳</w:t>
            </w:r>
          </w:p>
        </w:tc>
        <w:tc>
          <w:tcPr>
            <w:tcW w:w="17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已核实危废要求。明确危废处置措施</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P49、P85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4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完善环境监测计划，核实环保投资，完善项目竣工验收表内容。</w:t>
            </w:r>
          </w:p>
        </w:tc>
        <w:tc>
          <w:tcPr>
            <w:tcW w:w="10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已采纳</w:t>
            </w:r>
          </w:p>
        </w:tc>
        <w:tc>
          <w:tcPr>
            <w:tcW w:w="17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已完善监测计划以及验收内容</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val="en-US" w:eastAsia="zh-CN"/>
              </w:rPr>
              <w:t>P73、P82</w:t>
            </w:r>
          </w:p>
        </w:tc>
      </w:tr>
    </w:tbl>
    <w:p>
      <w:pPr>
        <w:jc w:val="center"/>
        <w:rPr>
          <w:b/>
          <w:bCs/>
          <w:sz w:val="32"/>
          <w:szCs w:val="40"/>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jc w:val="center"/>
        <w:rPr>
          <w:b/>
          <w:bCs/>
          <w:sz w:val="32"/>
          <w:szCs w:val="40"/>
        </w:rPr>
      </w:pPr>
      <w:r>
        <w:rPr>
          <w:b/>
          <w:bCs/>
          <w:sz w:val="32"/>
          <w:szCs w:val="40"/>
        </w:rPr>
        <w:t>目录</w:t>
      </w:r>
    </w:p>
    <w:p>
      <w:pPr>
        <w:pStyle w:val="13"/>
        <w:tabs>
          <w:tab w:val="right" w:leader="dot" w:pos="8306"/>
        </w:tabs>
      </w:pPr>
      <w:bookmarkStart w:id="4" w:name="_Toc13285"/>
      <w:r>
        <w:fldChar w:fldCharType="begin"/>
      </w:r>
      <w:r>
        <w:instrText xml:space="preserve">TOC \o "1-1" \h \u </w:instrText>
      </w:r>
      <w:r>
        <w:fldChar w:fldCharType="separate"/>
      </w:r>
    </w:p>
    <w:p>
      <w:pPr>
        <w:pStyle w:val="13"/>
        <w:tabs>
          <w:tab w:val="right" w:leader="dot" w:pos="8306"/>
        </w:tabs>
        <w:rPr>
          <w:sz w:val="28"/>
          <w:szCs w:val="28"/>
        </w:rPr>
      </w:pPr>
      <w:r>
        <w:rPr>
          <w:sz w:val="28"/>
          <w:szCs w:val="28"/>
        </w:rPr>
        <w:fldChar w:fldCharType="begin"/>
      </w:r>
      <w:r>
        <w:rPr>
          <w:sz w:val="28"/>
          <w:szCs w:val="28"/>
        </w:rPr>
        <w:instrText xml:space="preserve"> HYPERLINK \l _Toc16163 </w:instrText>
      </w:r>
      <w:r>
        <w:rPr>
          <w:sz w:val="28"/>
          <w:szCs w:val="28"/>
        </w:rPr>
        <w:fldChar w:fldCharType="separate"/>
      </w:r>
      <w:r>
        <w:rPr>
          <w:sz w:val="28"/>
          <w:szCs w:val="28"/>
        </w:rPr>
        <w:t>一</w:t>
      </w:r>
      <w:r>
        <w:rPr>
          <w:rFonts w:hint="eastAsia"/>
          <w:sz w:val="28"/>
          <w:szCs w:val="28"/>
        </w:rPr>
        <w:t>、</w:t>
      </w:r>
      <w:r>
        <w:rPr>
          <w:sz w:val="28"/>
          <w:szCs w:val="28"/>
        </w:rPr>
        <w:t>建设项目基本情况</w:t>
      </w:r>
      <w:r>
        <w:rPr>
          <w:sz w:val="28"/>
          <w:szCs w:val="28"/>
        </w:rPr>
        <w:tab/>
      </w:r>
      <w:r>
        <w:rPr>
          <w:sz w:val="28"/>
          <w:szCs w:val="28"/>
        </w:rPr>
        <w:fldChar w:fldCharType="begin"/>
      </w:r>
      <w:r>
        <w:rPr>
          <w:sz w:val="28"/>
          <w:szCs w:val="28"/>
        </w:rPr>
        <w:instrText xml:space="preserve"> PAGEREF _Toc16163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_Toc14269 </w:instrText>
      </w:r>
      <w:r>
        <w:rPr>
          <w:sz w:val="28"/>
          <w:szCs w:val="28"/>
        </w:rPr>
        <w:fldChar w:fldCharType="separate"/>
      </w:r>
      <w:r>
        <w:rPr>
          <w:rFonts w:hint="eastAsia"/>
          <w:sz w:val="28"/>
          <w:szCs w:val="28"/>
        </w:rPr>
        <w:t>二、</w:t>
      </w:r>
      <w:r>
        <w:rPr>
          <w:sz w:val="28"/>
          <w:szCs w:val="28"/>
        </w:rPr>
        <w:t>建设项目所在地自然环境环境简况</w:t>
      </w:r>
      <w:r>
        <w:rPr>
          <w:sz w:val="28"/>
          <w:szCs w:val="28"/>
        </w:rPr>
        <w:tab/>
      </w:r>
      <w:r>
        <w:rPr>
          <w:sz w:val="28"/>
          <w:szCs w:val="28"/>
        </w:rPr>
        <w:fldChar w:fldCharType="begin"/>
      </w:r>
      <w:r>
        <w:rPr>
          <w:sz w:val="28"/>
          <w:szCs w:val="28"/>
        </w:rPr>
        <w:instrText xml:space="preserve"> PAGEREF _Toc14269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_Toc11588 </w:instrText>
      </w:r>
      <w:r>
        <w:rPr>
          <w:sz w:val="28"/>
          <w:szCs w:val="28"/>
        </w:rPr>
        <w:fldChar w:fldCharType="separate"/>
      </w:r>
      <w:r>
        <w:rPr>
          <w:rFonts w:hint="eastAsia"/>
          <w:sz w:val="28"/>
          <w:szCs w:val="28"/>
        </w:rPr>
        <w:t>三、</w:t>
      </w:r>
      <w:r>
        <w:rPr>
          <w:sz w:val="28"/>
          <w:szCs w:val="28"/>
        </w:rPr>
        <w:t>环境质量状况</w:t>
      </w:r>
      <w:r>
        <w:rPr>
          <w:sz w:val="28"/>
          <w:szCs w:val="28"/>
        </w:rPr>
        <w:tab/>
      </w:r>
      <w:r>
        <w:rPr>
          <w:sz w:val="28"/>
          <w:szCs w:val="28"/>
        </w:rPr>
        <w:fldChar w:fldCharType="begin"/>
      </w:r>
      <w:r>
        <w:rPr>
          <w:sz w:val="28"/>
          <w:szCs w:val="28"/>
        </w:rPr>
        <w:instrText xml:space="preserve"> PAGEREF _Toc11588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_Toc17756 </w:instrText>
      </w:r>
      <w:r>
        <w:rPr>
          <w:sz w:val="28"/>
          <w:szCs w:val="28"/>
        </w:rPr>
        <w:fldChar w:fldCharType="separate"/>
      </w:r>
      <w:r>
        <w:rPr>
          <w:sz w:val="28"/>
          <w:szCs w:val="28"/>
        </w:rPr>
        <w:t>四、评价适用标准</w:t>
      </w:r>
      <w:r>
        <w:rPr>
          <w:sz w:val="28"/>
          <w:szCs w:val="28"/>
        </w:rPr>
        <w:tab/>
      </w:r>
      <w:r>
        <w:rPr>
          <w:sz w:val="28"/>
          <w:szCs w:val="28"/>
        </w:rPr>
        <w:fldChar w:fldCharType="begin"/>
      </w:r>
      <w:r>
        <w:rPr>
          <w:sz w:val="28"/>
          <w:szCs w:val="28"/>
        </w:rPr>
        <w:instrText xml:space="preserve"> PAGEREF _Toc17756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_Toc3834 </w:instrText>
      </w:r>
      <w:r>
        <w:rPr>
          <w:sz w:val="28"/>
          <w:szCs w:val="28"/>
        </w:rPr>
        <w:fldChar w:fldCharType="separate"/>
      </w:r>
      <w:r>
        <w:rPr>
          <w:rFonts w:hint="eastAsia"/>
          <w:sz w:val="28"/>
          <w:szCs w:val="28"/>
          <w:lang w:val="en-US" w:eastAsia="zh-CN"/>
        </w:rPr>
        <w:t>五、</w:t>
      </w:r>
      <w:r>
        <w:rPr>
          <w:sz w:val="28"/>
          <w:szCs w:val="28"/>
        </w:rPr>
        <w:t>建设项目工程</w:t>
      </w:r>
      <w:r>
        <w:rPr>
          <w:rFonts w:hint="eastAsia"/>
          <w:sz w:val="28"/>
          <w:szCs w:val="28"/>
          <w:lang w:val="en-US" w:eastAsia="zh-CN"/>
        </w:rPr>
        <w:t>分析</w:t>
      </w:r>
      <w:r>
        <w:rPr>
          <w:sz w:val="28"/>
          <w:szCs w:val="28"/>
        </w:rPr>
        <w:tab/>
      </w:r>
      <w:r>
        <w:rPr>
          <w:sz w:val="28"/>
          <w:szCs w:val="28"/>
        </w:rPr>
        <w:fldChar w:fldCharType="begin"/>
      </w:r>
      <w:r>
        <w:rPr>
          <w:sz w:val="28"/>
          <w:szCs w:val="28"/>
        </w:rPr>
        <w:instrText xml:space="preserve"> PAGEREF _Toc3834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_Toc18592 </w:instrText>
      </w:r>
      <w:r>
        <w:rPr>
          <w:sz w:val="28"/>
          <w:szCs w:val="28"/>
        </w:rPr>
        <w:fldChar w:fldCharType="separate"/>
      </w:r>
      <w:r>
        <w:rPr>
          <w:sz w:val="28"/>
          <w:szCs w:val="28"/>
        </w:rPr>
        <w:t>一、项目施工期工艺流程</w:t>
      </w:r>
      <w:r>
        <w:rPr>
          <w:sz w:val="28"/>
          <w:szCs w:val="28"/>
        </w:rPr>
        <w:tab/>
      </w:r>
      <w:r>
        <w:rPr>
          <w:sz w:val="28"/>
          <w:szCs w:val="28"/>
        </w:rPr>
        <w:fldChar w:fldCharType="begin"/>
      </w:r>
      <w:r>
        <w:rPr>
          <w:sz w:val="28"/>
          <w:szCs w:val="28"/>
        </w:rPr>
        <w:instrText xml:space="preserve"> PAGEREF _Toc18592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_Toc13214 </w:instrText>
      </w:r>
      <w:r>
        <w:rPr>
          <w:sz w:val="28"/>
          <w:szCs w:val="28"/>
        </w:rPr>
        <w:fldChar w:fldCharType="separate"/>
      </w:r>
      <w:r>
        <w:rPr>
          <w:sz w:val="28"/>
          <w:szCs w:val="28"/>
        </w:rPr>
        <w:t>六、项目主要污染物产生及排放情况</w:t>
      </w:r>
      <w:r>
        <w:rPr>
          <w:sz w:val="28"/>
          <w:szCs w:val="28"/>
        </w:rPr>
        <w:tab/>
      </w:r>
      <w:r>
        <w:rPr>
          <w:sz w:val="28"/>
          <w:szCs w:val="28"/>
        </w:rPr>
        <w:fldChar w:fldCharType="begin"/>
      </w:r>
      <w:r>
        <w:rPr>
          <w:sz w:val="28"/>
          <w:szCs w:val="28"/>
        </w:rPr>
        <w:instrText xml:space="preserve"> PAGEREF _Toc13214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_Toc22662 </w:instrText>
      </w:r>
      <w:r>
        <w:rPr>
          <w:sz w:val="28"/>
          <w:szCs w:val="28"/>
        </w:rPr>
        <w:fldChar w:fldCharType="separate"/>
      </w:r>
      <w:r>
        <w:rPr>
          <w:sz w:val="28"/>
          <w:szCs w:val="28"/>
        </w:rPr>
        <w:t>七、环境影响分析</w:t>
      </w:r>
      <w:r>
        <w:rPr>
          <w:sz w:val="28"/>
          <w:szCs w:val="28"/>
        </w:rPr>
        <w:tab/>
      </w:r>
      <w:r>
        <w:rPr>
          <w:sz w:val="28"/>
          <w:szCs w:val="28"/>
        </w:rPr>
        <w:fldChar w:fldCharType="begin"/>
      </w:r>
      <w:r>
        <w:rPr>
          <w:sz w:val="28"/>
          <w:szCs w:val="28"/>
        </w:rPr>
        <w:instrText xml:space="preserve"> PAGEREF _Toc22662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_Toc28443 </w:instrText>
      </w:r>
      <w:r>
        <w:rPr>
          <w:sz w:val="28"/>
          <w:szCs w:val="28"/>
        </w:rPr>
        <w:fldChar w:fldCharType="separate"/>
      </w:r>
      <w:r>
        <w:rPr>
          <w:sz w:val="28"/>
          <w:szCs w:val="28"/>
        </w:rPr>
        <w:t>八、建设项目采取的防治措施及预期治理效果</w:t>
      </w:r>
      <w:r>
        <w:rPr>
          <w:sz w:val="28"/>
          <w:szCs w:val="28"/>
        </w:rPr>
        <w:tab/>
      </w:r>
      <w:r>
        <w:rPr>
          <w:sz w:val="28"/>
          <w:szCs w:val="28"/>
        </w:rPr>
        <w:fldChar w:fldCharType="begin"/>
      </w:r>
      <w:r>
        <w:rPr>
          <w:sz w:val="28"/>
          <w:szCs w:val="28"/>
        </w:rPr>
        <w:instrText xml:space="preserve"> PAGEREF _Toc28443 </w:instrText>
      </w:r>
      <w:r>
        <w:rPr>
          <w:sz w:val="28"/>
          <w:szCs w:val="28"/>
        </w:rPr>
        <w:fldChar w:fldCharType="separate"/>
      </w:r>
      <w:r>
        <w:rPr>
          <w:sz w:val="28"/>
          <w:szCs w:val="28"/>
        </w:rPr>
        <w:t>84</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_Toc13988 </w:instrText>
      </w:r>
      <w:r>
        <w:rPr>
          <w:sz w:val="28"/>
          <w:szCs w:val="28"/>
        </w:rPr>
        <w:fldChar w:fldCharType="separate"/>
      </w:r>
      <w:r>
        <w:rPr>
          <w:sz w:val="28"/>
          <w:szCs w:val="28"/>
        </w:rPr>
        <w:t>九、结论与建议</w:t>
      </w:r>
      <w:r>
        <w:rPr>
          <w:sz w:val="28"/>
          <w:szCs w:val="28"/>
        </w:rPr>
        <w:tab/>
      </w:r>
      <w:r>
        <w:rPr>
          <w:sz w:val="28"/>
          <w:szCs w:val="28"/>
        </w:rPr>
        <w:fldChar w:fldCharType="begin"/>
      </w:r>
      <w:r>
        <w:rPr>
          <w:sz w:val="28"/>
          <w:szCs w:val="28"/>
        </w:rPr>
        <w:instrText xml:space="preserve"> PAGEREF _Toc13988 </w:instrText>
      </w:r>
      <w:r>
        <w:rPr>
          <w:sz w:val="28"/>
          <w:szCs w:val="28"/>
        </w:rPr>
        <w:fldChar w:fldCharType="separate"/>
      </w:r>
      <w:r>
        <w:rPr>
          <w:sz w:val="28"/>
          <w:szCs w:val="28"/>
        </w:rPr>
        <w:t>86</w:t>
      </w:r>
      <w:r>
        <w:rPr>
          <w:sz w:val="28"/>
          <w:szCs w:val="28"/>
        </w:rPr>
        <w:fldChar w:fldCharType="end"/>
      </w:r>
      <w:r>
        <w:rPr>
          <w:sz w:val="28"/>
          <w:szCs w:val="28"/>
        </w:rPr>
        <w:fldChar w:fldCharType="end"/>
      </w:r>
    </w:p>
    <w:p>
      <w:pPr>
        <w:rPr>
          <w:color w:val="FF0000"/>
        </w:rPr>
      </w:pPr>
      <w:r>
        <w:fldChar w:fldCharType="end"/>
      </w:r>
    </w:p>
    <w:p>
      <w:pPr>
        <w:rPr>
          <w:sz w:val="28"/>
          <w:szCs w:val="28"/>
        </w:rPr>
      </w:pPr>
      <w:r>
        <w:rPr>
          <w:sz w:val="28"/>
          <w:szCs w:val="28"/>
        </w:rPr>
        <w:t>附件</w:t>
      </w:r>
      <w:bookmarkEnd w:id="0"/>
      <w:bookmarkEnd w:id="1"/>
      <w:bookmarkEnd w:id="2"/>
      <w:bookmarkEnd w:id="3"/>
      <w:bookmarkEnd w:id="4"/>
    </w:p>
    <w:p>
      <w:pPr>
        <w:pStyle w:val="32"/>
        <w:tabs>
          <w:tab w:val="right" w:leader="dot" w:pos="9411"/>
        </w:tabs>
        <w:spacing w:line="360" w:lineRule="auto"/>
        <w:ind w:firstLine="560" w:firstLineChars="200"/>
        <w:outlineLvl w:val="0"/>
        <w:rPr>
          <w:rFonts w:ascii="Times New Roman" w:hAnsi="Times New Roman"/>
          <w:sz w:val="28"/>
          <w:szCs w:val="28"/>
        </w:rPr>
      </w:pPr>
      <w:bookmarkStart w:id="5" w:name="_Toc29260_WPSOffice_Level1"/>
      <w:bookmarkStart w:id="6" w:name="_Toc17279_WPSOffice_Level1"/>
      <w:bookmarkStart w:id="7" w:name="_Toc18683"/>
      <w:bookmarkStart w:id="8" w:name="_Toc18232_WPSOffice_Level1"/>
      <w:bookmarkStart w:id="9" w:name="_Toc15536"/>
      <w:bookmarkStart w:id="10" w:name="_Toc7384"/>
      <w:r>
        <w:rPr>
          <w:rFonts w:ascii="Times New Roman" w:hAnsi="Times New Roman"/>
          <w:sz w:val="28"/>
          <w:szCs w:val="28"/>
        </w:rPr>
        <w:t>附件一  环评委托书</w:t>
      </w:r>
      <w:bookmarkEnd w:id="5"/>
      <w:bookmarkEnd w:id="6"/>
      <w:bookmarkEnd w:id="7"/>
      <w:bookmarkEnd w:id="8"/>
      <w:bookmarkEnd w:id="9"/>
      <w:bookmarkEnd w:id="10"/>
    </w:p>
    <w:p>
      <w:pPr>
        <w:pStyle w:val="32"/>
        <w:tabs>
          <w:tab w:val="right" w:leader="dot" w:pos="9411"/>
        </w:tabs>
        <w:spacing w:line="360" w:lineRule="auto"/>
        <w:ind w:firstLine="560" w:firstLineChars="200"/>
        <w:outlineLvl w:val="0"/>
        <w:rPr>
          <w:rFonts w:ascii="Times New Roman" w:hAnsi="Times New Roman"/>
          <w:sz w:val="28"/>
          <w:szCs w:val="28"/>
        </w:rPr>
      </w:pPr>
      <w:bookmarkStart w:id="11" w:name="_Toc4152"/>
      <w:bookmarkStart w:id="12" w:name="_Toc27109_WPSOffice_Level1"/>
      <w:bookmarkStart w:id="13" w:name="_Toc3262"/>
      <w:bookmarkStart w:id="14" w:name="_Toc8242_WPSOffice_Level1"/>
      <w:bookmarkStart w:id="15" w:name="_Toc15180_WPSOffice_Level1"/>
      <w:bookmarkStart w:id="16" w:name="_Toc14930"/>
      <w:r>
        <w:rPr>
          <w:rFonts w:ascii="Times New Roman" w:hAnsi="Times New Roman"/>
          <w:sz w:val="28"/>
          <w:szCs w:val="28"/>
        </w:rPr>
        <w:t xml:space="preserve">附件二  </w:t>
      </w:r>
      <w:bookmarkEnd w:id="11"/>
      <w:bookmarkEnd w:id="12"/>
      <w:bookmarkEnd w:id="13"/>
      <w:bookmarkEnd w:id="14"/>
      <w:bookmarkEnd w:id="15"/>
      <w:r>
        <w:rPr>
          <w:rFonts w:ascii="Times New Roman" w:hAnsi="Times New Roman"/>
          <w:sz w:val="28"/>
          <w:szCs w:val="28"/>
        </w:rPr>
        <w:t>营业执照</w:t>
      </w:r>
      <w:bookmarkEnd w:id="16"/>
    </w:p>
    <w:p>
      <w:pPr>
        <w:pStyle w:val="32"/>
        <w:tabs>
          <w:tab w:val="right" w:leader="dot" w:pos="9411"/>
        </w:tabs>
        <w:spacing w:line="360" w:lineRule="auto"/>
        <w:ind w:firstLine="560" w:firstLineChars="200"/>
        <w:outlineLvl w:val="0"/>
        <w:rPr>
          <w:rFonts w:ascii="Times New Roman" w:hAnsi="Times New Roman"/>
          <w:sz w:val="28"/>
          <w:szCs w:val="28"/>
        </w:rPr>
      </w:pPr>
      <w:bookmarkStart w:id="17" w:name="_Toc25201"/>
      <w:bookmarkStart w:id="18" w:name="_Toc12220"/>
      <w:bookmarkStart w:id="19" w:name="_Toc23914_WPSOffice_Level1"/>
      <w:bookmarkStart w:id="20" w:name="_Toc3779_WPSOffice_Level1"/>
      <w:bookmarkStart w:id="21" w:name="_Toc11378_WPSOffice_Level1"/>
      <w:bookmarkStart w:id="22" w:name="_Toc11012"/>
      <w:r>
        <w:rPr>
          <w:rFonts w:ascii="Times New Roman" w:hAnsi="Times New Roman"/>
          <w:sz w:val="28"/>
          <w:szCs w:val="28"/>
        </w:rPr>
        <w:t xml:space="preserve">附件三  </w:t>
      </w:r>
      <w:bookmarkEnd w:id="17"/>
      <w:bookmarkEnd w:id="18"/>
      <w:bookmarkEnd w:id="19"/>
      <w:bookmarkEnd w:id="20"/>
      <w:bookmarkEnd w:id="21"/>
      <w:r>
        <w:rPr>
          <w:rFonts w:ascii="Times New Roman" w:hAnsi="Times New Roman"/>
          <w:sz w:val="28"/>
          <w:szCs w:val="28"/>
        </w:rPr>
        <w:t>租赁合同</w:t>
      </w:r>
      <w:bookmarkEnd w:id="22"/>
    </w:p>
    <w:p>
      <w:pPr>
        <w:pStyle w:val="32"/>
        <w:tabs>
          <w:tab w:val="right" w:leader="dot" w:pos="9411"/>
        </w:tabs>
        <w:spacing w:line="360" w:lineRule="auto"/>
        <w:ind w:firstLine="560" w:firstLineChars="200"/>
        <w:outlineLvl w:val="0"/>
        <w:rPr>
          <w:rFonts w:ascii="Times New Roman" w:hAnsi="Times New Roman"/>
          <w:sz w:val="28"/>
          <w:szCs w:val="28"/>
        </w:rPr>
      </w:pPr>
      <w:bookmarkStart w:id="23" w:name="_Toc7301"/>
      <w:bookmarkStart w:id="24" w:name="_Toc25595_WPSOffice_Level1"/>
      <w:bookmarkStart w:id="25" w:name="_Toc16514"/>
      <w:bookmarkStart w:id="26" w:name="_Toc2556"/>
      <w:r>
        <w:rPr>
          <w:rFonts w:ascii="Times New Roman" w:hAnsi="Times New Roman"/>
          <w:sz w:val="28"/>
          <w:szCs w:val="28"/>
        </w:rPr>
        <w:t>附件</w:t>
      </w:r>
      <w:bookmarkEnd w:id="23"/>
      <w:bookmarkEnd w:id="24"/>
      <w:bookmarkEnd w:id="25"/>
      <w:r>
        <w:rPr>
          <w:rFonts w:hint="eastAsia" w:ascii="Times New Roman" w:hAnsi="Times New Roman"/>
          <w:sz w:val="28"/>
          <w:szCs w:val="28"/>
        </w:rPr>
        <w:t>四</w:t>
      </w:r>
      <w:r>
        <w:rPr>
          <w:rFonts w:ascii="Times New Roman" w:hAnsi="Times New Roman"/>
          <w:sz w:val="28"/>
          <w:szCs w:val="28"/>
        </w:rPr>
        <w:t>环境质量现状监测报告</w:t>
      </w:r>
      <w:bookmarkEnd w:id="26"/>
    </w:p>
    <w:p>
      <w:pPr>
        <w:pStyle w:val="32"/>
        <w:tabs>
          <w:tab w:val="right" w:leader="dot" w:pos="9411"/>
        </w:tabs>
        <w:spacing w:line="360" w:lineRule="auto"/>
        <w:ind w:firstLine="560" w:firstLineChars="200"/>
        <w:outlineLvl w:val="0"/>
        <w:rPr>
          <w:rFonts w:hint="eastAsia" w:ascii="Times New Roman" w:hAnsi="Times New Roman"/>
          <w:sz w:val="28"/>
          <w:szCs w:val="28"/>
        </w:rPr>
      </w:pPr>
      <w:bookmarkStart w:id="27" w:name="_Toc7258"/>
      <w:r>
        <w:rPr>
          <w:rFonts w:hint="eastAsia" w:ascii="Times New Roman" w:hAnsi="Times New Roman"/>
          <w:sz w:val="28"/>
          <w:szCs w:val="28"/>
        </w:rPr>
        <w:t>附件五  危废处置合同</w:t>
      </w:r>
      <w:bookmarkEnd w:id="27"/>
    </w:p>
    <w:p>
      <w:pPr>
        <w:pStyle w:val="32"/>
        <w:tabs>
          <w:tab w:val="right" w:leader="dot" w:pos="9411"/>
        </w:tabs>
        <w:spacing w:line="360" w:lineRule="auto"/>
        <w:ind w:firstLine="560" w:firstLineChars="200"/>
        <w:outlineLvl w:val="0"/>
        <w:rPr>
          <w:rFonts w:hint="eastAsia" w:ascii="Times New Roman" w:hAnsi="Times New Roman"/>
          <w:sz w:val="28"/>
          <w:szCs w:val="28"/>
          <w:lang w:val="en-US" w:eastAsia="zh-CN"/>
        </w:rPr>
      </w:pPr>
      <w:r>
        <w:rPr>
          <w:rFonts w:hint="eastAsia" w:ascii="Times New Roman" w:hAnsi="Times New Roman"/>
          <w:sz w:val="28"/>
          <w:szCs w:val="28"/>
          <w:lang w:val="en-US" w:eastAsia="zh-CN"/>
        </w:rPr>
        <w:t>附件六  专家签到表</w:t>
      </w:r>
    </w:p>
    <w:p>
      <w:pPr>
        <w:pStyle w:val="32"/>
        <w:tabs>
          <w:tab w:val="right" w:leader="dot" w:pos="9411"/>
        </w:tabs>
        <w:spacing w:line="360" w:lineRule="auto"/>
        <w:ind w:firstLine="560" w:firstLineChars="200"/>
        <w:outlineLvl w:val="0"/>
        <w:rPr>
          <w:rFonts w:hint="default" w:ascii="Times New Roman" w:hAnsi="Times New Roman"/>
          <w:sz w:val="28"/>
          <w:szCs w:val="28"/>
          <w:lang w:val="en-US" w:eastAsia="zh-CN"/>
        </w:rPr>
      </w:pPr>
      <w:r>
        <w:rPr>
          <w:rFonts w:hint="eastAsia" w:ascii="Times New Roman" w:hAnsi="Times New Roman"/>
          <w:sz w:val="28"/>
          <w:szCs w:val="28"/>
          <w:lang w:val="en-US" w:eastAsia="zh-CN"/>
        </w:rPr>
        <w:t>附件七  专家评审意见</w:t>
      </w:r>
    </w:p>
    <w:p>
      <w:pPr>
        <w:pStyle w:val="32"/>
        <w:tabs>
          <w:tab w:val="right" w:leader="dot" w:pos="9411"/>
        </w:tabs>
        <w:spacing w:line="360" w:lineRule="auto"/>
        <w:rPr>
          <w:rFonts w:ascii="Times New Roman" w:hAnsi="Times New Roman"/>
          <w:color w:val="000000" w:themeColor="text1"/>
          <w:sz w:val="28"/>
          <w:szCs w:val="28"/>
          <w14:textFill>
            <w14:solidFill>
              <w14:schemeClr w14:val="tx1"/>
            </w14:solidFill>
          </w14:textFill>
        </w:rPr>
      </w:pPr>
      <w:bookmarkStart w:id="28" w:name="_Toc22665_WPSOffice_Level1"/>
      <w:bookmarkStart w:id="29" w:name="_Toc12423_WPSOffice_Level1"/>
      <w:bookmarkStart w:id="30" w:name="_Toc4857_WPSOffice_Level1"/>
      <w:bookmarkStart w:id="31" w:name="_Toc21160_WPSOffice_Level1"/>
      <w:r>
        <w:rPr>
          <w:rFonts w:ascii="Times New Roman" w:hAnsi="Times New Roman"/>
          <w:color w:val="000000" w:themeColor="text1"/>
          <w:sz w:val="28"/>
          <w:szCs w:val="28"/>
          <w14:textFill>
            <w14:solidFill>
              <w14:schemeClr w14:val="tx1"/>
            </w14:solidFill>
          </w14:textFill>
        </w:rPr>
        <w:t>附图</w:t>
      </w:r>
      <w:bookmarkEnd w:id="28"/>
      <w:bookmarkEnd w:id="29"/>
      <w:bookmarkEnd w:id="30"/>
      <w:bookmarkEnd w:id="31"/>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bookmarkStart w:id="32" w:name="_Toc16860_WPSOffice_Level1"/>
      <w:bookmarkStart w:id="33" w:name="_Toc31425_WPSOffice_Level1"/>
      <w:bookmarkStart w:id="34" w:name="_Toc20583_WPSOffice_Level1"/>
      <w:r>
        <w:rPr>
          <w:rFonts w:ascii="Times New Roman" w:hAnsi="Times New Roman"/>
          <w:color w:val="000000" w:themeColor="text1"/>
          <w:sz w:val="28"/>
          <w:szCs w:val="28"/>
          <w14:textFill>
            <w14:solidFill>
              <w14:schemeClr w14:val="tx1"/>
            </w14:solidFill>
          </w14:textFill>
        </w:rPr>
        <w:t>附图一  项目地理位置图</w:t>
      </w:r>
      <w:bookmarkEnd w:id="32"/>
      <w:bookmarkEnd w:id="33"/>
      <w:bookmarkEnd w:id="34"/>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bookmarkStart w:id="35" w:name="_Toc10127_WPSOffice_Level1"/>
      <w:bookmarkStart w:id="36" w:name="_Toc31618_WPSOffice_Level1"/>
      <w:bookmarkStart w:id="37" w:name="_Toc2515_WPSOffice_Level1"/>
      <w:r>
        <w:rPr>
          <w:rFonts w:ascii="Times New Roman" w:hAnsi="Times New Roman"/>
          <w:color w:val="000000" w:themeColor="text1"/>
          <w:sz w:val="28"/>
          <w:szCs w:val="28"/>
          <w14:textFill>
            <w14:solidFill>
              <w14:schemeClr w14:val="tx1"/>
            </w14:solidFill>
          </w14:textFill>
        </w:rPr>
        <w:t>附图二</w:t>
      </w:r>
      <w:bookmarkEnd w:id="35"/>
      <w:bookmarkEnd w:id="36"/>
      <w:bookmarkEnd w:id="37"/>
      <w:r>
        <w:rPr>
          <w:rFonts w:ascii="Times New Roman" w:hAnsi="Times New Roman"/>
          <w:color w:val="000000" w:themeColor="text1"/>
          <w:sz w:val="28"/>
          <w:szCs w:val="28"/>
          <w14:textFill>
            <w14:solidFill>
              <w14:schemeClr w14:val="tx1"/>
            </w14:solidFill>
          </w14:textFill>
        </w:rPr>
        <w:t>项目总体平面布局示意图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bookmarkStart w:id="38" w:name="_Toc347_WPSOffice_Level1"/>
      <w:bookmarkStart w:id="39" w:name="_Toc26554_WPSOffice_Level1"/>
      <w:bookmarkStart w:id="40" w:name="_Toc13578_WPSOffice_Level1"/>
      <w:r>
        <w:rPr>
          <w:rFonts w:ascii="Times New Roman" w:hAnsi="Times New Roman"/>
          <w:color w:val="000000" w:themeColor="text1"/>
          <w:sz w:val="28"/>
          <w:szCs w:val="28"/>
          <w14:textFill>
            <w14:solidFill>
              <w14:schemeClr w14:val="tx1"/>
            </w14:solidFill>
          </w14:textFill>
        </w:rPr>
        <w:t>附图三  环境空气（补充监测）、噪声测布点图</w:t>
      </w:r>
      <w:bookmarkEnd w:id="38"/>
      <w:bookmarkEnd w:id="39"/>
      <w:bookmarkEnd w:id="40"/>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附图四  环境空气（例行监测）监测布点图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附图五  项目引用地表水历史监测点位分布</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bookmarkStart w:id="41" w:name="_Toc29878_WPSOffice_Level1"/>
      <w:bookmarkStart w:id="42" w:name="_Toc22623_WPSOffice_Level1"/>
      <w:bookmarkStart w:id="43" w:name="_Toc25880_WPSOffice_Level1"/>
      <w:r>
        <w:rPr>
          <w:rFonts w:ascii="Times New Roman" w:hAnsi="Times New Roman"/>
          <w:color w:val="000000" w:themeColor="text1"/>
          <w:sz w:val="28"/>
          <w:szCs w:val="28"/>
          <w14:textFill>
            <w14:solidFill>
              <w14:schemeClr w14:val="tx1"/>
            </w14:solidFill>
          </w14:textFill>
        </w:rPr>
        <w:t>附图六  项目周边环境保护目标图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附图七  项目污水及雨水排放路径图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附图八  分区防渗示意图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附图九  岳阳市生态红线图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附图十  地下水评价范围图及引用数据布点图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附图十一  项目所在地水文地质图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附图十二 产业布局规划图</w:t>
      </w:r>
    </w:p>
    <w:p>
      <w:pPr>
        <w:pStyle w:val="32"/>
        <w:tabs>
          <w:tab w:val="right" w:leader="dot" w:pos="9411"/>
        </w:tabs>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附图十</w:t>
      </w:r>
      <w:r>
        <w:rPr>
          <w:rFonts w:hint="eastAsia" w:ascii="Times New Roman" w:hAnsi="Times New Roman"/>
          <w:color w:val="000000" w:themeColor="text1"/>
          <w:sz w:val="28"/>
          <w:szCs w:val="28"/>
          <w14:textFill>
            <w14:solidFill>
              <w14:schemeClr w14:val="tx1"/>
            </w14:solidFill>
          </w14:textFill>
        </w:rPr>
        <w:t>三</w:t>
      </w:r>
      <w:r>
        <w:rPr>
          <w:rFonts w:ascii="Times New Roman" w:hAnsi="Times New Roman"/>
          <w:color w:val="000000" w:themeColor="text1"/>
          <w:sz w:val="28"/>
          <w:szCs w:val="28"/>
          <w14:textFill>
            <w14:solidFill>
              <w14:schemeClr w14:val="tx1"/>
            </w14:solidFill>
          </w14:textFill>
        </w:rPr>
        <w:t xml:space="preserve">  项目现场照片</w:t>
      </w:r>
      <w:bookmarkEnd w:id="41"/>
      <w:bookmarkEnd w:id="42"/>
      <w:bookmarkEnd w:id="43"/>
    </w:p>
    <w:p>
      <w:pPr>
        <w:pStyle w:val="32"/>
        <w:tabs>
          <w:tab w:val="right" w:leader="dot" w:pos="9411"/>
        </w:tabs>
        <w:spacing w:line="360" w:lineRule="auto"/>
        <w:outlineLvl w:val="0"/>
        <w:rPr>
          <w:rFonts w:ascii="Times New Roman" w:hAnsi="Times New Roman"/>
          <w:sz w:val="28"/>
          <w:szCs w:val="28"/>
        </w:rPr>
      </w:pPr>
      <w:bookmarkStart w:id="44" w:name="_Toc31609"/>
      <w:bookmarkStart w:id="45" w:name="_Toc2506_WPSOffice_Level1"/>
      <w:bookmarkStart w:id="46" w:name="_Toc14463_WPSOffice_Level1"/>
      <w:bookmarkStart w:id="47" w:name="_Toc27320"/>
      <w:bookmarkStart w:id="48" w:name="_Toc11822_WPSOffice_Level1"/>
      <w:bookmarkStart w:id="49" w:name="_Toc24358_WPSOffice_Level1"/>
      <w:bookmarkStart w:id="50" w:name="_Toc20511"/>
      <w:r>
        <w:rPr>
          <w:rFonts w:ascii="Times New Roman" w:hAnsi="Times New Roman"/>
          <w:sz w:val="28"/>
          <w:szCs w:val="28"/>
        </w:rPr>
        <w:t>附表</w:t>
      </w:r>
      <w:bookmarkEnd w:id="44"/>
      <w:bookmarkEnd w:id="45"/>
      <w:bookmarkEnd w:id="46"/>
      <w:bookmarkEnd w:id="47"/>
      <w:bookmarkEnd w:id="48"/>
      <w:bookmarkEnd w:id="49"/>
      <w:bookmarkEnd w:id="50"/>
    </w:p>
    <w:p>
      <w:pPr>
        <w:pStyle w:val="32"/>
        <w:tabs>
          <w:tab w:val="right" w:leader="dot" w:pos="9411"/>
        </w:tabs>
        <w:spacing w:line="360" w:lineRule="auto"/>
        <w:ind w:firstLine="560" w:firstLineChars="200"/>
        <w:outlineLvl w:val="0"/>
        <w:rPr>
          <w:rFonts w:ascii="Times New Roman" w:hAnsi="Times New Roman"/>
          <w:sz w:val="28"/>
          <w:szCs w:val="28"/>
        </w:rPr>
      </w:pPr>
      <w:bookmarkStart w:id="51" w:name="_Toc18985"/>
      <w:bookmarkStart w:id="52" w:name="_Toc20468"/>
      <w:bookmarkStart w:id="53" w:name="_Toc12373_WPSOffice_Level1"/>
      <w:bookmarkStart w:id="54" w:name="_Toc26743_WPSOffice_Level1"/>
      <w:bookmarkStart w:id="55" w:name="_Toc20447"/>
      <w:bookmarkStart w:id="56" w:name="_Toc2247_WPSOffice_Level1"/>
      <w:r>
        <w:rPr>
          <w:rFonts w:ascii="Times New Roman" w:hAnsi="Times New Roman"/>
          <w:sz w:val="28"/>
          <w:szCs w:val="28"/>
        </w:rPr>
        <w:t>附表1  地表水环境影响评价自查表</w:t>
      </w:r>
      <w:bookmarkEnd w:id="51"/>
    </w:p>
    <w:p>
      <w:pPr>
        <w:pStyle w:val="32"/>
        <w:tabs>
          <w:tab w:val="right" w:leader="dot" w:pos="9411"/>
        </w:tabs>
        <w:spacing w:line="360" w:lineRule="auto"/>
        <w:ind w:firstLine="560" w:firstLineChars="200"/>
        <w:outlineLvl w:val="0"/>
        <w:rPr>
          <w:rFonts w:ascii="Times New Roman" w:hAnsi="Times New Roman"/>
          <w:sz w:val="28"/>
          <w:szCs w:val="28"/>
        </w:rPr>
      </w:pPr>
      <w:bookmarkStart w:id="57" w:name="_Toc23084"/>
      <w:r>
        <w:rPr>
          <w:rFonts w:ascii="Times New Roman" w:hAnsi="Times New Roman"/>
          <w:sz w:val="28"/>
          <w:szCs w:val="28"/>
        </w:rPr>
        <w:t>附表2  建设项目大气环境影响评价自查表</w:t>
      </w:r>
      <w:bookmarkEnd w:id="57"/>
    </w:p>
    <w:p>
      <w:pPr>
        <w:pStyle w:val="32"/>
        <w:tabs>
          <w:tab w:val="right" w:leader="dot" w:pos="9411"/>
        </w:tabs>
        <w:spacing w:line="360" w:lineRule="auto"/>
        <w:ind w:firstLine="560" w:firstLineChars="200"/>
        <w:outlineLvl w:val="0"/>
        <w:rPr>
          <w:rFonts w:ascii="Times New Roman" w:hAnsi="Times New Roman"/>
          <w:sz w:val="28"/>
          <w:szCs w:val="28"/>
        </w:rPr>
      </w:pPr>
      <w:bookmarkStart w:id="58" w:name="_Toc13612"/>
      <w:r>
        <w:rPr>
          <w:rFonts w:ascii="Times New Roman" w:hAnsi="Times New Roman"/>
          <w:sz w:val="28"/>
          <w:szCs w:val="28"/>
        </w:rPr>
        <w:t>附表3 建设项目环境风险评价自查表</w:t>
      </w:r>
      <w:bookmarkEnd w:id="58"/>
    </w:p>
    <w:p>
      <w:pPr>
        <w:pStyle w:val="32"/>
        <w:tabs>
          <w:tab w:val="right" w:leader="dot" w:pos="9411"/>
        </w:tabs>
        <w:spacing w:line="360" w:lineRule="auto"/>
        <w:ind w:firstLine="560" w:firstLineChars="200"/>
        <w:outlineLvl w:val="0"/>
        <w:rPr>
          <w:rFonts w:ascii="Times New Roman" w:hAnsi="Times New Roman"/>
          <w:sz w:val="28"/>
          <w:szCs w:val="28"/>
        </w:rPr>
      </w:pPr>
      <w:bookmarkStart w:id="59" w:name="_Toc12997"/>
      <w:r>
        <w:rPr>
          <w:rFonts w:ascii="Times New Roman" w:hAnsi="Times New Roman"/>
          <w:sz w:val="28"/>
          <w:szCs w:val="28"/>
        </w:rPr>
        <w:t>附表4  建设项目土壤环境影响评价自查表</w:t>
      </w:r>
      <w:bookmarkEnd w:id="59"/>
    </w:p>
    <w:p>
      <w:pPr>
        <w:ind w:firstLine="560" w:firstLineChars="200"/>
        <w:rPr>
          <w:sz w:val="24"/>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sz w:val="28"/>
          <w:szCs w:val="28"/>
        </w:rPr>
        <w:t>附表</w:t>
      </w:r>
      <w:r>
        <w:rPr>
          <w:rFonts w:hint="eastAsia"/>
          <w:sz w:val="28"/>
          <w:szCs w:val="28"/>
        </w:rPr>
        <w:t>5</w:t>
      </w:r>
      <w:r>
        <w:rPr>
          <w:sz w:val="28"/>
          <w:szCs w:val="28"/>
        </w:rPr>
        <w:t xml:space="preserve">  建设项目环评审批基础信息表</w:t>
      </w:r>
      <w:bookmarkEnd w:id="52"/>
      <w:bookmarkEnd w:id="53"/>
      <w:bookmarkEnd w:id="54"/>
      <w:bookmarkEnd w:id="55"/>
      <w:bookmarkEnd w:id="56"/>
    </w:p>
    <w:p>
      <w:pPr>
        <w:adjustRightInd w:val="0"/>
        <w:snapToGrid w:val="0"/>
        <w:outlineLvl w:val="0"/>
        <w:rPr>
          <w:b/>
          <w:sz w:val="32"/>
          <w:szCs w:val="32"/>
        </w:rPr>
      </w:pPr>
      <w:bookmarkStart w:id="60" w:name="_Toc16163"/>
      <w:r>
        <w:rPr>
          <w:b/>
          <w:sz w:val="32"/>
          <w:szCs w:val="32"/>
        </w:rPr>
        <w:t>一</w:t>
      </w:r>
      <w:r>
        <w:rPr>
          <w:rFonts w:hint="eastAsia"/>
          <w:b/>
          <w:sz w:val="32"/>
          <w:szCs w:val="32"/>
        </w:rPr>
        <w:t>、</w:t>
      </w:r>
      <w:r>
        <w:rPr>
          <w:b/>
          <w:sz w:val="32"/>
          <w:szCs w:val="32"/>
        </w:rPr>
        <w:t>建设项目基本情况</w:t>
      </w:r>
      <w:bookmarkEnd w:id="60"/>
    </w:p>
    <w:tbl>
      <w:tblPr>
        <w:tblStyle w:val="20"/>
        <w:tblW w:w="87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7"/>
        <w:gridCol w:w="2119"/>
        <w:gridCol w:w="300"/>
        <w:gridCol w:w="964"/>
        <w:gridCol w:w="136"/>
        <w:gridCol w:w="326"/>
        <w:gridCol w:w="107"/>
        <w:gridCol w:w="487"/>
        <w:gridCol w:w="320"/>
        <w:gridCol w:w="565"/>
        <w:gridCol w:w="524"/>
        <w:gridCol w:w="305"/>
        <w:gridCol w:w="1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1357" w:type="dxa"/>
            <w:vAlign w:val="center"/>
          </w:tcPr>
          <w:p>
            <w:pPr>
              <w:spacing w:before="100" w:beforeAutospacing="1" w:after="100" w:afterAutospacing="1" w:line="360" w:lineRule="auto"/>
              <w:jc w:val="center"/>
              <w:rPr>
                <w:sz w:val="24"/>
              </w:rPr>
            </w:pPr>
            <w:r>
              <w:rPr>
                <w:sz w:val="24"/>
              </w:rPr>
              <w:t>项目名称</w:t>
            </w:r>
          </w:p>
        </w:tc>
        <w:tc>
          <w:tcPr>
            <w:tcW w:w="7406" w:type="dxa"/>
            <w:gridSpan w:val="12"/>
            <w:vAlign w:val="center"/>
          </w:tcPr>
          <w:p>
            <w:pPr>
              <w:spacing w:before="100" w:beforeAutospacing="1" w:after="100" w:afterAutospacing="1" w:line="360" w:lineRule="auto"/>
              <w:jc w:val="center"/>
              <w:rPr>
                <w:sz w:val="24"/>
              </w:rPr>
            </w:pPr>
            <w:r>
              <w:rPr>
                <w:rFonts w:hint="eastAsia"/>
                <w:sz w:val="24"/>
              </w:rPr>
              <w:t>岳阳市兴燕贸易有限公司新港分公司吉利4S店建设项目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 w:hRule="atLeast"/>
        </w:trPr>
        <w:tc>
          <w:tcPr>
            <w:tcW w:w="1357" w:type="dxa"/>
            <w:vAlign w:val="center"/>
          </w:tcPr>
          <w:p>
            <w:pPr>
              <w:spacing w:before="100" w:beforeAutospacing="1" w:after="100" w:afterAutospacing="1" w:line="360" w:lineRule="auto"/>
              <w:jc w:val="center"/>
              <w:rPr>
                <w:sz w:val="24"/>
              </w:rPr>
            </w:pPr>
            <w:r>
              <w:rPr>
                <w:sz w:val="24"/>
              </w:rPr>
              <w:t>建设单位</w:t>
            </w:r>
          </w:p>
        </w:tc>
        <w:tc>
          <w:tcPr>
            <w:tcW w:w="7406" w:type="dxa"/>
            <w:gridSpan w:val="12"/>
            <w:vAlign w:val="center"/>
          </w:tcPr>
          <w:p>
            <w:pPr>
              <w:adjustRightInd w:val="0"/>
              <w:snapToGrid w:val="0"/>
              <w:jc w:val="center"/>
              <w:rPr>
                <w:sz w:val="24"/>
              </w:rPr>
            </w:pPr>
            <w:r>
              <w:rPr>
                <w:rFonts w:hint="eastAsia"/>
                <w:sz w:val="24"/>
              </w:rPr>
              <w:t>岳阳市兴燕贸易有限公司新港分公司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trPr>
        <w:tc>
          <w:tcPr>
            <w:tcW w:w="1357" w:type="dxa"/>
            <w:vAlign w:val="center"/>
          </w:tcPr>
          <w:p>
            <w:pPr>
              <w:spacing w:before="100" w:beforeAutospacing="1" w:after="100" w:afterAutospacing="1" w:line="360" w:lineRule="auto"/>
              <w:jc w:val="center"/>
              <w:rPr>
                <w:sz w:val="24"/>
              </w:rPr>
            </w:pPr>
            <w:r>
              <w:rPr>
                <w:sz w:val="24"/>
              </w:rPr>
              <w:t>法人代表</w:t>
            </w:r>
          </w:p>
        </w:tc>
        <w:tc>
          <w:tcPr>
            <w:tcW w:w="3952" w:type="dxa"/>
            <w:gridSpan w:val="6"/>
            <w:vAlign w:val="center"/>
          </w:tcPr>
          <w:p>
            <w:pPr>
              <w:spacing w:line="300" w:lineRule="exact"/>
              <w:jc w:val="center"/>
              <w:rPr>
                <w:sz w:val="24"/>
              </w:rPr>
            </w:pPr>
            <w:r>
              <w:rPr>
                <w:rFonts w:hint="eastAsia"/>
                <w:sz w:val="24"/>
              </w:rPr>
              <w:t>罗燕</w:t>
            </w:r>
          </w:p>
        </w:tc>
        <w:tc>
          <w:tcPr>
            <w:tcW w:w="1372" w:type="dxa"/>
            <w:gridSpan w:val="3"/>
            <w:vAlign w:val="center"/>
          </w:tcPr>
          <w:p>
            <w:pPr>
              <w:spacing w:line="300" w:lineRule="exact"/>
              <w:jc w:val="center"/>
              <w:rPr>
                <w:sz w:val="24"/>
              </w:rPr>
            </w:pPr>
            <w:r>
              <w:rPr>
                <w:rFonts w:hint="eastAsia"/>
                <w:sz w:val="24"/>
              </w:rPr>
              <w:t>联系人</w:t>
            </w:r>
          </w:p>
        </w:tc>
        <w:tc>
          <w:tcPr>
            <w:tcW w:w="2082" w:type="dxa"/>
            <w:gridSpan w:val="3"/>
            <w:vAlign w:val="center"/>
          </w:tcPr>
          <w:p>
            <w:pPr>
              <w:spacing w:line="300" w:lineRule="exact"/>
              <w:jc w:val="center"/>
              <w:rPr>
                <w:sz w:val="24"/>
              </w:rPr>
            </w:pPr>
            <w:r>
              <w:rPr>
                <w:rFonts w:hint="eastAsia"/>
                <w:sz w:val="24"/>
              </w:rPr>
              <w:t>林芳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 w:hRule="atLeast"/>
        </w:trPr>
        <w:tc>
          <w:tcPr>
            <w:tcW w:w="1357" w:type="dxa"/>
            <w:vAlign w:val="center"/>
          </w:tcPr>
          <w:p>
            <w:pPr>
              <w:spacing w:before="100" w:beforeAutospacing="1" w:after="100" w:afterAutospacing="1" w:line="360" w:lineRule="auto"/>
              <w:jc w:val="center"/>
              <w:rPr>
                <w:sz w:val="24"/>
              </w:rPr>
            </w:pPr>
            <w:r>
              <w:rPr>
                <w:sz w:val="24"/>
              </w:rPr>
              <w:t>通讯地址</w:t>
            </w:r>
          </w:p>
        </w:tc>
        <w:tc>
          <w:tcPr>
            <w:tcW w:w="7406" w:type="dxa"/>
            <w:gridSpan w:val="12"/>
            <w:vAlign w:val="center"/>
          </w:tcPr>
          <w:p>
            <w:pPr>
              <w:spacing w:before="100" w:beforeAutospacing="1" w:after="100" w:afterAutospacing="1" w:line="360" w:lineRule="auto"/>
              <w:jc w:val="center"/>
              <w:rPr>
                <w:sz w:val="24"/>
              </w:rPr>
            </w:pPr>
            <w:r>
              <w:rPr>
                <w:rFonts w:hint="eastAsia"/>
                <w:sz w:val="24"/>
              </w:rPr>
              <w:t>岳阳市临港产业新区城陵矶片区联港路国际汽车城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 w:hRule="atLeast"/>
        </w:trPr>
        <w:tc>
          <w:tcPr>
            <w:tcW w:w="1357" w:type="dxa"/>
            <w:vAlign w:val="center"/>
          </w:tcPr>
          <w:p>
            <w:pPr>
              <w:spacing w:before="100" w:beforeAutospacing="1" w:after="100" w:afterAutospacing="1" w:line="360" w:lineRule="auto"/>
              <w:jc w:val="center"/>
              <w:rPr>
                <w:sz w:val="24"/>
              </w:rPr>
            </w:pPr>
            <w:r>
              <w:rPr>
                <w:sz w:val="24"/>
              </w:rPr>
              <w:t>联系电话</w:t>
            </w:r>
          </w:p>
        </w:tc>
        <w:tc>
          <w:tcPr>
            <w:tcW w:w="2419" w:type="dxa"/>
            <w:gridSpan w:val="2"/>
            <w:vAlign w:val="center"/>
          </w:tcPr>
          <w:p>
            <w:pPr>
              <w:spacing w:line="300" w:lineRule="exact"/>
              <w:jc w:val="center"/>
              <w:rPr>
                <w:sz w:val="24"/>
              </w:rPr>
            </w:pPr>
            <w:r>
              <w:rPr>
                <w:rFonts w:hint="eastAsia"/>
                <w:sz w:val="24"/>
              </w:rPr>
              <w:t>13100208700</w:t>
            </w:r>
          </w:p>
        </w:tc>
        <w:tc>
          <w:tcPr>
            <w:tcW w:w="964" w:type="dxa"/>
            <w:vAlign w:val="center"/>
          </w:tcPr>
          <w:p>
            <w:pPr>
              <w:spacing w:before="100" w:beforeAutospacing="1" w:after="100" w:afterAutospacing="1" w:line="360" w:lineRule="auto"/>
              <w:jc w:val="center"/>
              <w:rPr>
                <w:sz w:val="24"/>
              </w:rPr>
            </w:pPr>
            <w:r>
              <w:rPr>
                <w:sz w:val="24"/>
              </w:rPr>
              <w:t>传真</w:t>
            </w:r>
          </w:p>
        </w:tc>
        <w:tc>
          <w:tcPr>
            <w:tcW w:w="1056" w:type="dxa"/>
            <w:gridSpan w:val="4"/>
            <w:vAlign w:val="center"/>
          </w:tcPr>
          <w:p>
            <w:pPr>
              <w:spacing w:before="100" w:beforeAutospacing="1" w:after="100" w:afterAutospacing="1" w:line="360" w:lineRule="auto"/>
              <w:jc w:val="center"/>
              <w:rPr>
                <w:sz w:val="24"/>
              </w:rPr>
            </w:pPr>
            <w:r>
              <w:rPr>
                <w:rFonts w:hint="eastAsia"/>
                <w:sz w:val="24"/>
              </w:rPr>
              <w:t>——</w:t>
            </w:r>
          </w:p>
        </w:tc>
        <w:tc>
          <w:tcPr>
            <w:tcW w:w="1409" w:type="dxa"/>
            <w:gridSpan w:val="3"/>
            <w:vAlign w:val="center"/>
          </w:tcPr>
          <w:p>
            <w:pPr>
              <w:spacing w:before="100" w:beforeAutospacing="1" w:after="100" w:afterAutospacing="1" w:line="360" w:lineRule="auto"/>
              <w:jc w:val="center"/>
              <w:rPr>
                <w:sz w:val="24"/>
              </w:rPr>
            </w:pPr>
            <w:r>
              <w:rPr>
                <w:sz w:val="24"/>
              </w:rPr>
              <w:t>邮政编码</w:t>
            </w:r>
          </w:p>
        </w:tc>
        <w:tc>
          <w:tcPr>
            <w:tcW w:w="1558" w:type="dxa"/>
            <w:gridSpan w:val="2"/>
            <w:vAlign w:val="center"/>
          </w:tcPr>
          <w:p>
            <w:pPr>
              <w:spacing w:before="100" w:beforeAutospacing="1" w:after="100" w:afterAutospacing="1" w:line="360" w:lineRule="auto"/>
              <w:jc w:val="center"/>
              <w:rPr>
                <w:sz w:val="24"/>
              </w:rPr>
            </w:pPr>
            <w:r>
              <w:rPr>
                <w:rFonts w:hint="eastAsia"/>
                <w:sz w:val="24"/>
              </w:rPr>
              <w:t>414000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357" w:type="dxa"/>
            <w:vAlign w:val="center"/>
          </w:tcPr>
          <w:p>
            <w:pPr>
              <w:spacing w:before="100" w:beforeAutospacing="1" w:after="100" w:afterAutospacing="1" w:line="360" w:lineRule="auto"/>
              <w:jc w:val="center"/>
              <w:rPr>
                <w:sz w:val="24"/>
              </w:rPr>
            </w:pPr>
            <w:r>
              <w:rPr>
                <w:sz w:val="24"/>
              </w:rPr>
              <w:t>建设地点</w:t>
            </w:r>
          </w:p>
        </w:tc>
        <w:tc>
          <w:tcPr>
            <w:tcW w:w="7406" w:type="dxa"/>
            <w:gridSpan w:val="12"/>
            <w:vAlign w:val="center"/>
          </w:tcPr>
          <w:p>
            <w:pPr>
              <w:spacing w:before="100" w:beforeAutospacing="1" w:after="100" w:afterAutospacing="1" w:line="360" w:lineRule="auto"/>
              <w:jc w:val="center"/>
              <w:rPr>
                <w:sz w:val="24"/>
              </w:rPr>
            </w:pPr>
            <w:r>
              <w:rPr>
                <w:rFonts w:hint="eastAsia"/>
                <w:sz w:val="24"/>
              </w:rPr>
              <w:t>岳阳市临港产业新区城陵矶片区联港路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357" w:type="dxa"/>
            <w:vAlign w:val="center"/>
          </w:tcPr>
          <w:p>
            <w:pPr>
              <w:spacing w:line="300" w:lineRule="exact"/>
              <w:jc w:val="center"/>
              <w:rPr>
                <w:sz w:val="24"/>
              </w:rPr>
            </w:pPr>
            <w:r>
              <w:rPr>
                <w:sz w:val="24"/>
              </w:rPr>
              <w:t>立项审批部门</w:t>
            </w:r>
          </w:p>
        </w:tc>
        <w:tc>
          <w:tcPr>
            <w:tcW w:w="3519" w:type="dxa"/>
            <w:gridSpan w:val="4"/>
            <w:vAlign w:val="center"/>
          </w:tcPr>
          <w:p>
            <w:pPr>
              <w:spacing w:before="100" w:beforeAutospacing="1" w:after="100" w:afterAutospacing="1" w:line="360" w:lineRule="auto"/>
              <w:jc w:val="center"/>
              <w:rPr>
                <w:sz w:val="24"/>
              </w:rPr>
            </w:pPr>
            <w:r>
              <w:rPr>
                <w:rFonts w:hint="eastAsia"/>
                <w:sz w:val="24"/>
                <w:u w:val="single"/>
              </w:rPr>
              <w:t>/</w:t>
            </w:r>
          </w:p>
        </w:tc>
        <w:tc>
          <w:tcPr>
            <w:tcW w:w="1240" w:type="dxa"/>
            <w:gridSpan w:val="4"/>
            <w:vAlign w:val="center"/>
          </w:tcPr>
          <w:p>
            <w:pPr>
              <w:spacing w:before="100" w:beforeAutospacing="1" w:after="100" w:afterAutospacing="1" w:line="360" w:lineRule="auto"/>
              <w:jc w:val="center"/>
              <w:rPr>
                <w:sz w:val="24"/>
              </w:rPr>
            </w:pPr>
            <w:r>
              <w:rPr>
                <w:sz w:val="24"/>
              </w:rPr>
              <w:t>批准文号</w:t>
            </w:r>
          </w:p>
        </w:tc>
        <w:tc>
          <w:tcPr>
            <w:tcW w:w="2647" w:type="dxa"/>
            <w:gridSpan w:val="4"/>
            <w:vAlign w:val="center"/>
          </w:tcPr>
          <w:p>
            <w:pPr>
              <w:spacing w:before="100" w:beforeAutospacing="1" w:after="100" w:afterAutospacing="1" w:line="360" w:lineRule="auto"/>
              <w:jc w:val="center"/>
              <w:rPr>
                <w:sz w:val="24"/>
              </w:rPr>
            </w:pPr>
            <w:r>
              <w:rPr>
                <w:rFonts w:hint="eastAsia"/>
                <w:sz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 w:hRule="atLeast"/>
        </w:trPr>
        <w:tc>
          <w:tcPr>
            <w:tcW w:w="1357" w:type="dxa"/>
            <w:vAlign w:val="center"/>
          </w:tcPr>
          <w:p>
            <w:pPr>
              <w:spacing w:before="100" w:beforeAutospacing="1" w:after="100" w:afterAutospacing="1" w:line="360" w:lineRule="auto"/>
              <w:jc w:val="center"/>
              <w:rPr>
                <w:sz w:val="24"/>
              </w:rPr>
            </w:pPr>
            <w:r>
              <w:rPr>
                <w:sz w:val="24"/>
              </w:rPr>
              <w:t>建设性质</w:t>
            </w:r>
          </w:p>
        </w:tc>
        <w:tc>
          <w:tcPr>
            <w:tcW w:w="3519" w:type="dxa"/>
            <w:gridSpan w:val="4"/>
            <w:vAlign w:val="center"/>
          </w:tcPr>
          <w:p>
            <w:pPr>
              <w:pStyle w:val="28"/>
              <w:jc w:val="center"/>
            </w:pPr>
            <w:r>
              <w:rPr>
                <w:rFonts w:hint="eastAsia"/>
              </w:rPr>
              <w:t>新建（补办）</w:t>
            </w:r>
          </w:p>
        </w:tc>
        <w:tc>
          <w:tcPr>
            <w:tcW w:w="1240" w:type="dxa"/>
            <w:gridSpan w:val="4"/>
            <w:vAlign w:val="center"/>
          </w:tcPr>
          <w:p>
            <w:pPr>
              <w:spacing w:line="300" w:lineRule="exact"/>
              <w:jc w:val="center"/>
              <w:rPr>
                <w:sz w:val="24"/>
              </w:rPr>
            </w:pPr>
            <w:r>
              <w:rPr>
                <w:sz w:val="24"/>
              </w:rPr>
              <w:t>行业类别及代码</w:t>
            </w:r>
          </w:p>
        </w:tc>
        <w:tc>
          <w:tcPr>
            <w:tcW w:w="2647" w:type="dxa"/>
            <w:gridSpan w:val="4"/>
            <w:vAlign w:val="center"/>
          </w:tcPr>
          <w:p>
            <w:pPr>
              <w:spacing w:line="300" w:lineRule="exact"/>
              <w:jc w:val="center"/>
              <w:rPr>
                <w:sz w:val="24"/>
              </w:rPr>
            </w:pPr>
            <w:r>
              <w:rPr>
                <w:rFonts w:hint="eastAsia"/>
                <w:sz w:val="24"/>
              </w:rPr>
              <w:t>O8111汽车修理与维护</w:t>
            </w:r>
          </w:p>
          <w:p>
            <w:pPr>
              <w:spacing w:line="300" w:lineRule="exact"/>
              <w:jc w:val="center"/>
            </w:pPr>
            <w:r>
              <w:rPr>
                <w:sz w:val="24"/>
                <w:szCs w:val="24"/>
              </w:rPr>
              <w:t>F5261 汽车新车零售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 w:hRule="atLeast"/>
        </w:trPr>
        <w:tc>
          <w:tcPr>
            <w:tcW w:w="1357" w:type="dxa"/>
            <w:vAlign w:val="center"/>
          </w:tcPr>
          <w:p>
            <w:pPr>
              <w:spacing w:line="300" w:lineRule="exact"/>
              <w:jc w:val="center"/>
              <w:rPr>
                <w:sz w:val="24"/>
              </w:rPr>
            </w:pPr>
            <w:r>
              <w:rPr>
                <w:sz w:val="24"/>
              </w:rPr>
              <w:t xml:space="preserve">占地面积 </w:t>
            </w:r>
          </w:p>
          <w:p>
            <w:pPr>
              <w:spacing w:line="300" w:lineRule="exact"/>
              <w:jc w:val="center"/>
              <w:rPr>
                <w:sz w:val="24"/>
              </w:rPr>
            </w:pPr>
            <w:r>
              <w:rPr>
                <w:sz w:val="24"/>
              </w:rPr>
              <w:t xml:space="preserve">(平方米) </w:t>
            </w:r>
          </w:p>
        </w:tc>
        <w:tc>
          <w:tcPr>
            <w:tcW w:w="3519" w:type="dxa"/>
            <w:gridSpan w:val="4"/>
            <w:vAlign w:val="center"/>
          </w:tcPr>
          <w:p>
            <w:pPr>
              <w:spacing w:before="100" w:beforeAutospacing="1" w:after="100" w:afterAutospacing="1" w:line="300" w:lineRule="exact"/>
              <w:jc w:val="center"/>
              <w:rPr>
                <w:sz w:val="24"/>
              </w:rPr>
            </w:pPr>
            <w:r>
              <w:rPr>
                <w:rFonts w:hint="eastAsia"/>
                <w:sz w:val="24"/>
              </w:rPr>
              <w:t>5520m</w:t>
            </w:r>
            <w:r>
              <w:rPr>
                <w:rFonts w:hint="eastAsia"/>
                <w:sz w:val="24"/>
                <w:vertAlign w:val="superscript"/>
              </w:rPr>
              <w:t>2</w:t>
            </w:r>
          </w:p>
        </w:tc>
        <w:tc>
          <w:tcPr>
            <w:tcW w:w="1240" w:type="dxa"/>
            <w:gridSpan w:val="4"/>
            <w:vAlign w:val="center"/>
          </w:tcPr>
          <w:p>
            <w:pPr>
              <w:spacing w:line="300" w:lineRule="exact"/>
              <w:jc w:val="center"/>
              <w:rPr>
                <w:sz w:val="24"/>
              </w:rPr>
            </w:pPr>
            <w:r>
              <w:rPr>
                <w:sz w:val="24"/>
              </w:rPr>
              <w:t>绿化</w:t>
            </w:r>
            <w:r>
              <w:rPr>
                <w:rFonts w:hint="eastAsia"/>
                <w:sz w:val="24"/>
              </w:rPr>
              <w:t>率</w:t>
            </w:r>
          </w:p>
          <w:p>
            <w:pPr>
              <w:spacing w:line="300" w:lineRule="exact"/>
              <w:jc w:val="center"/>
              <w:rPr>
                <w:sz w:val="24"/>
              </w:rPr>
            </w:pPr>
            <w:r>
              <w:rPr>
                <w:sz w:val="24"/>
              </w:rPr>
              <w:t>(</w:t>
            </w:r>
            <w:r>
              <w:rPr>
                <w:rFonts w:hint="eastAsia"/>
                <w:sz w:val="24"/>
              </w:rPr>
              <w:t>%</w:t>
            </w:r>
            <w:r>
              <w:rPr>
                <w:sz w:val="24"/>
              </w:rPr>
              <w:t>)</w:t>
            </w:r>
          </w:p>
        </w:tc>
        <w:tc>
          <w:tcPr>
            <w:tcW w:w="2647" w:type="dxa"/>
            <w:gridSpan w:val="4"/>
            <w:vAlign w:val="center"/>
          </w:tcPr>
          <w:p>
            <w:pPr>
              <w:spacing w:line="30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1357" w:type="dxa"/>
            <w:vAlign w:val="center"/>
          </w:tcPr>
          <w:p>
            <w:pPr>
              <w:spacing w:line="300" w:lineRule="exact"/>
              <w:jc w:val="center"/>
              <w:rPr>
                <w:sz w:val="24"/>
              </w:rPr>
            </w:pPr>
            <w:r>
              <w:rPr>
                <w:sz w:val="24"/>
              </w:rPr>
              <w:t xml:space="preserve">总投资 </w:t>
            </w:r>
          </w:p>
          <w:p>
            <w:pPr>
              <w:spacing w:line="300" w:lineRule="exact"/>
              <w:jc w:val="center"/>
              <w:rPr>
                <w:sz w:val="24"/>
              </w:rPr>
            </w:pPr>
            <w:r>
              <w:rPr>
                <w:sz w:val="24"/>
              </w:rPr>
              <w:t xml:space="preserve">(万元) </w:t>
            </w:r>
          </w:p>
        </w:tc>
        <w:tc>
          <w:tcPr>
            <w:tcW w:w="2119" w:type="dxa"/>
            <w:vAlign w:val="center"/>
          </w:tcPr>
          <w:p>
            <w:pPr>
              <w:spacing w:before="100" w:beforeAutospacing="1" w:after="100" w:afterAutospacing="1" w:line="300" w:lineRule="exact"/>
              <w:jc w:val="center"/>
              <w:rPr>
                <w:sz w:val="24"/>
              </w:rPr>
            </w:pPr>
            <w:r>
              <w:rPr>
                <w:rFonts w:hint="eastAsia"/>
                <w:sz w:val="24"/>
              </w:rPr>
              <w:t>1000</w:t>
            </w:r>
          </w:p>
        </w:tc>
        <w:tc>
          <w:tcPr>
            <w:tcW w:w="1400" w:type="dxa"/>
            <w:gridSpan w:val="3"/>
            <w:vAlign w:val="center"/>
          </w:tcPr>
          <w:p>
            <w:pPr>
              <w:spacing w:before="100" w:beforeAutospacing="1" w:after="100" w:afterAutospacing="1" w:line="300" w:lineRule="exact"/>
              <w:jc w:val="center"/>
              <w:rPr>
                <w:sz w:val="24"/>
              </w:rPr>
            </w:pPr>
            <w:r>
              <w:rPr>
                <w:sz w:val="24"/>
              </w:rPr>
              <w:t xml:space="preserve">其中：环保投资(万元) </w:t>
            </w:r>
          </w:p>
        </w:tc>
        <w:tc>
          <w:tcPr>
            <w:tcW w:w="1240" w:type="dxa"/>
            <w:gridSpan w:val="4"/>
            <w:vAlign w:val="center"/>
          </w:tcPr>
          <w:p>
            <w:pPr>
              <w:spacing w:before="100" w:beforeAutospacing="1" w:after="100" w:afterAutospacing="1" w:line="300" w:lineRule="exact"/>
              <w:jc w:val="center"/>
              <w:rPr>
                <w:rFonts w:hint="default" w:eastAsia="宋体"/>
                <w:sz w:val="24"/>
                <w:lang w:val="en-US" w:eastAsia="zh-CN"/>
              </w:rPr>
            </w:pPr>
            <w:r>
              <w:rPr>
                <w:rFonts w:hint="eastAsia"/>
                <w:sz w:val="24"/>
              </w:rPr>
              <w:t>50</w:t>
            </w:r>
            <w:r>
              <w:rPr>
                <w:rFonts w:hint="eastAsia"/>
                <w:sz w:val="24"/>
                <w:lang w:val="en-US" w:eastAsia="zh-CN"/>
              </w:rPr>
              <w:t>.7</w:t>
            </w:r>
          </w:p>
        </w:tc>
        <w:tc>
          <w:tcPr>
            <w:tcW w:w="1394" w:type="dxa"/>
            <w:gridSpan w:val="3"/>
            <w:vAlign w:val="center"/>
          </w:tcPr>
          <w:p>
            <w:pPr>
              <w:spacing w:before="100" w:beforeAutospacing="1" w:after="100" w:afterAutospacing="1" w:line="300" w:lineRule="exact"/>
              <w:jc w:val="center"/>
              <w:rPr>
                <w:sz w:val="24"/>
              </w:rPr>
            </w:pPr>
            <w:r>
              <w:rPr>
                <w:sz w:val="24"/>
              </w:rPr>
              <w:t>环保投资占总投资比例</w:t>
            </w:r>
          </w:p>
        </w:tc>
        <w:tc>
          <w:tcPr>
            <w:tcW w:w="1253" w:type="dxa"/>
            <w:vAlign w:val="center"/>
          </w:tcPr>
          <w:p>
            <w:pPr>
              <w:spacing w:before="100" w:beforeAutospacing="1" w:after="100" w:afterAutospacing="1" w:line="300" w:lineRule="exact"/>
              <w:jc w:val="center"/>
              <w:rPr>
                <w:sz w:val="24"/>
              </w:rPr>
            </w:pPr>
            <w:r>
              <w:rPr>
                <w:rFonts w:hint="eastAsia"/>
                <w:sz w:val="24"/>
              </w:rPr>
              <w:t>5</w:t>
            </w:r>
            <w:r>
              <w:rPr>
                <w:rFonts w:hint="eastAsia"/>
                <w:sz w:val="24"/>
                <w:lang w:val="en-US" w:eastAsia="zh-CN"/>
              </w:rPr>
              <w:t>.07</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 w:hRule="atLeast"/>
        </w:trPr>
        <w:tc>
          <w:tcPr>
            <w:tcW w:w="1357" w:type="dxa"/>
            <w:vAlign w:val="center"/>
          </w:tcPr>
          <w:p>
            <w:pPr>
              <w:spacing w:line="300" w:lineRule="exact"/>
              <w:jc w:val="center"/>
              <w:rPr>
                <w:sz w:val="24"/>
              </w:rPr>
            </w:pPr>
            <w:r>
              <w:rPr>
                <w:sz w:val="24"/>
              </w:rPr>
              <w:t xml:space="preserve">评价经费 </w:t>
            </w:r>
          </w:p>
          <w:p>
            <w:pPr>
              <w:spacing w:line="300" w:lineRule="exact"/>
              <w:jc w:val="center"/>
              <w:rPr>
                <w:sz w:val="24"/>
              </w:rPr>
            </w:pPr>
            <w:r>
              <w:rPr>
                <w:sz w:val="24"/>
              </w:rPr>
              <w:t xml:space="preserve">(万元) </w:t>
            </w:r>
          </w:p>
        </w:tc>
        <w:tc>
          <w:tcPr>
            <w:tcW w:w="2119" w:type="dxa"/>
            <w:vAlign w:val="center"/>
          </w:tcPr>
          <w:p>
            <w:pPr>
              <w:spacing w:before="100" w:beforeAutospacing="1" w:after="100" w:afterAutospacing="1" w:line="300" w:lineRule="exact"/>
              <w:rPr>
                <w:sz w:val="24"/>
              </w:rPr>
            </w:pPr>
          </w:p>
        </w:tc>
        <w:tc>
          <w:tcPr>
            <w:tcW w:w="1726" w:type="dxa"/>
            <w:gridSpan w:val="4"/>
            <w:vAlign w:val="center"/>
          </w:tcPr>
          <w:p>
            <w:pPr>
              <w:spacing w:before="100" w:beforeAutospacing="1" w:after="100" w:afterAutospacing="1" w:line="300" w:lineRule="exact"/>
              <w:jc w:val="center"/>
              <w:rPr>
                <w:sz w:val="24"/>
              </w:rPr>
            </w:pPr>
            <w:r>
              <w:rPr>
                <w:sz w:val="24"/>
              </w:rPr>
              <w:t xml:space="preserve">投产日期 </w:t>
            </w:r>
          </w:p>
        </w:tc>
        <w:tc>
          <w:tcPr>
            <w:tcW w:w="3561" w:type="dxa"/>
            <w:gridSpan w:val="7"/>
            <w:vAlign w:val="center"/>
          </w:tcPr>
          <w:p>
            <w:pPr>
              <w:spacing w:before="100" w:beforeAutospacing="1" w:after="100" w:afterAutospacing="1" w:line="300" w:lineRule="exact"/>
              <w:jc w:val="center"/>
              <w:rPr>
                <w:sz w:val="24"/>
              </w:rPr>
            </w:pPr>
            <w:r>
              <w:rPr>
                <w:sz w:val="24"/>
              </w:rPr>
              <w:t>20</w:t>
            </w:r>
            <w:r>
              <w:rPr>
                <w:rFonts w:hint="eastAsia"/>
                <w:sz w:val="24"/>
              </w:rPr>
              <w:t>18</w:t>
            </w:r>
            <w:r>
              <w:rPr>
                <w:sz w:val="24"/>
              </w:rPr>
              <w:t>年</w:t>
            </w:r>
            <w:r>
              <w:rPr>
                <w:rFonts w:hint="eastAsia"/>
                <w:sz w:val="24"/>
              </w:rPr>
              <w:t>3</w:t>
            </w:r>
            <w:r>
              <w:rPr>
                <w:sz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4" w:hRule="atLeast"/>
        </w:trPr>
        <w:tc>
          <w:tcPr>
            <w:tcW w:w="8763" w:type="dxa"/>
            <w:gridSpan w:val="13"/>
            <w:vAlign w:val="center"/>
          </w:tcPr>
          <w:p>
            <w:pPr>
              <w:adjustRightInd w:val="0"/>
              <w:snapToGrid w:val="0"/>
              <w:spacing w:line="360" w:lineRule="auto"/>
              <w:jc w:val="left"/>
              <w:rPr>
                <w:b/>
                <w:sz w:val="24"/>
              </w:rPr>
            </w:pPr>
            <w:r>
              <w:rPr>
                <w:b/>
                <w:sz w:val="24"/>
              </w:rPr>
              <w:t>工程内容及规模：</w:t>
            </w:r>
          </w:p>
          <w:p>
            <w:pPr>
              <w:adjustRightInd w:val="0"/>
              <w:snapToGrid w:val="0"/>
              <w:spacing w:line="360" w:lineRule="auto"/>
              <w:jc w:val="left"/>
              <w:rPr>
                <w:b/>
                <w:sz w:val="24"/>
              </w:rPr>
            </w:pPr>
            <w:r>
              <w:rPr>
                <w:rFonts w:hint="eastAsia"/>
                <w:b/>
                <w:sz w:val="24"/>
              </w:rPr>
              <w:t>1</w:t>
            </w:r>
            <w:r>
              <w:rPr>
                <w:b/>
                <w:sz w:val="24"/>
              </w:rPr>
              <w:t>、项目的由来</w:t>
            </w:r>
          </w:p>
          <w:p>
            <w:pPr>
              <w:spacing w:line="360" w:lineRule="auto"/>
              <w:ind w:firstLine="480" w:firstLineChars="200"/>
              <w:rPr>
                <w:sz w:val="24"/>
                <w:szCs w:val="24"/>
              </w:rPr>
            </w:pPr>
            <w:r>
              <w:rPr>
                <w:sz w:val="24"/>
                <w:szCs w:val="24"/>
              </w:rPr>
              <w:t>湖南临港国际汽车城，地处湖南城陵矶临港产业新区，占地面积1700余亩，投资20亿元，涵盖汽车4S店、汽车影院、汽车展示厅、二手车市场、汽配市场、汽车服务及仓储物流、电子商务、保险金融大厦、写字楼及酒店、车辆检测站、生活配套及员工公寓等系列内容，是一座功能齐全、设施完善、环境优美和管理规范的大型花园式超级综合汽车商城。临港国际汽车城坐落于中南五省的交通枢纽 ——湖南城陵矶新港区，万吨海轮可直达城陵矶港，沿长江沟通74个县市，物资集散范围达20多万平方公里。京广铁路、107国道、随岳高速公路、武广高铁和杭瑞高速贯穿境内。距黄花国际机场、天河国际机场分别仅130公里和160公里，是“长株潭城市群”对接“武汉城市圈及长江、沿海经济带”的唯一国际贸易口岸城市。临港产业新区产业优势明显，是区域性航运物流中心，是国家指定的中南地区整车和零配件是湖南省正在打造的千亿产业园区之一。临港国际汽车城所处了湖南城陵矶新港区是湖南商圈核心地带，是未来几十年湖南最具投资的热点区域之一。实现全程式一条龙服务，车城建立了15000平米维修保养、改装装饰中心。　</w:t>
            </w:r>
          </w:p>
          <w:p>
            <w:pPr>
              <w:spacing w:line="360" w:lineRule="auto"/>
              <w:ind w:firstLine="480" w:firstLineChars="200"/>
              <w:rPr>
                <w:sz w:val="24"/>
              </w:rPr>
            </w:pPr>
            <w:r>
              <w:rPr>
                <w:rFonts w:hint="eastAsia"/>
                <w:sz w:val="24"/>
              </w:rPr>
              <w:t>岳阳市兴燕贸易有限公司新港分公司投资1000万元建设的“岳阳市兴燕贸易有限公司新港分公司吉利4S店建设项目”（以下简称：本项目）位于岳阳市临港产业新区城陵矶片区联港路国际汽车城，项目总占地面积为5520m</w:t>
            </w:r>
            <w:r>
              <w:rPr>
                <w:rFonts w:hint="eastAsia"/>
                <w:sz w:val="24"/>
                <w:vertAlign w:val="superscript"/>
              </w:rPr>
              <w:t>2</w:t>
            </w:r>
            <w:r>
              <w:rPr>
                <w:rFonts w:hint="eastAsia"/>
                <w:sz w:val="24"/>
              </w:rPr>
              <w:t>，主要从事吉利车的销售、维修和保养工作，根据《湖南城陵矶临港产业新区总体规划</w:t>
            </w:r>
            <w:r>
              <w:rPr>
                <w:sz w:val="24"/>
              </w:rPr>
              <w:t>-</w:t>
            </w:r>
            <w:r>
              <w:rPr>
                <w:rFonts w:hint="eastAsia"/>
                <w:sz w:val="24"/>
              </w:rPr>
              <w:t>产业布局规划图》可知，本项目位于</w:t>
            </w:r>
            <w:r>
              <w:rPr>
                <w:rFonts w:hint="eastAsia"/>
                <w:sz w:val="24"/>
                <w:lang w:val="en-US" w:eastAsia="zh-CN"/>
              </w:rPr>
              <w:t>城陵矶新港区</w:t>
            </w:r>
            <w:r>
              <w:rPr>
                <w:rFonts w:hint="eastAsia"/>
                <w:sz w:val="24"/>
              </w:rPr>
              <w:t>国际汽车物流园内（见附图12），其选址符合产业布局规划。项目属于区域内唯一的吉利汽车专属销售维修店，符合</w:t>
            </w:r>
            <w:r>
              <w:rPr>
                <w:sz w:val="24"/>
              </w:rPr>
              <w:t>临港国际汽车城发展规划要求</w:t>
            </w:r>
            <w:r>
              <w:rPr>
                <w:rFonts w:hint="eastAsia"/>
                <w:sz w:val="24"/>
              </w:rPr>
              <w:t>，同时项目周围多为汽车销售、售后及相关行业店铺，有利于来往客户购车及维护，有利于后期统一管理。因此，本项目的建设十分必要、且位置设置合理可行。</w:t>
            </w:r>
          </w:p>
          <w:p>
            <w:pPr>
              <w:spacing w:line="360" w:lineRule="auto"/>
              <w:ind w:firstLine="480" w:firstLineChars="200"/>
              <w:jc w:val="left"/>
              <w:rPr>
                <w:sz w:val="24"/>
              </w:rPr>
            </w:pPr>
            <w:r>
              <w:rPr>
                <w:rFonts w:hint="eastAsia"/>
                <w:sz w:val="24"/>
              </w:rPr>
              <w:t>本项目于2017年5月开始建设，2018年3月投入运行，建设方未办理相关环保手续，属于未批先建，</w:t>
            </w:r>
            <w:r>
              <w:rPr>
                <w:rFonts w:hint="eastAsia"/>
                <w:sz w:val="24"/>
                <w:szCs w:val="24"/>
              </w:rPr>
              <w:t>建设单位在接受反馈后，立即停止运营，并主动向岳阳市生态环境局城陵矶新港区分局汇报了本项目“未批先建”的事实、已建设内容等有关情况。</w:t>
            </w:r>
          </w:p>
          <w:p>
            <w:pPr>
              <w:spacing w:line="360" w:lineRule="auto"/>
              <w:ind w:firstLine="480" w:firstLineChars="200"/>
              <w:jc w:val="left"/>
              <w:rPr>
                <w:sz w:val="24"/>
              </w:rPr>
            </w:pPr>
            <w:r>
              <w:rPr>
                <w:sz w:val="24"/>
                <w:szCs w:val="24"/>
              </w:rPr>
              <w:t>根据</w:t>
            </w:r>
            <w:r>
              <w:rPr>
                <w:rFonts w:hint="eastAsia"/>
                <w:sz w:val="24"/>
                <w:szCs w:val="24"/>
              </w:rPr>
              <w:t>生态环境部2019年5月22日印发</w:t>
            </w:r>
            <w:r>
              <w:rPr>
                <w:sz w:val="24"/>
                <w:szCs w:val="24"/>
              </w:rPr>
              <w:t>的</w:t>
            </w:r>
            <w:r>
              <w:rPr>
                <w:rFonts w:hint="eastAsia"/>
                <w:sz w:val="24"/>
                <w:szCs w:val="24"/>
              </w:rPr>
              <w:t>《</w:t>
            </w:r>
            <w:r>
              <w:rPr>
                <w:sz w:val="24"/>
                <w:szCs w:val="24"/>
              </w:rPr>
              <w:t>关于进一步规范适用环境行政处罚自由裁量权的指导意见</w:t>
            </w:r>
            <w:r>
              <w:rPr>
                <w:rFonts w:hint="eastAsia"/>
                <w:sz w:val="24"/>
                <w:szCs w:val="24"/>
              </w:rPr>
              <w:t>》</w:t>
            </w:r>
            <w:r>
              <w:rPr>
                <w:sz w:val="24"/>
                <w:szCs w:val="24"/>
              </w:rPr>
              <w:t>（环执法[2019]42号），本项目属于</w:t>
            </w:r>
            <w:r>
              <w:rPr>
                <w:rFonts w:hint="eastAsia"/>
                <w:sz w:val="24"/>
                <w:szCs w:val="24"/>
              </w:rPr>
              <w:t>“三、制定裁量规则和基准的程序”中“（十三）裁量的特殊情形”的“有下列情形之一的，可以免予处罚”中第1点“（1）违法行为（如“未批先建”）未造成环境污染后果，且企业自行实施关停或者实施停止建设、停止生产等措施的”。因此本项目“未批先建”行为符合免于行政处罚的条件，且</w:t>
            </w:r>
            <w:r>
              <w:rPr>
                <w:rFonts w:hint="eastAsia"/>
                <w:sz w:val="24"/>
              </w:rPr>
              <w:t>岳阳市兴燕贸易有限公司新港分公司吉利4S店建设项目于</w:t>
            </w:r>
            <w:r>
              <w:rPr>
                <w:sz w:val="24"/>
              </w:rPr>
              <w:t>20</w:t>
            </w:r>
            <w:r>
              <w:rPr>
                <w:rFonts w:hint="eastAsia"/>
                <w:sz w:val="24"/>
              </w:rPr>
              <w:t>18年3月建成投产，时间已建成投产超过二年，所以本项目不予行政处罚。同时公司为了进一步减轻其营运过程中对外环境的影响，本次委托编制报告表送环保部门审查。</w:t>
            </w:r>
          </w:p>
          <w:p>
            <w:pPr>
              <w:spacing w:line="360" w:lineRule="auto"/>
              <w:ind w:firstLine="480"/>
              <w:rPr>
                <w:sz w:val="24"/>
              </w:rPr>
            </w:pPr>
            <w:r>
              <w:rPr>
                <w:sz w:val="24"/>
              </w:rPr>
              <w:t>根据</w:t>
            </w:r>
            <w:r>
              <w:rPr>
                <w:sz w:val="24"/>
                <w:szCs w:val="24"/>
              </w:rPr>
              <w:t>201</w:t>
            </w:r>
            <w:r>
              <w:rPr>
                <w:rFonts w:hint="eastAsia"/>
                <w:sz w:val="24"/>
                <w:szCs w:val="24"/>
              </w:rPr>
              <w:t>8</w:t>
            </w:r>
            <w:r>
              <w:rPr>
                <w:sz w:val="24"/>
                <w:szCs w:val="24"/>
              </w:rPr>
              <w:t>年</w:t>
            </w:r>
            <w:r>
              <w:rPr>
                <w:rFonts w:hint="eastAsia"/>
                <w:sz w:val="24"/>
                <w:szCs w:val="24"/>
              </w:rPr>
              <w:t>12</w:t>
            </w:r>
            <w:r>
              <w:rPr>
                <w:sz w:val="24"/>
                <w:szCs w:val="24"/>
              </w:rPr>
              <w:t>月2</w:t>
            </w:r>
            <w:r>
              <w:rPr>
                <w:rFonts w:hint="eastAsia"/>
                <w:sz w:val="24"/>
                <w:szCs w:val="24"/>
              </w:rPr>
              <w:t>9</w:t>
            </w:r>
            <w:r>
              <w:rPr>
                <w:sz w:val="24"/>
                <w:szCs w:val="24"/>
              </w:rPr>
              <w:t>日修订的《中华人民共和国环境影响评价法》</w:t>
            </w:r>
            <w:r>
              <w:rPr>
                <w:sz w:val="24"/>
              </w:rPr>
              <w:t>及国务院第</w:t>
            </w:r>
            <w:r>
              <w:rPr>
                <w:rFonts w:hint="eastAsia"/>
                <w:sz w:val="24"/>
              </w:rPr>
              <w:t>682</w:t>
            </w:r>
            <w:r>
              <w:rPr>
                <w:sz w:val="24"/>
              </w:rPr>
              <w:t>号令《建设项目环境保护管理条例》的有关规定，</w:t>
            </w:r>
            <w:r>
              <w:rPr>
                <w:rFonts w:hint="eastAsia"/>
                <w:sz w:val="24"/>
              </w:rPr>
              <w:t>对照</w:t>
            </w:r>
            <w:r>
              <w:rPr>
                <w:sz w:val="24"/>
              </w:rPr>
              <w:t>《建设项目环境影响评价分类管理名录》</w:t>
            </w:r>
            <w:r>
              <w:rPr>
                <w:rFonts w:hint="eastAsia"/>
                <w:sz w:val="24"/>
              </w:rPr>
              <w:t>（</w:t>
            </w:r>
            <w:r>
              <w:rPr>
                <w:rFonts w:hint="eastAsia"/>
                <w:sz w:val="24"/>
                <w:szCs w:val="24"/>
              </w:rPr>
              <w:t>2021年版</w:t>
            </w:r>
            <w:r>
              <w:rPr>
                <w:rFonts w:hint="eastAsia"/>
                <w:sz w:val="24"/>
              </w:rPr>
              <w:t>），项目属于“五十</w:t>
            </w:r>
            <w:r>
              <w:rPr>
                <w:sz w:val="24"/>
              </w:rPr>
              <w:t>、</w:t>
            </w:r>
            <w:r>
              <w:rPr>
                <w:rFonts w:hint="eastAsia"/>
                <w:sz w:val="24"/>
              </w:rPr>
              <w:t>社会事业与服务业121汽车、摩托车维修场所营业面积5000平方米及以上且使用溶剂型涂料的”</w:t>
            </w:r>
            <w:r>
              <w:rPr>
                <w:sz w:val="24"/>
              </w:rPr>
              <w:t>，应编制环境影响报告表。</w:t>
            </w:r>
            <w:r>
              <w:rPr>
                <w:rFonts w:hint="eastAsia"/>
                <w:sz w:val="24"/>
              </w:rPr>
              <w:t>为此岳阳市兴燕贸易有限公司新港分公司委托我公司（湖南博咨环境技术咨询服务有限公司）</w:t>
            </w:r>
            <w:r>
              <w:rPr>
                <w:sz w:val="24"/>
              </w:rPr>
              <w:t>承担了《</w:t>
            </w:r>
            <w:r>
              <w:rPr>
                <w:rFonts w:hint="eastAsia"/>
                <w:sz w:val="24"/>
              </w:rPr>
              <w:t>岳阳市兴燕贸易有限公司新港分公司吉利4S店建设项目</w:t>
            </w:r>
            <w:r>
              <w:rPr>
                <w:sz w:val="24"/>
              </w:rPr>
              <w:t>》的环境影响评价工作。在经过现场踏查、资料调研、类比调查、环境现状资料收集等基础上，根据环评导则及其他有关文件，编制完成了该项目的环境影响报告表，</w:t>
            </w:r>
            <w:r>
              <w:rPr>
                <w:rFonts w:hint="eastAsia"/>
                <w:sz w:val="24"/>
              </w:rPr>
              <w:t>主动向当地环保部门补交项目环境影响报告表，补充办理环评手续，通过对现有经营区采取相应环保整改措施，进一步减轻其对周边环境的影响。</w:t>
            </w:r>
          </w:p>
          <w:p>
            <w:pPr>
              <w:adjustRightInd w:val="0"/>
              <w:snapToGrid w:val="0"/>
              <w:spacing w:line="360" w:lineRule="auto"/>
              <w:rPr>
                <w:b/>
                <w:sz w:val="24"/>
                <w:szCs w:val="24"/>
              </w:rPr>
            </w:pPr>
            <w:r>
              <w:rPr>
                <w:b/>
                <w:sz w:val="24"/>
                <w:szCs w:val="24"/>
              </w:rPr>
              <w:t>2、项目概况</w:t>
            </w:r>
          </w:p>
          <w:p>
            <w:pPr>
              <w:spacing w:line="360" w:lineRule="auto"/>
              <w:rPr>
                <w:b/>
                <w:sz w:val="24"/>
                <w:szCs w:val="24"/>
              </w:rPr>
            </w:pPr>
            <w:r>
              <w:rPr>
                <w:b/>
                <w:sz w:val="24"/>
                <w:szCs w:val="24"/>
              </w:rPr>
              <w:t>2.1项目名称、地点及建设性质</w:t>
            </w:r>
          </w:p>
          <w:p>
            <w:pPr>
              <w:tabs>
                <w:tab w:val="left" w:pos="804"/>
              </w:tabs>
              <w:spacing w:line="360" w:lineRule="auto"/>
              <w:ind w:firstLine="480" w:firstLineChars="200"/>
              <w:jc w:val="left"/>
              <w:rPr>
                <w:sz w:val="24"/>
                <w:szCs w:val="24"/>
              </w:rPr>
            </w:pPr>
            <w:r>
              <w:rPr>
                <w:sz w:val="24"/>
                <w:szCs w:val="24"/>
              </w:rPr>
              <w:t>（1）项目名称：</w:t>
            </w:r>
            <w:r>
              <w:rPr>
                <w:rFonts w:hint="eastAsia"/>
                <w:sz w:val="24"/>
                <w:szCs w:val="24"/>
              </w:rPr>
              <w:t>岳</w:t>
            </w:r>
            <w:r>
              <w:rPr>
                <w:rFonts w:hint="eastAsia"/>
                <w:sz w:val="24"/>
              </w:rPr>
              <w:t>阳市兴燕贸易有限公司新港分公司吉利4S店建设项目</w:t>
            </w:r>
          </w:p>
          <w:p>
            <w:pPr>
              <w:spacing w:line="360" w:lineRule="auto"/>
              <w:ind w:firstLine="480" w:firstLineChars="200"/>
              <w:jc w:val="left"/>
              <w:rPr>
                <w:sz w:val="24"/>
                <w:szCs w:val="24"/>
              </w:rPr>
            </w:pPr>
            <w:r>
              <w:rPr>
                <w:sz w:val="24"/>
                <w:szCs w:val="24"/>
              </w:rPr>
              <w:t>（2）建设单位：</w:t>
            </w:r>
            <w:r>
              <w:rPr>
                <w:rFonts w:hint="eastAsia"/>
                <w:sz w:val="24"/>
                <w:szCs w:val="24"/>
              </w:rPr>
              <w:t>岳</w:t>
            </w:r>
            <w:r>
              <w:rPr>
                <w:rFonts w:hint="eastAsia"/>
                <w:sz w:val="24"/>
              </w:rPr>
              <w:t>阳市兴燕贸易有限公司新港分公司</w:t>
            </w:r>
          </w:p>
          <w:p>
            <w:pPr>
              <w:spacing w:line="360" w:lineRule="auto"/>
              <w:ind w:firstLine="480" w:firstLineChars="200"/>
              <w:jc w:val="left"/>
              <w:rPr>
                <w:sz w:val="24"/>
                <w:szCs w:val="24"/>
              </w:rPr>
            </w:pPr>
            <w:r>
              <w:rPr>
                <w:sz w:val="24"/>
                <w:szCs w:val="24"/>
              </w:rPr>
              <w:t>（3）建设地点：岳阳市城陵矶新港区临港国际汽车城</w:t>
            </w:r>
          </w:p>
          <w:p>
            <w:pPr>
              <w:spacing w:line="360" w:lineRule="auto"/>
              <w:ind w:firstLine="480" w:firstLineChars="200"/>
              <w:jc w:val="left"/>
              <w:rPr>
                <w:sz w:val="24"/>
                <w:szCs w:val="24"/>
              </w:rPr>
            </w:pPr>
            <w:r>
              <w:rPr>
                <w:sz w:val="24"/>
                <w:szCs w:val="24"/>
              </w:rPr>
              <w:t>（4）项目性质：新建</w:t>
            </w:r>
            <w:r>
              <w:rPr>
                <w:rFonts w:hint="eastAsia"/>
                <w:sz w:val="24"/>
                <w:szCs w:val="24"/>
              </w:rPr>
              <w:t>（补办）</w:t>
            </w:r>
          </w:p>
          <w:p>
            <w:pPr>
              <w:spacing w:line="360" w:lineRule="auto"/>
              <w:ind w:firstLine="480" w:firstLineChars="200"/>
              <w:jc w:val="left"/>
              <w:rPr>
                <w:sz w:val="24"/>
                <w:szCs w:val="24"/>
                <w:vertAlign w:val="superscript"/>
              </w:rPr>
            </w:pPr>
            <w:r>
              <w:rPr>
                <w:sz w:val="24"/>
                <w:szCs w:val="24"/>
              </w:rPr>
              <w:t>（5）用地情况：项目</w:t>
            </w:r>
            <w:r>
              <w:rPr>
                <w:rFonts w:hint="eastAsia"/>
                <w:sz w:val="24"/>
                <w:szCs w:val="24"/>
              </w:rPr>
              <w:t>租赁已有厂房，</w:t>
            </w:r>
            <w:r>
              <w:rPr>
                <w:sz w:val="24"/>
                <w:szCs w:val="24"/>
              </w:rPr>
              <w:t>总</w:t>
            </w:r>
            <w:r>
              <w:rPr>
                <w:rFonts w:hint="eastAsia"/>
                <w:sz w:val="24"/>
                <w:szCs w:val="24"/>
              </w:rPr>
              <w:t>占</w:t>
            </w:r>
            <w:r>
              <w:rPr>
                <w:sz w:val="24"/>
                <w:szCs w:val="24"/>
              </w:rPr>
              <w:t>地面积为</w:t>
            </w:r>
            <w:r>
              <w:rPr>
                <w:rFonts w:hint="eastAsia"/>
                <w:sz w:val="24"/>
                <w:szCs w:val="24"/>
              </w:rPr>
              <w:t>5520</w:t>
            </w:r>
            <w:r>
              <w:rPr>
                <w:sz w:val="24"/>
                <w:szCs w:val="24"/>
              </w:rPr>
              <w:t>m</w:t>
            </w:r>
            <w:r>
              <w:rPr>
                <w:sz w:val="24"/>
                <w:szCs w:val="24"/>
                <w:vertAlign w:val="superscript"/>
              </w:rPr>
              <w:t>2</w:t>
            </w:r>
            <w:r>
              <w:rPr>
                <w:rFonts w:hint="eastAsia"/>
                <w:sz w:val="24"/>
                <w:szCs w:val="24"/>
              </w:rPr>
              <w:t>。</w:t>
            </w:r>
          </w:p>
          <w:p>
            <w:pPr>
              <w:spacing w:line="360" w:lineRule="auto"/>
              <w:ind w:firstLine="480" w:firstLineChars="200"/>
              <w:jc w:val="left"/>
              <w:rPr>
                <w:sz w:val="24"/>
                <w:szCs w:val="24"/>
              </w:rPr>
            </w:pPr>
            <w:r>
              <w:rPr>
                <w:sz w:val="24"/>
                <w:szCs w:val="24"/>
              </w:rPr>
              <w:t>（6）建设内容：主要包括机修区、钣金区、油漆区、新车展厅、办公区、员工食堂、洗车服务以及配套辅助工程，店内不配套加油服务。</w:t>
            </w:r>
          </w:p>
          <w:p>
            <w:pPr>
              <w:spacing w:line="360" w:lineRule="auto"/>
              <w:ind w:firstLine="480" w:firstLineChars="200"/>
              <w:jc w:val="left"/>
              <w:rPr>
                <w:sz w:val="24"/>
                <w:szCs w:val="24"/>
              </w:rPr>
            </w:pPr>
            <w:r>
              <w:rPr>
                <w:sz w:val="24"/>
                <w:szCs w:val="24"/>
              </w:rPr>
              <w:t>（7）总投资：</w:t>
            </w:r>
            <w:r>
              <w:rPr>
                <w:rFonts w:hint="eastAsia"/>
                <w:sz w:val="24"/>
                <w:szCs w:val="24"/>
              </w:rPr>
              <w:t>1</w:t>
            </w:r>
            <w:r>
              <w:rPr>
                <w:sz w:val="24"/>
                <w:szCs w:val="24"/>
              </w:rPr>
              <w:t>000万元，</w:t>
            </w:r>
            <w:r>
              <w:rPr>
                <w:sz w:val="24"/>
                <w:szCs w:val="24"/>
                <w:u w:val="single"/>
              </w:rPr>
              <w:t>其中环保投资为50</w:t>
            </w:r>
            <w:r>
              <w:rPr>
                <w:rFonts w:hint="eastAsia"/>
                <w:sz w:val="24"/>
                <w:szCs w:val="24"/>
                <w:u w:val="single"/>
                <w:lang w:val="en-US" w:eastAsia="zh-CN"/>
              </w:rPr>
              <w:t>.7</w:t>
            </w:r>
            <w:r>
              <w:rPr>
                <w:sz w:val="24"/>
                <w:szCs w:val="24"/>
                <w:u w:val="single"/>
              </w:rPr>
              <w:t>万元，占投资的</w:t>
            </w:r>
            <w:r>
              <w:rPr>
                <w:rFonts w:hint="eastAsia"/>
                <w:sz w:val="24"/>
                <w:szCs w:val="24"/>
                <w:u w:val="single"/>
              </w:rPr>
              <w:t>5</w:t>
            </w:r>
            <w:r>
              <w:rPr>
                <w:rFonts w:hint="eastAsia"/>
                <w:sz w:val="24"/>
                <w:szCs w:val="24"/>
                <w:u w:val="single"/>
                <w:lang w:val="en-US" w:eastAsia="zh-CN"/>
              </w:rPr>
              <w:t>.07</w:t>
            </w:r>
            <w:r>
              <w:rPr>
                <w:sz w:val="24"/>
                <w:szCs w:val="24"/>
                <w:u w:val="single"/>
              </w:rPr>
              <w:t>%。</w:t>
            </w:r>
          </w:p>
          <w:p>
            <w:pPr>
              <w:spacing w:line="360" w:lineRule="auto"/>
              <w:rPr>
                <w:b/>
                <w:sz w:val="24"/>
                <w:szCs w:val="24"/>
              </w:rPr>
            </w:pPr>
            <w:r>
              <w:rPr>
                <w:b/>
                <w:sz w:val="24"/>
                <w:szCs w:val="24"/>
              </w:rPr>
              <w:t>2.2建设内容和规模</w:t>
            </w:r>
          </w:p>
          <w:p>
            <w:pPr>
              <w:spacing w:line="360" w:lineRule="auto"/>
              <w:ind w:firstLine="480" w:firstLineChars="200"/>
              <w:jc w:val="left"/>
              <w:rPr>
                <w:sz w:val="24"/>
                <w:szCs w:val="24"/>
              </w:rPr>
            </w:pPr>
            <w:r>
              <w:rPr>
                <w:sz w:val="24"/>
                <w:szCs w:val="24"/>
              </w:rPr>
              <w:t>项目由主体工程、辅助工程、公用工程和环保工程组成</w:t>
            </w:r>
            <w:r>
              <w:rPr>
                <w:spacing w:val="8"/>
                <w:kern w:val="24"/>
                <w:sz w:val="24"/>
                <w:szCs w:val="24"/>
                <w:lang w:val="zh-CN"/>
              </w:rPr>
              <w:t>，</w:t>
            </w:r>
            <w:r>
              <w:rPr>
                <w:sz w:val="24"/>
                <w:szCs w:val="24"/>
              </w:rPr>
              <w:t>具体情况见表1-1。</w:t>
            </w:r>
          </w:p>
          <w:p>
            <w:pPr>
              <w:ind w:firstLine="105" w:firstLineChars="50"/>
              <w:jc w:val="center"/>
              <w:rPr>
                <w:b/>
                <w:szCs w:val="21"/>
              </w:rPr>
            </w:pPr>
            <w:r>
              <w:rPr>
                <w:b/>
                <w:szCs w:val="21"/>
              </w:rPr>
              <w:t>表1-1 项目主要工程组成一览表</w:t>
            </w:r>
          </w:p>
          <w:tbl>
            <w:tblPr>
              <w:tblStyle w:val="20"/>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35"/>
              <w:gridCol w:w="1193"/>
              <w:gridCol w:w="1231"/>
              <w:gridCol w:w="749"/>
              <w:gridCol w:w="2414"/>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37" w:type="dxa"/>
                  <w:tcBorders>
                    <w:tl2br w:val="nil"/>
                    <w:tr2bl w:val="nil"/>
                  </w:tcBorders>
                  <w:vAlign w:val="center"/>
                </w:tcPr>
                <w:p>
                  <w:pPr>
                    <w:jc w:val="center"/>
                    <w:rPr>
                      <w:b/>
                      <w:szCs w:val="21"/>
                    </w:rPr>
                  </w:pPr>
                  <w:r>
                    <w:rPr>
                      <w:b/>
                      <w:szCs w:val="21"/>
                    </w:rPr>
                    <w:t>序号</w:t>
                  </w:r>
                </w:p>
              </w:tc>
              <w:tc>
                <w:tcPr>
                  <w:tcW w:w="2028" w:type="dxa"/>
                  <w:gridSpan w:val="2"/>
                  <w:tcBorders>
                    <w:tl2br w:val="nil"/>
                    <w:tr2bl w:val="nil"/>
                  </w:tcBorders>
                  <w:vAlign w:val="center"/>
                </w:tcPr>
                <w:p>
                  <w:pPr>
                    <w:jc w:val="center"/>
                    <w:rPr>
                      <w:b/>
                      <w:szCs w:val="21"/>
                    </w:rPr>
                  </w:pPr>
                  <w:r>
                    <w:rPr>
                      <w:b/>
                      <w:szCs w:val="21"/>
                    </w:rPr>
                    <w:t>名称</w:t>
                  </w:r>
                </w:p>
              </w:tc>
              <w:tc>
                <w:tcPr>
                  <w:tcW w:w="1980" w:type="dxa"/>
                  <w:gridSpan w:val="2"/>
                  <w:tcBorders>
                    <w:tl2br w:val="nil"/>
                    <w:tr2bl w:val="nil"/>
                  </w:tcBorders>
                  <w:vAlign w:val="center"/>
                </w:tcPr>
                <w:p>
                  <w:pPr>
                    <w:jc w:val="center"/>
                    <w:rPr>
                      <w:b/>
                      <w:szCs w:val="21"/>
                    </w:rPr>
                  </w:pPr>
                  <w:r>
                    <w:rPr>
                      <w:b/>
                      <w:szCs w:val="21"/>
                    </w:rPr>
                    <w:t>建筑面积（m</w:t>
                  </w:r>
                  <w:r>
                    <w:rPr>
                      <w:b/>
                      <w:szCs w:val="21"/>
                      <w:vertAlign w:val="superscript"/>
                    </w:rPr>
                    <w:t>2</w:t>
                  </w:r>
                  <w:r>
                    <w:rPr>
                      <w:b/>
                      <w:szCs w:val="21"/>
                    </w:rPr>
                    <w:t>）</w:t>
                  </w:r>
                </w:p>
              </w:tc>
              <w:tc>
                <w:tcPr>
                  <w:tcW w:w="2414" w:type="dxa"/>
                  <w:tcBorders>
                    <w:tl2br w:val="nil"/>
                    <w:tr2bl w:val="nil"/>
                  </w:tcBorders>
                  <w:vAlign w:val="center"/>
                </w:tcPr>
                <w:p>
                  <w:pPr>
                    <w:jc w:val="center"/>
                    <w:rPr>
                      <w:b/>
                      <w:szCs w:val="21"/>
                    </w:rPr>
                  </w:pPr>
                  <w:r>
                    <w:rPr>
                      <w:b/>
                      <w:szCs w:val="21"/>
                    </w:rPr>
                    <w:t>备注</w:t>
                  </w:r>
                </w:p>
              </w:tc>
              <w:tc>
                <w:tcPr>
                  <w:tcW w:w="1445" w:type="dxa"/>
                  <w:tcBorders>
                    <w:tl2br w:val="nil"/>
                    <w:tr2bl w:val="nil"/>
                  </w:tcBorders>
                  <w:vAlign w:val="center"/>
                </w:tcPr>
                <w:p>
                  <w:pPr>
                    <w:jc w:val="center"/>
                    <w:rPr>
                      <w:rFonts w:hint="default" w:eastAsia="宋体"/>
                      <w:b/>
                      <w:szCs w:val="21"/>
                      <w:lang w:val="en-US" w:eastAsia="zh-CN"/>
                    </w:rPr>
                  </w:pPr>
                  <w:r>
                    <w:rPr>
                      <w:rFonts w:hint="eastAsia"/>
                      <w:b/>
                      <w:szCs w:val="21"/>
                      <w:lang w:val="en-US" w:eastAsia="zh-CN"/>
                    </w:rPr>
                    <w:t>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37" w:type="dxa"/>
                  <w:vMerge w:val="restart"/>
                  <w:tcBorders>
                    <w:tl2br w:val="nil"/>
                    <w:tr2bl w:val="nil"/>
                  </w:tcBorders>
                  <w:vAlign w:val="center"/>
                </w:tcPr>
                <w:p>
                  <w:pPr>
                    <w:jc w:val="center"/>
                    <w:rPr>
                      <w:szCs w:val="21"/>
                    </w:rPr>
                  </w:pPr>
                  <w:r>
                    <w:rPr>
                      <w:szCs w:val="21"/>
                    </w:rPr>
                    <w:t>主体工程</w:t>
                  </w:r>
                </w:p>
              </w:tc>
              <w:tc>
                <w:tcPr>
                  <w:tcW w:w="2028" w:type="dxa"/>
                  <w:gridSpan w:val="2"/>
                  <w:tcBorders>
                    <w:tl2br w:val="nil"/>
                    <w:tr2bl w:val="nil"/>
                  </w:tcBorders>
                  <w:vAlign w:val="center"/>
                </w:tcPr>
                <w:p>
                  <w:pPr>
                    <w:jc w:val="center"/>
                    <w:rPr>
                      <w:szCs w:val="21"/>
                    </w:rPr>
                  </w:pPr>
                  <w:r>
                    <w:rPr>
                      <w:szCs w:val="21"/>
                    </w:rPr>
                    <w:t>机修区</w:t>
                  </w:r>
                  <w:r>
                    <w:rPr>
                      <w:rFonts w:hint="eastAsia"/>
                      <w:szCs w:val="21"/>
                    </w:rPr>
                    <w:t>、</w:t>
                  </w:r>
                  <w:r>
                    <w:rPr>
                      <w:szCs w:val="21"/>
                    </w:rPr>
                    <w:t>钣金区、油漆区</w:t>
                  </w:r>
                  <w:r>
                    <w:rPr>
                      <w:rFonts w:hint="eastAsia"/>
                      <w:szCs w:val="21"/>
                    </w:rPr>
                    <w:t>、洗车区等</w:t>
                  </w:r>
                </w:p>
              </w:tc>
              <w:tc>
                <w:tcPr>
                  <w:tcW w:w="1980" w:type="dxa"/>
                  <w:gridSpan w:val="2"/>
                  <w:tcBorders>
                    <w:tl2br w:val="nil"/>
                    <w:tr2bl w:val="nil"/>
                  </w:tcBorders>
                  <w:vAlign w:val="center"/>
                </w:tcPr>
                <w:p>
                  <w:pPr>
                    <w:jc w:val="center"/>
                    <w:rPr>
                      <w:szCs w:val="21"/>
                    </w:rPr>
                  </w:pPr>
                  <w:r>
                    <w:rPr>
                      <w:rFonts w:hint="eastAsia"/>
                      <w:szCs w:val="21"/>
                    </w:rPr>
                    <w:t>2000</w:t>
                  </w:r>
                </w:p>
              </w:tc>
              <w:tc>
                <w:tcPr>
                  <w:tcW w:w="2414" w:type="dxa"/>
                  <w:tcBorders>
                    <w:tl2br w:val="nil"/>
                    <w:tr2bl w:val="nil"/>
                  </w:tcBorders>
                  <w:vAlign w:val="center"/>
                </w:tcPr>
                <w:p>
                  <w:pPr>
                    <w:jc w:val="center"/>
                    <w:rPr>
                      <w:szCs w:val="21"/>
                    </w:rPr>
                  </w:pPr>
                  <w:r>
                    <w:rPr>
                      <w:szCs w:val="21"/>
                    </w:rPr>
                    <w:t>1F，框架结构；</w:t>
                  </w:r>
                  <w:r>
                    <w:rPr>
                      <w:rFonts w:hint="eastAsia"/>
                      <w:szCs w:val="21"/>
                      <w:lang w:val="en-US" w:eastAsia="zh-CN"/>
                    </w:rPr>
                    <w:t>已检</w:t>
                  </w:r>
                  <w:r>
                    <w:rPr>
                      <w:szCs w:val="21"/>
                    </w:rPr>
                    <w:t>具体设置详见表1-2</w:t>
                  </w:r>
                </w:p>
              </w:tc>
              <w:tc>
                <w:tcPr>
                  <w:tcW w:w="1445"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37" w:type="dxa"/>
                  <w:vMerge w:val="continue"/>
                  <w:tcBorders>
                    <w:tl2br w:val="nil"/>
                    <w:tr2bl w:val="nil"/>
                  </w:tcBorders>
                  <w:vAlign w:val="center"/>
                </w:tcPr>
                <w:p>
                  <w:pPr>
                    <w:jc w:val="center"/>
                    <w:rPr>
                      <w:color w:val="FF0000"/>
                      <w:szCs w:val="21"/>
                    </w:rPr>
                  </w:pPr>
                </w:p>
              </w:tc>
              <w:tc>
                <w:tcPr>
                  <w:tcW w:w="2028" w:type="dxa"/>
                  <w:gridSpan w:val="2"/>
                  <w:vMerge w:val="restart"/>
                  <w:tcBorders>
                    <w:tl2br w:val="nil"/>
                    <w:tr2bl w:val="nil"/>
                  </w:tcBorders>
                  <w:vAlign w:val="center"/>
                </w:tcPr>
                <w:p>
                  <w:pPr>
                    <w:jc w:val="center"/>
                    <w:rPr>
                      <w:szCs w:val="21"/>
                    </w:rPr>
                  </w:pPr>
                  <w:r>
                    <w:rPr>
                      <w:szCs w:val="21"/>
                    </w:rPr>
                    <w:t>办公区</w:t>
                  </w:r>
                </w:p>
              </w:tc>
              <w:tc>
                <w:tcPr>
                  <w:tcW w:w="1231" w:type="dxa"/>
                  <w:tcBorders>
                    <w:tl2br w:val="nil"/>
                    <w:tr2bl w:val="nil"/>
                  </w:tcBorders>
                  <w:vAlign w:val="center"/>
                </w:tcPr>
                <w:p>
                  <w:pPr>
                    <w:jc w:val="center"/>
                    <w:rPr>
                      <w:szCs w:val="21"/>
                    </w:rPr>
                  </w:pPr>
                  <w:r>
                    <w:rPr>
                      <w:szCs w:val="21"/>
                    </w:rPr>
                    <w:t>1F：550</w:t>
                  </w:r>
                </w:p>
              </w:tc>
              <w:tc>
                <w:tcPr>
                  <w:tcW w:w="749" w:type="dxa"/>
                  <w:vMerge w:val="restart"/>
                  <w:tcBorders>
                    <w:tl2br w:val="nil"/>
                    <w:tr2bl w:val="nil"/>
                  </w:tcBorders>
                  <w:vAlign w:val="center"/>
                </w:tcPr>
                <w:p>
                  <w:pPr>
                    <w:jc w:val="center"/>
                    <w:rPr>
                      <w:szCs w:val="21"/>
                    </w:rPr>
                  </w:pPr>
                  <w:r>
                    <w:rPr>
                      <w:rFonts w:hint="eastAsia"/>
                      <w:szCs w:val="21"/>
                    </w:rPr>
                    <w:t>990</w:t>
                  </w:r>
                </w:p>
              </w:tc>
              <w:tc>
                <w:tcPr>
                  <w:tcW w:w="2414" w:type="dxa"/>
                  <w:vMerge w:val="restart"/>
                  <w:tcBorders>
                    <w:tl2br w:val="nil"/>
                    <w:tr2bl w:val="nil"/>
                  </w:tcBorders>
                  <w:vAlign w:val="center"/>
                </w:tcPr>
                <w:p>
                  <w:pPr>
                    <w:jc w:val="center"/>
                    <w:rPr>
                      <w:szCs w:val="21"/>
                    </w:rPr>
                  </w:pPr>
                  <w:r>
                    <w:rPr>
                      <w:szCs w:val="21"/>
                    </w:rPr>
                    <w:t>1F与新车展厅相邻；</w:t>
                  </w:r>
                </w:p>
                <w:p>
                  <w:pPr>
                    <w:jc w:val="center"/>
                    <w:rPr>
                      <w:szCs w:val="21"/>
                    </w:rPr>
                  </w:pPr>
                  <w:r>
                    <w:rPr>
                      <w:rFonts w:hint="eastAsia"/>
                      <w:szCs w:val="21"/>
                    </w:rPr>
                    <w:t>2F与食堂相邻；</w:t>
                  </w:r>
                </w:p>
                <w:p>
                  <w:pPr>
                    <w:jc w:val="center"/>
                    <w:rPr>
                      <w:szCs w:val="21"/>
                    </w:rPr>
                  </w:pPr>
                  <w:r>
                    <w:rPr>
                      <w:szCs w:val="21"/>
                    </w:rPr>
                    <w:t>框架结构</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continue"/>
                  <w:tcBorders>
                    <w:tl2br w:val="nil"/>
                    <w:tr2bl w:val="nil"/>
                  </w:tcBorders>
                  <w:vAlign w:val="center"/>
                </w:tcPr>
                <w:p>
                  <w:pPr>
                    <w:jc w:val="center"/>
                    <w:rPr>
                      <w:color w:val="FF0000"/>
                      <w:szCs w:val="21"/>
                    </w:rPr>
                  </w:pPr>
                </w:p>
              </w:tc>
              <w:tc>
                <w:tcPr>
                  <w:tcW w:w="2028" w:type="dxa"/>
                  <w:gridSpan w:val="2"/>
                  <w:vMerge w:val="continue"/>
                  <w:tcBorders>
                    <w:tl2br w:val="nil"/>
                    <w:tr2bl w:val="nil"/>
                  </w:tcBorders>
                  <w:vAlign w:val="center"/>
                </w:tcPr>
                <w:p>
                  <w:pPr>
                    <w:jc w:val="center"/>
                    <w:rPr>
                      <w:color w:val="FF0000"/>
                      <w:szCs w:val="21"/>
                    </w:rPr>
                  </w:pPr>
                </w:p>
              </w:tc>
              <w:tc>
                <w:tcPr>
                  <w:tcW w:w="1231" w:type="dxa"/>
                  <w:tcBorders>
                    <w:tl2br w:val="nil"/>
                    <w:tr2bl w:val="nil"/>
                  </w:tcBorders>
                  <w:vAlign w:val="center"/>
                </w:tcPr>
                <w:p>
                  <w:pPr>
                    <w:jc w:val="center"/>
                    <w:rPr>
                      <w:color w:val="FF0000"/>
                      <w:szCs w:val="21"/>
                    </w:rPr>
                  </w:pPr>
                  <w:r>
                    <w:rPr>
                      <w:rFonts w:hint="eastAsia"/>
                      <w:szCs w:val="21"/>
                    </w:rPr>
                    <w:t>2</w:t>
                  </w:r>
                  <w:r>
                    <w:rPr>
                      <w:szCs w:val="21"/>
                    </w:rPr>
                    <w:t>F</w:t>
                  </w:r>
                  <w:r>
                    <w:rPr>
                      <w:rFonts w:hint="eastAsia"/>
                      <w:szCs w:val="21"/>
                    </w:rPr>
                    <w:t>：410</w:t>
                  </w:r>
                </w:p>
              </w:tc>
              <w:tc>
                <w:tcPr>
                  <w:tcW w:w="749" w:type="dxa"/>
                  <w:vMerge w:val="continue"/>
                  <w:tcBorders>
                    <w:tl2br w:val="nil"/>
                    <w:tr2bl w:val="nil"/>
                  </w:tcBorders>
                  <w:vAlign w:val="center"/>
                </w:tcPr>
                <w:p>
                  <w:pPr>
                    <w:jc w:val="center"/>
                    <w:rPr>
                      <w:color w:val="FF0000"/>
                      <w:szCs w:val="21"/>
                    </w:rPr>
                  </w:pPr>
                </w:p>
              </w:tc>
              <w:tc>
                <w:tcPr>
                  <w:tcW w:w="2414" w:type="dxa"/>
                  <w:vMerge w:val="continue"/>
                  <w:tcBorders>
                    <w:tl2br w:val="nil"/>
                    <w:tr2bl w:val="nil"/>
                  </w:tcBorders>
                  <w:vAlign w:val="center"/>
                </w:tcPr>
                <w:p>
                  <w:pPr>
                    <w:jc w:val="center"/>
                    <w:rPr>
                      <w:color w:val="FF0000"/>
                      <w:szCs w:val="21"/>
                    </w:rPr>
                  </w:pPr>
                </w:p>
              </w:tc>
              <w:tc>
                <w:tcPr>
                  <w:tcW w:w="1445" w:type="dxa"/>
                  <w:tcBorders>
                    <w:tl2br w:val="nil"/>
                    <w:tr2bl w:val="nil"/>
                  </w:tcBorders>
                  <w:vAlign w:val="center"/>
                </w:tcPr>
                <w:p>
                  <w:pPr>
                    <w:jc w:val="center"/>
                    <w:rPr>
                      <w:color w:val="FF0000"/>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37" w:type="dxa"/>
                  <w:vMerge w:val="continue"/>
                  <w:tcBorders>
                    <w:tl2br w:val="nil"/>
                    <w:tr2bl w:val="nil"/>
                  </w:tcBorders>
                  <w:vAlign w:val="center"/>
                </w:tcPr>
                <w:p>
                  <w:pPr>
                    <w:jc w:val="center"/>
                    <w:rPr>
                      <w:color w:val="FF0000"/>
                      <w:szCs w:val="21"/>
                    </w:rPr>
                  </w:pPr>
                </w:p>
              </w:tc>
              <w:tc>
                <w:tcPr>
                  <w:tcW w:w="2028" w:type="dxa"/>
                  <w:gridSpan w:val="2"/>
                  <w:tcBorders>
                    <w:tl2br w:val="nil"/>
                    <w:tr2bl w:val="nil"/>
                  </w:tcBorders>
                  <w:vAlign w:val="center"/>
                </w:tcPr>
                <w:p>
                  <w:pPr>
                    <w:jc w:val="center"/>
                    <w:rPr>
                      <w:szCs w:val="21"/>
                    </w:rPr>
                  </w:pPr>
                  <w:r>
                    <w:rPr>
                      <w:szCs w:val="21"/>
                    </w:rPr>
                    <w:t>新车展厅</w:t>
                  </w:r>
                </w:p>
              </w:tc>
              <w:tc>
                <w:tcPr>
                  <w:tcW w:w="1980" w:type="dxa"/>
                  <w:gridSpan w:val="2"/>
                  <w:tcBorders>
                    <w:tl2br w:val="nil"/>
                    <w:tr2bl w:val="nil"/>
                  </w:tcBorders>
                  <w:vAlign w:val="center"/>
                </w:tcPr>
                <w:p>
                  <w:pPr>
                    <w:jc w:val="center"/>
                    <w:rPr>
                      <w:szCs w:val="21"/>
                    </w:rPr>
                  </w:pPr>
                  <w:r>
                    <w:rPr>
                      <w:rFonts w:hint="eastAsia"/>
                      <w:szCs w:val="21"/>
                    </w:rPr>
                    <w:t>2000</w:t>
                  </w:r>
                </w:p>
              </w:tc>
              <w:tc>
                <w:tcPr>
                  <w:tcW w:w="2414" w:type="dxa"/>
                  <w:tcBorders>
                    <w:tl2br w:val="nil"/>
                    <w:tr2bl w:val="nil"/>
                  </w:tcBorders>
                  <w:vAlign w:val="center"/>
                </w:tcPr>
                <w:p>
                  <w:pPr>
                    <w:jc w:val="center"/>
                    <w:rPr>
                      <w:szCs w:val="21"/>
                    </w:rPr>
                  </w:pPr>
                  <w:r>
                    <w:rPr>
                      <w:szCs w:val="21"/>
                    </w:rPr>
                    <w:t>1层，框架结构</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7" w:type="dxa"/>
                  <w:vMerge w:val="restart"/>
                  <w:tcBorders>
                    <w:tl2br w:val="nil"/>
                    <w:tr2bl w:val="nil"/>
                  </w:tcBorders>
                  <w:vAlign w:val="center"/>
                </w:tcPr>
                <w:p>
                  <w:pPr>
                    <w:jc w:val="center"/>
                    <w:rPr>
                      <w:szCs w:val="21"/>
                    </w:rPr>
                  </w:pPr>
                  <w:r>
                    <w:rPr>
                      <w:szCs w:val="21"/>
                    </w:rPr>
                    <w:t>辅助工程</w:t>
                  </w:r>
                </w:p>
              </w:tc>
              <w:tc>
                <w:tcPr>
                  <w:tcW w:w="2028" w:type="dxa"/>
                  <w:gridSpan w:val="2"/>
                  <w:tcBorders>
                    <w:tl2br w:val="nil"/>
                    <w:tr2bl w:val="nil"/>
                  </w:tcBorders>
                  <w:vAlign w:val="center"/>
                </w:tcPr>
                <w:p>
                  <w:pPr>
                    <w:jc w:val="center"/>
                    <w:rPr>
                      <w:szCs w:val="21"/>
                    </w:rPr>
                  </w:pPr>
                  <w:r>
                    <w:rPr>
                      <w:szCs w:val="21"/>
                    </w:rPr>
                    <w:t>消防车道</w:t>
                  </w:r>
                </w:p>
              </w:tc>
              <w:tc>
                <w:tcPr>
                  <w:tcW w:w="1980" w:type="dxa"/>
                  <w:gridSpan w:val="2"/>
                  <w:tcBorders>
                    <w:tl2br w:val="nil"/>
                    <w:tr2bl w:val="nil"/>
                  </w:tcBorders>
                  <w:vAlign w:val="center"/>
                </w:tcPr>
                <w:p>
                  <w:pPr>
                    <w:jc w:val="center"/>
                    <w:rPr>
                      <w:szCs w:val="21"/>
                    </w:rPr>
                  </w:pPr>
                  <w:r>
                    <w:rPr>
                      <w:szCs w:val="21"/>
                    </w:rPr>
                    <w:t>530</w:t>
                  </w:r>
                </w:p>
              </w:tc>
              <w:tc>
                <w:tcPr>
                  <w:tcW w:w="2414" w:type="dxa"/>
                  <w:tcBorders>
                    <w:tl2br w:val="nil"/>
                    <w:tr2bl w:val="nil"/>
                  </w:tcBorders>
                  <w:vAlign w:val="center"/>
                </w:tcPr>
                <w:p>
                  <w:pPr>
                    <w:jc w:val="center"/>
                    <w:rPr>
                      <w:szCs w:val="21"/>
                    </w:rPr>
                  </w:pPr>
                  <w:r>
                    <w:rPr>
                      <w:szCs w:val="21"/>
                    </w:rPr>
                    <w:t>1层，框架结构</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7" w:type="dxa"/>
                  <w:vMerge w:val="continue"/>
                  <w:tcBorders>
                    <w:tl2br w:val="nil"/>
                    <w:tr2bl w:val="nil"/>
                  </w:tcBorders>
                  <w:vAlign w:val="center"/>
                </w:tcPr>
                <w:p>
                  <w:pPr>
                    <w:jc w:val="center"/>
                    <w:rPr>
                      <w:szCs w:val="21"/>
                    </w:rPr>
                  </w:pPr>
                </w:p>
              </w:tc>
              <w:tc>
                <w:tcPr>
                  <w:tcW w:w="2028" w:type="dxa"/>
                  <w:gridSpan w:val="2"/>
                  <w:tcBorders>
                    <w:tl2br w:val="nil"/>
                    <w:tr2bl w:val="nil"/>
                  </w:tcBorders>
                  <w:vAlign w:val="center"/>
                </w:tcPr>
                <w:p>
                  <w:pPr>
                    <w:jc w:val="center"/>
                    <w:rPr>
                      <w:szCs w:val="21"/>
                    </w:rPr>
                  </w:pPr>
                  <w:r>
                    <w:rPr>
                      <w:szCs w:val="21"/>
                    </w:rPr>
                    <w:t>中央空调机组</w:t>
                  </w:r>
                </w:p>
              </w:tc>
              <w:tc>
                <w:tcPr>
                  <w:tcW w:w="1980" w:type="dxa"/>
                  <w:gridSpan w:val="2"/>
                  <w:tcBorders>
                    <w:tl2br w:val="nil"/>
                    <w:tr2bl w:val="nil"/>
                  </w:tcBorders>
                  <w:vAlign w:val="center"/>
                </w:tcPr>
                <w:p>
                  <w:pPr>
                    <w:jc w:val="center"/>
                    <w:rPr>
                      <w:szCs w:val="21"/>
                    </w:rPr>
                  </w:pPr>
                  <w:r>
                    <w:rPr>
                      <w:szCs w:val="21"/>
                    </w:rPr>
                    <w:t>/</w:t>
                  </w:r>
                </w:p>
              </w:tc>
              <w:tc>
                <w:tcPr>
                  <w:tcW w:w="2414" w:type="dxa"/>
                  <w:tcBorders>
                    <w:tl2br w:val="nil"/>
                    <w:tr2bl w:val="nil"/>
                  </w:tcBorders>
                  <w:vAlign w:val="center"/>
                </w:tcPr>
                <w:p>
                  <w:pPr>
                    <w:jc w:val="center"/>
                    <w:rPr>
                      <w:szCs w:val="21"/>
                    </w:rPr>
                  </w:pPr>
                  <w:r>
                    <w:rPr>
                      <w:szCs w:val="21"/>
                    </w:rPr>
                    <w:t>2套机组，位于楼顶</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7" w:type="dxa"/>
                  <w:vMerge w:val="restart"/>
                  <w:tcBorders>
                    <w:tl2br w:val="nil"/>
                    <w:tr2bl w:val="nil"/>
                  </w:tcBorders>
                  <w:vAlign w:val="center"/>
                </w:tcPr>
                <w:p>
                  <w:pPr>
                    <w:jc w:val="center"/>
                    <w:rPr>
                      <w:szCs w:val="21"/>
                    </w:rPr>
                  </w:pPr>
                  <w:r>
                    <w:rPr>
                      <w:szCs w:val="21"/>
                    </w:rPr>
                    <w:t>环保工程</w:t>
                  </w:r>
                </w:p>
              </w:tc>
              <w:tc>
                <w:tcPr>
                  <w:tcW w:w="2028" w:type="dxa"/>
                  <w:gridSpan w:val="2"/>
                  <w:vMerge w:val="restart"/>
                  <w:tcBorders>
                    <w:tl2br w:val="nil"/>
                    <w:tr2bl w:val="nil"/>
                  </w:tcBorders>
                  <w:vAlign w:val="center"/>
                </w:tcPr>
                <w:p>
                  <w:pPr>
                    <w:jc w:val="center"/>
                    <w:rPr>
                      <w:szCs w:val="21"/>
                    </w:rPr>
                  </w:pPr>
                  <w:r>
                    <w:rPr>
                      <w:szCs w:val="21"/>
                    </w:rPr>
                    <w:t>废水污染防治</w:t>
                  </w:r>
                </w:p>
              </w:tc>
              <w:tc>
                <w:tcPr>
                  <w:tcW w:w="4394" w:type="dxa"/>
                  <w:gridSpan w:val="3"/>
                  <w:tcBorders>
                    <w:tl2br w:val="nil"/>
                    <w:tr2bl w:val="nil"/>
                  </w:tcBorders>
                  <w:vAlign w:val="center"/>
                </w:tcPr>
                <w:p>
                  <w:pPr>
                    <w:jc w:val="center"/>
                    <w:rPr>
                      <w:szCs w:val="21"/>
                    </w:rPr>
                  </w:pPr>
                  <w:r>
                    <w:rPr>
                      <w:szCs w:val="21"/>
                    </w:rPr>
                    <w:t>雨污分流措施</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37" w:type="dxa"/>
                  <w:vMerge w:val="continue"/>
                  <w:tcBorders>
                    <w:tl2br w:val="nil"/>
                    <w:tr2bl w:val="nil"/>
                  </w:tcBorders>
                  <w:vAlign w:val="center"/>
                </w:tcPr>
                <w:p>
                  <w:pPr>
                    <w:jc w:val="center"/>
                  </w:pPr>
                </w:p>
              </w:tc>
              <w:tc>
                <w:tcPr>
                  <w:tcW w:w="2028" w:type="dxa"/>
                  <w:gridSpan w:val="2"/>
                  <w:vMerge w:val="continue"/>
                  <w:tcBorders>
                    <w:tl2br w:val="nil"/>
                    <w:tr2bl w:val="nil"/>
                  </w:tcBorders>
                  <w:vAlign w:val="center"/>
                </w:tcPr>
                <w:p>
                  <w:pPr>
                    <w:jc w:val="center"/>
                  </w:pPr>
                </w:p>
              </w:tc>
              <w:tc>
                <w:tcPr>
                  <w:tcW w:w="4394" w:type="dxa"/>
                  <w:gridSpan w:val="3"/>
                  <w:tcBorders>
                    <w:tl2br w:val="nil"/>
                    <w:tr2bl w:val="nil"/>
                  </w:tcBorders>
                  <w:vAlign w:val="center"/>
                </w:tcPr>
                <w:p>
                  <w:pPr>
                    <w:jc w:val="center"/>
                    <w:rPr>
                      <w:szCs w:val="21"/>
                      <w:u w:val="single"/>
                    </w:rPr>
                  </w:pPr>
                  <w:r>
                    <w:rPr>
                      <w:szCs w:val="21"/>
                      <w:u w:val="single"/>
                    </w:rPr>
                    <w:t>生活污水采用化粪池（一个，容积为</w:t>
                  </w:r>
                  <w:r>
                    <w:rPr>
                      <w:rFonts w:hint="eastAsia"/>
                      <w:szCs w:val="21"/>
                      <w:u w:val="single"/>
                    </w:rPr>
                    <w:t>30</w:t>
                  </w:r>
                  <w:r>
                    <w:rPr>
                      <w:szCs w:val="21"/>
                      <w:u w:val="single"/>
                    </w:rPr>
                    <w:t>m</w:t>
                  </w:r>
                  <w:r>
                    <w:rPr>
                      <w:szCs w:val="21"/>
                      <w:u w:val="single"/>
                      <w:vertAlign w:val="superscript"/>
                    </w:rPr>
                    <w:t>3</w:t>
                  </w:r>
                  <w:r>
                    <w:rPr>
                      <w:szCs w:val="21"/>
                      <w:u w:val="single"/>
                    </w:rPr>
                    <w:t>）预处理；地面清洗废水和汽车清洗废水采用隔油池（共建</w:t>
                  </w:r>
                  <w:r>
                    <w:rPr>
                      <w:rFonts w:hint="eastAsia"/>
                      <w:szCs w:val="21"/>
                      <w:u w:val="single"/>
                    </w:rPr>
                    <w:t>一</w:t>
                  </w:r>
                  <w:r>
                    <w:rPr>
                      <w:szCs w:val="21"/>
                      <w:u w:val="single"/>
                    </w:rPr>
                    <w:t>个，</w:t>
                  </w:r>
                  <w:r>
                    <w:rPr>
                      <w:rFonts w:hint="eastAsia"/>
                      <w:szCs w:val="21"/>
                      <w:u w:val="single"/>
                    </w:rPr>
                    <w:t>容积为6</w:t>
                  </w:r>
                  <w:r>
                    <w:rPr>
                      <w:szCs w:val="21"/>
                      <w:u w:val="single"/>
                    </w:rPr>
                    <w:t>m</w:t>
                  </w:r>
                  <w:r>
                    <w:rPr>
                      <w:szCs w:val="21"/>
                      <w:u w:val="single"/>
                      <w:vertAlign w:val="superscript"/>
                    </w:rPr>
                    <w:t>3</w:t>
                  </w:r>
                  <w:r>
                    <w:rPr>
                      <w:szCs w:val="21"/>
                      <w:u w:val="single"/>
                    </w:rPr>
                    <w:t>）预处理。项目东侧市政污水管网</w:t>
                  </w:r>
                  <w:r>
                    <w:rPr>
                      <w:rFonts w:hint="eastAsia"/>
                      <w:szCs w:val="21"/>
                      <w:u w:val="single"/>
                    </w:rPr>
                    <w:t>已</w:t>
                  </w:r>
                  <w:r>
                    <w:rPr>
                      <w:szCs w:val="21"/>
                      <w:u w:val="single"/>
                    </w:rPr>
                    <w:t>与城陵矶新港区污水处理厂接通。项目废水最终经城陵矶新港区污水处理厂处理达标后排入象骨港，最终汇入长江。</w:t>
                  </w:r>
                </w:p>
              </w:tc>
              <w:tc>
                <w:tcPr>
                  <w:tcW w:w="1445" w:type="dxa"/>
                  <w:tcBorders>
                    <w:tl2br w:val="nil"/>
                    <w:tr2bl w:val="nil"/>
                  </w:tcBorders>
                  <w:vAlign w:val="center"/>
                </w:tcPr>
                <w:p>
                  <w:pPr>
                    <w:jc w:val="center"/>
                    <w:rPr>
                      <w:szCs w:val="21"/>
                      <w:u w:val="single"/>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7" w:type="dxa"/>
                  <w:vMerge w:val="continue"/>
                  <w:tcBorders>
                    <w:tl2br w:val="nil"/>
                    <w:tr2bl w:val="nil"/>
                  </w:tcBorders>
                  <w:vAlign w:val="center"/>
                </w:tcPr>
                <w:p>
                  <w:pPr>
                    <w:jc w:val="center"/>
                    <w:rPr>
                      <w:szCs w:val="21"/>
                    </w:rPr>
                  </w:pPr>
                </w:p>
              </w:tc>
              <w:tc>
                <w:tcPr>
                  <w:tcW w:w="835" w:type="dxa"/>
                  <w:vMerge w:val="restart"/>
                  <w:tcBorders>
                    <w:tl2br w:val="nil"/>
                    <w:tr2bl w:val="nil"/>
                  </w:tcBorders>
                  <w:vAlign w:val="center"/>
                </w:tcPr>
                <w:p>
                  <w:pPr>
                    <w:jc w:val="center"/>
                    <w:rPr>
                      <w:szCs w:val="21"/>
                    </w:rPr>
                  </w:pPr>
                  <w:r>
                    <w:rPr>
                      <w:szCs w:val="21"/>
                    </w:rPr>
                    <w:t>废气</w:t>
                  </w:r>
                  <w:r>
                    <w:rPr>
                      <w:rStyle w:val="25"/>
                    </w:rPr>
                    <w:t>污染</w:t>
                  </w:r>
                  <w:r>
                    <w:rPr>
                      <w:szCs w:val="21"/>
                    </w:rPr>
                    <w:t>防治</w:t>
                  </w:r>
                </w:p>
              </w:tc>
              <w:tc>
                <w:tcPr>
                  <w:tcW w:w="1193" w:type="dxa"/>
                  <w:tcBorders>
                    <w:tl2br w:val="nil"/>
                    <w:tr2bl w:val="nil"/>
                  </w:tcBorders>
                  <w:vAlign w:val="center"/>
                </w:tcPr>
                <w:p>
                  <w:pPr>
                    <w:jc w:val="center"/>
                    <w:rPr>
                      <w:szCs w:val="21"/>
                    </w:rPr>
                  </w:pPr>
                  <w:r>
                    <w:rPr>
                      <w:szCs w:val="21"/>
                    </w:rPr>
                    <w:t>打磨粉尘</w:t>
                  </w:r>
                </w:p>
              </w:tc>
              <w:tc>
                <w:tcPr>
                  <w:tcW w:w="4394" w:type="dxa"/>
                  <w:gridSpan w:val="3"/>
                  <w:tcBorders>
                    <w:tl2br w:val="nil"/>
                    <w:tr2bl w:val="nil"/>
                  </w:tcBorders>
                  <w:vAlign w:val="center"/>
                </w:tcPr>
                <w:p>
                  <w:pPr>
                    <w:jc w:val="center"/>
                    <w:rPr>
                      <w:szCs w:val="21"/>
                    </w:rPr>
                  </w:pPr>
                  <w:r>
                    <w:rPr>
                      <w:rFonts w:hint="eastAsia"/>
                    </w:rPr>
                    <w:t>经吸尘器收集后处理</w:t>
                  </w:r>
                </w:p>
              </w:tc>
              <w:tc>
                <w:tcPr>
                  <w:tcW w:w="1445" w:type="dxa"/>
                  <w:tcBorders>
                    <w:tl2br w:val="nil"/>
                    <w:tr2bl w:val="nil"/>
                  </w:tcBorders>
                  <w:vAlign w:val="center"/>
                </w:tcPr>
                <w:p>
                  <w:pPr>
                    <w:jc w:val="center"/>
                    <w:rPr>
                      <w:rFonts w:hint="eastAsia"/>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7" w:type="dxa"/>
                  <w:vMerge w:val="continue"/>
                  <w:tcBorders>
                    <w:tl2br w:val="nil"/>
                    <w:tr2bl w:val="nil"/>
                  </w:tcBorders>
                  <w:vAlign w:val="center"/>
                </w:tcPr>
                <w:p>
                  <w:pPr>
                    <w:jc w:val="center"/>
                    <w:rPr>
                      <w:szCs w:val="21"/>
                    </w:rPr>
                  </w:pPr>
                </w:p>
              </w:tc>
              <w:tc>
                <w:tcPr>
                  <w:tcW w:w="835" w:type="dxa"/>
                  <w:vMerge w:val="continue"/>
                  <w:tcBorders>
                    <w:tl2br w:val="nil"/>
                    <w:tr2bl w:val="nil"/>
                  </w:tcBorders>
                  <w:vAlign w:val="center"/>
                </w:tcPr>
                <w:p>
                  <w:pPr>
                    <w:jc w:val="center"/>
                    <w:rPr>
                      <w:szCs w:val="21"/>
                    </w:rPr>
                  </w:pPr>
                </w:p>
              </w:tc>
              <w:tc>
                <w:tcPr>
                  <w:tcW w:w="1193" w:type="dxa"/>
                  <w:tcBorders>
                    <w:tl2br w:val="nil"/>
                    <w:tr2bl w:val="nil"/>
                  </w:tcBorders>
                  <w:vAlign w:val="center"/>
                </w:tcPr>
                <w:p>
                  <w:pPr>
                    <w:jc w:val="center"/>
                    <w:rPr>
                      <w:szCs w:val="21"/>
                    </w:rPr>
                  </w:pPr>
                  <w:r>
                    <w:t>焊接烟尘/零部件擦拭废气/汽车尾气</w:t>
                  </w:r>
                </w:p>
              </w:tc>
              <w:tc>
                <w:tcPr>
                  <w:tcW w:w="4394" w:type="dxa"/>
                  <w:gridSpan w:val="3"/>
                  <w:tcBorders>
                    <w:tl2br w:val="nil"/>
                    <w:tr2bl w:val="nil"/>
                  </w:tcBorders>
                  <w:vAlign w:val="center"/>
                </w:tcPr>
                <w:p>
                  <w:pPr>
                    <w:jc w:val="center"/>
                    <w:rPr>
                      <w:szCs w:val="21"/>
                    </w:rPr>
                  </w:pPr>
                  <w:r>
                    <w:rPr>
                      <w:szCs w:val="21"/>
                    </w:rPr>
                    <w:t>排气扇等通风设施</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7" w:type="dxa"/>
                  <w:vMerge w:val="continue"/>
                  <w:tcBorders>
                    <w:tl2br w:val="nil"/>
                    <w:tr2bl w:val="nil"/>
                  </w:tcBorders>
                  <w:vAlign w:val="center"/>
                </w:tcPr>
                <w:p>
                  <w:pPr>
                    <w:jc w:val="center"/>
                    <w:rPr>
                      <w:szCs w:val="21"/>
                    </w:rPr>
                  </w:pPr>
                </w:p>
              </w:tc>
              <w:tc>
                <w:tcPr>
                  <w:tcW w:w="835" w:type="dxa"/>
                  <w:vMerge w:val="continue"/>
                  <w:tcBorders>
                    <w:tl2br w:val="nil"/>
                    <w:tr2bl w:val="nil"/>
                  </w:tcBorders>
                  <w:vAlign w:val="center"/>
                </w:tcPr>
                <w:p>
                  <w:pPr>
                    <w:jc w:val="center"/>
                    <w:rPr>
                      <w:szCs w:val="21"/>
                    </w:rPr>
                  </w:pPr>
                </w:p>
              </w:tc>
              <w:tc>
                <w:tcPr>
                  <w:tcW w:w="1193" w:type="dxa"/>
                  <w:tcBorders>
                    <w:tl2br w:val="nil"/>
                    <w:tr2bl w:val="nil"/>
                  </w:tcBorders>
                  <w:vAlign w:val="center"/>
                </w:tcPr>
                <w:p>
                  <w:pPr>
                    <w:jc w:val="center"/>
                    <w:rPr>
                      <w:szCs w:val="21"/>
                    </w:rPr>
                  </w:pPr>
                  <w:r>
                    <w:rPr>
                      <w:szCs w:val="21"/>
                    </w:rPr>
                    <w:t>喷烤漆有机废气+调漆间调漆废气</w:t>
                  </w:r>
                </w:p>
              </w:tc>
              <w:tc>
                <w:tcPr>
                  <w:tcW w:w="4394" w:type="dxa"/>
                  <w:gridSpan w:val="3"/>
                  <w:tcBorders>
                    <w:tl2br w:val="nil"/>
                    <w:tr2bl w:val="nil"/>
                  </w:tcBorders>
                  <w:vAlign w:val="center"/>
                </w:tcPr>
                <w:p>
                  <w:pPr>
                    <w:jc w:val="center"/>
                    <w:rPr>
                      <w:szCs w:val="21"/>
                    </w:rPr>
                  </w:pPr>
                  <w:r>
                    <w:rPr>
                      <w:szCs w:val="21"/>
                    </w:rPr>
                    <w:t>1间密闭式喷漆房有机废气经集气系统+过滤棉+UV光氧催化+活性炭吸附+引至一根15m排气筒外排</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7" w:type="dxa"/>
                  <w:vMerge w:val="continue"/>
                  <w:tcBorders>
                    <w:tl2br w:val="nil"/>
                    <w:tr2bl w:val="nil"/>
                  </w:tcBorders>
                  <w:vAlign w:val="center"/>
                </w:tcPr>
                <w:p>
                  <w:pPr>
                    <w:jc w:val="center"/>
                    <w:rPr>
                      <w:szCs w:val="21"/>
                    </w:rPr>
                  </w:pPr>
                </w:p>
              </w:tc>
              <w:tc>
                <w:tcPr>
                  <w:tcW w:w="835" w:type="dxa"/>
                  <w:vMerge w:val="continue"/>
                  <w:tcBorders>
                    <w:tl2br w:val="nil"/>
                    <w:tr2bl w:val="nil"/>
                  </w:tcBorders>
                  <w:vAlign w:val="center"/>
                </w:tcPr>
                <w:p>
                  <w:pPr>
                    <w:jc w:val="center"/>
                    <w:rPr>
                      <w:szCs w:val="21"/>
                    </w:rPr>
                  </w:pPr>
                </w:p>
              </w:tc>
              <w:tc>
                <w:tcPr>
                  <w:tcW w:w="1193" w:type="dxa"/>
                  <w:tcBorders>
                    <w:tl2br w:val="nil"/>
                    <w:tr2bl w:val="nil"/>
                  </w:tcBorders>
                  <w:vAlign w:val="center"/>
                </w:tcPr>
                <w:p>
                  <w:pPr>
                    <w:jc w:val="center"/>
                    <w:rPr>
                      <w:szCs w:val="21"/>
                    </w:rPr>
                  </w:pPr>
                  <w:r>
                    <w:rPr>
                      <w:szCs w:val="21"/>
                    </w:rPr>
                    <w:t>食堂油烟及天然气燃烧废气</w:t>
                  </w:r>
                </w:p>
              </w:tc>
              <w:tc>
                <w:tcPr>
                  <w:tcW w:w="4394" w:type="dxa"/>
                  <w:gridSpan w:val="3"/>
                  <w:tcBorders>
                    <w:tl2br w:val="nil"/>
                    <w:tr2bl w:val="nil"/>
                  </w:tcBorders>
                  <w:vAlign w:val="center"/>
                </w:tcPr>
                <w:p>
                  <w:pPr>
                    <w:jc w:val="center"/>
                    <w:rPr>
                      <w:szCs w:val="21"/>
                    </w:rPr>
                  </w:pPr>
                  <w:r>
                    <w:rPr>
                      <w:szCs w:val="21"/>
                    </w:rPr>
                    <w:t>油烟净化器+排气筒</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37" w:type="dxa"/>
                  <w:vMerge w:val="continue"/>
                  <w:tcBorders>
                    <w:tl2br w:val="nil"/>
                    <w:tr2bl w:val="nil"/>
                  </w:tcBorders>
                  <w:vAlign w:val="center"/>
                </w:tcPr>
                <w:p>
                  <w:pPr>
                    <w:jc w:val="center"/>
                    <w:rPr>
                      <w:szCs w:val="21"/>
                    </w:rPr>
                  </w:pPr>
                </w:p>
              </w:tc>
              <w:tc>
                <w:tcPr>
                  <w:tcW w:w="2028" w:type="dxa"/>
                  <w:gridSpan w:val="2"/>
                  <w:vMerge w:val="restart"/>
                  <w:tcBorders>
                    <w:tl2br w:val="nil"/>
                    <w:tr2bl w:val="nil"/>
                  </w:tcBorders>
                  <w:vAlign w:val="center"/>
                </w:tcPr>
                <w:p>
                  <w:pPr>
                    <w:jc w:val="center"/>
                    <w:rPr>
                      <w:szCs w:val="21"/>
                    </w:rPr>
                  </w:pPr>
                  <w:r>
                    <w:rPr>
                      <w:szCs w:val="21"/>
                    </w:rPr>
                    <w:t>固废防治</w:t>
                  </w:r>
                </w:p>
              </w:tc>
              <w:tc>
                <w:tcPr>
                  <w:tcW w:w="4394" w:type="dxa"/>
                  <w:gridSpan w:val="3"/>
                  <w:tcBorders>
                    <w:tl2br w:val="nil"/>
                    <w:tr2bl w:val="nil"/>
                  </w:tcBorders>
                  <w:vAlign w:val="center"/>
                </w:tcPr>
                <w:p>
                  <w:pPr>
                    <w:jc w:val="center"/>
                    <w:rPr>
                      <w:szCs w:val="21"/>
                      <w:vertAlign w:val="superscript"/>
                    </w:rPr>
                  </w:pPr>
                  <w:r>
                    <w:rPr>
                      <w:szCs w:val="21"/>
                    </w:rPr>
                    <w:t>一般固废暂存区位于</w:t>
                  </w:r>
                  <w:r>
                    <w:rPr>
                      <w:rFonts w:hint="eastAsia"/>
                      <w:szCs w:val="21"/>
                    </w:rPr>
                    <w:t>喷漆区</w:t>
                  </w:r>
                  <w:r>
                    <w:rPr>
                      <w:szCs w:val="21"/>
                    </w:rPr>
                    <w:t>西</w:t>
                  </w:r>
                  <w:r>
                    <w:rPr>
                      <w:rFonts w:hint="eastAsia"/>
                      <w:szCs w:val="21"/>
                    </w:rPr>
                    <w:t>南</w:t>
                  </w:r>
                  <w:r>
                    <w:rPr>
                      <w:szCs w:val="21"/>
                    </w:rPr>
                    <w:t>侧，面积约10m</w:t>
                  </w:r>
                  <w:r>
                    <w:rPr>
                      <w:szCs w:val="21"/>
                      <w:vertAlign w:val="superscript"/>
                    </w:rPr>
                    <w:t>2</w:t>
                  </w:r>
                </w:p>
              </w:tc>
              <w:tc>
                <w:tcPr>
                  <w:tcW w:w="1445"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37" w:type="dxa"/>
                  <w:vMerge w:val="continue"/>
                  <w:tcBorders>
                    <w:tl2br w:val="nil"/>
                    <w:tr2bl w:val="nil"/>
                  </w:tcBorders>
                  <w:vAlign w:val="center"/>
                </w:tcPr>
                <w:p>
                  <w:pPr>
                    <w:jc w:val="center"/>
                    <w:rPr>
                      <w:szCs w:val="21"/>
                    </w:rPr>
                  </w:pPr>
                </w:p>
              </w:tc>
              <w:tc>
                <w:tcPr>
                  <w:tcW w:w="2028" w:type="dxa"/>
                  <w:gridSpan w:val="2"/>
                  <w:vMerge w:val="continue"/>
                  <w:tcBorders>
                    <w:tl2br w:val="nil"/>
                    <w:tr2bl w:val="nil"/>
                  </w:tcBorders>
                  <w:vAlign w:val="center"/>
                </w:tcPr>
                <w:p>
                  <w:pPr>
                    <w:jc w:val="center"/>
                    <w:rPr>
                      <w:szCs w:val="21"/>
                    </w:rPr>
                  </w:pPr>
                </w:p>
              </w:tc>
              <w:tc>
                <w:tcPr>
                  <w:tcW w:w="4394" w:type="dxa"/>
                  <w:gridSpan w:val="3"/>
                  <w:tcBorders>
                    <w:tl2br w:val="nil"/>
                    <w:tr2bl w:val="nil"/>
                  </w:tcBorders>
                  <w:vAlign w:val="center"/>
                </w:tcPr>
                <w:p>
                  <w:pPr>
                    <w:jc w:val="center"/>
                    <w:rPr>
                      <w:szCs w:val="21"/>
                    </w:rPr>
                  </w:pPr>
                  <w:r>
                    <w:rPr>
                      <w:szCs w:val="21"/>
                    </w:rPr>
                    <w:t>危险固废暂存场所位于</w:t>
                  </w:r>
                  <w:r>
                    <w:rPr>
                      <w:rFonts w:hint="eastAsia"/>
                      <w:szCs w:val="21"/>
                    </w:rPr>
                    <w:t>喷漆区</w:t>
                  </w:r>
                  <w:r>
                    <w:rPr>
                      <w:szCs w:val="21"/>
                    </w:rPr>
                    <w:t>西侧，面积约10m</w:t>
                  </w:r>
                  <w:r>
                    <w:rPr>
                      <w:szCs w:val="21"/>
                      <w:vertAlign w:val="superscript"/>
                    </w:rPr>
                    <w:t>2</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37" w:type="dxa"/>
                  <w:vMerge w:val="continue"/>
                  <w:tcBorders>
                    <w:tl2br w:val="nil"/>
                    <w:tr2bl w:val="nil"/>
                  </w:tcBorders>
                  <w:vAlign w:val="center"/>
                </w:tcPr>
                <w:p>
                  <w:pPr>
                    <w:jc w:val="center"/>
                    <w:rPr>
                      <w:szCs w:val="21"/>
                    </w:rPr>
                  </w:pPr>
                </w:p>
              </w:tc>
              <w:tc>
                <w:tcPr>
                  <w:tcW w:w="2028" w:type="dxa"/>
                  <w:gridSpan w:val="2"/>
                  <w:vMerge w:val="continue"/>
                  <w:tcBorders>
                    <w:tl2br w:val="nil"/>
                    <w:tr2bl w:val="nil"/>
                  </w:tcBorders>
                  <w:vAlign w:val="center"/>
                </w:tcPr>
                <w:p>
                  <w:pPr>
                    <w:jc w:val="center"/>
                    <w:rPr>
                      <w:szCs w:val="21"/>
                    </w:rPr>
                  </w:pPr>
                </w:p>
              </w:tc>
              <w:tc>
                <w:tcPr>
                  <w:tcW w:w="4394" w:type="dxa"/>
                  <w:gridSpan w:val="3"/>
                  <w:tcBorders>
                    <w:tl2br w:val="nil"/>
                    <w:tr2bl w:val="nil"/>
                  </w:tcBorders>
                  <w:vAlign w:val="center"/>
                </w:tcPr>
                <w:p>
                  <w:pPr>
                    <w:jc w:val="center"/>
                    <w:rPr>
                      <w:szCs w:val="21"/>
                    </w:rPr>
                  </w:pPr>
                  <w:r>
                    <w:rPr>
                      <w:szCs w:val="21"/>
                    </w:rPr>
                    <w:t>生活垃圾采用垃圾桶收集</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7" w:type="dxa"/>
                  <w:vMerge w:val="continue"/>
                  <w:tcBorders>
                    <w:tl2br w:val="nil"/>
                    <w:tr2bl w:val="nil"/>
                  </w:tcBorders>
                  <w:vAlign w:val="center"/>
                </w:tcPr>
                <w:p>
                  <w:pPr>
                    <w:jc w:val="center"/>
                    <w:rPr>
                      <w:szCs w:val="21"/>
                    </w:rPr>
                  </w:pPr>
                </w:p>
              </w:tc>
              <w:tc>
                <w:tcPr>
                  <w:tcW w:w="2028" w:type="dxa"/>
                  <w:gridSpan w:val="2"/>
                  <w:tcBorders>
                    <w:tl2br w:val="nil"/>
                    <w:tr2bl w:val="nil"/>
                  </w:tcBorders>
                  <w:vAlign w:val="center"/>
                </w:tcPr>
                <w:p>
                  <w:pPr>
                    <w:jc w:val="center"/>
                    <w:rPr>
                      <w:szCs w:val="21"/>
                    </w:rPr>
                  </w:pPr>
                  <w:r>
                    <w:rPr>
                      <w:szCs w:val="21"/>
                    </w:rPr>
                    <w:t>噪声防治</w:t>
                  </w:r>
                </w:p>
              </w:tc>
              <w:tc>
                <w:tcPr>
                  <w:tcW w:w="4394" w:type="dxa"/>
                  <w:gridSpan w:val="3"/>
                  <w:tcBorders>
                    <w:tl2br w:val="nil"/>
                    <w:tr2bl w:val="nil"/>
                  </w:tcBorders>
                  <w:vAlign w:val="center"/>
                </w:tcPr>
                <w:p>
                  <w:pPr>
                    <w:jc w:val="center"/>
                    <w:rPr>
                      <w:szCs w:val="21"/>
                    </w:rPr>
                  </w:pPr>
                  <w:r>
                    <w:rPr>
                      <w:szCs w:val="21"/>
                    </w:rPr>
                    <w:t>选用低噪声设备，维修车间等机械设备采取减振、隔声、消声等措施控制噪声</w:t>
                  </w:r>
                </w:p>
              </w:tc>
              <w:tc>
                <w:tcPr>
                  <w:tcW w:w="1445" w:type="dxa"/>
                  <w:tcBorders>
                    <w:tl2br w:val="nil"/>
                    <w:tr2bl w:val="nil"/>
                  </w:tcBorders>
                  <w:vAlign w:val="center"/>
                </w:tcPr>
                <w:p>
                  <w:pPr>
                    <w:jc w:val="center"/>
                    <w:rPr>
                      <w:szCs w:val="21"/>
                    </w:rPr>
                  </w:pPr>
                  <w:r>
                    <w:rPr>
                      <w:rFonts w:hint="eastAsia"/>
                      <w:szCs w:val="21"/>
                      <w:lang w:val="en-US" w:eastAsia="zh-CN"/>
                    </w:rPr>
                    <w:t>已建设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Merge w:val="restart"/>
                  <w:tcBorders>
                    <w:tl2br w:val="nil"/>
                    <w:tr2bl w:val="nil"/>
                  </w:tcBorders>
                  <w:vAlign w:val="center"/>
                </w:tcPr>
                <w:p>
                  <w:pPr>
                    <w:jc w:val="center"/>
                    <w:rPr>
                      <w:szCs w:val="21"/>
                    </w:rPr>
                  </w:pPr>
                  <w:r>
                    <w:rPr>
                      <w:szCs w:val="21"/>
                    </w:rPr>
                    <w:t>公用工程</w:t>
                  </w:r>
                </w:p>
              </w:tc>
              <w:tc>
                <w:tcPr>
                  <w:tcW w:w="2028" w:type="dxa"/>
                  <w:gridSpan w:val="2"/>
                  <w:tcBorders>
                    <w:tl2br w:val="nil"/>
                    <w:tr2bl w:val="nil"/>
                  </w:tcBorders>
                  <w:vAlign w:val="center"/>
                </w:tcPr>
                <w:p>
                  <w:pPr>
                    <w:jc w:val="center"/>
                    <w:rPr>
                      <w:szCs w:val="21"/>
                    </w:rPr>
                  </w:pPr>
                  <w:r>
                    <w:rPr>
                      <w:szCs w:val="21"/>
                    </w:rPr>
                    <w:t>供水</w:t>
                  </w:r>
                </w:p>
              </w:tc>
              <w:tc>
                <w:tcPr>
                  <w:tcW w:w="4394" w:type="dxa"/>
                  <w:gridSpan w:val="3"/>
                  <w:tcBorders>
                    <w:tl2br w:val="nil"/>
                    <w:tr2bl w:val="nil"/>
                  </w:tcBorders>
                  <w:vAlign w:val="center"/>
                </w:tcPr>
                <w:p>
                  <w:pPr>
                    <w:jc w:val="center"/>
                    <w:rPr>
                      <w:szCs w:val="21"/>
                    </w:rPr>
                  </w:pPr>
                  <w:r>
                    <w:rPr>
                      <w:szCs w:val="21"/>
                    </w:rPr>
                    <w:t>以市政自来水为水源</w:t>
                  </w:r>
                </w:p>
              </w:tc>
              <w:tc>
                <w:tcPr>
                  <w:tcW w:w="1445"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37" w:type="dxa"/>
                  <w:vMerge w:val="continue"/>
                  <w:tcBorders>
                    <w:tl2br w:val="nil"/>
                    <w:tr2bl w:val="nil"/>
                  </w:tcBorders>
                  <w:vAlign w:val="center"/>
                </w:tcPr>
                <w:p>
                  <w:pPr>
                    <w:jc w:val="center"/>
                    <w:rPr>
                      <w:szCs w:val="21"/>
                    </w:rPr>
                  </w:pPr>
                </w:p>
              </w:tc>
              <w:tc>
                <w:tcPr>
                  <w:tcW w:w="2028" w:type="dxa"/>
                  <w:gridSpan w:val="2"/>
                  <w:tcBorders>
                    <w:tl2br w:val="nil"/>
                    <w:tr2bl w:val="nil"/>
                  </w:tcBorders>
                  <w:vAlign w:val="center"/>
                </w:tcPr>
                <w:p>
                  <w:pPr>
                    <w:jc w:val="center"/>
                    <w:rPr>
                      <w:szCs w:val="21"/>
                    </w:rPr>
                  </w:pPr>
                  <w:r>
                    <w:rPr>
                      <w:szCs w:val="21"/>
                    </w:rPr>
                    <w:t>供电</w:t>
                  </w:r>
                </w:p>
              </w:tc>
              <w:tc>
                <w:tcPr>
                  <w:tcW w:w="4394" w:type="dxa"/>
                  <w:gridSpan w:val="3"/>
                  <w:tcBorders>
                    <w:tl2br w:val="nil"/>
                    <w:tr2bl w:val="nil"/>
                  </w:tcBorders>
                  <w:vAlign w:val="center"/>
                </w:tcPr>
                <w:p>
                  <w:pPr>
                    <w:jc w:val="center"/>
                    <w:rPr>
                      <w:szCs w:val="21"/>
                    </w:rPr>
                  </w:pPr>
                  <w:r>
                    <w:rPr>
                      <w:szCs w:val="21"/>
                    </w:rPr>
                    <w:t>由市政电网提供</w:t>
                  </w:r>
                </w:p>
              </w:tc>
              <w:tc>
                <w:tcPr>
                  <w:tcW w:w="1445"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w:t>
                  </w:r>
                </w:p>
              </w:tc>
            </w:tr>
          </w:tbl>
          <w:p>
            <w:pPr>
              <w:widowControl/>
              <w:spacing w:line="360" w:lineRule="auto"/>
              <w:ind w:firstLine="480" w:firstLineChars="200"/>
              <w:jc w:val="left"/>
              <w:rPr>
                <w:kern w:val="0"/>
                <w:sz w:val="24"/>
                <w:szCs w:val="24"/>
              </w:rPr>
            </w:pPr>
            <w:r>
              <w:rPr>
                <w:kern w:val="0"/>
                <w:sz w:val="24"/>
              </w:rPr>
              <w:t>项目具体技术经济指标一览表1-2</w:t>
            </w:r>
          </w:p>
          <w:p>
            <w:pPr>
              <w:widowControl/>
              <w:jc w:val="center"/>
              <w:rPr>
                <w:b/>
                <w:bCs/>
                <w:kern w:val="0"/>
                <w:szCs w:val="21"/>
              </w:rPr>
            </w:pPr>
            <w:r>
              <w:rPr>
                <w:b/>
                <w:bCs/>
                <w:kern w:val="0"/>
                <w:szCs w:val="21"/>
              </w:rPr>
              <w:t>表1-2  项目具体技术经济指标一览表</w:t>
            </w:r>
          </w:p>
          <w:tbl>
            <w:tblPr>
              <w:tblStyle w:val="20"/>
              <w:tblW w:w="830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1186"/>
              <w:gridCol w:w="799"/>
              <w:gridCol w:w="1573"/>
              <w:gridCol w:w="1186"/>
              <w:gridCol w:w="1186"/>
              <w:gridCol w:w="11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b/>
                      <w:szCs w:val="21"/>
                    </w:rPr>
                  </w:pPr>
                  <w:r>
                    <w:rPr>
                      <w:b/>
                      <w:kern w:val="0"/>
                      <w:szCs w:val="21"/>
                    </w:rPr>
                    <w:t>序号</w:t>
                  </w:r>
                </w:p>
              </w:tc>
              <w:tc>
                <w:tcPr>
                  <w:tcW w:w="3558" w:type="dxa"/>
                  <w:gridSpan w:val="3"/>
                  <w:tcBorders>
                    <w:tl2br w:val="nil"/>
                    <w:tr2bl w:val="nil"/>
                  </w:tcBorders>
                  <w:shd w:val="clear" w:color="auto" w:fill="auto"/>
                  <w:noWrap/>
                  <w:tcMar>
                    <w:top w:w="15" w:type="dxa"/>
                    <w:left w:w="15" w:type="dxa"/>
                    <w:right w:w="15" w:type="dxa"/>
                  </w:tcMar>
                  <w:vAlign w:val="center"/>
                </w:tcPr>
                <w:p>
                  <w:pPr>
                    <w:widowControl/>
                    <w:jc w:val="center"/>
                    <w:textAlignment w:val="center"/>
                    <w:rPr>
                      <w:b/>
                      <w:szCs w:val="21"/>
                    </w:rPr>
                  </w:pPr>
                  <w:r>
                    <w:rPr>
                      <w:b/>
                      <w:kern w:val="0"/>
                      <w:szCs w:val="21"/>
                    </w:rPr>
                    <w:t>项   目</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b/>
                      <w:szCs w:val="21"/>
                    </w:rPr>
                  </w:pPr>
                  <w:r>
                    <w:rPr>
                      <w:b/>
                      <w:kern w:val="0"/>
                      <w:szCs w:val="21"/>
                    </w:rPr>
                    <w:t>单位</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b/>
                      <w:szCs w:val="21"/>
                    </w:rPr>
                  </w:pPr>
                  <w:r>
                    <w:rPr>
                      <w:b/>
                      <w:kern w:val="0"/>
                      <w:szCs w:val="21"/>
                    </w:rPr>
                    <w:t>数  量</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b/>
                      <w:szCs w:val="21"/>
                    </w:rPr>
                  </w:pPr>
                  <w:r>
                    <w:rPr>
                      <w:b/>
                      <w:kern w:val="0"/>
                      <w:szCs w:val="21"/>
                    </w:rPr>
                    <w:t>备 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w:t>
                  </w:r>
                </w:p>
              </w:tc>
              <w:tc>
                <w:tcPr>
                  <w:tcW w:w="3558" w:type="dxa"/>
                  <w:gridSpan w:val="3"/>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总用地面积</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kern w:val="0"/>
                      <w:szCs w:val="21"/>
                    </w:rPr>
                    <w:t>5520</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restart"/>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其中</w:t>
                  </w:r>
                </w:p>
              </w:tc>
              <w:tc>
                <w:tcPr>
                  <w:tcW w:w="2372"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维修保养区</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kern w:val="0"/>
                      <w:szCs w:val="21"/>
                    </w:rPr>
                    <w:t>2000</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其中</w:t>
                  </w: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配电房</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21</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钣金储物室</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21</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机油库</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21</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消防控制室</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13</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杂物间</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30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kern w:val="0"/>
                      <w:szCs w:val="21"/>
                    </w:rPr>
                    <w:t>一般固废暂存间</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kern w:val="0"/>
                      <w:szCs w:val="21"/>
                    </w:rPr>
                    <w:t>10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烤漆房</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30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员工休息室</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13</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卫生间</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14</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保修件库</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14</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工具库</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46（14+35）</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1F，两间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校正工具库</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18</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零件清洗间</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14</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大修间</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14</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配件库</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kern w:val="0"/>
                      <w:szCs w:val="21"/>
                    </w:rPr>
                    <w:t>6</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修理工位</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kern w:val="0"/>
                      <w:szCs w:val="21"/>
                    </w:rPr>
                    <w:t>568</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r>
                    <w:rPr>
                      <w:rFonts w:hint="eastAsia"/>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kern w:val="0"/>
                      <w:szCs w:val="21"/>
                    </w:rPr>
                    <w:t>钣金区</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rFonts w:hint="eastAsia"/>
                      <w:kern w:val="0"/>
                      <w:szCs w:val="21"/>
                    </w:rPr>
                    <w:t>568</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r>
                    <w:rPr>
                      <w:rFonts w:hint="eastAsia"/>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rFonts w:hint="eastAsia"/>
                      <w:kern w:val="0"/>
                      <w:szCs w:val="21"/>
                    </w:rPr>
                    <w:t>洗车区</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r>
                    <w:rPr>
                      <w:rFonts w:hint="eastAsia"/>
                      <w:kern w:val="0"/>
                      <w:szCs w:val="21"/>
                    </w:rPr>
                    <w:t>569</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r>
                    <w:rPr>
                      <w:rFonts w:hint="eastAsia"/>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799"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573"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szCs w:val="21"/>
                    </w:rPr>
                    <w:t>危废暂存间</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szCs w:val="21"/>
                    </w:rPr>
                    <w:t>10</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r>
                    <w:rPr>
                      <w:rFonts w:hint="eastAsia"/>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2372"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新车展厅</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kern w:val="0"/>
                      <w:szCs w:val="21"/>
                    </w:rPr>
                    <w:t>2000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2372"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消防通道</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530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1186" w:type="dxa"/>
                  <w:vMerge w:val="continue"/>
                  <w:tcBorders>
                    <w:tl2br w:val="nil"/>
                    <w:tr2bl w:val="nil"/>
                  </w:tcBorders>
                  <w:shd w:val="clear" w:color="auto" w:fill="auto"/>
                  <w:tcMar>
                    <w:top w:w="15" w:type="dxa"/>
                    <w:left w:w="15" w:type="dxa"/>
                    <w:right w:w="15" w:type="dxa"/>
                  </w:tcMar>
                  <w:vAlign w:val="center"/>
                </w:tcPr>
                <w:p>
                  <w:pPr>
                    <w:jc w:val="center"/>
                    <w:rPr>
                      <w:szCs w:val="21"/>
                    </w:rPr>
                  </w:pPr>
                </w:p>
              </w:tc>
              <w:tc>
                <w:tcPr>
                  <w:tcW w:w="2372" w:type="dxa"/>
                  <w:gridSpan w:val="2"/>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办公区</w:t>
                  </w:r>
                  <w:r>
                    <w:rPr>
                      <w:rFonts w:hint="eastAsia"/>
                      <w:kern w:val="0"/>
                      <w:szCs w:val="21"/>
                    </w:rPr>
                    <w:t>、食堂</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szCs w:val="21"/>
                    </w:rPr>
                    <w:t>m</w:t>
                  </w:r>
                  <w:r>
                    <w:rPr>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rFonts w:hint="eastAsia"/>
                      <w:kern w:val="0"/>
                      <w:szCs w:val="21"/>
                    </w:rPr>
                    <w:t>990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szCs w:val="21"/>
                    </w:rPr>
                  </w:pPr>
                  <w:r>
                    <w:rPr>
                      <w:kern w:val="0"/>
                      <w:szCs w:val="21"/>
                    </w:rPr>
                    <w:t>1F与2F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tcBorders>
                    <w:tl2br w:val="nil"/>
                    <w:tr2bl w:val="nil"/>
                  </w:tcBorders>
                  <w:shd w:val="clear" w:color="auto" w:fill="auto"/>
                  <w:tcMar>
                    <w:top w:w="15" w:type="dxa"/>
                    <w:left w:w="15" w:type="dxa"/>
                    <w:right w:w="15" w:type="dxa"/>
                  </w:tcMar>
                  <w:vAlign w:val="center"/>
                </w:tcPr>
                <w:p>
                  <w:pPr>
                    <w:jc w:val="center"/>
                    <w:rPr>
                      <w:szCs w:val="21"/>
                    </w:rPr>
                  </w:pPr>
                  <w:r>
                    <w:rPr>
                      <w:szCs w:val="21"/>
                    </w:rPr>
                    <w:t>3</w:t>
                  </w:r>
                </w:p>
              </w:tc>
              <w:tc>
                <w:tcPr>
                  <w:tcW w:w="3558" w:type="dxa"/>
                  <w:gridSpan w:val="3"/>
                  <w:tcBorders>
                    <w:tl2br w:val="nil"/>
                    <w:tr2bl w:val="nil"/>
                  </w:tcBorders>
                  <w:shd w:val="clear" w:color="auto" w:fill="auto"/>
                  <w:tcMar>
                    <w:top w:w="15" w:type="dxa"/>
                    <w:left w:w="15" w:type="dxa"/>
                    <w:right w:w="15" w:type="dxa"/>
                  </w:tcMar>
                  <w:vAlign w:val="center"/>
                </w:tcPr>
                <w:p>
                  <w:pPr>
                    <w:jc w:val="center"/>
                    <w:rPr>
                      <w:kern w:val="0"/>
                      <w:szCs w:val="21"/>
                    </w:rPr>
                  </w:pPr>
                  <w:r>
                    <w:rPr>
                      <w:szCs w:val="21"/>
                    </w:rPr>
                    <w:t>项目总投资</w:t>
                  </w:r>
                </w:p>
              </w:tc>
              <w:tc>
                <w:tcPr>
                  <w:tcW w:w="1186" w:type="dxa"/>
                  <w:tcBorders>
                    <w:tl2br w:val="nil"/>
                    <w:tr2bl w:val="nil"/>
                  </w:tcBorders>
                  <w:shd w:val="clear" w:color="auto" w:fill="auto"/>
                  <w:tcMar>
                    <w:top w:w="15" w:type="dxa"/>
                    <w:left w:w="15" w:type="dxa"/>
                    <w:right w:w="15" w:type="dxa"/>
                  </w:tcMar>
                  <w:vAlign w:val="center"/>
                </w:tcPr>
                <w:p>
                  <w:pPr>
                    <w:jc w:val="center"/>
                    <w:rPr>
                      <w:szCs w:val="21"/>
                    </w:rPr>
                  </w:pPr>
                  <w:r>
                    <w:rPr>
                      <w:szCs w:val="21"/>
                    </w:rPr>
                    <w:t>万元</w:t>
                  </w:r>
                </w:p>
              </w:tc>
              <w:tc>
                <w:tcPr>
                  <w:tcW w:w="1186" w:type="dxa"/>
                  <w:tcBorders>
                    <w:tl2br w:val="nil"/>
                    <w:tr2bl w:val="nil"/>
                  </w:tcBorders>
                  <w:shd w:val="clear" w:color="auto" w:fill="auto"/>
                  <w:tcMar>
                    <w:top w:w="15" w:type="dxa"/>
                    <w:left w:w="15" w:type="dxa"/>
                    <w:right w:w="15" w:type="dxa"/>
                  </w:tcMar>
                  <w:vAlign w:val="center"/>
                </w:tcPr>
                <w:p>
                  <w:pPr>
                    <w:jc w:val="center"/>
                    <w:rPr>
                      <w:kern w:val="0"/>
                      <w:szCs w:val="21"/>
                    </w:rPr>
                  </w:pPr>
                  <w:r>
                    <w:rPr>
                      <w:rFonts w:hint="eastAsia"/>
                      <w:szCs w:val="21"/>
                    </w:rPr>
                    <w:t>1</w:t>
                  </w:r>
                  <w:r>
                    <w:rPr>
                      <w:szCs w:val="21"/>
                    </w:rPr>
                    <w:t>000</w:t>
                  </w:r>
                </w:p>
              </w:tc>
              <w:tc>
                <w:tcPr>
                  <w:tcW w:w="1186" w:type="dxa"/>
                  <w:tcBorders>
                    <w:tl2br w:val="nil"/>
                    <w:tr2bl w:val="nil"/>
                  </w:tcBorders>
                  <w:shd w:val="clear" w:color="auto" w:fill="auto"/>
                  <w:tcMar>
                    <w:top w:w="15" w:type="dxa"/>
                    <w:left w:w="15" w:type="dxa"/>
                    <w:right w:w="15" w:type="dxa"/>
                  </w:tcMar>
                  <w:vAlign w:val="center"/>
                </w:tcPr>
                <w:p>
                  <w:pPr>
                    <w:widowControl/>
                    <w:jc w:val="center"/>
                    <w:textAlignment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shd w:val="clear" w:color="auto" w:fill="auto"/>
                </w:tcPr>
                <w:p>
                  <w:pPr>
                    <w:jc w:val="center"/>
                    <w:rPr>
                      <w:szCs w:val="21"/>
                    </w:rPr>
                  </w:pPr>
                  <w:r>
                    <w:rPr>
                      <w:szCs w:val="21"/>
                    </w:rPr>
                    <w:t>4</w:t>
                  </w:r>
                </w:p>
              </w:tc>
              <w:tc>
                <w:tcPr>
                  <w:tcW w:w="3558" w:type="dxa"/>
                  <w:gridSpan w:val="3"/>
                  <w:shd w:val="clear" w:color="auto" w:fill="auto"/>
                  <w:vAlign w:val="center"/>
                </w:tcPr>
                <w:p>
                  <w:pPr>
                    <w:jc w:val="center"/>
                    <w:rPr>
                      <w:kern w:val="0"/>
                      <w:szCs w:val="21"/>
                    </w:rPr>
                  </w:pPr>
                  <w:r>
                    <w:rPr>
                      <w:szCs w:val="21"/>
                    </w:rPr>
                    <w:t>总劳动定员</w:t>
                  </w:r>
                </w:p>
              </w:tc>
              <w:tc>
                <w:tcPr>
                  <w:tcW w:w="1186" w:type="dxa"/>
                  <w:shd w:val="clear" w:color="auto" w:fill="auto"/>
                  <w:vAlign w:val="center"/>
                </w:tcPr>
                <w:p>
                  <w:pPr>
                    <w:jc w:val="center"/>
                    <w:rPr>
                      <w:szCs w:val="21"/>
                    </w:rPr>
                  </w:pPr>
                  <w:r>
                    <w:rPr>
                      <w:szCs w:val="21"/>
                    </w:rPr>
                    <w:t>人</w:t>
                  </w:r>
                </w:p>
              </w:tc>
              <w:tc>
                <w:tcPr>
                  <w:tcW w:w="1186" w:type="dxa"/>
                  <w:shd w:val="clear" w:color="auto" w:fill="auto"/>
                  <w:vAlign w:val="center"/>
                </w:tcPr>
                <w:p>
                  <w:pPr>
                    <w:jc w:val="center"/>
                    <w:rPr>
                      <w:kern w:val="0"/>
                      <w:szCs w:val="21"/>
                    </w:rPr>
                  </w:pPr>
                  <w:r>
                    <w:rPr>
                      <w:szCs w:val="21"/>
                    </w:rPr>
                    <w:t>60</w:t>
                  </w:r>
                </w:p>
              </w:tc>
              <w:tc>
                <w:tcPr>
                  <w:tcW w:w="1186" w:type="dxa"/>
                  <w:shd w:val="clear" w:color="auto" w:fill="auto"/>
                </w:tcPr>
                <w:p>
                  <w:pPr>
                    <w:widowControl/>
                    <w:jc w:val="center"/>
                    <w:textAlignment w:val="center"/>
                    <w:rPr>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86" w:type="dxa"/>
                  <w:shd w:val="clear" w:color="auto" w:fill="auto"/>
                </w:tcPr>
                <w:p>
                  <w:pPr>
                    <w:jc w:val="center"/>
                    <w:rPr>
                      <w:szCs w:val="21"/>
                    </w:rPr>
                  </w:pPr>
                  <w:r>
                    <w:rPr>
                      <w:szCs w:val="21"/>
                    </w:rPr>
                    <w:t>5</w:t>
                  </w:r>
                </w:p>
              </w:tc>
              <w:tc>
                <w:tcPr>
                  <w:tcW w:w="3558" w:type="dxa"/>
                  <w:gridSpan w:val="3"/>
                  <w:shd w:val="clear" w:color="auto" w:fill="auto"/>
                  <w:vAlign w:val="center"/>
                </w:tcPr>
                <w:p>
                  <w:pPr>
                    <w:jc w:val="center"/>
                    <w:rPr>
                      <w:kern w:val="0"/>
                      <w:szCs w:val="21"/>
                    </w:rPr>
                  </w:pPr>
                  <w:r>
                    <w:rPr>
                      <w:szCs w:val="21"/>
                    </w:rPr>
                    <w:t>年工作制度</w:t>
                  </w:r>
                </w:p>
              </w:tc>
              <w:tc>
                <w:tcPr>
                  <w:tcW w:w="1186" w:type="dxa"/>
                  <w:shd w:val="clear" w:color="auto" w:fill="auto"/>
                  <w:vAlign w:val="center"/>
                </w:tcPr>
                <w:p>
                  <w:pPr>
                    <w:jc w:val="center"/>
                    <w:rPr>
                      <w:szCs w:val="21"/>
                    </w:rPr>
                  </w:pPr>
                  <w:r>
                    <w:rPr>
                      <w:szCs w:val="21"/>
                    </w:rPr>
                    <w:t>天</w:t>
                  </w:r>
                </w:p>
              </w:tc>
              <w:tc>
                <w:tcPr>
                  <w:tcW w:w="1186" w:type="dxa"/>
                  <w:shd w:val="clear" w:color="auto" w:fill="auto"/>
                  <w:vAlign w:val="center"/>
                </w:tcPr>
                <w:p>
                  <w:pPr>
                    <w:jc w:val="center"/>
                    <w:rPr>
                      <w:kern w:val="0"/>
                      <w:szCs w:val="21"/>
                    </w:rPr>
                  </w:pPr>
                  <w:r>
                    <w:rPr>
                      <w:szCs w:val="21"/>
                    </w:rPr>
                    <w:t>300</w:t>
                  </w:r>
                </w:p>
              </w:tc>
              <w:tc>
                <w:tcPr>
                  <w:tcW w:w="1186" w:type="dxa"/>
                  <w:shd w:val="clear" w:color="auto" w:fill="auto"/>
                </w:tcPr>
                <w:p>
                  <w:pPr>
                    <w:widowControl/>
                    <w:jc w:val="center"/>
                    <w:textAlignment w:val="center"/>
                    <w:rPr>
                      <w:kern w:val="0"/>
                      <w:szCs w:val="21"/>
                    </w:rPr>
                  </w:pPr>
                </w:p>
              </w:tc>
            </w:tr>
          </w:tbl>
          <w:p>
            <w:pPr>
              <w:rPr>
                <w:b/>
                <w:sz w:val="24"/>
                <w:szCs w:val="24"/>
              </w:rPr>
            </w:pPr>
          </w:p>
          <w:p>
            <w:pPr>
              <w:spacing w:line="360" w:lineRule="auto"/>
              <w:rPr>
                <w:b/>
                <w:sz w:val="24"/>
                <w:szCs w:val="24"/>
              </w:rPr>
            </w:pPr>
            <w:r>
              <w:rPr>
                <w:b/>
                <w:sz w:val="24"/>
                <w:szCs w:val="24"/>
              </w:rPr>
              <w:t>2.3主要生产设备</w:t>
            </w:r>
          </w:p>
          <w:p>
            <w:pPr>
              <w:spacing w:line="360" w:lineRule="auto"/>
              <w:ind w:firstLine="480" w:firstLineChars="200"/>
              <w:rPr>
                <w:sz w:val="24"/>
                <w:szCs w:val="24"/>
              </w:rPr>
            </w:pPr>
            <w:r>
              <w:rPr>
                <w:sz w:val="24"/>
                <w:szCs w:val="24"/>
              </w:rPr>
              <w:t>项目主要设备见表1-3</w:t>
            </w:r>
          </w:p>
          <w:p>
            <w:pPr>
              <w:widowControl/>
              <w:snapToGrid w:val="0"/>
              <w:ind w:firstLine="480"/>
              <w:jc w:val="center"/>
            </w:pPr>
            <w:r>
              <w:rPr>
                <w:b/>
                <w:bCs/>
                <w:kern w:val="0"/>
                <w:szCs w:val="21"/>
              </w:rPr>
              <w:t>表1-3  主要设备一览表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950"/>
              <w:gridCol w:w="1755"/>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b/>
                      <w:bCs/>
                      <w:kern w:val="0"/>
                      <w:szCs w:val="21"/>
                    </w:rPr>
                  </w:pPr>
                  <w:r>
                    <w:rPr>
                      <w:rFonts w:hint="eastAsia"/>
                      <w:b/>
                      <w:bCs/>
                      <w:kern w:val="0"/>
                      <w:szCs w:val="21"/>
                    </w:rPr>
                    <w:t>序号</w:t>
                  </w:r>
                </w:p>
              </w:tc>
              <w:tc>
                <w:tcPr>
                  <w:tcW w:w="1950" w:type="dxa"/>
                  <w:vAlign w:val="center"/>
                </w:tcPr>
                <w:p>
                  <w:pPr>
                    <w:widowControl/>
                    <w:jc w:val="center"/>
                    <w:rPr>
                      <w:b/>
                      <w:bCs/>
                      <w:kern w:val="0"/>
                      <w:szCs w:val="21"/>
                    </w:rPr>
                  </w:pPr>
                  <w:r>
                    <w:rPr>
                      <w:rFonts w:hint="eastAsia"/>
                      <w:b/>
                      <w:bCs/>
                      <w:kern w:val="0"/>
                      <w:szCs w:val="21"/>
                    </w:rPr>
                    <w:t>名称</w:t>
                  </w:r>
                </w:p>
              </w:tc>
              <w:tc>
                <w:tcPr>
                  <w:tcW w:w="1755" w:type="dxa"/>
                  <w:vAlign w:val="center"/>
                </w:tcPr>
                <w:p>
                  <w:pPr>
                    <w:widowControl/>
                    <w:jc w:val="center"/>
                    <w:rPr>
                      <w:b/>
                      <w:bCs/>
                      <w:kern w:val="0"/>
                      <w:szCs w:val="21"/>
                    </w:rPr>
                  </w:pPr>
                  <w:r>
                    <w:rPr>
                      <w:rFonts w:hint="eastAsia"/>
                      <w:b/>
                      <w:bCs/>
                      <w:kern w:val="0"/>
                      <w:szCs w:val="21"/>
                    </w:rPr>
                    <w:t>规格型号</w:t>
                  </w:r>
                </w:p>
              </w:tc>
              <w:tc>
                <w:tcPr>
                  <w:tcW w:w="1688" w:type="dxa"/>
                  <w:vAlign w:val="center"/>
                </w:tcPr>
                <w:p>
                  <w:pPr>
                    <w:widowControl/>
                    <w:jc w:val="center"/>
                    <w:rPr>
                      <w:b/>
                      <w:bCs/>
                      <w:kern w:val="0"/>
                      <w:szCs w:val="21"/>
                    </w:rPr>
                  </w:pPr>
                  <w:r>
                    <w:rPr>
                      <w:rFonts w:hint="eastAsia"/>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1</w:t>
                  </w:r>
                </w:p>
              </w:tc>
              <w:tc>
                <w:tcPr>
                  <w:tcW w:w="1950" w:type="dxa"/>
                  <w:vAlign w:val="center"/>
                </w:tcPr>
                <w:p>
                  <w:pPr>
                    <w:widowControl/>
                    <w:jc w:val="center"/>
                    <w:rPr>
                      <w:kern w:val="0"/>
                      <w:szCs w:val="21"/>
                    </w:rPr>
                  </w:pPr>
                  <w:r>
                    <w:rPr>
                      <w:rFonts w:hint="eastAsia"/>
                      <w:kern w:val="0"/>
                      <w:szCs w:val="21"/>
                    </w:rPr>
                    <w:t>举升机</w:t>
                  </w:r>
                </w:p>
              </w:tc>
              <w:tc>
                <w:tcPr>
                  <w:tcW w:w="1755" w:type="dxa"/>
                  <w:vAlign w:val="center"/>
                </w:tcPr>
                <w:p>
                  <w:pPr>
                    <w:widowControl/>
                    <w:jc w:val="center"/>
                    <w:rPr>
                      <w:kern w:val="0"/>
                      <w:szCs w:val="21"/>
                    </w:rPr>
                  </w:pPr>
                  <w:r>
                    <w:rPr>
                      <w:rFonts w:hint="eastAsia"/>
                      <w:kern w:val="0"/>
                      <w:szCs w:val="21"/>
                    </w:rPr>
                    <w:t>4.5t</w:t>
                  </w:r>
                </w:p>
              </w:tc>
              <w:tc>
                <w:tcPr>
                  <w:tcW w:w="1688" w:type="dxa"/>
                  <w:vAlign w:val="center"/>
                </w:tcPr>
                <w:p>
                  <w:pPr>
                    <w:widowControl/>
                    <w:jc w:val="center"/>
                    <w:rPr>
                      <w:kern w:val="0"/>
                      <w:szCs w:val="21"/>
                    </w:rPr>
                  </w:pPr>
                  <w:r>
                    <w:rPr>
                      <w:rFonts w:hint="eastAsia"/>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2</w:t>
                  </w:r>
                </w:p>
              </w:tc>
              <w:tc>
                <w:tcPr>
                  <w:tcW w:w="1950" w:type="dxa"/>
                  <w:vAlign w:val="center"/>
                </w:tcPr>
                <w:p>
                  <w:pPr>
                    <w:widowControl/>
                    <w:jc w:val="center"/>
                    <w:rPr>
                      <w:kern w:val="0"/>
                      <w:szCs w:val="21"/>
                    </w:rPr>
                  </w:pPr>
                  <w:r>
                    <w:rPr>
                      <w:rFonts w:hint="eastAsia"/>
                      <w:kern w:val="0"/>
                      <w:szCs w:val="21"/>
                    </w:rPr>
                    <w:t>千斤顶</w:t>
                  </w:r>
                </w:p>
              </w:tc>
              <w:tc>
                <w:tcPr>
                  <w:tcW w:w="1755" w:type="dxa"/>
                  <w:vAlign w:val="center"/>
                </w:tcPr>
                <w:p>
                  <w:pPr>
                    <w:widowControl/>
                    <w:jc w:val="center"/>
                    <w:rPr>
                      <w:kern w:val="0"/>
                      <w:szCs w:val="21"/>
                    </w:rPr>
                  </w:pPr>
                  <w:r>
                    <w:rPr>
                      <w:rFonts w:hint="eastAsia"/>
                      <w:kern w:val="0"/>
                      <w:szCs w:val="21"/>
                    </w:rPr>
                    <w:t>2t</w:t>
                  </w:r>
                </w:p>
              </w:tc>
              <w:tc>
                <w:tcPr>
                  <w:tcW w:w="1688" w:type="dxa"/>
                  <w:vAlign w:val="center"/>
                </w:tcPr>
                <w:p>
                  <w:pPr>
                    <w:widowControl/>
                    <w:jc w:val="center"/>
                    <w:rPr>
                      <w:kern w:val="0"/>
                      <w:szCs w:val="21"/>
                    </w:rPr>
                  </w:pPr>
                  <w:r>
                    <w:rPr>
                      <w:rFonts w:hint="eastAsia"/>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3</w:t>
                  </w:r>
                </w:p>
              </w:tc>
              <w:tc>
                <w:tcPr>
                  <w:tcW w:w="1950" w:type="dxa"/>
                  <w:vAlign w:val="center"/>
                </w:tcPr>
                <w:p>
                  <w:pPr>
                    <w:widowControl/>
                    <w:jc w:val="center"/>
                    <w:rPr>
                      <w:kern w:val="0"/>
                      <w:szCs w:val="21"/>
                    </w:rPr>
                  </w:pPr>
                  <w:r>
                    <w:rPr>
                      <w:rFonts w:hint="eastAsia"/>
                      <w:kern w:val="0"/>
                      <w:szCs w:val="21"/>
                    </w:rPr>
                    <w:t>空压机</w:t>
                  </w:r>
                </w:p>
              </w:tc>
              <w:tc>
                <w:tcPr>
                  <w:tcW w:w="1755" w:type="dxa"/>
                  <w:vAlign w:val="center"/>
                </w:tcPr>
                <w:p>
                  <w:pPr>
                    <w:widowControl/>
                    <w:jc w:val="center"/>
                    <w:rPr>
                      <w:kern w:val="0"/>
                      <w:szCs w:val="21"/>
                    </w:rPr>
                  </w:pPr>
                  <w:r>
                    <w:rPr>
                      <w:rFonts w:hint="eastAsia"/>
                      <w:kern w:val="0"/>
                      <w:szCs w:val="21"/>
                    </w:rPr>
                    <w:t>1.75M</w:t>
                  </w:r>
                  <w:r>
                    <w:rPr>
                      <w:rFonts w:hint="eastAsia"/>
                      <w:kern w:val="0"/>
                      <w:szCs w:val="21"/>
                      <w:vertAlign w:val="superscript"/>
                    </w:rPr>
                    <w:t>3</w:t>
                  </w:r>
                  <w:r>
                    <w:rPr>
                      <w:rFonts w:hint="eastAsia"/>
                      <w:kern w:val="0"/>
                      <w:szCs w:val="21"/>
                    </w:rPr>
                    <w:t>/min</w:t>
                  </w:r>
                </w:p>
              </w:tc>
              <w:tc>
                <w:tcPr>
                  <w:tcW w:w="1688" w:type="dxa"/>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4</w:t>
                  </w:r>
                </w:p>
              </w:tc>
              <w:tc>
                <w:tcPr>
                  <w:tcW w:w="1950" w:type="dxa"/>
                  <w:vAlign w:val="center"/>
                </w:tcPr>
                <w:p>
                  <w:pPr>
                    <w:widowControl/>
                    <w:jc w:val="center"/>
                    <w:rPr>
                      <w:kern w:val="0"/>
                      <w:szCs w:val="21"/>
                    </w:rPr>
                  </w:pPr>
                  <w:r>
                    <w:rPr>
                      <w:rFonts w:hint="eastAsia"/>
                      <w:kern w:val="0"/>
                      <w:szCs w:val="21"/>
                    </w:rPr>
                    <w:t>四轮定位</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5</w:t>
                  </w:r>
                </w:p>
              </w:tc>
              <w:tc>
                <w:tcPr>
                  <w:tcW w:w="1950" w:type="dxa"/>
                  <w:vAlign w:val="center"/>
                </w:tcPr>
                <w:p>
                  <w:pPr>
                    <w:widowControl/>
                    <w:jc w:val="center"/>
                    <w:rPr>
                      <w:kern w:val="0"/>
                      <w:szCs w:val="21"/>
                    </w:rPr>
                  </w:pPr>
                  <w:r>
                    <w:rPr>
                      <w:rFonts w:hint="eastAsia"/>
                      <w:kern w:val="0"/>
                      <w:szCs w:val="21"/>
                    </w:rPr>
                    <w:t>废油收集机</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6</w:t>
                  </w:r>
                </w:p>
              </w:tc>
              <w:tc>
                <w:tcPr>
                  <w:tcW w:w="1950" w:type="dxa"/>
                  <w:vAlign w:val="center"/>
                </w:tcPr>
                <w:p>
                  <w:pPr>
                    <w:widowControl/>
                    <w:jc w:val="center"/>
                    <w:rPr>
                      <w:kern w:val="0"/>
                      <w:szCs w:val="21"/>
                    </w:rPr>
                  </w:pPr>
                  <w:r>
                    <w:rPr>
                      <w:rFonts w:hint="eastAsia"/>
                      <w:kern w:val="0"/>
                      <w:szCs w:val="21"/>
                    </w:rPr>
                    <w:t>高压清洗机</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7</w:t>
                  </w:r>
                </w:p>
              </w:tc>
              <w:tc>
                <w:tcPr>
                  <w:tcW w:w="1950" w:type="dxa"/>
                  <w:vAlign w:val="center"/>
                </w:tcPr>
                <w:p>
                  <w:pPr>
                    <w:widowControl/>
                    <w:jc w:val="center"/>
                    <w:rPr>
                      <w:kern w:val="0"/>
                      <w:szCs w:val="21"/>
                    </w:rPr>
                  </w:pPr>
                  <w:r>
                    <w:rPr>
                      <w:rFonts w:hint="eastAsia"/>
                      <w:kern w:val="0"/>
                      <w:szCs w:val="21"/>
                    </w:rPr>
                    <w:t>喷漆烤漆房</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8</w:t>
                  </w:r>
                </w:p>
              </w:tc>
              <w:tc>
                <w:tcPr>
                  <w:tcW w:w="1950" w:type="dxa"/>
                  <w:vAlign w:val="center"/>
                </w:tcPr>
                <w:p>
                  <w:pPr>
                    <w:widowControl/>
                    <w:jc w:val="center"/>
                    <w:rPr>
                      <w:kern w:val="0"/>
                      <w:szCs w:val="21"/>
                    </w:rPr>
                  </w:pPr>
                  <w:r>
                    <w:rPr>
                      <w:rFonts w:hint="eastAsia"/>
                      <w:kern w:val="0"/>
                      <w:szCs w:val="21"/>
                    </w:rPr>
                    <w:t>打磨系统</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9</w:t>
                  </w:r>
                </w:p>
              </w:tc>
              <w:tc>
                <w:tcPr>
                  <w:tcW w:w="1950" w:type="dxa"/>
                  <w:vAlign w:val="center"/>
                </w:tcPr>
                <w:p>
                  <w:pPr>
                    <w:widowControl/>
                    <w:jc w:val="center"/>
                    <w:rPr>
                      <w:kern w:val="0"/>
                      <w:szCs w:val="21"/>
                    </w:rPr>
                  </w:pPr>
                  <w:r>
                    <w:rPr>
                      <w:rFonts w:hint="eastAsia"/>
                      <w:kern w:val="0"/>
                      <w:szCs w:val="21"/>
                    </w:rPr>
                    <w:t>切割机</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widowControl/>
                    <w:jc w:val="center"/>
                    <w:rPr>
                      <w:kern w:val="0"/>
                      <w:szCs w:val="21"/>
                    </w:rPr>
                  </w:pPr>
                  <w:r>
                    <w:rPr>
                      <w:rFonts w:hint="eastAsia"/>
                      <w:kern w:val="0"/>
                      <w:szCs w:val="21"/>
                    </w:rPr>
                    <w:t>10</w:t>
                  </w:r>
                </w:p>
              </w:tc>
              <w:tc>
                <w:tcPr>
                  <w:tcW w:w="1950" w:type="dxa"/>
                  <w:vAlign w:val="center"/>
                </w:tcPr>
                <w:p>
                  <w:pPr>
                    <w:widowControl/>
                    <w:jc w:val="center"/>
                    <w:rPr>
                      <w:kern w:val="0"/>
                      <w:szCs w:val="21"/>
                    </w:rPr>
                  </w:pPr>
                  <w:r>
                    <w:rPr>
                      <w:rFonts w:hint="eastAsia"/>
                      <w:kern w:val="0"/>
                      <w:szCs w:val="21"/>
                    </w:rPr>
                    <w:t>检测系统</w:t>
                  </w:r>
                </w:p>
              </w:tc>
              <w:tc>
                <w:tcPr>
                  <w:tcW w:w="1755" w:type="dxa"/>
                  <w:vAlign w:val="center"/>
                </w:tcPr>
                <w:p>
                  <w:pPr>
                    <w:widowControl/>
                    <w:jc w:val="center"/>
                    <w:rPr>
                      <w:kern w:val="0"/>
                      <w:szCs w:val="21"/>
                    </w:rPr>
                  </w:pPr>
                  <w:r>
                    <w:rPr>
                      <w:rFonts w:hint="eastAsia"/>
                      <w:kern w:val="0"/>
                      <w:szCs w:val="21"/>
                    </w:rPr>
                    <w:t>/</w:t>
                  </w:r>
                </w:p>
              </w:tc>
              <w:tc>
                <w:tcPr>
                  <w:tcW w:w="1688" w:type="dxa"/>
                  <w:vAlign w:val="center"/>
                </w:tcPr>
                <w:p>
                  <w:pPr>
                    <w:widowControl/>
                    <w:jc w:val="center"/>
                    <w:rPr>
                      <w:kern w:val="0"/>
                      <w:szCs w:val="21"/>
                    </w:rPr>
                  </w:pPr>
                  <w:r>
                    <w:rPr>
                      <w:rFonts w:hint="eastAsia"/>
                      <w:kern w:val="0"/>
                      <w:szCs w:val="21"/>
                    </w:rPr>
                    <w:t>1</w:t>
                  </w:r>
                </w:p>
              </w:tc>
            </w:tr>
          </w:tbl>
          <w:p>
            <w:pPr>
              <w:widowControl/>
              <w:spacing w:line="360" w:lineRule="auto"/>
              <w:ind w:firstLine="480" w:firstLineChars="200"/>
              <w:jc w:val="left"/>
              <w:rPr>
                <w:kern w:val="0"/>
                <w:sz w:val="24"/>
                <w:szCs w:val="24"/>
              </w:rPr>
            </w:pPr>
            <w:r>
              <w:rPr>
                <w:kern w:val="0"/>
                <w:sz w:val="24"/>
                <w:szCs w:val="24"/>
              </w:rPr>
              <w:t>根据《产业结构调整指导目录（2019年本）》和《部分工业行业淘汰落后生产工艺装备和产品指导目录（2010年本）》可知，项目所选设备均不属于国家淘汰和限制的产业类型，可满足正常营运的需要，且环评要求建设单位不得选用高噪声设备。</w:t>
            </w:r>
          </w:p>
          <w:p>
            <w:pPr>
              <w:spacing w:line="360" w:lineRule="auto"/>
              <w:rPr>
                <w:b/>
                <w:sz w:val="24"/>
                <w:szCs w:val="24"/>
              </w:rPr>
            </w:pPr>
            <w:r>
              <w:rPr>
                <w:b/>
                <w:sz w:val="24"/>
                <w:szCs w:val="24"/>
              </w:rPr>
              <w:t>2.4原辅材料与能源消耗</w:t>
            </w:r>
          </w:p>
          <w:p>
            <w:pPr>
              <w:spacing w:line="360" w:lineRule="auto"/>
              <w:ind w:firstLine="480" w:firstLineChars="200"/>
              <w:jc w:val="left"/>
              <w:rPr>
                <w:sz w:val="24"/>
                <w:szCs w:val="24"/>
              </w:rPr>
            </w:pPr>
            <w:r>
              <w:rPr>
                <w:sz w:val="24"/>
                <w:szCs w:val="24"/>
              </w:rPr>
              <w:t>根据建设方提供的资料，项目营运原辅材料消耗为油漆区的油漆及稀释剂、机修区的机油、汽车零配件等，主要能源消耗为水、电，其中油漆在喷烤漆工序平均使用量按1L/台、维修维护平均使用量0.125L/台，油漆与稀释剂使用量体积配比为2:1。</w:t>
            </w:r>
          </w:p>
          <w:p>
            <w:pPr>
              <w:spacing w:line="360" w:lineRule="auto"/>
              <w:ind w:firstLine="480" w:firstLineChars="200"/>
              <w:jc w:val="left"/>
              <w:rPr>
                <w:sz w:val="24"/>
                <w:szCs w:val="24"/>
              </w:rPr>
            </w:pPr>
            <w:r>
              <w:rPr>
                <w:sz w:val="24"/>
                <w:szCs w:val="24"/>
              </w:rPr>
              <w:t>具体消耗情况见表1-4。</w:t>
            </w:r>
          </w:p>
          <w:p>
            <w:pPr>
              <w:jc w:val="center"/>
              <w:rPr>
                <w:b/>
                <w:bCs/>
                <w:szCs w:val="21"/>
              </w:rPr>
            </w:pPr>
            <w:r>
              <w:rPr>
                <w:b/>
                <w:bCs/>
                <w:szCs w:val="21"/>
              </w:rPr>
              <w:t>表1-4   主要原辅材料与能源消耗表</w:t>
            </w:r>
          </w:p>
          <w:tbl>
            <w:tblPr>
              <w:tblStyle w:val="20"/>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77"/>
              <w:gridCol w:w="1936"/>
              <w:gridCol w:w="1189"/>
              <w:gridCol w:w="1230"/>
              <w:gridCol w:w="1155"/>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b/>
                      <w:bCs/>
                      <w:szCs w:val="21"/>
                    </w:rPr>
                  </w:pPr>
                  <w:r>
                    <w:rPr>
                      <w:b/>
                      <w:bCs/>
                      <w:szCs w:val="21"/>
                    </w:rPr>
                    <w:t>序号</w:t>
                  </w:r>
                </w:p>
              </w:tc>
              <w:tc>
                <w:tcPr>
                  <w:tcW w:w="1077" w:type="dxa"/>
                  <w:tcBorders>
                    <w:tl2br w:val="nil"/>
                    <w:tr2bl w:val="nil"/>
                  </w:tcBorders>
                  <w:vAlign w:val="center"/>
                </w:tcPr>
                <w:p>
                  <w:pPr>
                    <w:autoSpaceDE w:val="0"/>
                    <w:autoSpaceDN w:val="0"/>
                    <w:adjustRightInd w:val="0"/>
                    <w:jc w:val="center"/>
                    <w:rPr>
                      <w:b/>
                      <w:bCs/>
                      <w:kern w:val="0"/>
                      <w:szCs w:val="21"/>
                    </w:rPr>
                  </w:pPr>
                  <w:r>
                    <w:rPr>
                      <w:b/>
                      <w:bCs/>
                      <w:kern w:val="0"/>
                      <w:szCs w:val="21"/>
                    </w:rPr>
                    <w:t>名称</w:t>
                  </w:r>
                </w:p>
              </w:tc>
              <w:tc>
                <w:tcPr>
                  <w:tcW w:w="1936" w:type="dxa"/>
                  <w:tcBorders>
                    <w:tl2br w:val="nil"/>
                    <w:tr2bl w:val="nil"/>
                  </w:tcBorders>
                  <w:vAlign w:val="center"/>
                </w:tcPr>
                <w:p>
                  <w:pPr>
                    <w:autoSpaceDE w:val="0"/>
                    <w:autoSpaceDN w:val="0"/>
                    <w:adjustRightInd w:val="0"/>
                    <w:jc w:val="center"/>
                    <w:rPr>
                      <w:b/>
                      <w:bCs/>
                      <w:kern w:val="0"/>
                      <w:szCs w:val="21"/>
                    </w:rPr>
                  </w:pPr>
                  <w:r>
                    <w:rPr>
                      <w:b/>
                      <w:bCs/>
                      <w:kern w:val="0"/>
                      <w:szCs w:val="21"/>
                    </w:rPr>
                    <w:t>规格型号、组分</w:t>
                  </w:r>
                </w:p>
              </w:tc>
              <w:tc>
                <w:tcPr>
                  <w:tcW w:w="1189" w:type="dxa"/>
                  <w:tcBorders>
                    <w:tl2br w:val="nil"/>
                    <w:tr2bl w:val="nil"/>
                  </w:tcBorders>
                  <w:vAlign w:val="center"/>
                </w:tcPr>
                <w:p>
                  <w:pPr>
                    <w:autoSpaceDE w:val="0"/>
                    <w:autoSpaceDN w:val="0"/>
                    <w:adjustRightInd w:val="0"/>
                    <w:jc w:val="center"/>
                    <w:rPr>
                      <w:b/>
                      <w:bCs/>
                      <w:kern w:val="0"/>
                      <w:szCs w:val="21"/>
                    </w:rPr>
                  </w:pPr>
                  <w:r>
                    <w:rPr>
                      <w:b/>
                      <w:bCs/>
                      <w:kern w:val="0"/>
                      <w:szCs w:val="21"/>
                    </w:rPr>
                    <w:t>年耗量</w:t>
                  </w:r>
                  <w:r>
                    <w:rPr>
                      <w:rFonts w:hint="eastAsia"/>
                      <w:b/>
                      <w:bCs/>
                      <w:kern w:val="0"/>
                      <w:szCs w:val="21"/>
                    </w:rPr>
                    <w:t>（t/a）</w:t>
                  </w:r>
                </w:p>
              </w:tc>
              <w:tc>
                <w:tcPr>
                  <w:tcW w:w="1230" w:type="dxa"/>
                  <w:tcBorders>
                    <w:tl2br w:val="nil"/>
                    <w:tr2bl w:val="nil"/>
                  </w:tcBorders>
                  <w:vAlign w:val="center"/>
                </w:tcPr>
                <w:p>
                  <w:pPr>
                    <w:autoSpaceDE w:val="0"/>
                    <w:autoSpaceDN w:val="0"/>
                    <w:adjustRightInd w:val="0"/>
                    <w:jc w:val="center"/>
                    <w:rPr>
                      <w:b/>
                      <w:bCs/>
                      <w:kern w:val="0"/>
                      <w:szCs w:val="21"/>
                      <w:u w:val="none"/>
                    </w:rPr>
                  </w:pPr>
                  <w:r>
                    <w:rPr>
                      <w:b/>
                      <w:bCs/>
                      <w:kern w:val="0"/>
                      <w:szCs w:val="21"/>
                      <w:u w:val="none"/>
                    </w:rPr>
                    <w:t>储存方式/位置</w:t>
                  </w:r>
                </w:p>
              </w:tc>
              <w:tc>
                <w:tcPr>
                  <w:tcW w:w="1155" w:type="dxa"/>
                  <w:tcBorders>
                    <w:tl2br w:val="nil"/>
                    <w:tr2bl w:val="nil"/>
                  </w:tcBorders>
                  <w:vAlign w:val="center"/>
                </w:tcPr>
                <w:p>
                  <w:pPr>
                    <w:autoSpaceDE w:val="0"/>
                    <w:autoSpaceDN w:val="0"/>
                    <w:adjustRightInd w:val="0"/>
                    <w:jc w:val="center"/>
                    <w:rPr>
                      <w:b/>
                      <w:bCs/>
                      <w:kern w:val="0"/>
                      <w:szCs w:val="21"/>
                      <w:u w:val="single"/>
                    </w:rPr>
                  </w:pPr>
                  <w:r>
                    <w:rPr>
                      <w:b/>
                      <w:bCs/>
                      <w:kern w:val="0"/>
                      <w:szCs w:val="21"/>
                      <w:u w:val="single"/>
                    </w:rPr>
                    <w:t>最大储量</w:t>
                  </w:r>
                  <w:r>
                    <w:rPr>
                      <w:rFonts w:hint="eastAsia"/>
                      <w:b/>
                      <w:bCs/>
                      <w:kern w:val="0"/>
                      <w:szCs w:val="21"/>
                      <w:u w:val="single"/>
                    </w:rPr>
                    <w:t>（t/a）</w:t>
                  </w:r>
                </w:p>
              </w:tc>
              <w:tc>
                <w:tcPr>
                  <w:tcW w:w="1268" w:type="dxa"/>
                  <w:tcBorders>
                    <w:tl2br w:val="nil"/>
                    <w:tr2bl w:val="nil"/>
                  </w:tcBorders>
                  <w:vAlign w:val="center"/>
                </w:tcPr>
                <w:p>
                  <w:pPr>
                    <w:jc w:val="center"/>
                    <w:rPr>
                      <w:b/>
                      <w:bCs/>
                      <w:szCs w:val="21"/>
                    </w:rPr>
                  </w:pPr>
                  <w:r>
                    <w:rPr>
                      <w:b/>
                      <w:bCs/>
                      <w:kern w:val="0"/>
                      <w:szCs w:val="21"/>
                    </w:rPr>
                    <w:t>来源及运输方式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1</w:t>
                  </w:r>
                </w:p>
              </w:tc>
              <w:tc>
                <w:tcPr>
                  <w:tcW w:w="1077" w:type="dxa"/>
                  <w:tcBorders>
                    <w:tl2br w:val="nil"/>
                    <w:tr2bl w:val="nil"/>
                  </w:tcBorders>
                  <w:vAlign w:val="center"/>
                </w:tcPr>
                <w:p>
                  <w:pPr>
                    <w:jc w:val="center"/>
                    <w:rPr>
                      <w:szCs w:val="21"/>
                    </w:rPr>
                  </w:pPr>
                  <w:r>
                    <w:rPr>
                      <w:rFonts w:hint="eastAsia"/>
                      <w:szCs w:val="21"/>
                    </w:rPr>
                    <w:t>汽车配件及零部件</w:t>
                  </w:r>
                </w:p>
              </w:tc>
              <w:tc>
                <w:tcPr>
                  <w:tcW w:w="1936" w:type="dxa"/>
                  <w:tcBorders>
                    <w:tl2br w:val="nil"/>
                    <w:tr2bl w:val="nil"/>
                  </w:tcBorders>
                  <w:vAlign w:val="center"/>
                </w:tcPr>
                <w:p>
                  <w:pPr>
                    <w:autoSpaceDE w:val="0"/>
                    <w:autoSpaceDN w:val="0"/>
                    <w:adjustRightInd w:val="0"/>
                    <w:jc w:val="center"/>
                    <w:rPr>
                      <w:kern w:val="0"/>
                      <w:szCs w:val="21"/>
                    </w:rPr>
                  </w:pPr>
                  <w:r>
                    <w:rPr>
                      <w:rFonts w:hint="eastAsia"/>
                      <w:kern w:val="0"/>
                      <w:szCs w:val="21"/>
                    </w:rPr>
                    <w:t>/</w:t>
                  </w:r>
                </w:p>
              </w:tc>
              <w:tc>
                <w:tcPr>
                  <w:tcW w:w="1189" w:type="dxa"/>
                  <w:tcBorders>
                    <w:tl2br w:val="nil"/>
                    <w:tr2bl w:val="nil"/>
                  </w:tcBorders>
                  <w:vAlign w:val="center"/>
                </w:tcPr>
                <w:p>
                  <w:pPr>
                    <w:jc w:val="center"/>
                    <w:rPr>
                      <w:szCs w:val="21"/>
                      <w:u w:val="single"/>
                    </w:rPr>
                  </w:pPr>
                  <w:r>
                    <w:rPr>
                      <w:rFonts w:hint="eastAsia"/>
                      <w:szCs w:val="21"/>
                      <w:u w:val="single"/>
                    </w:rPr>
                    <w:t>1万个</w:t>
                  </w:r>
                </w:p>
              </w:tc>
              <w:tc>
                <w:tcPr>
                  <w:tcW w:w="1230" w:type="dxa"/>
                  <w:tcBorders>
                    <w:tl2br w:val="nil"/>
                    <w:tr2bl w:val="nil"/>
                  </w:tcBorders>
                  <w:vAlign w:val="center"/>
                </w:tcPr>
                <w:p>
                  <w:pPr>
                    <w:jc w:val="center"/>
                    <w:rPr>
                      <w:szCs w:val="21"/>
                      <w:u w:val="none"/>
                    </w:rPr>
                  </w:pPr>
                  <w:r>
                    <w:rPr>
                      <w:rFonts w:hint="eastAsia"/>
                      <w:szCs w:val="21"/>
                      <w:u w:val="none"/>
                    </w:rPr>
                    <w:t>喷漆间</w:t>
                  </w:r>
                </w:p>
              </w:tc>
              <w:tc>
                <w:tcPr>
                  <w:tcW w:w="1155" w:type="dxa"/>
                  <w:tcBorders>
                    <w:tl2br w:val="nil"/>
                    <w:tr2bl w:val="nil"/>
                  </w:tcBorders>
                  <w:vAlign w:val="center"/>
                </w:tcPr>
                <w:p>
                  <w:pPr>
                    <w:jc w:val="center"/>
                    <w:rPr>
                      <w:szCs w:val="21"/>
                      <w:u w:val="single"/>
                    </w:rPr>
                  </w:pPr>
                  <w:r>
                    <w:rPr>
                      <w:rFonts w:hint="eastAsia"/>
                      <w:szCs w:val="21"/>
                      <w:u w:val="single"/>
                    </w:rPr>
                    <w:t>/</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2</w:t>
                  </w:r>
                </w:p>
              </w:tc>
              <w:tc>
                <w:tcPr>
                  <w:tcW w:w="1077" w:type="dxa"/>
                  <w:tcBorders>
                    <w:tl2br w:val="nil"/>
                    <w:tr2bl w:val="nil"/>
                  </w:tcBorders>
                  <w:vAlign w:val="center"/>
                </w:tcPr>
                <w:p>
                  <w:pPr>
                    <w:jc w:val="center"/>
                    <w:rPr>
                      <w:szCs w:val="21"/>
                    </w:rPr>
                  </w:pPr>
                  <w:r>
                    <w:rPr>
                      <w:rFonts w:hint="eastAsia"/>
                      <w:szCs w:val="21"/>
                    </w:rPr>
                    <w:t>机油</w:t>
                  </w:r>
                </w:p>
              </w:tc>
              <w:tc>
                <w:tcPr>
                  <w:tcW w:w="1936" w:type="dxa"/>
                  <w:tcBorders>
                    <w:tl2br w:val="nil"/>
                    <w:tr2bl w:val="nil"/>
                  </w:tcBorders>
                  <w:vAlign w:val="center"/>
                </w:tcPr>
                <w:p>
                  <w:pPr>
                    <w:jc w:val="center"/>
                    <w:rPr>
                      <w:szCs w:val="21"/>
                    </w:rPr>
                  </w:pPr>
                  <w:r>
                    <w:rPr>
                      <w:rFonts w:hint="eastAsia"/>
                      <w:szCs w:val="21"/>
                    </w:rPr>
                    <w:t>矿物油</w:t>
                  </w:r>
                </w:p>
              </w:tc>
              <w:tc>
                <w:tcPr>
                  <w:tcW w:w="1189" w:type="dxa"/>
                  <w:tcBorders>
                    <w:tl2br w:val="nil"/>
                    <w:tr2bl w:val="nil"/>
                  </w:tcBorders>
                  <w:vAlign w:val="center"/>
                </w:tcPr>
                <w:p>
                  <w:pPr>
                    <w:jc w:val="center"/>
                    <w:rPr>
                      <w:szCs w:val="21"/>
                      <w:u w:val="single"/>
                    </w:rPr>
                  </w:pPr>
                  <w:r>
                    <w:rPr>
                      <w:rFonts w:hint="eastAsia"/>
                      <w:szCs w:val="21"/>
                      <w:u w:val="single"/>
                    </w:rPr>
                    <w:t>6</w:t>
                  </w:r>
                </w:p>
              </w:tc>
              <w:tc>
                <w:tcPr>
                  <w:tcW w:w="1230" w:type="dxa"/>
                  <w:tcBorders>
                    <w:tl2br w:val="nil"/>
                    <w:tr2bl w:val="nil"/>
                  </w:tcBorders>
                  <w:vAlign w:val="center"/>
                </w:tcPr>
                <w:p>
                  <w:pPr>
                    <w:jc w:val="center"/>
                    <w:rPr>
                      <w:szCs w:val="21"/>
                      <w:u w:val="none"/>
                    </w:rPr>
                  </w:pPr>
                  <w:r>
                    <w:rPr>
                      <w:rFonts w:hint="eastAsia"/>
                      <w:szCs w:val="21"/>
                      <w:u w:val="none"/>
                    </w:rPr>
                    <w:t>维修车间</w:t>
                  </w:r>
                </w:p>
              </w:tc>
              <w:tc>
                <w:tcPr>
                  <w:tcW w:w="1155" w:type="dxa"/>
                  <w:tcBorders>
                    <w:tl2br w:val="nil"/>
                    <w:tr2bl w:val="nil"/>
                  </w:tcBorders>
                  <w:vAlign w:val="center"/>
                </w:tcPr>
                <w:p>
                  <w:pPr>
                    <w:jc w:val="center"/>
                    <w:rPr>
                      <w:szCs w:val="21"/>
                      <w:u w:val="single"/>
                    </w:rPr>
                  </w:pPr>
                  <w:r>
                    <w:rPr>
                      <w:rFonts w:hint="eastAsia"/>
                      <w:szCs w:val="21"/>
                      <w:u w:val="single"/>
                    </w:rPr>
                    <w:t>1.2</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3</w:t>
                  </w:r>
                </w:p>
              </w:tc>
              <w:tc>
                <w:tcPr>
                  <w:tcW w:w="1077" w:type="dxa"/>
                  <w:tcBorders>
                    <w:tl2br w:val="nil"/>
                    <w:tr2bl w:val="nil"/>
                  </w:tcBorders>
                  <w:vAlign w:val="center"/>
                </w:tcPr>
                <w:p>
                  <w:pPr>
                    <w:jc w:val="center"/>
                    <w:rPr>
                      <w:szCs w:val="21"/>
                    </w:rPr>
                  </w:pPr>
                  <w:r>
                    <w:rPr>
                      <w:rFonts w:hint="eastAsia"/>
                      <w:szCs w:val="21"/>
                    </w:rPr>
                    <w:t>防冻液</w:t>
                  </w:r>
                </w:p>
              </w:tc>
              <w:tc>
                <w:tcPr>
                  <w:tcW w:w="1936" w:type="dxa"/>
                  <w:tcBorders>
                    <w:tl2br w:val="nil"/>
                    <w:tr2bl w:val="nil"/>
                  </w:tcBorders>
                  <w:vAlign w:val="center"/>
                </w:tcPr>
                <w:p>
                  <w:pPr>
                    <w:jc w:val="center"/>
                    <w:rPr>
                      <w:szCs w:val="21"/>
                    </w:rPr>
                  </w:pPr>
                  <w:r>
                    <w:rPr>
                      <w:rFonts w:hint="eastAsia"/>
                      <w:szCs w:val="21"/>
                    </w:rPr>
                    <w:t>乙二醇</w:t>
                  </w:r>
                </w:p>
              </w:tc>
              <w:tc>
                <w:tcPr>
                  <w:tcW w:w="1189" w:type="dxa"/>
                  <w:tcBorders>
                    <w:tl2br w:val="nil"/>
                    <w:tr2bl w:val="nil"/>
                  </w:tcBorders>
                  <w:vAlign w:val="center"/>
                </w:tcPr>
                <w:p>
                  <w:pPr>
                    <w:jc w:val="center"/>
                    <w:rPr>
                      <w:szCs w:val="21"/>
                    </w:rPr>
                  </w:pPr>
                  <w:r>
                    <w:rPr>
                      <w:rFonts w:hint="eastAsia"/>
                      <w:szCs w:val="21"/>
                    </w:rPr>
                    <w:t>0.5</w:t>
                  </w:r>
                </w:p>
              </w:tc>
              <w:tc>
                <w:tcPr>
                  <w:tcW w:w="1230" w:type="dxa"/>
                  <w:tcBorders>
                    <w:tl2br w:val="nil"/>
                    <w:tr2bl w:val="nil"/>
                  </w:tcBorders>
                  <w:vAlign w:val="center"/>
                </w:tcPr>
                <w:p>
                  <w:pPr>
                    <w:jc w:val="center"/>
                    <w:rPr>
                      <w:szCs w:val="21"/>
                      <w:u w:val="none"/>
                    </w:rPr>
                  </w:pPr>
                  <w:r>
                    <w:rPr>
                      <w:rFonts w:hint="eastAsia"/>
                      <w:szCs w:val="21"/>
                      <w:u w:val="none"/>
                    </w:rPr>
                    <w:t>维修车间</w:t>
                  </w:r>
                </w:p>
              </w:tc>
              <w:tc>
                <w:tcPr>
                  <w:tcW w:w="1155" w:type="dxa"/>
                  <w:tcBorders>
                    <w:tl2br w:val="nil"/>
                    <w:tr2bl w:val="nil"/>
                  </w:tcBorders>
                  <w:vAlign w:val="center"/>
                </w:tcPr>
                <w:p>
                  <w:pPr>
                    <w:jc w:val="center"/>
                    <w:rPr>
                      <w:szCs w:val="21"/>
                      <w:u w:val="single"/>
                    </w:rPr>
                  </w:pPr>
                  <w:r>
                    <w:rPr>
                      <w:rFonts w:hint="eastAsia"/>
                      <w:szCs w:val="21"/>
                      <w:u w:val="single"/>
                    </w:rPr>
                    <w:t>0.1</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4</w:t>
                  </w:r>
                </w:p>
              </w:tc>
              <w:tc>
                <w:tcPr>
                  <w:tcW w:w="1077" w:type="dxa"/>
                  <w:tcBorders>
                    <w:tl2br w:val="nil"/>
                    <w:tr2bl w:val="nil"/>
                  </w:tcBorders>
                  <w:vAlign w:val="center"/>
                </w:tcPr>
                <w:p>
                  <w:pPr>
                    <w:jc w:val="center"/>
                    <w:rPr>
                      <w:szCs w:val="21"/>
                    </w:rPr>
                  </w:pPr>
                  <w:r>
                    <w:rPr>
                      <w:rFonts w:hint="eastAsia"/>
                      <w:szCs w:val="21"/>
                    </w:rPr>
                    <w:t>焊丝</w:t>
                  </w:r>
                </w:p>
              </w:tc>
              <w:tc>
                <w:tcPr>
                  <w:tcW w:w="1936" w:type="dxa"/>
                  <w:tcBorders>
                    <w:tl2br w:val="nil"/>
                    <w:tr2bl w:val="nil"/>
                  </w:tcBorders>
                  <w:vAlign w:val="center"/>
                </w:tcPr>
                <w:p>
                  <w:pPr>
                    <w:jc w:val="center"/>
                    <w:rPr>
                      <w:szCs w:val="21"/>
                    </w:rPr>
                  </w:pPr>
                  <w:r>
                    <w:rPr>
                      <w:rFonts w:hint="eastAsia"/>
                      <w:szCs w:val="21"/>
                    </w:rPr>
                    <w:t>锡，无铅</w:t>
                  </w:r>
                </w:p>
              </w:tc>
              <w:tc>
                <w:tcPr>
                  <w:tcW w:w="1189" w:type="dxa"/>
                  <w:tcBorders>
                    <w:tl2br w:val="nil"/>
                    <w:tr2bl w:val="nil"/>
                  </w:tcBorders>
                  <w:vAlign w:val="center"/>
                </w:tcPr>
                <w:p>
                  <w:pPr>
                    <w:jc w:val="center"/>
                    <w:rPr>
                      <w:szCs w:val="21"/>
                    </w:rPr>
                  </w:pPr>
                  <w:r>
                    <w:rPr>
                      <w:rFonts w:hint="eastAsia"/>
                      <w:szCs w:val="21"/>
                    </w:rPr>
                    <w:t>0.05</w:t>
                  </w:r>
                </w:p>
              </w:tc>
              <w:tc>
                <w:tcPr>
                  <w:tcW w:w="1230" w:type="dxa"/>
                  <w:tcBorders>
                    <w:tl2br w:val="nil"/>
                    <w:tr2bl w:val="nil"/>
                  </w:tcBorders>
                  <w:vAlign w:val="center"/>
                </w:tcPr>
                <w:p>
                  <w:pPr>
                    <w:jc w:val="center"/>
                    <w:rPr>
                      <w:szCs w:val="21"/>
                      <w:u w:val="none"/>
                    </w:rPr>
                  </w:pPr>
                  <w:r>
                    <w:rPr>
                      <w:rFonts w:hint="eastAsia"/>
                      <w:szCs w:val="21"/>
                      <w:u w:val="none"/>
                    </w:rPr>
                    <w:t>维修车间</w:t>
                  </w:r>
                </w:p>
              </w:tc>
              <w:tc>
                <w:tcPr>
                  <w:tcW w:w="1155" w:type="dxa"/>
                  <w:tcBorders>
                    <w:tl2br w:val="nil"/>
                    <w:tr2bl w:val="nil"/>
                  </w:tcBorders>
                  <w:vAlign w:val="center"/>
                </w:tcPr>
                <w:p>
                  <w:pPr>
                    <w:jc w:val="center"/>
                    <w:rPr>
                      <w:szCs w:val="21"/>
                      <w:u w:val="single"/>
                    </w:rPr>
                  </w:pPr>
                  <w:r>
                    <w:rPr>
                      <w:rFonts w:hint="eastAsia"/>
                      <w:szCs w:val="21"/>
                      <w:u w:val="single"/>
                    </w:rPr>
                    <w:t>0.01</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5</w:t>
                  </w:r>
                </w:p>
              </w:tc>
              <w:tc>
                <w:tcPr>
                  <w:tcW w:w="1077" w:type="dxa"/>
                  <w:tcBorders>
                    <w:tl2br w:val="nil"/>
                    <w:tr2bl w:val="nil"/>
                  </w:tcBorders>
                  <w:vAlign w:val="center"/>
                </w:tcPr>
                <w:p>
                  <w:pPr>
                    <w:jc w:val="center"/>
                    <w:rPr>
                      <w:szCs w:val="21"/>
                    </w:rPr>
                  </w:pPr>
                  <w:r>
                    <w:rPr>
                      <w:rFonts w:hint="eastAsia"/>
                      <w:szCs w:val="21"/>
                    </w:rPr>
                    <w:t>洗车剂</w:t>
                  </w:r>
                </w:p>
              </w:tc>
              <w:tc>
                <w:tcPr>
                  <w:tcW w:w="1936" w:type="dxa"/>
                  <w:tcBorders>
                    <w:tl2br w:val="nil"/>
                    <w:tr2bl w:val="nil"/>
                  </w:tcBorders>
                  <w:vAlign w:val="center"/>
                </w:tcPr>
                <w:p>
                  <w:pPr>
                    <w:jc w:val="center"/>
                    <w:rPr>
                      <w:szCs w:val="21"/>
                    </w:rPr>
                  </w:pPr>
                  <w:r>
                    <w:rPr>
                      <w:rFonts w:hint="eastAsia"/>
                      <w:szCs w:val="21"/>
                    </w:rPr>
                    <w:t>表面活性剂、发泡剂</w:t>
                  </w:r>
                </w:p>
              </w:tc>
              <w:tc>
                <w:tcPr>
                  <w:tcW w:w="1189" w:type="dxa"/>
                  <w:tcBorders>
                    <w:tl2br w:val="nil"/>
                    <w:tr2bl w:val="nil"/>
                  </w:tcBorders>
                  <w:vAlign w:val="center"/>
                </w:tcPr>
                <w:p>
                  <w:pPr>
                    <w:jc w:val="center"/>
                    <w:rPr>
                      <w:szCs w:val="21"/>
                    </w:rPr>
                  </w:pPr>
                  <w:r>
                    <w:rPr>
                      <w:rFonts w:hint="eastAsia"/>
                      <w:szCs w:val="21"/>
                    </w:rPr>
                    <w:t>0.06</w:t>
                  </w:r>
                </w:p>
              </w:tc>
              <w:tc>
                <w:tcPr>
                  <w:tcW w:w="1230" w:type="dxa"/>
                  <w:tcBorders>
                    <w:tl2br w:val="nil"/>
                    <w:tr2bl w:val="nil"/>
                  </w:tcBorders>
                  <w:vAlign w:val="center"/>
                </w:tcPr>
                <w:p>
                  <w:pPr>
                    <w:jc w:val="center"/>
                    <w:rPr>
                      <w:szCs w:val="21"/>
                      <w:u w:val="none"/>
                    </w:rPr>
                  </w:pPr>
                  <w:r>
                    <w:rPr>
                      <w:rFonts w:hint="eastAsia"/>
                      <w:szCs w:val="21"/>
                      <w:u w:val="none"/>
                    </w:rPr>
                    <w:t>维修车间</w:t>
                  </w:r>
                </w:p>
              </w:tc>
              <w:tc>
                <w:tcPr>
                  <w:tcW w:w="1155" w:type="dxa"/>
                  <w:tcBorders>
                    <w:tl2br w:val="nil"/>
                    <w:tr2bl w:val="nil"/>
                  </w:tcBorders>
                  <w:vAlign w:val="center"/>
                </w:tcPr>
                <w:p>
                  <w:pPr>
                    <w:jc w:val="center"/>
                    <w:rPr>
                      <w:szCs w:val="21"/>
                      <w:u w:val="single"/>
                    </w:rPr>
                  </w:pPr>
                  <w:r>
                    <w:rPr>
                      <w:rFonts w:hint="eastAsia"/>
                      <w:szCs w:val="21"/>
                      <w:u w:val="single"/>
                    </w:rPr>
                    <w:t>0.02</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6</w:t>
                  </w:r>
                </w:p>
              </w:tc>
              <w:tc>
                <w:tcPr>
                  <w:tcW w:w="1077" w:type="dxa"/>
                  <w:tcBorders>
                    <w:tl2br w:val="nil"/>
                    <w:tr2bl w:val="nil"/>
                  </w:tcBorders>
                  <w:vAlign w:val="center"/>
                </w:tcPr>
                <w:p>
                  <w:pPr>
                    <w:jc w:val="center"/>
                    <w:rPr>
                      <w:szCs w:val="21"/>
                    </w:rPr>
                  </w:pPr>
                  <w:r>
                    <w:rPr>
                      <w:rFonts w:hint="eastAsia"/>
                      <w:szCs w:val="21"/>
                    </w:rPr>
                    <w:t>油漆）</w:t>
                  </w:r>
                </w:p>
              </w:tc>
              <w:tc>
                <w:tcPr>
                  <w:tcW w:w="1936" w:type="dxa"/>
                  <w:tcBorders>
                    <w:tl2br w:val="nil"/>
                    <w:tr2bl w:val="nil"/>
                  </w:tcBorders>
                  <w:vAlign w:val="center"/>
                </w:tcPr>
                <w:p>
                  <w:pPr>
                    <w:jc w:val="center"/>
                    <w:rPr>
                      <w:szCs w:val="21"/>
                    </w:rPr>
                  </w:pPr>
                  <w:r>
                    <w:rPr>
                      <w:kern w:val="0"/>
                      <w:szCs w:val="21"/>
                    </w:rPr>
                    <w:t>丙烯酸树脂51%、乙酸丁酯20%、轻芳香烃石脑油17%、苯系物（主要为甲苯、二甲苯）12%</w:t>
                  </w:r>
                </w:p>
              </w:tc>
              <w:tc>
                <w:tcPr>
                  <w:tcW w:w="1189" w:type="dxa"/>
                  <w:tcBorders>
                    <w:tl2br w:val="nil"/>
                    <w:tr2bl w:val="nil"/>
                  </w:tcBorders>
                  <w:vAlign w:val="center"/>
                </w:tcPr>
                <w:p>
                  <w:pPr>
                    <w:jc w:val="center"/>
                    <w:rPr>
                      <w:szCs w:val="21"/>
                    </w:rPr>
                  </w:pPr>
                  <w:r>
                    <w:rPr>
                      <w:rFonts w:hint="eastAsia"/>
                      <w:szCs w:val="21"/>
                    </w:rPr>
                    <w:t>0.8</w:t>
                  </w:r>
                </w:p>
              </w:tc>
              <w:tc>
                <w:tcPr>
                  <w:tcW w:w="1230" w:type="dxa"/>
                  <w:tcBorders>
                    <w:tl2br w:val="nil"/>
                    <w:tr2bl w:val="nil"/>
                  </w:tcBorders>
                  <w:vAlign w:val="center"/>
                </w:tcPr>
                <w:p>
                  <w:pPr>
                    <w:jc w:val="center"/>
                    <w:rPr>
                      <w:szCs w:val="21"/>
                      <w:u w:val="none"/>
                    </w:rPr>
                  </w:pPr>
                  <w:r>
                    <w:rPr>
                      <w:rFonts w:hint="eastAsia"/>
                      <w:szCs w:val="21"/>
                      <w:u w:val="none"/>
                    </w:rPr>
                    <w:t>桶装/喷漆间</w:t>
                  </w:r>
                </w:p>
              </w:tc>
              <w:tc>
                <w:tcPr>
                  <w:tcW w:w="1155" w:type="dxa"/>
                  <w:tcBorders>
                    <w:tl2br w:val="nil"/>
                    <w:tr2bl w:val="nil"/>
                  </w:tcBorders>
                  <w:vAlign w:val="center"/>
                </w:tcPr>
                <w:p>
                  <w:pPr>
                    <w:jc w:val="center"/>
                    <w:rPr>
                      <w:szCs w:val="21"/>
                      <w:u w:val="single"/>
                    </w:rPr>
                  </w:pPr>
                  <w:r>
                    <w:rPr>
                      <w:rFonts w:hint="eastAsia"/>
                      <w:szCs w:val="21"/>
                      <w:u w:val="single"/>
                    </w:rPr>
                    <w:t>0.1</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7</w:t>
                  </w:r>
                </w:p>
              </w:tc>
              <w:tc>
                <w:tcPr>
                  <w:tcW w:w="1077" w:type="dxa"/>
                  <w:tcBorders>
                    <w:tl2br w:val="nil"/>
                    <w:tr2bl w:val="nil"/>
                  </w:tcBorders>
                  <w:vAlign w:val="center"/>
                </w:tcPr>
                <w:p>
                  <w:pPr>
                    <w:jc w:val="center"/>
                    <w:rPr>
                      <w:szCs w:val="21"/>
                    </w:rPr>
                  </w:pPr>
                  <w:r>
                    <w:rPr>
                      <w:rFonts w:hint="eastAsia"/>
                      <w:szCs w:val="21"/>
                    </w:rPr>
                    <w:t>稀释剂</w:t>
                  </w:r>
                </w:p>
              </w:tc>
              <w:tc>
                <w:tcPr>
                  <w:tcW w:w="1936" w:type="dxa"/>
                  <w:tcBorders>
                    <w:tl2br w:val="nil"/>
                    <w:tr2bl w:val="nil"/>
                  </w:tcBorders>
                  <w:vAlign w:val="center"/>
                </w:tcPr>
                <w:p>
                  <w:pPr>
                    <w:jc w:val="center"/>
                    <w:rPr>
                      <w:szCs w:val="21"/>
                    </w:rPr>
                  </w:pPr>
                  <w:r>
                    <w:rPr>
                      <w:szCs w:val="21"/>
                    </w:rPr>
                    <w:t>乙酸丁酯70%、轻芳烃溶剂石脑油15%、苯系物</w:t>
                  </w:r>
                  <w:r>
                    <w:rPr>
                      <w:kern w:val="0"/>
                      <w:szCs w:val="21"/>
                    </w:rPr>
                    <w:t>（主要为甲苯、二甲苯）</w:t>
                  </w:r>
                  <w:r>
                    <w:rPr>
                      <w:szCs w:val="21"/>
                    </w:rPr>
                    <w:t>15%</w:t>
                  </w:r>
                </w:p>
              </w:tc>
              <w:tc>
                <w:tcPr>
                  <w:tcW w:w="1189" w:type="dxa"/>
                  <w:tcBorders>
                    <w:tl2br w:val="nil"/>
                    <w:tr2bl w:val="nil"/>
                  </w:tcBorders>
                  <w:vAlign w:val="center"/>
                </w:tcPr>
                <w:p>
                  <w:pPr>
                    <w:jc w:val="center"/>
                    <w:rPr>
                      <w:szCs w:val="21"/>
                    </w:rPr>
                  </w:pPr>
                  <w:r>
                    <w:rPr>
                      <w:rFonts w:hint="eastAsia"/>
                      <w:szCs w:val="21"/>
                    </w:rPr>
                    <w:t>0.5</w:t>
                  </w:r>
                </w:p>
              </w:tc>
              <w:tc>
                <w:tcPr>
                  <w:tcW w:w="1230" w:type="dxa"/>
                  <w:tcBorders>
                    <w:tl2br w:val="nil"/>
                    <w:tr2bl w:val="nil"/>
                  </w:tcBorders>
                  <w:vAlign w:val="center"/>
                </w:tcPr>
                <w:p>
                  <w:pPr>
                    <w:jc w:val="center"/>
                    <w:rPr>
                      <w:szCs w:val="21"/>
                      <w:u w:val="none"/>
                    </w:rPr>
                  </w:pPr>
                  <w:r>
                    <w:rPr>
                      <w:rFonts w:hint="eastAsia"/>
                      <w:szCs w:val="21"/>
                      <w:u w:val="none"/>
                    </w:rPr>
                    <w:t>桶装/喷漆间</w:t>
                  </w:r>
                </w:p>
              </w:tc>
              <w:tc>
                <w:tcPr>
                  <w:tcW w:w="1155" w:type="dxa"/>
                  <w:tcBorders>
                    <w:tl2br w:val="nil"/>
                    <w:tr2bl w:val="nil"/>
                  </w:tcBorders>
                  <w:vAlign w:val="center"/>
                </w:tcPr>
                <w:p>
                  <w:pPr>
                    <w:jc w:val="center"/>
                    <w:rPr>
                      <w:szCs w:val="21"/>
                      <w:u w:val="single"/>
                    </w:rPr>
                  </w:pPr>
                  <w:r>
                    <w:rPr>
                      <w:rFonts w:hint="eastAsia"/>
                      <w:szCs w:val="21"/>
                      <w:u w:val="single"/>
                    </w:rPr>
                    <w:t>0.05</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8</w:t>
                  </w:r>
                </w:p>
              </w:tc>
              <w:tc>
                <w:tcPr>
                  <w:tcW w:w="1077" w:type="dxa"/>
                  <w:tcBorders>
                    <w:tl2br w:val="nil"/>
                    <w:tr2bl w:val="nil"/>
                  </w:tcBorders>
                  <w:vAlign w:val="center"/>
                </w:tcPr>
                <w:p>
                  <w:pPr>
                    <w:jc w:val="center"/>
                    <w:rPr>
                      <w:szCs w:val="21"/>
                    </w:rPr>
                  </w:pPr>
                  <w:r>
                    <w:rPr>
                      <w:bCs/>
                      <w:szCs w:val="21"/>
                    </w:rPr>
                    <w:t>专业擦拭纸（遮蔽纸）</w:t>
                  </w:r>
                </w:p>
              </w:tc>
              <w:tc>
                <w:tcPr>
                  <w:tcW w:w="1936" w:type="dxa"/>
                  <w:tcBorders>
                    <w:tl2br w:val="nil"/>
                    <w:tr2bl w:val="nil"/>
                  </w:tcBorders>
                  <w:vAlign w:val="center"/>
                </w:tcPr>
                <w:p>
                  <w:pPr>
                    <w:jc w:val="center"/>
                    <w:rPr>
                      <w:szCs w:val="21"/>
                    </w:rPr>
                  </w:pPr>
                  <w:r>
                    <w:rPr>
                      <w:rFonts w:hint="eastAsia"/>
                      <w:szCs w:val="21"/>
                    </w:rPr>
                    <w:t>/</w:t>
                  </w:r>
                </w:p>
              </w:tc>
              <w:tc>
                <w:tcPr>
                  <w:tcW w:w="1189" w:type="dxa"/>
                  <w:tcBorders>
                    <w:tl2br w:val="nil"/>
                    <w:tr2bl w:val="nil"/>
                  </w:tcBorders>
                  <w:vAlign w:val="center"/>
                </w:tcPr>
                <w:p>
                  <w:pPr>
                    <w:jc w:val="center"/>
                    <w:rPr>
                      <w:szCs w:val="21"/>
                    </w:rPr>
                  </w:pPr>
                  <w:r>
                    <w:rPr>
                      <w:rFonts w:hint="eastAsia"/>
                      <w:szCs w:val="21"/>
                    </w:rPr>
                    <w:t>0.048</w:t>
                  </w:r>
                </w:p>
              </w:tc>
              <w:tc>
                <w:tcPr>
                  <w:tcW w:w="1230" w:type="dxa"/>
                  <w:tcBorders>
                    <w:tl2br w:val="nil"/>
                    <w:tr2bl w:val="nil"/>
                  </w:tcBorders>
                  <w:vAlign w:val="center"/>
                </w:tcPr>
                <w:p>
                  <w:pPr>
                    <w:jc w:val="center"/>
                    <w:rPr>
                      <w:szCs w:val="21"/>
                      <w:u w:val="none"/>
                    </w:rPr>
                  </w:pPr>
                  <w:r>
                    <w:rPr>
                      <w:rFonts w:hint="eastAsia"/>
                      <w:szCs w:val="21"/>
                      <w:u w:val="none"/>
                    </w:rPr>
                    <w:t>维修车间</w:t>
                  </w:r>
                </w:p>
              </w:tc>
              <w:tc>
                <w:tcPr>
                  <w:tcW w:w="1155" w:type="dxa"/>
                  <w:tcBorders>
                    <w:tl2br w:val="nil"/>
                    <w:tr2bl w:val="nil"/>
                  </w:tcBorders>
                  <w:vAlign w:val="center"/>
                </w:tcPr>
                <w:p>
                  <w:pPr>
                    <w:jc w:val="center"/>
                    <w:rPr>
                      <w:szCs w:val="21"/>
                      <w:u w:val="single"/>
                    </w:rPr>
                  </w:pPr>
                  <w:r>
                    <w:rPr>
                      <w:rFonts w:hint="eastAsia"/>
                      <w:szCs w:val="21"/>
                      <w:u w:val="single"/>
                    </w:rPr>
                    <w:t>0.01</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9</w:t>
                  </w:r>
                </w:p>
              </w:tc>
              <w:tc>
                <w:tcPr>
                  <w:tcW w:w="1077" w:type="dxa"/>
                  <w:tcBorders>
                    <w:tl2br w:val="nil"/>
                    <w:tr2bl w:val="nil"/>
                  </w:tcBorders>
                  <w:vAlign w:val="center"/>
                </w:tcPr>
                <w:p>
                  <w:pPr>
                    <w:jc w:val="center"/>
                    <w:rPr>
                      <w:szCs w:val="21"/>
                    </w:rPr>
                  </w:pPr>
                  <w:r>
                    <w:rPr>
                      <w:rFonts w:hint="eastAsia"/>
                      <w:szCs w:val="21"/>
                    </w:rPr>
                    <w:t>铅蓄电池</w:t>
                  </w:r>
                </w:p>
              </w:tc>
              <w:tc>
                <w:tcPr>
                  <w:tcW w:w="1936" w:type="dxa"/>
                  <w:tcBorders>
                    <w:tl2br w:val="nil"/>
                    <w:tr2bl w:val="nil"/>
                  </w:tcBorders>
                  <w:vAlign w:val="center"/>
                </w:tcPr>
                <w:p>
                  <w:pPr>
                    <w:jc w:val="center"/>
                    <w:rPr>
                      <w:szCs w:val="21"/>
                    </w:rPr>
                  </w:pPr>
                  <w:r>
                    <w:rPr>
                      <w:rFonts w:hint="eastAsia"/>
                      <w:szCs w:val="21"/>
                    </w:rPr>
                    <w:t>/</w:t>
                  </w:r>
                </w:p>
              </w:tc>
              <w:tc>
                <w:tcPr>
                  <w:tcW w:w="1189" w:type="dxa"/>
                  <w:tcBorders>
                    <w:tl2br w:val="nil"/>
                    <w:tr2bl w:val="nil"/>
                  </w:tcBorders>
                  <w:vAlign w:val="center"/>
                </w:tcPr>
                <w:p>
                  <w:pPr>
                    <w:jc w:val="center"/>
                    <w:rPr>
                      <w:szCs w:val="21"/>
                    </w:rPr>
                  </w:pPr>
                  <w:r>
                    <w:rPr>
                      <w:rFonts w:hint="eastAsia"/>
                      <w:szCs w:val="21"/>
                    </w:rPr>
                    <w:t>0.6</w:t>
                  </w:r>
                </w:p>
              </w:tc>
              <w:tc>
                <w:tcPr>
                  <w:tcW w:w="1230" w:type="dxa"/>
                  <w:tcBorders>
                    <w:tl2br w:val="nil"/>
                    <w:tr2bl w:val="nil"/>
                  </w:tcBorders>
                  <w:vAlign w:val="center"/>
                </w:tcPr>
                <w:p>
                  <w:pPr>
                    <w:jc w:val="center"/>
                    <w:rPr>
                      <w:szCs w:val="21"/>
                      <w:u w:val="none"/>
                    </w:rPr>
                  </w:pPr>
                  <w:r>
                    <w:rPr>
                      <w:rFonts w:hint="eastAsia"/>
                      <w:szCs w:val="21"/>
                      <w:u w:val="none"/>
                    </w:rPr>
                    <w:t>维修车间</w:t>
                  </w:r>
                </w:p>
              </w:tc>
              <w:tc>
                <w:tcPr>
                  <w:tcW w:w="1155" w:type="dxa"/>
                  <w:tcBorders>
                    <w:tl2br w:val="nil"/>
                    <w:tr2bl w:val="nil"/>
                  </w:tcBorders>
                  <w:vAlign w:val="center"/>
                </w:tcPr>
                <w:p>
                  <w:pPr>
                    <w:jc w:val="center"/>
                    <w:rPr>
                      <w:szCs w:val="21"/>
                      <w:u w:val="single"/>
                    </w:rPr>
                  </w:pPr>
                  <w:r>
                    <w:rPr>
                      <w:rFonts w:hint="eastAsia"/>
                      <w:szCs w:val="21"/>
                      <w:u w:val="single"/>
                    </w:rPr>
                    <w:t>0.2</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10</w:t>
                  </w:r>
                </w:p>
              </w:tc>
              <w:tc>
                <w:tcPr>
                  <w:tcW w:w="1077" w:type="dxa"/>
                  <w:tcBorders>
                    <w:tl2br w:val="nil"/>
                    <w:tr2bl w:val="nil"/>
                  </w:tcBorders>
                  <w:vAlign w:val="center"/>
                </w:tcPr>
                <w:p>
                  <w:pPr>
                    <w:jc w:val="center"/>
                    <w:rPr>
                      <w:szCs w:val="21"/>
                    </w:rPr>
                  </w:pPr>
                  <w:r>
                    <w:rPr>
                      <w:rFonts w:hint="eastAsia"/>
                      <w:szCs w:val="21"/>
                    </w:rPr>
                    <w:t>玻璃纤维棉</w:t>
                  </w:r>
                </w:p>
              </w:tc>
              <w:tc>
                <w:tcPr>
                  <w:tcW w:w="1936" w:type="dxa"/>
                  <w:tcBorders>
                    <w:tl2br w:val="nil"/>
                    <w:tr2bl w:val="nil"/>
                  </w:tcBorders>
                  <w:vAlign w:val="center"/>
                </w:tcPr>
                <w:p>
                  <w:pPr>
                    <w:jc w:val="center"/>
                    <w:rPr>
                      <w:szCs w:val="21"/>
                    </w:rPr>
                  </w:pPr>
                  <w:r>
                    <w:rPr>
                      <w:rFonts w:hint="eastAsia"/>
                      <w:szCs w:val="21"/>
                    </w:rPr>
                    <w:t>/</w:t>
                  </w:r>
                </w:p>
              </w:tc>
              <w:tc>
                <w:tcPr>
                  <w:tcW w:w="1189" w:type="dxa"/>
                  <w:tcBorders>
                    <w:tl2br w:val="nil"/>
                    <w:tr2bl w:val="nil"/>
                  </w:tcBorders>
                  <w:vAlign w:val="center"/>
                </w:tcPr>
                <w:p>
                  <w:pPr>
                    <w:jc w:val="center"/>
                    <w:rPr>
                      <w:rFonts w:hint="default" w:eastAsia="宋体"/>
                      <w:szCs w:val="21"/>
                      <w:lang w:val="en-US" w:eastAsia="zh-CN"/>
                    </w:rPr>
                  </w:pPr>
                  <w:r>
                    <w:rPr>
                      <w:rFonts w:hint="eastAsia"/>
                      <w:szCs w:val="21"/>
                    </w:rPr>
                    <w:t>0.</w:t>
                  </w:r>
                  <w:r>
                    <w:rPr>
                      <w:rFonts w:hint="eastAsia"/>
                      <w:szCs w:val="21"/>
                      <w:lang w:val="en-US" w:eastAsia="zh-CN"/>
                    </w:rPr>
                    <w:t>266</w:t>
                  </w:r>
                </w:p>
              </w:tc>
              <w:tc>
                <w:tcPr>
                  <w:tcW w:w="1230" w:type="dxa"/>
                  <w:tcBorders>
                    <w:tl2br w:val="nil"/>
                    <w:tr2bl w:val="nil"/>
                  </w:tcBorders>
                  <w:vAlign w:val="center"/>
                </w:tcPr>
                <w:p>
                  <w:pPr>
                    <w:jc w:val="center"/>
                    <w:rPr>
                      <w:szCs w:val="21"/>
                      <w:u w:val="none"/>
                    </w:rPr>
                  </w:pPr>
                  <w:r>
                    <w:rPr>
                      <w:rFonts w:hint="eastAsia"/>
                      <w:szCs w:val="21"/>
                      <w:u w:val="none"/>
                    </w:rPr>
                    <w:t>喷漆间</w:t>
                  </w:r>
                </w:p>
              </w:tc>
              <w:tc>
                <w:tcPr>
                  <w:tcW w:w="1155" w:type="dxa"/>
                  <w:tcBorders>
                    <w:tl2br w:val="nil"/>
                    <w:tr2bl w:val="nil"/>
                  </w:tcBorders>
                  <w:vAlign w:val="center"/>
                </w:tcPr>
                <w:p>
                  <w:pPr>
                    <w:jc w:val="center"/>
                    <w:rPr>
                      <w:szCs w:val="21"/>
                      <w:u w:val="single"/>
                    </w:rPr>
                  </w:pPr>
                  <w:r>
                    <w:rPr>
                      <w:rFonts w:hint="eastAsia"/>
                      <w:szCs w:val="21"/>
                      <w:u w:val="single"/>
                    </w:rPr>
                    <w:t>0.08</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szCs w:val="21"/>
                    </w:rPr>
                    <w:t>1</w:t>
                  </w:r>
                  <w:r>
                    <w:rPr>
                      <w:rFonts w:hint="eastAsia"/>
                      <w:szCs w:val="21"/>
                    </w:rPr>
                    <w:t>1</w:t>
                  </w:r>
                </w:p>
              </w:tc>
              <w:tc>
                <w:tcPr>
                  <w:tcW w:w="1077" w:type="dxa"/>
                  <w:tcBorders>
                    <w:tl2br w:val="nil"/>
                    <w:tr2bl w:val="nil"/>
                  </w:tcBorders>
                  <w:vAlign w:val="center"/>
                </w:tcPr>
                <w:p>
                  <w:pPr>
                    <w:jc w:val="center"/>
                    <w:rPr>
                      <w:szCs w:val="21"/>
                    </w:rPr>
                  </w:pPr>
                  <w:r>
                    <w:rPr>
                      <w:rFonts w:hint="eastAsia"/>
                      <w:szCs w:val="21"/>
                    </w:rPr>
                    <w:t>活性炭</w:t>
                  </w:r>
                </w:p>
              </w:tc>
              <w:tc>
                <w:tcPr>
                  <w:tcW w:w="1936" w:type="dxa"/>
                  <w:tcBorders>
                    <w:tl2br w:val="nil"/>
                    <w:tr2bl w:val="nil"/>
                  </w:tcBorders>
                  <w:vAlign w:val="center"/>
                </w:tcPr>
                <w:p>
                  <w:pPr>
                    <w:jc w:val="center"/>
                    <w:rPr>
                      <w:szCs w:val="21"/>
                    </w:rPr>
                  </w:pPr>
                  <w:r>
                    <w:rPr>
                      <w:rFonts w:hint="eastAsia"/>
                      <w:szCs w:val="21"/>
                    </w:rPr>
                    <w:t>/</w:t>
                  </w:r>
                </w:p>
              </w:tc>
              <w:tc>
                <w:tcPr>
                  <w:tcW w:w="1189" w:type="dxa"/>
                  <w:tcBorders>
                    <w:tl2br w:val="nil"/>
                    <w:tr2bl w:val="nil"/>
                  </w:tcBorders>
                  <w:vAlign w:val="center"/>
                </w:tcPr>
                <w:p>
                  <w:pPr>
                    <w:jc w:val="center"/>
                    <w:rPr>
                      <w:rFonts w:hint="default" w:eastAsia="宋体"/>
                      <w:szCs w:val="21"/>
                      <w:lang w:val="en-US" w:eastAsia="zh-CN"/>
                    </w:rPr>
                  </w:pPr>
                  <w:r>
                    <w:rPr>
                      <w:rFonts w:hint="eastAsia"/>
                      <w:szCs w:val="21"/>
                    </w:rPr>
                    <w:t>3</w:t>
                  </w:r>
                  <w:r>
                    <w:rPr>
                      <w:rFonts w:hint="eastAsia"/>
                      <w:szCs w:val="21"/>
                      <w:lang w:val="en-US" w:eastAsia="zh-CN"/>
                    </w:rPr>
                    <w:t>.8</w:t>
                  </w:r>
                </w:p>
              </w:tc>
              <w:tc>
                <w:tcPr>
                  <w:tcW w:w="1230" w:type="dxa"/>
                  <w:tcBorders>
                    <w:tl2br w:val="nil"/>
                    <w:tr2bl w:val="nil"/>
                  </w:tcBorders>
                  <w:vAlign w:val="center"/>
                </w:tcPr>
                <w:p>
                  <w:pPr>
                    <w:jc w:val="center"/>
                    <w:rPr>
                      <w:szCs w:val="21"/>
                      <w:u w:val="none"/>
                    </w:rPr>
                  </w:pPr>
                  <w:r>
                    <w:rPr>
                      <w:rFonts w:hint="eastAsia"/>
                      <w:szCs w:val="21"/>
                      <w:u w:val="none"/>
                    </w:rPr>
                    <w:t>喷漆间</w:t>
                  </w:r>
                </w:p>
              </w:tc>
              <w:tc>
                <w:tcPr>
                  <w:tcW w:w="1155" w:type="dxa"/>
                  <w:tcBorders>
                    <w:tl2br w:val="nil"/>
                    <w:tr2bl w:val="nil"/>
                  </w:tcBorders>
                  <w:vAlign w:val="center"/>
                </w:tcPr>
                <w:p>
                  <w:pPr>
                    <w:jc w:val="center"/>
                    <w:rPr>
                      <w:szCs w:val="21"/>
                      <w:u w:val="single"/>
                    </w:rPr>
                  </w:pPr>
                  <w:r>
                    <w:rPr>
                      <w:rFonts w:hint="eastAsia"/>
                      <w:szCs w:val="21"/>
                      <w:u w:val="single"/>
                    </w:rPr>
                    <w:t>1.5</w:t>
                  </w:r>
                </w:p>
              </w:tc>
              <w:tc>
                <w:tcPr>
                  <w:tcW w:w="1268" w:type="dxa"/>
                  <w:tcBorders>
                    <w:tl2br w:val="nil"/>
                    <w:tr2bl w:val="nil"/>
                  </w:tcBorders>
                  <w:vAlign w:val="center"/>
                </w:tcPr>
                <w:p>
                  <w:pPr>
                    <w:jc w:val="center"/>
                    <w:rPr>
                      <w:szCs w:val="21"/>
                    </w:rPr>
                  </w:pPr>
                  <w:r>
                    <w:rPr>
                      <w:szCs w:val="21"/>
                    </w:rPr>
                    <w:t>国内陆运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szCs w:val="21"/>
                    </w:rPr>
                    <w:t>1</w:t>
                  </w:r>
                  <w:r>
                    <w:rPr>
                      <w:rFonts w:hint="eastAsia"/>
                      <w:szCs w:val="21"/>
                    </w:rPr>
                    <w:t>2</w:t>
                  </w:r>
                </w:p>
              </w:tc>
              <w:tc>
                <w:tcPr>
                  <w:tcW w:w="1077" w:type="dxa"/>
                  <w:tcBorders>
                    <w:tl2br w:val="nil"/>
                    <w:tr2bl w:val="nil"/>
                  </w:tcBorders>
                  <w:vAlign w:val="center"/>
                </w:tcPr>
                <w:p>
                  <w:pPr>
                    <w:autoSpaceDE w:val="0"/>
                    <w:autoSpaceDN w:val="0"/>
                    <w:adjustRightInd w:val="0"/>
                    <w:jc w:val="center"/>
                    <w:rPr>
                      <w:kern w:val="0"/>
                      <w:szCs w:val="21"/>
                    </w:rPr>
                  </w:pPr>
                  <w:r>
                    <w:rPr>
                      <w:kern w:val="0"/>
                      <w:szCs w:val="21"/>
                    </w:rPr>
                    <w:t>水</w:t>
                  </w:r>
                </w:p>
              </w:tc>
              <w:tc>
                <w:tcPr>
                  <w:tcW w:w="1936" w:type="dxa"/>
                  <w:tcBorders>
                    <w:tl2br w:val="nil"/>
                    <w:tr2bl w:val="nil"/>
                  </w:tcBorders>
                  <w:vAlign w:val="center"/>
                </w:tcPr>
                <w:p>
                  <w:pPr>
                    <w:jc w:val="center"/>
                    <w:rPr>
                      <w:szCs w:val="21"/>
                    </w:rPr>
                  </w:pPr>
                  <w:r>
                    <w:rPr>
                      <w:szCs w:val="21"/>
                    </w:rPr>
                    <w:t>/</w:t>
                  </w:r>
                </w:p>
              </w:tc>
              <w:tc>
                <w:tcPr>
                  <w:tcW w:w="1189" w:type="dxa"/>
                  <w:tcBorders>
                    <w:tl2br w:val="nil"/>
                    <w:tr2bl w:val="nil"/>
                  </w:tcBorders>
                  <w:vAlign w:val="center"/>
                </w:tcPr>
                <w:p>
                  <w:pPr>
                    <w:jc w:val="center"/>
                    <w:rPr>
                      <w:szCs w:val="21"/>
                    </w:rPr>
                  </w:pPr>
                  <w:r>
                    <w:rPr>
                      <w:rFonts w:hint="eastAsia"/>
                      <w:szCs w:val="21"/>
                    </w:rPr>
                    <w:t>3886.15</w:t>
                  </w:r>
                </w:p>
              </w:tc>
              <w:tc>
                <w:tcPr>
                  <w:tcW w:w="1230" w:type="dxa"/>
                  <w:tcBorders>
                    <w:tl2br w:val="nil"/>
                    <w:tr2bl w:val="nil"/>
                  </w:tcBorders>
                  <w:vAlign w:val="center"/>
                </w:tcPr>
                <w:p>
                  <w:pPr>
                    <w:jc w:val="center"/>
                    <w:rPr>
                      <w:szCs w:val="21"/>
                      <w:u w:val="none"/>
                    </w:rPr>
                  </w:pPr>
                  <w:r>
                    <w:rPr>
                      <w:szCs w:val="21"/>
                      <w:u w:val="none"/>
                    </w:rPr>
                    <w:t>/</w:t>
                  </w:r>
                </w:p>
              </w:tc>
              <w:tc>
                <w:tcPr>
                  <w:tcW w:w="1155" w:type="dxa"/>
                  <w:tcBorders>
                    <w:tl2br w:val="nil"/>
                    <w:tr2bl w:val="nil"/>
                  </w:tcBorders>
                  <w:vAlign w:val="center"/>
                </w:tcPr>
                <w:p>
                  <w:pPr>
                    <w:jc w:val="center"/>
                    <w:rPr>
                      <w:szCs w:val="21"/>
                      <w:u w:val="single"/>
                    </w:rPr>
                  </w:pPr>
                  <w:r>
                    <w:rPr>
                      <w:szCs w:val="21"/>
                      <w:u w:val="single"/>
                    </w:rPr>
                    <w:t>--</w:t>
                  </w:r>
                </w:p>
              </w:tc>
              <w:tc>
                <w:tcPr>
                  <w:tcW w:w="1268" w:type="dxa"/>
                  <w:tcBorders>
                    <w:tl2br w:val="nil"/>
                    <w:tr2bl w:val="nil"/>
                  </w:tcBorders>
                  <w:vAlign w:val="center"/>
                </w:tcPr>
                <w:p>
                  <w:pPr>
                    <w:jc w:val="center"/>
                    <w:rPr>
                      <w:szCs w:val="21"/>
                    </w:rPr>
                  </w:pPr>
                  <w:r>
                    <w:rPr>
                      <w:szCs w:val="21"/>
                    </w:rPr>
                    <w:t>市政自来水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7" w:type="dxa"/>
                  <w:tcBorders>
                    <w:tl2br w:val="nil"/>
                    <w:tr2bl w:val="nil"/>
                  </w:tcBorders>
                  <w:vAlign w:val="center"/>
                </w:tcPr>
                <w:p>
                  <w:pPr>
                    <w:jc w:val="center"/>
                    <w:rPr>
                      <w:szCs w:val="21"/>
                    </w:rPr>
                  </w:pPr>
                  <w:r>
                    <w:rPr>
                      <w:rFonts w:hint="eastAsia"/>
                      <w:szCs w:val="21"/>
                    </w:rPr>
                    <w:t>13</w:t>
                  </w:r>
                </w:p>
              </w:tc>
              <w:tc>
                <w:tcPr>
                  <w:tcW w:w="1077" w:type="dxa"/>
                  <w:tcBorders>
                    <w:tl2br w:val="nil"/>
                    <w:tr2bl w:val="nil"/>
                  </w:tcBorders>
                  <w:vAlign w:val="center"/>
                </w:tcPr>
                <w:p>
                  <w:pPr>
                    <w:autoSpaceDE w:val="0"/>
                    <w:autoSpaceDN w:val="0"/>
                    <w:adjustRightInd w:val="0"/>
                    <w:jc w:val="center"/>
                    <w:rPr>
                      <w:kern w:val="0"/>
                      <w:szCs w:val="21"/>
                    </w:rPr>
                  </w:pPr>
                  <w:r>
                    <w:rPr>
                      <w:kern w:val="0"/>
                      <w:szCs w:val="21"/>
                    </w:rPr>
                    <w:t>电</w:t>
                  </w:r>
                </w:p>
              </w:tc>
              <w:tc>
                <w:tcPr>
                  <w:tcW w:w="1936" w:type="dxa"/>
                  <w:tcBorders>
                    <w:tl2br w:val="nil"/>
                    <w:tr2bl w:val="nil"/>
                  </w:tcBorders>
                  <w:vAlign w:val="center"/>
                </w:tcPr>
                <w:p>
                  <w:pPr>
                    <w:jc w:val="center"/>
                    <w:rPr>
                      <w:szCs w:val="21"/>
                    </w:rPr>
                  </w:pPr>
                  <w:r>
                    <w:rPr>
                      <w:szCs w:val="21"/>
                    </w:rPr>
                    <w:t>/</w:t>
                  </w:r>
                </w:p>
              </w:tc>
              <w:tc>
                <w:tcPr>
                  <w:tcW w:w="1189" w:type="dxa"/>
                  <w:tcBorders>
                    <w:tl2br w:val="nil"/>
                    <w:tr2bl w:val="nil"/>
                  </w:tcBorders>
                  <w:vAlign w:val="center"/>
                </w:tcPr>
                <w:p>
                  <w:pPr>
                    <w:jc w:val="center"/>
                    <w:rPr>
                      <w:szCs w:val="21"/>
                    </w:rPr>
                  </w:pPr>
                  <w:r>
                    <w:rPr>
                      <w:szCs w:val="21"/>
                    </w:rPr>
                    <w:t>10万度</w:t>
                  </w:r>
                </w:p>
              </w:tc>
              <w:tc>
                <w:tcPr>
                  <w:tcW w:w="1230" w:type="dxa"/>
                  <w:tcBorders>
                    <w:tl2br w:val="nil"/>
                    <w:tr2bl w:val="nil"/>
                  </w:tcBorders>
                  <w:vAlign w:val="center"/>
                </w:tcPr>
                <w:p>
                  <w:pPr>
                    <w:jc w:val="center"/>
                    <w:rPr>
                      <w:szCs w:val="21"/>
                      <w:u w:val="none"/>
                    </w:rPr>
                  </w:pPr>
                  <w:r>
                    <w:rPr>
                      <w:szCs w:val="21"/>
                      <w:u w:val="none"/>
                    </w:rPr>
                    <w:t>/</w:t>
                  </w:r>
                </w:p>
              </w:tc>
              <w:tc>
                <w:tcPr>
                  <w:tcW w:w="1155" w:type="dxa"/>
                  <w:tcBorders>
                    <w:tl2br w:val="nil"/>
                    <w:tr2bl w:val="nil"/>
                  </w:tcBorders>
                  <w:vAlign w:val="center"/>
                </w:tcPr>
                <w:p>
                  <w:pPr>
                    <w:jc w:val="center"/>
                    <w:rPr>
                      <w:szCs w:val="21"/>
                      <w:u w:val="single"/>
                    </w:rPr>
                  </w:pPr>
                  <w:r>
                    <w:rPr>
                      <w:szCs w:val="21"/>
                      <w:u w:val="single"/>
                    </w:rPr>
                    <w:t>--</w:t>
                  </w:r>
                </w:p>
              </w:tc>
              <w:tc>
                <w:tcPr>
                  <w:tcW w:w="1268" w:type="dxa"/>
                  <w:tcBorders>
                    <w:tl2br w:val="nil"/>
                    <w:tr2bl w:val="nil"/>
                  </w:tcBorders>
                  <w:vAlign w:val="center"/>
                </w:tcPr>
                <w:p>
                  <w:pPr>
                    <w:jc w:val="center"/>
                    <w:rPr>
                      <w:szCs w:val="21"/>
                    </w:rPr>
                  </w:pPr>
                  <w:r>
                    <w:rPr>
                      <w:szCs w:val="21"/>
                    </w:rPr>
                    <w:t>市政电网</w:t>
                  </w:r>
                </w:p>
              </w:tc>
            </w:tr>
          </w:tbl>
          <w:p>
            <w:pPr>
              <w:pStyle w:val="9"/>
              <w:tabs>
                <w:tab w:val="left" w:pos="3794"/>
              </w:tabs>
              <w:rPr>
                <w:rFonts w:ascii="Times New Roman" w:hAnsi="Times New Roman"/>
                <w:b/>
                <w:szCs w:val="21"/>
              </w:rPr>
            </w:pPr>
            <w:r>
              <w:rPr>
                <w:rFonts w:ascii="Times New Roman" w:hAnsi="Times New Roman"/>
                <w:b/>
                <w:szCs w:val="21"/>
              </w:rPr>
              <w:t>注：油漆的密度按1.3kg/L计算，稀释剂的密度按1.0kg/L计算，机油的密度按0.91kg/L计算。</w:t>
            </w:r>
          </w:p>
          <w:p>
            <w:pPr>
              <w:spacing w:line="360" w:lineRule="auto"/>
              <w:jc w:val="left"/>
              <w:rPr>
                <w:b/>
                <w:sz w:val="24"/>
                <w:szCs w:val="24"/>
              </w:rPr>
            </w:pPr>
            <w:r>
              <w:rPr>
                <w:b/>
                <w:sz w:val="24"/>
                <w:szCs w:val="24"/>
              </w:rPr>
              <w:t>2.5原辅材料说明</w:t>
            </w:r>
          </w:p>
          <w:p>
            <w:pPr>
              <w:spacing w:line="360" w:lineRule="auto"/>
              <w:ind w:firstLine="480" w:firstLineChars="200"/>
              <w:jc w:val="left"/>
              <w:rPr>
                <w:sz w:val="24"/>
                <w:szCs w:val="24"/>
              </w:rPr>
            </w:pPr>
            <w:r>
              <w:rPr>
                <w:sz w:val="24"/>
                <w:szCs w:val="24"/>
              </w:rPr>
              <w:t>1）油漆成分说明</w:t>
            </w:r>
          </w:p>
          <w:p>
            <w:pPr>
              <w:spacing w:line="360" w:lineRule="auto"/>
              <w:ind w:firstLine="480" w:firstLineChars="200"/>
              <w:jc w:val="left"/>
              <w:rPr>
                <w:sz w:val="24"/>
                <w:szCs w:val="24"/>
              </w:rPr>
            </w:pPr>
            <w:r>
              <w:rPr>
                <w:sz w:val="24"/>
                <w:szCs w:val="24"/>
              </w:rPr>
              <w:t>油漆成分说明：油漆，一般来讲，就是能涂覆在被涂物体表面并能形成牢固附着的连续薄膜的材料。项目使用的油漆成分为丙烯酸树脂、乙酸丁酯、轻芳香烃石脑油、二甲苯和三甲苯。项目油漆：稀释剂调配体积比约为2：1；稀释剂成分为乙酸丁酯，轻芳烃溶剂石脑油，二甲苯。</w:t>
            </w:r>
          </w:p>
          <w:p>
            <w:pPr>
              <w:spacing w:line="360" w:lineRule="auto"/>
              <w:ind w:firstLine="482" w:firstLineChars="200"/>
              <w:jc w:val="left"/>
              <w:rPr>
                <w:sz w:val="24"/>
                <w:szCs w:val="24"/>
              </w:rPr>
            </w:pPr>
            <w:r>
              <w:rPr>
                <w:b/>
                <w:sz w:val="24"/>
                <w:szCs w:val="24"/>
              </w:rPr>
              <w:t>苯系物：</w:t>
            </w:r>
            <w:r>
              <w:rPr>
                <w:sz w:val="24"/>
                <w:szCs w:val="24"/>
              </w:rPr>
              <w:t>苯的衍生物的总称，广义上的苯系物包括全部芳香族化合物，狭义上的特指包括BTEX在内的在人类生产生活环境中有一定分布并对人体造成危害的含苯环化合物。一般意义上的苯系物主要包括苯、甲苯、乙苯、二甲苯、三甲苯、苯乙烯、苯酚、苯胺、氯苯、硝基苯等。</w:t>
            </w:r>
          </w:p>
          <w:p>
            <w:pPr>
              <w:spacing w:line="360" w:lineRule="auto"/>
              <w:ind w:firstLine="482" w:firstLineChars="200"/>
              <w:jc w:val="left"/>
              <w:rPr>
                <w:sz w:val="24"/>
                <w:szCs w:val="24"/>
              </w:rPr>
            </w:pPr>
            <w:r>
              <w:rPr>
                <w:b/>
                <w:sz w:val="24"/>
                <w:szCs w:val="24"/>
              </w:rPr>
              <w:t>乙酸乙酯：</w:t>
            </w:r>
            <w:r>
              <w:fldChar w:fldCharType="begin"/>
            </w:r>
            <w:r>
              <w:instrText xml:space="preserve"> HYPERLINK "https://baike.baidu.com/item/%E6%97%A0%E8%89%B2%E9%80%8F%E6%98%8E" \t "_blank" </w:instrText>
            </w:r>
            <w:r>
              <w:fldChar w:fldCharType="separate"/>
            </w:r>
            <w:r>
              <w:rPr>
                <w:sz w:val="24"/>
                <w:szCs w:val="24"/>
              </w:rPr>
              <w:t>无色透明</w:t>
            </w:r>
            <w:r>
              <w:rPr>
                <w:sz w:val="24"/>
                <w:szCs w:val="24"/>
              </w:rPr>
              <w:fldChar w:fldCharType="end"/>
            </w:r>
            <w:r>
              <w:rPr>
                <w:sz w:val="24"/>
                <w:szCs w:val="24"/>
              </w:rPr>
              <w:t>液体，低毒性，有</w:t>
            </w:r>
            <w:r>
              <w:fldChar w:fldCharType="begin"/>
            </w:r>
            <w:r>
              <w:instrText xml:space="preserve"> HYPERLINK "https://baike.baidu.com/item/%E7%94%9C%E5%91%B3/9675531" \t "_blank" </w:instrText>
            </w:r>
            <w:r>
              <w:fldChar w:fldCharType="separate"/>
            </w:r>
            <w:r>
              <w:rPr>
                <w:sz w:val="24"/>
                <w:szCs w:val="24"/>
              </w:rPr>
              <w:t>甜味</w:t>
            </w:r>
            <w:r>
              <w:rPr>
                <w:sz w:val="24"/>
                <w:szCs w:val="24"/>
              </w:rPr>
              <w:fldChar w:fldCharType="end"/>
            </w:r>
            <w:r>
              <w:rPr>
                <w:sz w:val="24"/>
                <w:szCs w:val="24"/>
              </w:rPr>
              <w:t>，浓度较高时有</w:t>
            </w:r>
            <w:r>
              <w:fldChar w:fldCharType="begin"/>
            </w:r>
            <w:r>
              <w:instrText xml:space="preserve"> HYPERLINK "https://baike.baidu.com/item/%E5%88%BA%E6%BF%80%E6%80%A7/1460470" \t "_blank" </w:instrText>
            </w:r>
            <w:r>
              <w:fldChar w:fldCharType="separate"/>
            </w:r>
            <w:r>
              <w:rPr>
                <w:sz w:val="24"/>
                <w:szCs w:val="24"/>
              </w:rPr>
              <w:t>刺激性</w:t>
            </w:r>
            <w:r>
              <w:rPr>
                <w:sz w:val="24"/>
                <w:szCs w:val="24"/>
              </w:rPr>
              <w:fldChar w:fldCharType="end"/>
            </w:r>
            <w:r>
              <w:rPr>
                <w:sz w:val="24"/>
                <w:szCs w:val="24"/>
              </w:rPr>
              <w:t>气味，易</w:t>
            </w:r>
            <w:r>
              <w:fldChar w:fldCharType="begin"/>
            </w:r>
            <w:r>
              <w:instrText xml:space="preserve"> HYPERLINK "https://baike.baidu.com/item/%E6%8C%A5%E5%8F%91/6897869" \t "_blank" </w:instrText>
            </w:r>
            <w:r>
              <w:fldChar w:fldCharType="separate"/>
            </w:r>
            <w:r>
              <w:rPr>
                <w:sz w:val="24"/>
                <w:szCs w:val="24"/>
              </w:rPr>
              <w:t>挥发</w:t>
            </w:r>
            <w:r>
              <w:rPr>
                <w:sz w:val="24"/>
                <w:szCs w:val="24"/>
              </w:rPr>
              <w:fldChar w:fldCharType="end"/>
            </w:r>
            <w:r>
              <w:rPr>
                <w:sz w:val="24"/>
                <w:szCs w:val="24"/>
              </w:rPr>
              <w:t>，对空气敏感，能吸水分，使其缓慢</w:t>
            </w:r>
            <w:r>
              <w:fldChar w:fldCharType="begin"/>
            </w:r>
            <w:r>
              <w:instrText xml:space="preserve"> HYPERLINK "https://baike.baidu.com/item/%E6%B0%B4%E8%A7%A3/378219" \t "_blank" </w:instrText>
            </w:r>
            <w:r>
              <w:fldChar w:fldCharType="separate"/>
            </w:r>
            <w:r>
              <w:rPr>
                <w:sz w:val="24"/>
                <w:szCs w:val="24"/>
              </w:rPr>
              <w:t>水解</w:t>
            </w:r>
            <w:r>
              <w:rPr>
                <w:sz w:val="24"/>
                <w:szCs w:val="24"/>
              </w:rPr>
              <w:fldChar w:fldCharType="end"/>
            </w:r>
            <w:r>
              <w:rPr>
                <w:sz w:val="24"/>
                <w:szCs w:val="24"/>
              </w:rPr>
              <w:t>而呈酸性反应。能与</w:t>
            </w:r>
            <w:r>
              <w:fldChar w:fldCharType="begin"/>
            </w:r>
            <w:r>
              <w:instrText xml:space="preserve"> HYPERLINK "https://baike.baidu.com/item/%E6%B0%AF%E4%BB%BF/521847" \t "_blank" </w:instrText>
            </w:r>
            <w:r>
              <w:fldChar w:fldCharType="separate"/>
            </w:r>
            <w:r>
              <w:rPr>
                <w:sz w:val="24"/>
                <w:szCs w:val="24"/>
              </w:rPr>
              <w:t>氯仿</w:t>
            </w:r>
            <w:r>
              <w:rPr>
                <w:sz w:val="24"/>
                <w:szCs w:val="24"/>
              </w:rPr>
              <w:fldChar w:fldCharType="end"/>
            </w:r>
            <w:r>
              <w:rPr>
                <w:sz w:val="24"/>
                <w:szCs w:val="24"/>
              </w:rPr>
              <w:t>、</w:t>
            </w:r>
            <w:r>
              <w:fldChar w:fldCharType="begin"/>
            </w:r>
            <w:r>
              <w:instrText xml:space="preserve"> HYPERLINK "https://baike.baidu.com/item/%E4%B9%99%E9%86%87/135334" \t "_blank" </w:instrText>
            </w:r>
            <w:r>
              <w:fldChar w:fldCharType="separate"/>
            </w:r>
            <w:r>
              <w:rPr>
                <w:sz w:val="24"/>
                <w:szCs w:val="24"/>
              </w:rPr>
              <w:t>乙醇</w:t>
            </w:r>
            <w:r>
              <w:rPr>
                <w:sz w:val="24"/>
                <w:szCs w:val="24"/>
              </w:rPr>
              <w:fldChar w:fldCharType="end"/>
            </w:r>
            <w:r>
              <w:rPr>
                <w:sz w:val="24"/>
                <w:szCs w:val="24"/>
              </w:rPr>
              <w:t>、</w:t>
            </w:r>
            <w:r>
              <w:fldChar w:fldCharType="begin"/>
            </w:r>
            <w:r>
              <w:instrText xml:space="preserve"> HYPERLINK "https://baike.baidu.com/item/%E4%B8%99%E9%85%AE/955883" \t "_blank" </w:instrText>
            </w:r>
            <w:r>
              <w:fldChar w:fldCharType="separate"/>
            </w:r>
            <w:r>
              <w:rPr>
                <w:sz w:val="24"/>
                <w:szCs w:val="24"/>
              </w:rPr>
              <w:t>丙酮</w:t>
            </w:r>
            <w:r>
              <w:rPr>
                <w:sz w:val="24"/>
                <w:szCs w:val="24"/>
              </w:rPr>
              <w:fldChar w:fldCharType="end"/>
            </w:r>
            <w:r>
              <w:rPr>
                <w:sz w:val="24"/>
                <w:szCs w:val="24"/>
              </w:rPr>
              <w:t>和</w:t>
            </w:r>
            <w:r>
              <w:fldChar w:fldCharType="begin"/>
            </w:r>
            <w:r>
              <w:instrText xml:space="preserve"> HYPERLINK "https://baike.baidu.com/item/%E4%B9%99%E9%86%9A/316922" \t "_blank" </w:instrText>
            </w:r>
            <w:r>
              <w:fldChar w:fldCharType="separate"/>
            </w:r>
            <w:r>
              <w:rPr>
                <w:sz w:val="24"/>
                <w:szCs w:val="24"/>
              </w:rPr>
              <w:t>乙醚</w:t>
            </w:r>
            <w:r>
              <w:rPr>
                <w:sz w:val="24"/>
                <w:szCs w:val="24"/>
              </w:rPr>
              <w:fldChar w:fldCharType="end"/>
            </w:r>
            <w:r>
              <w:fldChar w:fldCharType="begin"/>
            </w:r>
            <w:r>
              <w:instrText xml:space="preserve"> HYPERLINK "https://baike.baidu.com/item/%E6%B7%B7%E6%BA%B6" \t "_blank" </w:instrText>
            </w:r>
            <w:r>
              <w:fldChar w:fldCharType="separate"/>
            </w:r>
            <w:r>
              <w:rPr>
                <w:sz w:val="24"/>
                <w:szCs w:val="24"/>
              </w:rPr>
              <w:t>混溶</w:t>
            </w:r>
            <w:r>
              <w:rPr>
                <w:sz w:val="24"/>
                <w:szCs w:val="24"/>
              </w:rPr>
              <w:fldChar w:fldCharType="end"/>
            </w:r>
            <w:r>
              <w:rPr>
                <w:sz w:val="24"/>
                <w:szCs w:val="24"/>
              </w:rPr>
              <w:t>，溶于水(10%ml/ml)。能溶解某些金属盐类（如</w:t>
            </w:r>
            <w:r>
              <w:fldChar w:fldCharType="begin"/>
            </w:r>
            <w:r>
              <w:instrText xml:space="preserve"> HYPERLINK "https://baike.baidu.com/item/%E6%B0%AF%E5%8C%96%E9%94%82/10107337" \t "_blank" </w:instrText>
            </w:r>
            <w:r>
              <w:fldChar w:fldCharType="separate"/>
            </w:r>
            <w:r>
              <w:rPr>
                <w:sz w:val="24"/>
                <w:szCs w:val="24"/>
              </w:rPr>
              <w:t>氯化锂</w:t>
            </w:r>
            <w:r>
              <w:rPr>
                <w:sz w:val="24"/>
                <w:szCs w:val="24"/>
              </w:rPr>
              <w:fldChar w:fldCharType="end"/>
            </w:r>
            <w:r>
              <w:rPr>
                <w:sz w:val="24"/>
                <w:szCs w:val="24"/>
              </w:rPr>
              <w:t>、</w:t>
            </w:r>
            <w:r>
              <w:fldChar w:fldCharType="begin"/>
            </w:r>
            <w:r>
              <w:instrText xml:space="preserve"> HYPERLINK "https://baike.baidu.com/item/%E6%B0%AF%E5%8C%96%E9%92%B4/1290156" \t "_blank" </w:instrText>
            </w:r>
            <w:r>
              <w:fldChar w:fldCharType="separate"/>
            </w:r>
            <w:r>
              <w:rPr>
                <w:sz w:val="24"/>
                <w:szCs w:val="24"/>
              </w:rPr>
              <w:t>氯化钴</w:t>
            </w:r>
            <w:r>
              <w:rPr>
                <w:sz w:val="24"/>
                <w:szCs w:val="24"/>
              </w:rPr>
              <w:fldChar w:fldCharType="end"/>
            </w:r>
            <w:r>
              <w:rPr>
                <w:sz w:val="24"/>
                <w:szCs w:val="24"/>
              </w:rPr>
              <w:t>、</w:t>
            </w:r>
            <w:r>
              <w:fldChar w:fldCharType="begin"/>
            </w:r>
            <w:r>
              <w:instrText xml:space="preserve"> HYPERLINK "https://baike.baidu.com/item/%E6%B0%AF%E5%8C%96%E9%94%8C/2618381" \t "_blank" </w:instrText>
            </w:r>
            <w:r>
              <w:fldChar w:fldCharType="separate"/>
            </w:r>
            <w:r>
              <w:rPr>
                <w:sz w:val="24"/>
                <w:szCs w:val="24"/>
              </w:rPr>
              <w:t>氯化锌</w:t>
            </w:r>
            <w:r>
              <w:rPr>
                <w:sz w:val="24"/>
                <w:szCs w:val="24"/>
              </w:rPr>
              <w:fldChar w:fldCharType="end"/>
            </w:r>
            <w:r>
              <w:rPr>
                <w:sz w:val="24"/>
                <w:szCs w:val="24"/>
              </w:rPr>
              <w:t>、</w:t>
            </w:r>
            <w:r>
              <w:fldChar w:fldCharType="begin"/>
            </w:r>
            <w:r>
              <w:instrText xml:space="preserve"> HYPERLINK "https://baike.baidu.com/item/%E6%B0%AF%E5%8C%96%E9%93%81/2698990" \t "_blank" </w:instrText>
            </w:r>
            <w:r>
              <w:fldChar w:fldCharType="separate"/>
            </w:r>
            <w:r>
              <w:rPr>
                <w:sz w:val="24"/>
                <w:szCs w:val="24"/>
              </w:rPr>
              <w:t>氯化铁</w:t>
            </w:r>
            <w:r>
              <w:rPr>
                <w:sz w:val="24"/>
                <w:szCs w:val="24"/>
              </w:rPr>
              <w:fldChar w:fldCharType="end"/>
            </w:r>
            <w:r>
              <w:rPr>
                <w:sz w:val="24"/>
                <w:szCs w:val="24"/>
              </w:rPr>
              <w:t>等）反应。</w:t>
            </w:r>
            <w:r>
              <w:fldChar w:fldCharType="begin"/>
            </w:r>
            <w:r>
              <w:instrText xml:space="preserve"> HYPERLINK "https://baike.baidu.com/item/%E7%9B%B8%E5%AF%B9%E5%AF%86%E5%BA%A6/5064282" \t "_blank" </w:instrText>
            </w:r>
            <w:r>
              <w:fldChar w:fldCharType="separate"/>
            </w:r>
            <w:r>
              <w:rPr>
                <w:sz w:val="24"/>
                <w:szCs w:val="24"/>
              </w:rPr>
              <w:t>相对密度</w:t>
            </w:r>
            <w:r>
              <w:rPr>
                <w:sz w:val="24"/>
                <w:szCs w:val="24"/>
              </w:rPr>
              <w:fldChar w:fldCharType="end"/>
            </w:r>
            <w:r>
              <w:rPr>
                <w:sz w:val="24"/>
                <w:szCs w:val="24"/>
              </w:rPr>
              <w:t>0.902。熔点-83℃。沸点77℃。</w:t>
            </w:r>
            <w:r>
              <w:fldChar w:fldCharType="begin"/>
            </w:r>
            <w:r>
              <w:instrText xml:space="preserve"> HYPERLINK "https://baike.baidu.com/item/%E6%8A%98%E5%85%89%E7%8E%87/5655413" \t "_blank" </w:instrText>
            </w:r>
            <w:r>
              <w:fldChar w:fldCharType="separate"/>
            </w:r>
            <w:r>
              <w:rPr>
                <w:sz w:val="24"/>
                <w:szCs w:val="24"/>
              </w:rPr>
              <w:t>折光率</w:t>
            </w:r>
            <w:r>
              <w:rPr>
                <w:sz w:val="24"/>
                <w:szCs w:val="24"/>
              </w:rPr>
              <w:fldChar w:fldCharType="end"/>
            </w:r>
            <w:r>
              <w:rPr>
                <w:sz w:val="24"/>
                <w:szCs w:val="24"/>
              </w:rPr>
              <w:t>1.3719。</w:t>
            </w:r>
            <w:r>
              <w:fldChar w:fldCharType="begin"/>
            </w:r>
            <w:r>
              <w:instrText xml:space="preserve"> HYPERLINK "https://baike.baidu.com/item/%E9%97%AA%E7%82%B9/2519439" \t "_blank" </w:instrText>
            </w:r>
            <w:r>
              <w:fldChar w:fldCharType="separate"/>
            </w:r>
            <w:r>
              <w:rPr>
                <w:sz w:val="24"/>
                <w:szCs w:val="24"/>
              </w:rPr>
              <w:t>闪点</w:t>
            </w:r>
            <w:r>
              <w:rPr>
                <w:sz w:val="24"/>
                <w:szCs w:val="24"/>
              </w:rPr>
              <w:fldChar w:fldCharType="end"/>
            </w:r>
            <w:r>
              <w:rPr>
                <w:sz w:val="24"/>
                <w:szCs w:val="24"/>
              </w:rPr>
              <w:t>7.2℃（开杯）。易燃。蒸气能与空气形成</w:t>
            </w:r>
            <w:r>
              <w:fldChar w:fldCharType="begin"/>
            </w:r>
            <w:r>
              <w:instrText xml:space="preserve"> HYPERLINK "https://baike.baidu.com/item/%E7%88%86%E7%82%B8%E6%80%A7%E6%B7%B7%E5%90%88%E7%89%A9/5537872" \t "_blank" </w:instrText>
            </w:r>
            <w:r>
              <w:fldChar w:fldCharType="separate"/>
            </w:r>
            <w:r>
              <w:rPr>
                <w:sz w:val="24"/>
                <w:szCs w:val="24"/>
              </w:rPr>
              <w:t>爆炸性混合物</w:t>
            </w:r>
            <w:r>
              <w:rPr>
                <w:sz w:val="24"/>
                <w:szCs w:val="24"/>
              </w:rPr>
              <w:fldChar w:fldCharType="end"/>
            </w:r>
            <w:r>
              <w:rPr>
                <w:sz w:val="24"/>
                <w:szCs w:val="24"/>
              </w:rPr>
              <w:t>。半数</w:t>
            </w:r>
            <w:r>
              <w:fldChar w:fldCharType="begin"/>
            </w:r>
            <w:r>
              <w:instrText xml:space="preserve"> HYPERLINK "https://baike.baidu.com/item/%E8%87%B4%E6%AD%BB%E9%87%8F" \t "_blank" </w:instrText>
            </w:r>
            <w:r>
              <w:fldChar w:fldCharType="separate"/>
            </w:r>
            <w:r>
              <w:rPr>
                <w:sz w:val="24"/>
                <w:szCs w:val="24"/>
              </w:rPr>
              <w:t>致死量</w:t>
            </w:r>
            <w:r>
              <w:rPr>
                <w:sz w:val="24"/>
                <w:szCs w:val="24"/>
              </w:rPr>
              <w:fldChar w:fldCharType="end"/>
            </w:r>
            <w:r>
              <w:rPr>
                <w:sz w:val="24"/>
                <w:szCs w:val="24"/>
              </w:rPr>
              <w:t>（大鼠，经口）11.3ml/kg。</w:t>
            </w:r>
          </w:p>
          <w:p>
            <w:pPr>
              <w:spacing w:line="360" w:lineRule="auto"/>
              <w:ind w:firstLine="482" w:firstLineChars="200"/>
              <w:jc w:val="left"/>
              <w:rPr>
                <w:sz w:val="24"/>
                <w:szCs w:val="24"/>
              </w:rPr>
            </w:pPr>
            <w:r>
              <w:rPr>
                <w:b/>
                <w:sz w:val="24"/>
                <w:szCs w:val="24"/>
              </w:rPr>
              <w:t>芳烃溶剂</w:t>
            </w:r>
            <w:r>
              <w:rPr>
                <w:sz w:val="24"/>
                <w:szCs w:val="24"/>
              </w:rPr>
              <w:t>：轻芳烃溶剂油是一种化学物品，密度在0.96—0.99之间。澄清无色液体、芳香烃气味凝固/熔融点：-20℃、</w:t>
            </w:r>
            <w:r>
              <w:fldChar w:fldCharType="begin"/>
            </w:r>
            <w:r>
              <w:instrText xml:space="preserve"> HYPERLINK "https://baike.baidu.com/item/%E8%87%AA%E7%87%83%E6%B8%A9%E5%BA%A6" \t "_blank" </w:instrText>
            </w:r>
            <w:r>
              <w:fldChar w:fldCharType="separate"/>
            </w:r>
            <w:r>
              <w:rPr>
                <w:sz w:val="24"/>
                <w:szCs w:val="24"/>
              </w:rPr>
              <w:t>自燃温度</w:t>
            </w:r>
            <w:r>
              <w:rPr>
                <w:sz w:val="24"/>
                <w:szCs w:val="24"/>
              </w:rPr>
              <w:fldChar w:fldCharType="end"/>
            </w:r>
            <w:r>
              <w:rPr>
                <w:sz w:val="24"/>
                <w:szCs w:val="24"/>
              </w:rPr>
              <w:t>：400℃。</w:t>
            </w:r>
          </w:p>
          <w:p>
            <w:pPr>
              <w:spacing w:line="360" w:lineRule="auto"/>
              <w:ind w:firstLine="482" w:firstLineChars="200"/>
              <w:jc w:val="left"/>
              <w:rPr>
                <w:sz w:val="24"/>
                <w:szCs w:val="24"/>
              </w:rPr>
            </w:pPr>
            <w:r>
              <w:rPr>
                <w:b/>
                <w:sz w:val="24"/>
                <w:szCs w:val="24"/>
              </w:rPr>
              <w:t>丙烯酸树脂</w:t>
            </w:r>
            <w:r>
              <w:rPr>
                <w:sz w:val="24"/>
                <w:szCs w:val="24"/>
              </w:rPr>
              <w:t>：丙烯酸和甲基丙烯酸及其酯类或其他衍生物经聚合而成的均聚物和共聚物的总称，英文名称为Acrylic acid Polymers，中文别名为丙烯酸树脂乳液，CAS号为9003-01-4，分子式为(C</w:t>
            </w:r>
            <w:r>
              <w:rPr>
                <w:sz w:val="24"/>
                <w:szCs w:val="24"/>
                <w:vertAlign w:val="subscript"/>
              </w:rPr>
              <w:t>3</w:t>
            </w:r>
            <w:r>
              <w:rPr>
                <w:sz w:val="24"/>
                <w:szCs w:val="24"/>
              </w:rPr>
              <w:t>H</w:t>
            </w:r>
            <w:r>
              <w:rPr>
                <w:sz w:val="24"/>
                <w:szCs w:val="24"/>
                <w:vertAlign w:val="subscript"/>
              </w:rPr>
              <w:t>4</w:t>
            </w:r>
            <w:r>
              <w:rPr>
                <w:sz w:val="24"/>
                <w:szCs w:val="24"/>
              </w:rPr>
              <w:t>O</w:t>
            </w:r>
            <w:r>
              <w:rPr>
                <w:sz w:val="24"/>
                <w:szCs w:val="24"/>
                <w:vertAlign w:val="subscript"/>
              </w:rPr>
              <w:t>2</w:t>
            </w:r>
            <w:r>
              <w:rPr>
                <w:sz w:val="24"/>
                <w:szCs w:val="24"/>
              </w:rPr>
              <w:t>)n，分子量为72.06，丙烯酸树脂色浅、水白透明，溶点106℃，闪点61.6℃，沸点155℃，不溶于水，易溶于醇、醚。涂膜性能优异，耐光、耐候性佳，耐热，耐过度烘烤、耐化学品性及耐腐蚀等性能都极好。因此，用丙烯酸树脂制造的涂料，用途广泛、品种繁多。</w:t>
            </w:r>
          </w:p>
          <w:p>
            <w:pPr>
              <w:pStyle w:val="26"/>
              <w:ind w:left="240" w:firstLine="240" w:firstLineChars="100"/>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稀释剂成分说明</w:t>
            </w:r>
          </w:p>
          <w:p>
            <w:pPr>
              <w:pStyle w:val="14"/>
              <w:adjustRightInd/>
              <w:ind w:firstLine="480" w:firstLineChars="200"/>
              <w:jc w:val="left"/>
              <w:rPr>
                <w:sz w:val="24"/>
                <w:szCs w:val="24"/>
                <w:shd w:val="clear" w:color="auto" w:fill="FFFFFF"/>
              </w:rPr>
            </w:pPr>
            <w:r>
              <w:rPr>
                <w:sz w:val="24"/>
                <w:szCs w:val="24"/>
                <w:lang w:val="en-US"/>
              </w:rPr>
              <w:t>稀释剂成分说明：稀释剂，又名填料、填充剂。</w:t>
            </w:r>
            <w:r>
              <w:rPr>
                <w:sz w:val="24"/>
                <w:szCs w:val="24"/>
                <w:shd w:val="clear" w:color="auto" w:fill="FFFFFF"/>
              </w:rPr>
              <w:t>加入物料中可以改善物料性能，或能增容、增重，降低物料的成本的固体物质。通常不含水、中性、不与物料组分起不良作用的有机物、无机物、金属或非金属粉末等均可作为填充剂。</w:t>
            </w:r>
          </w:p>
          <w:p>
            <w:pPr>
              <w:widowControl/>
              <w:spacing w:line="360" w:lineRule="auto"/>
              <w:ind w:firstLine="482" w:firstLineChars="200"/>
              <w:jc w:val="left"/>
              <w:rPr>
                <w:sz w:val="24"/>
                <w:szCs w:val="24"/>
              </w:rPr>
            </w:pPr>
            <w:r>
              <w:rPr>
                <w:b/>
                <w:sz w:val="24"/>
                <w:szCs w:val="24"/>
              </w:rPr>
              <w:t>乙酸丁酯：</w:t>
            </w:r>
            <w:r>
              <w:rPr>
                <w:sz w:val="24"/>
                <w:szCs w:val="24"/>
              </w:rPr>
              <w:t>乙酸丁酯是一种优良的有机溶剂。沸点 126.5℃，凝固点 -77.9℃，相对密度，0.8825折射率，1.394（20℃），闪点 22℃，沸点126.5 ℃，</w:t>
            </w:r>
            <w:r>
              <w:fldChar w:fldCharType="begin"/>
            </w:r>
            <w:r>
              <w:instrText xml:space="preserve"> HYPERLINK "https://baike.baidu.com/item/%E9%97%AA%E7%82%B9" \t "https://baike.baidu.com/item/%E4%B9%99%E9%85%B8%E4%B8%81%E9%85%AF/_blank" </w:instrText>
            </w:r>
            <w:r>
              <w:fldChar w:fldCharType="separate"/>
            </w:r>
            <w:r>
              <w:rPr>
                <w:sz w:val="24"/>
                <w:szCs w:val="24"/>
              </w:rPr>
              <w:t>闪点</w:t>
            </w:r>
            <w:r>
              <w:rPr>
                <w:sz w:val="24"/>
                <w:szCs w:val="24"/>
              </w:rPr>
              <w:fldChar w:fldCharType="end"/>
            </w:r>
            <w:r>
              <w:rPr>
                <w:sz w:val="24"/>
                <w:szCs w:val="24"/>
              </w:rPr>
              <w:t>(开口)33℃，燃点421℃，粘度(20℃)0.734mPas，溶解度参数δ=8．5。较低级同系物难溶于水；与醇、醚、酮等</w:t>
            </w:r>
            <w:r>
              <w:fldChar w:fldCharType="begin"/>
            </w:r>
            <w:r>
              <w:instrText xml:space="preserve"> HYPERLINK "https://baike.baidu.com/item/%E6%9C%89%E6%9C%BA%E6%BA%B6%E5%89%82/7921016" \t "https://baike.baidu.com/item/%E4%B9%99%E9%85%B8%E4%B8%81%E9%85%AF/_blank" </w:instrText>
            </w:r>
            <w:r>
              <w:fldChar w:fldCharType="separate"/>
            </w:r>
            <w:r>
              <w:rPr>
                <w:sz w:val="24"/>
                <w:szCs w:val="24"/>
              </w:rPr>
              <w:t>有机溶剂</w:t>
            </w:r>
            <w:r>
              <w:rPr>
                <w:sz w:val="24"/>
                <w:szCs w:val="24"/>
              </w:rPr>
              <w:fldChar w:fldCharType="end"/>
            </w:r>
            <w:r>
              <w:rPr>
                <w:sz w:val="24"/>
                <w:szCs w:val="24"/>
              </w:rPr>
              <w:t>混溶。易燃。急性毒性较小，但对眼鼻有较强的刺激性，而且在高浓度下会引起麻醉。</w:t>
            </w:r>
          </w:p>
          <w:p>
            <w:pPr>
              <w:pStyle w:val="26"/>
              <w:adjustRightInd/>
              <w:spacing w:line="360" w:lineRule="auto"/>
              <w:ind w:firstLine="482" w:firstLineChars="200"/>
              <w:jc w:val="left"/>
              <w:rPr>
                <w:rFonts w:ascii="Times New Roman" w:hAnsi="Times New Roman" w:eastAsia="宋体" w:cs="Times New Roman"/>
                <w:color w:val="auto"/>
              </w:rPr>
            </w:pPr>
            <w:r>
              <w:rPr>
                <w:rFonts w:ascii="Times New Roman" w:hAnsi="Times New Roman" w:eastAsia="宋体" w:cs="Times New Roman"/>
                <w:b/>
                <w:bCs/>
                <w:color w:val="auto"/>
              </w:rPr>
              <w:t>轻芳烃溶剂石脑油</w:t>
            </w:r>
            <w:r>
              <w:rPr>
                <w:rFonts w:ascii="Times New Roman" w:hAnsi="Times New Roman" w:eastAsia="宋体" w:cs="Times New Roman"/>
                <w:color w:val="auto"/>
              </w:rPr>
              <w:t>：石脑油是一种轻质油品，又称直馏汽油或轻汽油，主要用于裂解、催化重整和制氢</w:t>
            </w:r>
            <w:r>
              <w:fldChar w:fldCharType="begin"/>
            </w:r>
            <w:r>
              <w:instrText xml:space="preserve"> HYPERLINK "http://www.yuancailiao.net/" </w:instrText>
            </w:r>
            <w:r>
              <w:fldChar w:fldCharType="separate"/>
            </w:r>
            <w:r>
              <w:rPr>
                <w:rFonts w:ascii="Times New Roman" w:hAnsi="Times New Roman" w:eastAsia="宋体" w:cs="Times New Roman"/>
                <w:color w:val="auto"/>
              </w:rPr>
              <w:t>原料</w:t>
            </w:r>
            <w:r>
              <w:rPr>
                <w:rFonts w:ascii="Times New Roman" w:hAnsi="Times New Roman" w:eastAsia="宋体" w:cs="Times New Roman"/>
                <w:color w:val="auto"/>
              </w:rPr>
              <w:fldChar w:fldCharType="end"/>
            </w:r>
            <w:r>
              <w:rPr>
                <w:rFonts w:ascii="Times New Roman" w:hAnsi="Times New Roman" w:eastAsia="宋体" w:cs="Times New Roman"/>
                <w:color w:val="auto"/>
              </w:rPr>
              <w:t>，也可以直接生产乙烯，是C5到C12的烷烃、环烷烃和芳烃的混合物。是无色或浅黄色液体。</w:t>
            </w:r>
          </w:p>
          <w:p>
            <w:pPr>
              <w:spacing w:line="360" w:lineRule="auto"/>
              <w:jc w:val="left"/>
              <w:rPr>
                <w:b/>
                <w:sz w:val="24"/>
                <w:szCs w:val="24"/>
              </w:rPr>
            </w:pPr>
            <w:r>
              <w:rPr>
                <w:b/>
                <w:sz w:val="24"/>
                <w:szCs w:val="24"/>
              </w:rPr>
              <w:t>2.6项目规模</w:t>
            </w:r>
          </w:p>
          <w:p>
            <w:pPr>
              <w:pStyle w:val="15"/>
              <w:spacing w:line="360" w:lineRule="auto"/>
              <w:ind w:firstLine="480" w:firstLineChars="200"/>
              <w:jc w:val="left"/>
              <w:rPr>
                <w:sz w:val="24"/>
              </w:rPr>
            </w:pPr>
            <w:r>
              <w:rPr>
                <w:sz w:val="24"/>
              </w:rPr>
              <w:t>项目主要销售、维修</w:t>
            </w:r>
            <w:r>
              <w:rPr>
                <w:rFonts w:hint="eastAsia"/>
                <w:sz w:val="24"/>
              </w:rPr>
              <w:t>吉利</w:t>
            </w:r>
            <w:r>
              <w:rPr>
                <w:sz w:val="24"/>
              </w:rPr>
              <w:t>汽车，年销售汽车</w:t>
            </w:r>
            <w:r>
              <w:rPr>
                <w:rFonts w:hint="eastAsia"/>
                <w:sz w:val="24"/>
              </w:rPr>
              <w:t>300</w:t>
            </w:r>
            <w:r>
              <w:rPr>
                <w:sz w:val="24"/>
              </w:rPr>
              <w:t>台、年维修</w:t>
            </w:r>
            <w:r>
              <w:rPr>
                <w:rFonts w:hint="eastAsia"/>
                <w:sz w:val="24"/>
              </w:rPr>
              <w:t>6</w:t>
            </w:r>
            <w:r>
              <w:rPr>
                <w:sz w:val="24"/>
              </w:rPr>
              <w:t>00台、年喷烤漆</w:t>
            </w:r>
            <w:r>
              <w:rPr>
                <w:rFonts w:hint="eastAsia"/>
                <w:sz w:val="24"/>
              </w:rPr>
              <w:t>150</w:t>
            </w:r>
            <w:r>
              <w:rPr>
                <w:sz w:val="24"/>
              </w:rPr>
              <w:t>台、年清洗车辆</w:t>
            </w:r>
            <w:r>
              <w:rPr>
                <w:rFonts w:hint="eastAsia"/>
                <w:sz w:val="24"/>
              </w:rPr>
              <w:t>800</w:t>
            </w:r>
            <w:r>
              <w:rPr>
                <w:sz w:val="24"/>
              </w:rPr>
              <w:t>台</w:t>
            </w:r>
            <w:r>
              <w:rPr>
                <w:rFonts w:hint="eastAsia"/>
                <w:sz w:val="24"/>
              </w:rPr>
              <w:t>、年保养车辆800台</w:t>
            </w:r>
            <w:r>
              <w:rPr>
                <w:sz w:val="24"/>
              </w:rPr>
              <w:t>。不涉及其他品牌车辆。</w:t>
            </w:r>
          </w:p>
          <w:p>
            <w:pPr>
              <w:spacing w:line="350" w:lineRule="auto"/>
              <w:rPr>
                <w:b/>
                <w:sz w:val="24"/>
                <w:szCs w:val="24"/>
              </w:rPr>
            </w:pPr>
            <w:r>
              <w:rPr>
                <w:b/>
                <w:sz w:val="24"/>
                <w:szCs w:val="24"/>
              </w:rPr>
              <w:t>2.7总平面布置</w:t>
            </w:r>
          </w:p>
          <w:p>
            <w:pPr>
              <w:pStyle w:val="15"/>
              <w:spacing w:line="360" w:lineRule="auto"/>
              <w:ind w:firstLine="480" w:firstLineChars="200"/>
              <w:jc w:val="left"/>
              <w:rPr>
                <w:sz w:val="24"/>
              </w:rPr>
            </w:pPr>
            <w:bookmarkStart w:id="61" w:name="_Toc194172604"/>
            <w:r>
              <w:rPr>
                <w:sz w:val="24"/>
              </w:rPr>
              <w:t>项目位于岳阳市城陵矶新港区临港国际汽车城，具体布置为：1F由东向西依次布置为</w:t>
            </w:r>
            <w:bookmarkEnd w:id="61"/>
            <w:r>
              <w:rPr>
                <w:sz w:val="24"/>
              </w:rPr>
              <w:t>展厅、办公室、维修车间；</w:t>
            </w:r>
            <w:r>
              <w:rPr>
                <w:rFonts w:hint="eastAsia"/>
                <w:sz w:val="24"/>
              </w:rPr>
              <w:t>展厅2F为办公室</w:t>
            </w:r>
            <w:r>
              <w:rPr>
                <w:sz w:val="24"/>
              </w:rPr>
              <w:t>；</w:t>
            </w:r>
            <w:r>
              <w:rPr>
                <w:rFonts w:hint="eastAsia"/>
                <w:sz w:val="24"/>
              </w:rPr>
              <w:t>机修车间为</w:t>
            </w:r>
            <w:r>
              <w:rPr>
                <w:sz w:val="24"/>
              </w:rPr>
              <w:t>2F员工食堂。</w:t>
            </w:r>
          </w:p>
          <w:p>
            <w:pPr>
              <w:spacing w:line="360" w:lineRule="auto"/>
              <w:ind w:firstLine="480" w:firstLineChars="200"/>
              <w:rPr>
                <w:sz w:val="24"/>
                <w:szCs w:val="24"/>
              </w:rPr>
            </w:pPr>
            <w:r>
              <w:rPr>
                <w:sz w:val="24"/>
                <w:szCs w:val="24"/>
              </w:rPr>
              <w:t>总平面布置见附图2。</w:t>
            </w:r>
          </w:p>
          <w:p>
            <w:pPr>
              <w:spacing w:line="360" w:lineRule="auto"/>
              <w:rPr>
                <w:b/>
                <w:sz w:val="24"/>
                <w:szCs w:val="24"/>
              </w:rPr>
            </w:pPr>
            <w:r>
              <w:rPr>
                <w:b/>
                <w:sz w:val="24"/>
                <w:szCs w:val="24"/>
              </w:rPr>
              <w:t>2.8给排水</w:t>
            </w:r>
          </w:p>
          <w:p>
            <w:pPr>
              <w:spacing w:line="360" w:lineRule="auto"/>
              <w:ind w:firstLine="480" w:firstLineChars="200"/>
              <w:rPr>
                <w:sz w:val="24"/>
                <w:szCs w:val="24"/>
              </w:rPr>
            </w:pPr>
            <w:r>
              <w:rPr>
                <w:sz w:val="24"/>
                <w:szCs w:val="24"/>
              </w:rPr>
              <w:t>（1）给水</w:t>
            </w:r>
          </w:p>
          <w:p>
            <w:pPr>
              <w:spacing w:line="360" w:lineRule="auto"/>
              <w:ind w:firstLine="480" w:firstLineChars="200"/>
              <w:rPr>
                <w:sz w:val="24"/>
                <w:szCs w:val="24"/>
              </w:rPr>
            </w:pPr>
            <w:r>
              <w:rPr>
                <w:sz w:val="24"/>
                <w:szCs w:val="24"/>
              </w:rPr>
              <w:t>项目水源为城市自来水</w:t>
            </w:r>
            <w:r>
              <w:rPr>
                <w:kern w:val="0"/>
                <w:sz w:val="24"/>
                <w:szCs w:val="24"/>
              </w:rPr>
              <w:t>，能够满足生产生活需求，根据建设单位统计的资料</w:t>
            </w:r>
            <w:r>
              <w:rPr>
                <w:sz w:val="24"/>
                <w:szCs w:val="24"/>
              </w:rPr>
              <w:t>项目用水主要为员工、客户生活用水</w:t>
            </w:r>
            <w:r>
              <w:rPr>
                <w:bCs/>
                <w:sz w:val="24"/>
                <w:szCs w:val="24"/>
              </w:rPr>
              <w:t>、地面清洗用水</w:t>
            </w:r>
            <w:r>
              <w:rPr>
                <w:sz w:val="24"/>
                <w:szCs w:val="24"/>
              </w:rPr>
              <w:t>和汽车清洗用水，总量为</w:t>
            </w:r>
            <w:r>
              <w:rPr>
                <w:rFonts w:hint="eastAsia"/>
                <w:sz w:val="24"/>
                <w:szCs w:val="24"/>
              </w:rPr>
              <w:t>3886.15</w:t>
            </w:r>
            <w:r>
              <w:rPr>
                <w:sz w:val="24"/>
                <w:szCs w:val="24"/>
              </w:rPr>
              <w:t>m³/a。</w:t>
            </w:r>
          </w:p>
          <w:p>
            <w:pPr>
              <w:spacing w:line="360" w:lineRule="auto"/>
              <w:ind w:firstLine="480" w:firstLineChars="200"/>
              <w:rPr>
                <w:sz w:val="24"/>
                <w:szCs w:val="24"/>
              </w:rPr>
            </w:pPr>
            <w:bookmarkStart w:id="62" w:name="_Toc279224874"/>
            <w:bookmarkStart w:id="63" w:name="_Toc259624358"/>
            <w:bookmarkStart w:id="64" w:name="_Toc257125082"/>
            <w:r>
              <w:rPr>
                <w:sz w:val="24"/>
                <w:szCs w:val="24"/>
              </w:rPr>
              <w:t>（2）排水</w:t>
            </w:r>
            <w:bookmarkEnd w:id="62"/>
            <w:bookmarkEnd w:id="63"/>
            <w:bookmarkEnd w:id="64"/>
          </w:p>
          <w:p>
            <w:pPr>
              <w:spacing w:line="360" w:lineRule="auto"/>
              <w:ind w:firstLine="480" w:firstLineChars="200"/>
              <w:rPr>
                <w:sz w:val="24"/>
                <w:szCs w:val="24"/>
              </w:rPr>
            </w:pPr>
            <w:r>
              <w:rPr>
                <w:sz w:val="24"/>
                <w:szCs w:val="24"/>
              </w:rPr>
              <w:t>项目排水体制采用雨污分流制排水系统。营运期排放的废水主要为生活污水和地面清洗废水等，废水总产生量为</w:t>
            </w:r>
            <w:r>
              <w:rPr>
                <w:rFonts w:hint="eastAsia"/>
                <w:sz w:val="24"/>
                <w:szCs w:val="24"/>
              </w:rPr>
              <w:t>3108.92</w:t>
            </w:r>
            <w:r>
              <w:rPr>
                <w:sz w:val="24"/>
                <w:szCs w:val="24"/>
              </w:rPr>
              <w:t>m</w:t>
            </w:r>
            <w:r>
              <w:rPr>
                <w:sz w:val="24"/>
                <w:szCs w:val="24"/>
                <w:vertAlign w:val="superscript"/>
              </w:rPr>
              <w:t>3</w:t>
            </w:r>
            <w:r>
              <w:rPr>
                <w:sz w:val="24"/>
                <w:szCs w:val="24"/>
              </w:rPr>
              <w:t>/a。</w:t>
            </w:r>
          </w:p>
          <w:p>
            <w:pPr>
              <w:spacing w:line="360" w:lineRule="auto"/>
              <w:ind w:firstLine="480" w:firstLineChars="200"/>
              <w:jc w:val="left"/>
              <w:rPr>
                <w:color w:val="FF0000"/>
                <w:sz w:val="24"/>
                <w:szCs w:val="24"/>
              </w:rPr>
            </w:pPr>
            <w:r>
              <w:rPr>
                <w:sz w:val="24"/>
                <w:szCs w:val="24"/>
              </w:rPr>
              <w:t>污水系统：地面清洗废水和汽车清洗废水采用隔油沉淀池预处理；生活污水采用化粪池处理。项目东侧市政污水管网</w:t>
            </w:r>
            <w:r>
              <w:rPr>
                <w:rFonts w:hint="eastAsia"/>
                <w:sz w:val="24"/>
                <w:szCs w:val="24"/>
              </w:rPr>
              <w:t>已</w:t>
            </w:r>
            <w:r>
              <w:rPr>
                <w:sz w:val="24"/>
                <w:szCs w:val="24"/>
              </w:rPr>
              <w:t>与城陵矶新港区污水处理厂接通，项目废水经预处理后最终经城陵矶新港区污水处理厂处理达标后排入象骨港，最终汇入长江。根据相关规划，项目排水路径见附图七。</w:t>
            </w:r>
          </w:p>
          <w:p>
            <w:pPr>
              <w:spacing w:line="360" w:lineRule="auto"/>
              <w:ind w:firstLine="480" w:firstLineChars="200"/>
              <w:rPr>
                <w:sz w:val="24"/>
                <w:szCs w:val="24"/>
              </w:rPr>
            </w:pPr>
            <w:r>
              <w:rPr>
                <w:sz w:val="24"/>
                <w:szCs w:val="24"/>
              </w:rPr>
              <w:t>雨水系统：项目雨水排入东侧联港路已有的市政雨水管涵，最终汇入芭蕉湖。</w:t>
            </w:r>
          </w:p>
          <w:p>
            <w:pPr>
              <w:spacing w:line="360" w:lineRule="auto"/>
              <w:rPr>
                <w:b/>
                <w:sz w:val="24"/>
                <w:szCs w:val="24"/>
              </w:rPr>
            </w:pPr>
            <w:r>
              <w:rPr>
                <w:b/>
                <w:sz w:val="24"/>
                <w:szCs w:val="24"/>
              </w:rPr>
              <w:t>2.9供电</w:t>
            </w:r>
          </w:p>
          <w:p>
            <w:pPr>
              <w:overflowPunct w:val="0"/>
              <w:autoSpaceDE w:val="0"/>
              <w:spacing w:line="360" w:lineRule="auto"/>
              <w:ind w:firstLine="480" w:firstLineChars="200"/>
              <w:rPr>
                <w:sz w:val="24"/>
                <w:szCs w:val="24"/>
              </w:rPr>
            </w:pPr>
            <w:bookmarkStart w:id="65" w:name="_Toc440388664"/>
            <w:r>
              <w:rPr>
                <w:sz w:val="24"/>
                <w:szCs w:val="24"/>
              </w:rPr>
              <w:t>项目电源由已有的市政电网直接接入供电，能够满足经营需求。</w:t>
            </w:r>
          </w:p>
          <w:p>
            <w:pPr>
              <w:spacing w:line="360" w:lineRule="auto"/>
              <w:rPr>
                <w:b/>
                <w:sz w:val="24"/>
                <w:szCs w:val="24"/>
              </w:rPr>
            </w:pPr>
            <w:r>
              <w:rPr>
                <w:b/>
                <w:sz w:val="24"/>
                <w:szCs w:val="24"/>
              </w:rPr>
              <w:t>3、消防</w:t>
            </w:r>
          </w:p>
          <w:p>
            <w:pPr>
              <w:spacing w:line="360" w:lineRule="auto"/>
              <w:ind w:firstLine="480" w:firstLineChars="200"/>
              <w:rPr>
                <w:sz w:val="24"/>
                <w:szCs w:val="24"/>
              </w:rPr>
            </w:pPr>
            <w:r>
              <w:rPr>
                <w:sz w:val="24"/>
                <w:szCs w:val="24"/>
              </w:rPr>
              <w:t>根据《建筑设计防火规范》（GB50016-2014），项目建筑中的梁、板、柱结构保护层的厚度均应按一类建筑的防火要求进行设计。区域内防火采用消防水和干粉灭火器共同作用，消防水采取常高压给水系统，项目配置了一定数量手提式干粉灭火器。</w:t>
            </w:r>
          </w:p>
          <w:bookmarkEnd w:id="65"/>
          <w:p>
            <w:pPr>
              <w:spacing w:line="360" w:lineRule="auto"/>
              <w:rPr>
                <w:b/>
                <w:sz w:val="24"/>
                <w:szCs w:val="24"/>
              </w:rPr>
            </w:pPr>
            <w:r>
              <w:rPr>
                <w:b/>
                <w:sz w:val="24"/>
                <w:szCs w:val="24"/>
              </w:rPr>
              <w:t>4、劳动定员及工作制度</w:t>
            </w:r>
          </w:p>
          <w:p>
            <w:pPr>
              <w:spacing w:line="360" w:lineRule="auto"/>
              <w:ind w:firstLine="480" w:firstLineChars="200"/>
              <w:jc w:val="left"/>
              <w:rPr>
                <w:bCs/>
                <w:spacing w:val="6"/>
                <w:sz w:val="24"/>
                <w:szCs w:val="24"/>
              </w:rPr>
            </w:pPr>
            <w:r>
              <w:rPr>
                <w:sz w:val="24"/>
                <w:szCs w:val="24"/>
              </w:rPr>
              <w:t>项目设置职工60人，年工作天数为 300 天，工作班制为一班制，</w:t>
            </w:r>
            <w:r>
              <w:rPr>
                <w:sz w:val="24"/>
              </w:rPr>
              <w:t>每班8小时，</w:t>
            </w:r>
            <w:r>
              <w:rPr>
                <w:sz w:val="24"/>
                <w:szCs w:val="24"/>
              </w:rPr>
              <w:t>店内夜间不进行</w:t>
            </w:r>
            <w:r>
              <w:rPr>
                <w:bCs/>
                <w:spacing w:val="6"/>
                <w:sz w:val="24"/>
                <w:szCs w:val="24"/>
              </w:rPr>
              <w:t>维修、检查等服务，食堂平均就餐人数50人，有</w:t>
            </w:r>
            <w:r>
              <w:rPr>
                <w:rFonts w:hint="eastAsia"/>
                <w:bCs/>
                <w:spacing w:val="6"/>
                <w:sz w:val="24"/>
                <w:szCs w:val="24"/>
              </w:rPr>
              <w:t>灶台</w:t>
            </w:r>
            <w:r>
              <w:rPr>
                <w:bCs/>
                <w:spacing w:val="6"/>
                <w:sz w:val="24"/>
                <w:szCs w:val="24"/>
              </w:rPr>
              <w:t>2个，无住宿。</w:t>
            </w:r>
          </w:p>
          <w:p>
            <w:pPr>
              <w:snapToGrid w:val="0"/>
              <w:spacing w:beforeLines="50" w:line="360" w:lineRule="auto"/>
              <w:rPr>
                <w:b/>
                <w:bCs/>
                <w:sz w:val="24"/>
                <w:szCs w:val="24"/>
              </w:rPr>
            </w:pPr>
            <w:r>
              <w:rPr>
                <w:b/>
                <w:bCs/>
                <w:sz w:val="24"/>
                <w:szCs w:val="24"/>
              </w:rPr>
              <w:t>与项目有关的原有污染情况及主要环境问题</w:t>
            </w:r>
          </w:p>
          <w:p>
            <w:pPr>
              <w:widowControl/>
              <w:snapToGrid w:val="0"/>
              <w:spacing w:line="360" w:lineRule="auto"/>
              <w:jc w:val="left"/>
              <w:rPr>
                <w:b/>
                <w:kern w:val="0"/>
                <w:sz w:val="24"/>
              </w:rPr>
            </w:pPr>
            <w:r>
              <w:rPr>
                <w:rFonts w:hint="eastAsia"/>
                <w:b/>
                <w:kern w:val="0"/>
                <w:sz w:val="24"/>
              </w:rPr>
              <w:t>一、</w:t>
            </w:r>
            <w:r>
              <w:rPr>
                <w:b/>
                <w:kern w:val="0"/>
                <w:sz w:val="24"/>
              </w:rPr>
              <w:t>与项目有关的原有污染情况</w:t>
            </w:r>
          </w:p>
          <w:p>
            <w:pPr>
              <w:spacing w:line="360" w:lineRule="auto"/>
              <w:ind w:firstLine="480" w:firstLineChars="200"/>
              <w:rPr>
                <w:b/>
                <w:sz w:val="24"/>
              </w:rPr>
            </w:pPr>
            <w:r>
              <w:rPr>
                <w:rFonts w:hint="eastAsia"/>
                <w:sz w:val="24"/>
              </w:rPr>
              <w:t>岳阳市兴燕贸易有限公司新港分公司</w:t>
            </w:r>
            <w:r>
              <w:rPr>
                <w:rFonts w:hint="eastAsia"/>
                <w:bCs/>
                <w:spacing w:val="6"/>
                <w:sz w:val="24"/>
              </w:rPr>
              <w:t>投资1000万元</w:t>
            </w:r>
            <w:r>
              <w:rPr>
                <w:bCs/>
                <w:spacing w:val="6"/>
                <w:sz w:val="24"/>
              </w:rPr>
              <w:t>在</w:t>
            </w:r>
            <w:r>
              <w:rPr>
                <w:rFonts w:hint="eastAsia"/>
                <w:sz w:val="24"/>
              </w:rPr>
              <w:t>岳阳市临港产业新区城陵矶片区联港路</w:t>
            </w:r>
            <w:r>
              <w:rPr>
                <w:bCs/>
                <w:spacing w:val="6"/>
                <w:sz w:val="24"/>
              </w:rPr>
              <w:t>建设</w:t>
            </w:r>
            <w:r>
              <w:rPr>
                <w:rFonts w:hint="eastAsia"/>
                <w:sz w:val="24"/>
              </w:rPr>
              <w:t>岳阳市兴燕贸易有限公司新港分公司吉利4S店，建设项目已经于2018年3月投入运行。项目运行</w:t>
            </w:r>
            <w:r>
              <w:rPr>
                <w:sz w:val="24"/>
              </w:rPr>
              <w:t>至今，未出现环境污染纠纷，无环保投诉。</w:t>
            </w:r>
            <w:r>
              <w:rPr>
                <w:rFonts w:hint="eastAsia"/>
                <w:sz w:val="24"/>
              </w:rPr>
              <w:t>本次环评属于补办环评</w:t>
            </w:r>
            <w:r>
              <w:rPr>
                <w:rFonts w:hAnsi="宋体"/>
                <w:sz w:val="24"/>
              </w:rPr>
              <w:t>，与本项目有关的原有污染情况及环境影响即现有生产情况</w:t>
            </w:r>
            <w:r>
              <w:rPr>
                <w:rFonts w:hint="eastAsia" w:hAnsi="宋体"/>
                <w:sz w:val="24"/>
              </w:rPr>
              <w:t>如下，各污染源数据建设单位统计的实际资料及现状监测数据确定：</w:t>
            </w:r>
          </w:p>
          <w:p>
            <w:pPr>
              <w:spacing w:line="360" w:lineRule="auto"/>
              <w:ind w:firstLine="482" w:firstLineChars="200"/>
              <w:rPr>
                <w:b/>
                <w:sz w:val="24"/>
              </w:rPr>
            </w:pPr>
            <w:r>
              <w:rPr>
                <w:rFonts w:hint="eastAsia"/>
                <w:b/>
                <w:sz w:val="24"/>
              </w:rPr>
              <w:t>1、</w:t>
            </w:r>
            <w:r>
              <w:rPr>
                <w:b/>
                <w:sz w:val="24"/>
              </w:rPr>
              <w:t>废水</w:t>
            </w:r>
            <w:r>
              <w:rPr>
                <w:rFonts w:hint="eastAsia"/>
                <w:b/>
                <w:sz w:val="24"/>
              </w:rPr>
              <w:t>污染及现有的环保措施</w:t>
            </w:r>
          </w:p>
          <w:p>
            <w:pPr>
              <w:spacing w:line="360" w:lineRule="auto"/>
              <w:ind w:firstLine="480" w:firstLineChars="200"/>
              <w:rPr>
                <w:sz w:val="24"/>
              </w:rPr>
            </w:pPr>
            <w:r>
              <w:rPr>
                <w:rFonts w:hint="eastAsia"/>
                <w:sz w:val="24"/>
                <w:szCs w:val="24"/>
              </w:rPr>
              <w:t>为了解项目外排生产废水水质，特委托湖南博测检测技术有限公司于</w:t>
            </w:r>
            <w:r>
              <w:rPr>
                <w:sz w:val="24"/>
                <w:szCs w:val="24"/>
              </w:rPr>
              <w:t>20</w:t>
            </w:r>
            <w:r>
              <w:rPr>
                <w:rFonts w:hint="eastAsia"/>
                <w:sz w:val="24"/>
                <w:szCs w:val="24"/>
              </w:rPr>
              <w:t>20</w:t>
            </w:r>
            <w:r>
              <w:rPr>
                <w:sz w:val="24"/>
                <w:szCs w:val="24"/>
              </w:rPr>
              <w:t>年</w:t>
            </w:r>
            <w:r>
              <w:rPr>
                <w:rFonts w:hint="eastAsia"/>
                <w:sz w:val="24"/>
                <w:szCs w:val="24"/>
              </w:rPr>
              <w:t>11</w:t>
            </w:r>
            <w:r>
              <w:rPr>
                <w:sz w:val="24"/>
                <w:szCs w:val="24"/>
              </w:rPr>
              <w:t>月</w:t>
            </w:r>
            <w:r>
              <w:rPr>
                <w:rFonts w:hint="eastAsia"/>
                <w:sz w:val="24"/>
                <w:szCs w:val="24"/>
              </w:rPr>
              <w:t>12</w:t>
            </w:r>
            <w:r>
              <w:rPr>
                <w:sz w:val="24"/>
                <w:szCs w:val="24"/>
              </w:rPr>
              <w:t>日在</w:t>
            </w:r>
            <w:r>
              <w:rPr>
                <w:rFonts w:hint="eastAsia"/>
                <w:sz w:val="24"/>
                <w:szCs w:val="24"/>
              </w:rPr>
              <w:t>项目</w:t>
            </w:r>
            <w:r>
              <w:rPr>
                <w:sz w:val="24"/>
                <w:szCs w:val="24"/>
              </w:rPr>
              <w:t>正常营运情况下对</w:t>
            </w:r>
            <w:r>
              <w:rPr>
                <w:rFonts w:hint="eastAsia"/>
                <w:sz w:val="24"/>
                <w:szCs w:val="24"/>
              </w:rPr>
              <w:t>项目废水总排放口中各污染物进行了现状监测（详见表1-6）</w:t>
            </w:r>
            <w:r>
              <w:rPr>
                <w:sz w:val="24"/>
                <w:szCs w:val="24"/>
              </w:rPr>
              <w:t>，由表</w:t>
            </w:r>
            <w:r>
              <w:rPr>
                <w:rFonts w:hint="eastAsia"/>
                <w:sz w:val="24"/>
                <w:szCs w:val="24"/>
              </w:rPr>
              <w:t>1-6可知，项目处理后生产废水各污染因子能满足《汽车维修业水污染物排放标准》（</w:t>
            </w:r>
            <w:r>
              <w:rPr>
                <w:sz w:val="24"/>
                <w:szCs w:val="24"/>
              </w:rPr>
              <w:t>GB26877-2011</w:t>
            </w:r>
            <w:r>
              <w:rPr>
                <w:rFonts w:hint="eastAsia"/>
                <w:sz w:val="24"/>
                <w:szCs w:val="24"/>
              </w:rPr>
              <w:t>）中表</w:t>
            </w:r>
            <w:r>
              <w:rPr>
                <w:sz w:val="24"/>
                <w:szCs w:val="24"/>
              </w:rPr>
              <w:t>2</w:t>
            </w:r>
            <w:r>
              <w:rPr>
                <w:rFonts w:hint="eastAsia"/>
                <w:sz w:val="24"/>
                <w:szCs w:val="24"/>
              </w:rPr>
              <w:t>规定的水污染物排放限值（</w:t>
            </w:r>
            <w:r>
              <w:rPr>
                <w:sz w:val="24"/>
                <w:szCs w:val="24"/>
              </w:rPr>
              <w:t>pH</w:t>
            </w:r>
            <w:r>
              <w:rPr>
                <w:rFonts w:hint="eastAsia"/>
                <w:sz w:val="24"/>
                <w:szCs w:val="24"/>
              </w:rPr>
              <w:t>：</w:t>
            </w:r>
            <w:r>
              <w:rPr>
                <w:sz w:val="24"/>
                <w:szCs w:val="24"/>
              </w:rPr>
              <w:t>6~9</w:t>
            </w:r>
            <w:r>
              <w:rPr>
                <w:rFonts w:hint="eastAsia"/>
                <w:sz w:val="24"/>
                <w:szCs w:val="24"/>
              </w:rPr>
              <w:t>、</w:t>
            </w:r>
            <w:r>
              <w:rPr>
                <w:sz w:val="24"/>
                <w:szCs w:val="24"/>
              </w:rPr>
              <w:t>COD：</w:t>
            </w:r>
            <w:r>
              <w:rPr>
                <w:rFonts w:hint="eastAsia"/>
                <w:sz w:val="24"/>
                <w:szCs w:val="24"/>
              </w:rPr>
              <w:t>300</w:t>
            </w:r>
            <w:r>
              <w:rPr>
                <w:sz w:val="24"/>
                <w:szCs w:val="24"/>
              </w:rPr>
              <w:t>mg/L</w:t>
            </w:r>
            <w:r>
              <w:rPr>
                <w:rFonts w:hint="eastAsia"/>
                <w:sz w:val="24"/>
                <w:szCs w:val="24"/>
              </w:rPr>
              <w:t>、</w:t>
            </w:r>
            <w:r>
              <w:rPr>
                <w:sz w:val="24"/>
                <w:szCs w:val="24"/>
              </w:rPr>
              <w:t>BOD</w:t>
            </w:r>
            <w:r>
              <w:rPr>
                <w:sz w:val="24"/>
                <w:szCs w:val="24"/>
                <w:vertAlign w:val="subscript"/>
              </w:rPr>
              <w:t>5</w:t>
            </w:r>
            <w:r>
              <w:rPr>
                <w:sz w:val="24"/>
                <w:szCs w:val="24"/>
              </w:rPr>
              <w:t>：</w:t>
            </w:r>
            <w:r>
              <w:rPr>
                <w:rFonts w:hint="eastAsia"/>
                <w:sz w:val="24"/>
                <w:szCs w:val="24"/>
              </w:rPr>
              <w:t>150</w:t>
            </w:r>
            <w:r>
              <w:rPr>
                <w:sz w:val="24"/>
                <w:szCs w:val="24"/>
              </w:rPr>
              <w:t>mg/L</w:t>
            </w:r>
            <w:r>
              <w:rPr>
                <w:rFonts w:hint="eastAsia"/>
                <w:sz w:val="24"/>
                <w:szCs w:val="24"/>
              </w:rPr>
              <w:t>、</w:t>
            </w:r>
            <w:r>
              <w:rPr>
                <w:sz w:val="24"/>
                <w:szCs w:val="24"/>
              </w:rPr>
              <w:t>SS：</w:t>
            </w:r>
            <w:r>
              <w:rPr>
                <w:rFonts w:hint="eastAsia"/>
                <w:sz w:val="24"/>
                <w:szCs w:val="24"/>
              </w:rPr>
              <w:t>100</w:t>
            </w:r>
            <w:r>
              <w:rPr>
                <w:sz w:val="24"/>
                <w:szCs w:val="24"/>
              </w:rPr>
              <w:t>mg/L</w:t>
            </w:r>
            <w:r>
              <w:rPr>
                <w:rFonts w:hint="eastAsia"/>
                <w:sz w:val="24"/>
                <w:szCs w:val="24"/>
              </w:rPr>
              <w:t>、</w:t>
            </w:r>
            <w:r>
              <w:rPr>
                <w:sz w:val="24"/>
                <w:szCs w:val="24"/>
              </w:rPr>
              <w:t>氨氮：</w:t>
            </w:r>
            <w:r>
              <w:rPr>
                <w:rFonts w:hint="eastAsia"/>
                <w:sz w:val="24"/>
                <w:szCs w:val="24"/>
              </w:rPr>
              <w:t>25</w:t>
            </w:r>
            <w:r>
              <w:rPr>
                <w:sz w:val="24"/>
                <w:szCs w:val="24"/>
              </w:rPr>
              <w:t>mg/L</w:t>
            </w:r>
            <w:r>
              <w:rPr>
                <w:rFonts w:hint="eastAsia"/>
                <w:sz w:val="24"/>
                <w:szCs w:val="24"/>
              </w:rPr>
              <w:t>、</w:t>
            </w:r>
            <w:r>
              <w:rPr>
                <w:sz w:val="24"/>
                <w:szCs w:val="24"/>
              </w:rPr>
              <w:t>石油类：</w:t>
            </w:r>
            <w:r>
              <w:rPr>
                <w:rFonts w:hint="eastAsia"/>
                <w:sz w:val="24"/>
                <w:szCs w:val="24"/>
              </w:rPr>
              <w:t>10</w:t>
            </w:r>
            <w:r>
              <w:rPr>
                <w:sz w:val="24"/>
                <w:szCs w:val="24"/>
              </w:rPr>
              <w:t>mg/L</w:t>
            </w:r>
            <w:r>
              <w:rPr>
                <w:rFonts w:hint="eastAsia"/>
                <w:sz w:val="24"/>
                <w:szCs w:val="24"/>
              </w:rPr>
              <w:t>、阴离子表面活性剂</w:t>
            </w:r>
            <w:r>
              <w:rPr>
                <w:sz w:val="24"/>
                <w:szCs w:val="24"/>
              </w:rPr>
              <w:t>：</w:t>
            </w:r>
            <w:r>
              <w:rPr>
                <w:rFonts w:hint="eastAsia"/>
                <w:sz w:val="24"/>
                <w:szCs w:val="24"/>
              </w:rPr>
              <w:t>10</w:t>
            </w:r>
            <w:r>
              <w:rPr>
                <w:sz w:val="24"/>
                <w:szCs w:val="24"/>
              </w:rPr>
              <w:t>mg/L</w:t>
            </w:r>
            <w:r>
              <w:rPr>
                <w:rFonts w:hint="eastAsia"/>
                <w:sz w:val="24"/>
                <w:szCs w:val="24"/>
              </w:rPr>
              <w:t>）</w:t>
            </w:r>
            <w:r>
              <w:rPr>
                <w:sz w:val="24"/>
                <w:szCs w:val="24"/>
              </w:rPr>
              <w:t>要求</w:t>
            </w:r>
            <w:r>
              <w:rPr>
                <w:rFonts w:hint="eastAsia"/>
                <w:sz w:val="24"/>
              </w:rPr>
              <w:t>，同时根据《</w:t>
            </w:r>
            <w:r>
              <w:rPr>
                <w:sz w:val="24"/>
              </w:rPr>
              <w:t>&lt;</w:t>
            </w:r>
            <w:r>
              <w:rPr>
                <w:rFonts w:hint="eastAsia"/>
                <w:sz w:val="24"/>
              </w:rPr>
              <w:t>汽车修理养护业水污染物排放标准</w:t>
            </w:r>
            <w:r>
              <w:rPr>
                <w:sz w:val="24"/>
              </w:rPr>
              <w:t>&gt;</w:t>
            </w:r>
            <w:r>
              <w:rPr>
                <w:rFonts w:hint="eastAsia"/>
                <w:sz w:val="24"/>
              </w:rPr>
              <w:t>编制说明》中汽修厂废水处理工艺及处理效果表，汽修厂废水经三级沉淀处理后，</w:t>
            </w:r>
            <w:r>
              <w:rPr>
                <w:sz w:val="24"/>
              </w:rPr>
              <w:t>COD</w:t>
            </w:r>
            <w:r>
              <w:rPr>
                <w:rFonts w:hint="eastAsia"/>
                <w:sz w:val="24"/>
              </w:rPr>
              <w:t>、氨氮、</w:t>
            </w:r>
            <w:r>
              <w:rPr>
                <w:sz w:val="24"/>
              </w:rPr>
              <w:t>SS</w:t>
            </w:r>
            <w:r>
              <w:rPr>
                <w:rFonts w:hint="eastAsia"/>
                <w:sz w:val="24"/>
              </w:rPr>
              <w:t>和石油类排放浓度均能达到《汽车维修业水污染物排放标准》（</w:t>
            </w:r>
            <w:r>
              <w:rPr>
                <w:sz w:val="24"/>
              </w:rPr>
              <w:t>GB26877-2011</w:t>
            </w:r>
            <w:r>
              <w:rPr>
                <w:rFonts w:hint="eastAsia"/>
                <w:sz w:val="24"/>
              </w:rPr>
              <w:t>）中表</w:t>
            </w:r>
            <w:r>
              <w:rPr>
                <w:sz w:val="24"/>
              </w:rPr>
              <w:t>2</w:t>
            </w:r>
            <w:r>
              <w:rPr>
                <w:rFonts w:hint="eastAsia"/>
                <w:sz w:val="24"/>
              </w:rPr>
              <w:t>间接排放标准，且项目废水排入临港新区污水处理厂，污水处理厂能够满足其接管标准要求，因此，现有</w:t>
            </w:r>
            <w:r>
              <w:rPr>
                <w:rFonts w:hint="eastAsia"/>
                <w:sz w:val="24"/>
                <w:szCs w:val="24"/>
              </w:rPr>
              <w:t>措施可行。能够符合要求，设置合理可行。</w:t>
            </w:r>
          </w:p>
          <w:p>
            <w:pPr>
              <w:jc w:val="center"/>
              <w:rPr>
                <w:b/>
                <w:sz w:val="24"/>
                <w:szCs w:val="24"/>
              </w:rPr>
            </w:pPr>
            <w:r>
              <w:rPr>
                <w:rFonts w:hint="eastAsia"/>
                <w:b/>
                <w:sz w:val="24"/>
                <w:szCs w:val="24"/>
              </w:rPr>
              <w:t>表1-</w:t>
            </w:r>
            <w:r>
              <w:rPr>
                <w:rFonts w:hint="eastAsia"/>
                <w:b/>
                <w:sz w:val="24"/>
                <w:szCs w:val="24"/>
                <w:lang w:val="en-US" w:eastAsia="zh-CN"/>
              </w:rPr>
              <w:t>5</w:t>
            </w:r>
            <w:r>
              <w:rPr>
                <w:rFonts w:hint="eastAsia"/>
                <w:b/>
                <w:sz w:val="24"/>
                <w:szCs w:val="24"/>
              </w:rPr>
              <w:t xml:space="preserve">    废水排放口监测数据一览表    单位mg/L</w:t>
            </w:r>
          </w:p>
          <w:tbl>
            <w:tblPr>
              <w:tblStyle w:val="20"/>
              <w:tblW w:w="85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4"/>
              <w:gridCol w:w="1393"/>
              <w:gridCol w:w="1395"/>
              <w:gridCol w:w="1845"/>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8544" w:type="dxa"/>
                  <w:gridSpan w:val="5"/>
                  <w:vAlign w:val="center"/>
                </w:tcPr>
                <w:p>
                  <w:pPr>
                    <w:jc w:val="center"/>
                    <w:rPr>
                      <w:szCs w:val="21"/>
                    </w:rPr>
                  </w:pPr>
                  <w:r>
                    <w:rPr>
                      <w:rFonts w:hint="eastAsia"/>
                      <w:szCs w:val="21"/>
                    </w:rPr>
                    <w:t>（一）样品信息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jc w:val="center"/>
                    <w:rPr>
                      <w:szCs w:val="21"/>
                    </w:rPr>
                  </w:pPr>
                  <w:r>
                    <w:rPr>
                      <w:rFonts w:hint="eastAsia"/>
                      <w:szCs w:val="21"/>
                    </w:rPr>
                    <w:t>采样点位</w:t>
                  </w:r>
                </w:p>
              </w:tc>
              <w:tc>
                <w:tcPr>
                  <w:tcW w:w="1393" w:type="dxa"/>
                  <w:vAlign w:val="center"/>
                </w:tcPr>
                <w:p>
                  <w:pPr>
                    <w:jc w:val="center"/>
                    <w:rPr>
                      <w:szCs w:val="21"/>
                    </w:rPr>
                  </w:pPr>
                  <w:r>
                    <w:rPr>
                      <w:rFonts w:hint="eastAsia"/>
                      <w:szCs w:val="21"/>
                    </w:rPr>
                    <w:t>采样日期</w:t>
                  </w:r>
                </w:p>
              </w:tc>
              <w:tc>
                <w:tcPr>
                  <w:tcW w:w="1395" w:type="dxa"/>
                  <w:vAlign w:val="center"/>
                </w:tcPr>
                <w:p>
                  <w:pPr>
                    <w:jc w:val="center"/>
                    <w:rPr>
                      <w:szCs w:val="21"/>
                    </w:rPr>
                  </w:pPr>
                  <w:r>
                    <w:rPr>
                      <w:rFonts w:hint="eastAsia"/>
                      <w:szCs w:val="21"/>
                    </w:rPr>
                    <w:t>采样次数</w:t>
                  </w:r>
                </w:p>
              </w:tc>
              <w:tc>
                <w:tcPr>
                  <w:tcW w:w="1845" w:type="dxa"/>
                  <w:vAlign w:val="center"/>
                </w:tcPr>
                <w:p>
                  <w:pPr>
                    <w:jc w:val="center"/>
                    <w:rPr>
                      <w:szCs w:val="21"/>
                    </w:rPr>
                  </w:pPr>
                  <w:r>
                    <w:rPr>
                      <w:rFonts w:hint="eastAsia"/>
                      <w:szCs w:val="21"/>
                    </w:rPr>
                    <w:t>样品状态</w:t>
                  </w:r>
                </w:p>
              </w:tc>
              <w:tc>
                <w:tcPr>
                  <w:tcW w:w="2227" w:type="dxa"/>
                  <w:vMerge w:val="restart"/>
                  <w:vAlign w:val="center"/>
                </w:tcPr>
                <w:p>
                  <w:pPr>
                    <w:jc w:val="center"/>
                    <w:rPr>
                      <w:szCs w:val="21"/>
                    </w:rPr>
                  </w:pPr>
                  <w:r>
                    <w:rPr>
                      <w:rFonts w:hint="eastAsia"/>
                      <w:szCs w:val="21"/>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1684" w:type="dxa"/>
                  <w:vAlign w:val="center"/>
                </w:tcPr>
                <w:p>
                  <w:pPr>
                    <w:jc w:val="center"/>
                    <w:rPr>
                      <w:szCs w:val="21"/>
                    </w:rPr>
                  </w:pPr>
                  <w:r>
                    <w:rPr>
                      <w:rFonts w:hint="eastAsia"/>
                      <w:bCs/>
                      <w:szCs w:val="21"/>
                    </w:rPr>
                    <w:t>废水排放口</w:t>
                  </w:r>
                  <w:r>
                    <w:rPr>
                      <w:bCs/>
                      <w:szCs w:val="21"/>
                    </w:rPr>
                    <w:t>W1</w:t>
                  </w:r>
                </w:p>
              </w:tc>
              <w:tc>
                <w:tcPr>
                  <w:tcW w:w="1393" w:type="dxa"/>
                  <w:vAlign w:val="center"/>
                </w:tcPr>
                <w:p>
                  <w:pPr>
                    <w:jc w:val="center"/>
                    <w:rPr>
                      <w:szCs w:val="21"/>
                    </w:rPr>
                  </w:pPr>
                  <w:r>
                    <w:rPr>
                      <w:rFonts w:hint="eastAsia"/>
                      <w:szCs w:val="21"/>
                    </w:rPr>
                    <w:t>11月12日</w:t>
                  </w:r>
                </w:p>
              </w:tc>
              <w:tc>
                <w:tcPr>
                  <w:tcW w:w="1395" w:type="dxa"/>
                  <w:vAlign w:val="center"/>
                </w:tcPr>
                <w:p>
                  <w:pPr>
                    <w:jc w:val="center"/>
                    <w:rPr>
                      <w:szCs w:val="21"/>
                    </w:rPr>
                  </w:pPr>
                  <w:r>
                    <w:rPr>
                      <w:rFonts w:hint="eastAsia"/>
                      <w:szCs w:val="21"/>
                    </w:rPr>
                    <w:t>3次</w:t>
                  </w:r>
                </w:p>
              </w:tc>
              <w:tc>
                <w:tcPr>
                  <w:tcW w:w="1845" w:type="dxa"/>
                  <w:vAlign w:val="center"/>
                </w:tcPr>
                <w:p>
                  <w:pPr>
                    <w:jc w:val="center"/>
                    <w:rPr>
                      <w:szCs w:val="21"/>
                    </w:rPr>
                  </w:pPr>
                  <w:r>
                    <w:rPr>
                      <w:rFonts w:hint="eastAsia"/>
                      <w:szCs w:val="21"/>
                    </w:rPr>
                    <w:t>较清</w:t>
                  </w:r>
                </w:p>
              </w:tc>
              <w:tc>
                <w:tcPr>
                  <w:tcW w:w="2227"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8544" w:type="dxa"/>
                  <w:gridSpan w:val="5"/>
                  <w:vAlign w:val="center"/>
                </w:tcPr>
                <w:p>
                  <w:pPr>
                    <w:jc w:val="center"/>
                    <w:rPr>
                      <w:szCs w:val="21"/>
                    </w:rPr>
                  </w:pPr>
                  <w:r>
                    <w:rPr>
                      <w:rFonts w:hint="eastAsia"/>
                      <w:szCs w:val="21"/>
                    </w:rPr>
                    <w:t>（二）检测结果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jc w:val="center"/>
                    <w:rPr>
                      <w:bCs/>
                      <w:szCs w:val="21"/>
                    </w:rPr>
                  </w:pPr>
                  <w:r>
                    <w:rPr>
                      <w:rFonts w:hint="eastAsia"/>
                      <w:bCs/>
                      <w:szCs w:val="21"/>
                    </w:rPr>
                    <w:t>检测项目</w:t>
                  </w:r>
                </w:p>
              </w:tc>
              <w:tc>
                <w:tcPr>
                  <w:tcW w:w="1393" w:type="dxa"/>
                  <w:vAlign w:val="center"/>
                </w:tcPr>
                <w:p>
                  <w:pPr>
                    <w:jc w:val="center"/>
                    <w:rPr>
                      <w:bCs/>
                      <w:szCs w:val="21"/>
                    </w:rPr>
                  </w:pPr>
                  <w:r>
                    <w:rPr>
                      <w:rFonts w:hint="eastAsia"/>
                      <w:bCs/>
                      <w:szCs w:val="21"/>
                    </w:rPr>
                    <w:t>第一次</w:t>
                  </w:r>
                </w:p>
              </w:tc>
              <w:tc>
                <w:tcPr>
                  <w:tcW w:w="1395" w:type="dxa"/>
                  <w:vAlign w:val="center"/>
                </w:tcPr>
                <w:p>
                  <w:pPr>
                    <w:jc w:val="center"/>
                    <w:rPr>
                      <w:bCs/>
                      <w:szCs w:val="21"/>
                    </w:rPr>
                  </w:pPr>
                  <w:r>
                    <w:rPr>
                      <w:rFonts w:hint="eastAsia"/>
                      <w:bCs/>
                      <w:szCs w:val="21"/>
                    </w:rPr>
                    <w:t>第二次</w:t>
                  </w:r>
                </w:p>
              </w:tc>
              <w:tc>
                <w:tcPr>
                  <w:tcW w:w="1845" w:type="dxa"/>
                  <w:vAlign w:val="center"/>
                </w:tcPr>
                <w:p>
                  <w:pPr>
                    <w:jc w:val="center"/>
                    <w:rPr>
                      <w:bCs/>
                      <w:szCs w:val="21"/>
                    </w:rPr>
                  </w:pPr>
                  <w:r>
                    <w:rPr>
                      <w:rFonts w:hint="eastAsia"/>
                      <w:bCs/>
                      <w:szCs w:val="21"/>
                    </w:rPr>
                    <w:t>第三次</w:t>
                  </w:r>
                </w:p>
              </w:tc>
              <w:tc>
                <w:tcPr>
                  <w:tcW w:w="2227" w:type="dxa"/>
                  <w:vAlign w:val="center"/>
                </w:tcPr>
                <w:p>
                  <w:pPr>
                    <w:jc w:val="center"/>
                    <w:rPr>
                      <w:bCs/>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pStyle w:val="29"/>
                    <w:overflowPunct/>
                    <w:autoSpaceDE/>
                    <w:autoSpaceDN/>
                    <w:adjustRightInd/>
                    <w:spacing w:line="240" w:lineRule="auto"/>
                    <w:textAlignment w:val="auto"/>
                    <w:rPr>
                      <w:bCs/>
                      <w:spacing w:val="0"/>
                      <w:kern w:val="2"/>
                      <w:sz w:val="21"/>
                      <w:szCs w:val="21"/>
                    </w:rPr>
                  </w:pPr>
                  <w:r>
                    <w:rPr>
                      <w:rFonts w:hint="eastAsia"/>
                      <w:bCs/>
                      <w:spacing w:val="0"/>
                      <w:kern w:val="2"/>
                      <w:sz w:val="21"/>
                      <w:szCs w:val="21"/>
                    </w:rPr>
                    <w:t>悬浮物</w:t>
                  </w:r>
                </w:p>
              </w:tc>
              <w:tc>
                <w:tcPr>
                  <w:tcW w:w="1393" w:type="dxa"/>
                  <w:vAlign w:val="center"/>
                </w:tcPr>
                <w:p>
                  <w:pPr>
                    <w:jc w:val="center"/>
                    <w:rPr>
                      <w:bCs/>
                      <w:szCs w:val="21"/>
                    </w:rPr>
                  </w:pPr>
                  <w:r>
                    <w:rPr>
                      <w:rFonts w:hint="eastAsia"/>
                      <w:bCs/>
                      <w:szCs w:val="21"/>
                    </w:rPr>
                    <w:t>93</w:t>
                  </w:r>
                </w:p>
              </w:tc>
              <w:tc>
                <w:tcPr>
                  <w:tcW w:w="1395" w:type="dxa"/>
                  <w:vAlign w:val="center"/>
                </w:tcPr>
                <w:p>
                  <w:pPr>
                    <w:jc w:val="center"/>
                    <w:rPr>
                      <w:bCs/>
                      <w:szCs w:val="21"/>
                    </w:rPr>
                  </w:pPr>
                  <w:r>
                    <w:rPr>
                      <w:rFonts w:hint="eastAsia"/>
                      <w:bCs/>
                      <w:szCs w:val="21"/>
                    </w:rPr>
                    <w:t>95</w:t>
                  </w:r>
                </w:p>
              </w:tc>
              <w:tc>
                <w:tcPr>
                  <w:tcW w:w="1845" w:type="dxa"/>
                  <w:vAlign w:val="center"/>
                </w:tcPr>
                <w:p>
                  <w:pPr>
                    <w:jc w:val="center"/>
                    <w:rPr>
                      <w:bCs/>
                      <w:szCs w:val="21"/>
                    </w:rPr>
                  </w:pPr>
                  <w:r>
                    <w:rPr>
                      <w:rFonts w:hint="eastAsia"/>
                      <w:bCs/>
                      <w:szCs w:val="21"/>
                    </w:rPr>
                    <w:t>86</w:t>
                  </w:r>
                </w:p>
              </w:tc>
              <w:tc>
                <w:tcPr>
                  <w:tcW w:w="2227" w:type="dxa"/>
                  <w:vAlign w:val="center"/>
                </w:tcPr>
                <w:p>
                  <w:pPr>
                    <w:jc w:val="center"/>
                    <w:rPr>
                      <w:bCs/>
                      <w:szCs w:val="21"/>
                    </w:rPr>
                  </w:pPr>
                  <w:r>
                    <w:rPr>
                      <w:rFonts w:hint="eastAsia"/>
                      <w:bCs/>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pStyle w:val="29"/>
                    <w:overflowPunct/>
                    <w:autoSpaceDE/>
                    <w:autoSpaceDN/>
                    <w:adjustRightInd/>
                    <w:spacing w:line="240" w:lineRule="auto"/>
                    <w:textAlignment w:val="auto"/>
                    <w:rPr>
                      <w:bCs/>
                      <w:spacing w:val="0"/>
                      <w:kern w:val="2"/>
                      <w:sz w:val="21"/>
                      <w:szCs w:val="21"/>
                    </w:rPr>
                  </w:pPr>
                  <w:r>
                    <w:rPr>
                      <w:rFonts w:hint="eastAsia"/>
                      <w:bCs/>
                      <w:spacing w:val="0"/>
                      <w:kern w:val="2"/>
                      <w:sz w:val="21"/>
                      <w:szCs w:val="21"/>
                    </w:rPr>
                    <w:t>化学需氧量</w:t>
                  </w:r>
                </w:p>
              </w:tc>
              <w:tc>
                <w:tcPr>
                  <w:tcW w:w="1393" w:type="dxa"/>
                  <w:vAlign w:val="center"/>
                </w:tcPr>
                <w:p>
                  <w:pPr>
                    <w:spacing w:line="276" w:lineRule="auto"/>
                    <w:jc w:val="center"/>
                    <w:rPr>
                      <w:bCs/>
                      <w:szCs w:val="21"/>
                    </w:rPr>
                  </w:pPr>
                  <w:r>
                    <w:rPr>
                      <w:rFonts w:hint="eastAsia"/>
                      <w:bCs/>
                      <w:szCs w:val="21"/>
                    </w:rPr>
                    <w:t>69</w:t>
                  </w:r>
                </w:p>
              </w:tc>
              <w:tc>
                <w:tcPr>
                  <w:tcW w:w="1395" w:type="dxa"/>
                  <w:vAlign w:val="center"/>
                </w:tcPr>
                <w:p>
                  <w:pPr>
                    <w:spacing w:line="276" w:lineRule="auto"/>
                    <w:jc w:val="center"/>
                    <w:rPr>
                      <w:bCs/>
                      <w:szCs w:val="21"/>
                    </w:rPr>
                  </w:pPr>
                  <w:r>
                    <w:rPr>
                      <w:rFonts w:hint="eastAsia"/>
                      <w:bCs/>
                      <w:szCs w:val="21"/>
                    </w:rPr>
                    <w:t>62</w:t>
                  </w:r>
                </w:p>
              </w:tc>
              <w:tc>
                <w:tcPr>
                  <w:tcW w:w="1845" w:type="dxa"/>
                  <w:vAlign w:val="center"/>
                </w:tcPr>
                <w:p>
                  <w:pPr>
                    <w:spacing w:line="276" w:lineRule="auto"/>
                    <w:jc w:val="center"/>
                    <w:rPr>
                      <w:bCs/>
                      <w:szCs w:val="21"/>
                    </w:rPr>
                  </w:pPr>
                  <w:r>
                    <w:rPr>
                      <w:rFonts w:hint="eastAsia"/>
                      <w:bCs/>
                      <w:szCs w:val="21"/>
                    </w:rPr>
                    <w:t>59</w:t>
                  </w:r>
                </w:p>
              </w:tc>
              <w:tc>
                <w:tcPr>
                  <w:tcW w:w="2227" w:type="dxa"/>
                  <w:vAlign w:val="center"/>
                </w:tcPr>
                <w:p>
                  <w:pPr>
                    <w:spacing w:line="276" w:lineRule="auto"/>
                    <w:jc w:val="center"/>
                    <w:rPr>
                      <w:bCs/>
                      <w:szCs w:val="21"/>
                    </w:rPr>
                  </w:pPr>
                  <w:r>
                    <w:rPr>
                      <w:rFonts w:hint="eastAsia"/>
                      <w:bCs/>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pStyle w:val="29"/>
                    <w:overflowPunct/>
                    <w:autoSpaceDE/>
                    <w:autoSpaceDN/>
                    <w:adjustRightInd/>
                    <w:spacing w:line="240" w:lineRule="auto"/>
                    <w:textAlignment w:val="auto"/>
                    <w:rPr>
                      <w:bCs/>
                      <w:spacing w:val="0"/>
                      <w:kern w:val="2"/>
                      <w:sz w:val="21"/>
                      <w:szCs w:val="21"/>
                    </w:rPr>
                  </w:pPr>
                  <w:r>
                    <w:rPr>
                      <w:rFonts w:hint="eastAsia"/>
                      <w:bCs/>
                      <w:spacing w:val="0"/>
                      <w:kern w:val="2"/>
                      <w:sz w:val="21"/>
                      <w:szCs w:val="21"/>
                    </w:rPr>
                    <w:t>五日生化需氧量</w:t>
                  </w:r>
                </w:p>
              </w:tc>
              <w:tc>
                <w:tcPr>
                  <w:tcW w:w="1393" w:type="dxa"/>
                  <w:vAlign w:val="center"/>
                </w:tcPr>
                <w:p>
                  <w:pPr>
                    <w:spacing w:line="276" w:lineRule="auto"/>
                    <w:jc w:val="center"/>
                    <w:rPr>
                      <w:bCs/>
                      <w:szCs w:val="21"/>
                    </w:rPr>
                  </w:pPr>
                  <w:r>
                    <w:rPr>
                      <w:rFonts w:hint="eastAsia"/>
                      <w:bCs/>
                      <w:szCs w:val="21"/>
                    </w:rPr>
                    <w:t>14.1</w:t>
                  </w:r>
                </w:p>
              </w:tc>
              <w:tc>
                <w:tcPr>
                  <w:tcW w:w="1395" w:type="dxa"/>
                  <w:vAlign w:val="center"/>
                </w:tcPr>
                <w:p>
                  <w:pPr>
                    <w:spacing w:line="276" w:lineRule="auto"/>
                    <w:jc w:val="center"/>
                    <w:rPr>
                      <w:bCs/>
                      <w:szCs w:val="21"/>
                    </w:rPr>
                  </w:pPr>
                  <w:r>
                    <w:rPr>
                      <w:rFonts w:hint="eastAsia"/>
                      <w:bCs/>
                      <w:szCs w:val="21"/>
                    </w:rPr>
                    <w:t>13.8</w:t>
                  </w:r>
                </w:p>
              </w:tc>
              <w:tc>
                <w:tcPr>
                  <w:tcW w:w="1845" w:type="dxa"/>
                  <w:vAlign w:val="center"/>
                </w:tcPr>
                <w:p>
                  <w:pPr>
                    <w:spacing w:line="276" w:lineRule="auto"/>
                    <w:jc w:val="center"/>
                    <w:rPr>
                      <w:bCs/>
                      <w:szCs w:val="21"/>
                    </w:rPr>
                  </w:pPr>
                  <w:r>
                    <w:rPr>
                      <w:rFonts w:hint="eastAsia"/>
                      <w:bCs/>
                      <w:szCs w:val="21"/>
                    </w:rPr>
                    <w:t>13.1</w:t>
                  </w:r>
                </w:p>
              </w:tc>
              <w:tc>
                <w:tcPr>
                  <w:tcW w:w="2227" w:type="dxa"/>
                  <w:vAlign w:val="center"/>
                </w:tcPr>
                <w:p>
                  <w:pPr>
                    <w:spacing w:line="276" w:lineRule="auto"/>
                    <w:jc w:val="center"/>
                    <w:rPr>
                      <w:bCs/>
                      <w:szCs w:val="21"/>
                    </w:rPr>
                  </w:pPr>
                  <w:r>
                    <w:rPr>
                      <w:rFonts w:hint="eastAsia"/>
                      <w:bCs/>
                      <w:szCs w:val="21"/>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pStyle w:val="29"/>
                    <w:overflowPunct/>
                    <w:autoSpaceDE/>
                    <w:autoSpaceDN/>
                    <w:adjustRightInd/>
                    <w:spacing w:line="240" w:lineRule="auto"/>
                    <w:textAlignment w:val="auto"/>
                    <w:rPr>
                      <w:bCs/>
                      <w:spacing w:val="0"/>
                      <w:kern w:val="2"/>
                      <w:sz w:val="21"/>
                      <w:szCs w:val="21"/>
                    </w:rPr>
                  </w:pPr>
                  <w:r>
                    <w:rPr>
                      <w:rFonts w:hint="eastAsia"/>
                      <w:bCs/>
                      <w:spacing w:val="0"/>
                      <w:kern w:val="2"/>
                      <w:sz w:val="21"/>
                      <w:szCs w:val="21"/>
                    </w:rPr>
                    <w:t>氨氮</w:t>
                  </w:r>
                </w:p>
              </w:tc>
              <w:tc>
                <w:tcPr>
                  <w:tcW w:w="1393" w:type="dxa"/>
                  <w:vAlign w:val="center"/>
                </w:tcPr>
                <w:p>
                  <w:pPr>
                    <w:spacing w:line="276" w:lineRule="auto"/>
                    <w:jc w:val="center"/>
                    <w:rPr>
                      <w:bCs/>
                      <w:szCs w:val="21"/>
                    </w:rPr>
                  </w:pPr>
                  <w:r>
                    <w:rPr>
                      <w:rFonts w:hint="eastAsia"/>
                      <w:bCs/>
                      <w:szCs w:val="21"/>
                    </w:rPr>
                    <w:t>0.780</w:t>
                  </w:r>
                </w:p>
              </w:tc>
              <w:tc>
                <w:tcPr>
                  <w:tcW w:w="1395" w:type="dxa"/>
                  <w:vAlign w:val="center"/>
                </w:tcPr>
                <w:p>
                  <w:pPr>
                    <w:spacing w:line="276" w:lineRule="auto"/>
                    <w:jc w:val="center"/>
                    <w:rPr>
                      <w:bCs/>
                      <w:szCs w:val="21"/>
                    </w:rPr>
                  </w:pPr>
                  <w:r>
                    <w:rPr>
                      <w:rFonts w:hint="eastAsia"/>
                      <w:bCs/>
                      <w:szCs w:val="21"/>
                    </w:rPr>
                    <w:t>0.824</w:t>
                  </w:r>
                </w:p>
              </w:tc>
              <w:tc>
                <w:tcPr>
                  <w:tcW w:w="1845" w:type="dxa"/>
                  <w:vAlign w:val="center"/>
                </w:tcPr>
                <w:p>
                  <w:pPr>
                    <w:spacing w:line="276" w:lineRule="auto"/>
                    <w:jc w:val="center"/>
                    <w:rPr>
                      <w:bCs/>
                      <w:szCs w:val="21"/>
                    </w:rPr>
                  </w:pPr>
                  <w:r>
                    <w:rPr>
                      <w:rFonts w:hint="eastAsia"/>
                      <w:bCs/>
                      <w:szCs w:val="21"/>
                    </w:rPr>
                    <w:t>0.944</w:t>
                  </w:r>
                </w:p>
              </w:tc>
              <w:tc>
                <w:tcPr>
                  <w:tcW w:w="2227" w:type="dxa"/>
                  <w:vAlign w:val="center"/>
                </w:tcPr>
                <w:p>
                  <w:pPr>
                    <w:spacing w:line="276" w:lineRule="auto"/>
                    <w:jc w:val="center"/>
                    <w:rPr>
                      <w:bCs/>
                      <w:szCs w:val="21"/>
                    </w:rPr>
                  </w:pPr>
                  <w:r>
                    <w:rPr>
                      <w:rFonts w:hint="eastAsia"/>
                      <w:bCs/>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pStyle w:val="29"/>
                    <w:overflowPunct/>
                    <w:autoSpaceDE/>
                    <w:autoSpaceDN/>
                    <w:adjustRightInd/>
                    <w:spacing w:line="240" w:lineRule="auto"/>
                    <w:textAlignment w:val="auto"/>
                    <w:rPr>
                      <w:bCs/>
                      <w:spacing w:val="0"/>
                      <w:kern w:val="2"/>
                      <w:sz w:val="21"/>
                      <w:szCs w:val="21"/>
                    </w:rPr>
                  </w:pPr>
                  <w:r>
                    <w:rPr>
                      <w:rFonts w:hint="eastAsia"/>
                      <w:bCs/>
                      <w:spacing w:val="0"/>
                      <w:kern w:val="2"/>
                      <w:sz w:val="21"/>
                      <w:szCs w:val="21"/>
                    </w:rPr>
                    <w:t>石油类</w:t>
                  </w:r>
                </w:p>
              </w:tc>
              <w:tc>
                <w:tcPr>
                  <w:tcW w:w="1393" w:type="dxa"/>
                  <w:vAlign w:val="center"/>
                </w:tcPr>
                <w:p>
                  <w:pPr>
                    <w:spacing w:line="276" w:lineRule="auto"/>
                    <w:jc w:val="center"/>
                    <w:rPr>
                      <w:bCs/>
                      <w:szCs w:val="21"/>
                    </w:rPr>
                  </w:pPr>
                  <w:r>
                    <w:rPr>
                      <w:rFonts w:hint="eastAsia"/>
                      <w:bCs/>
                      <w:szCs w:val="21"/>
                    </w:rPr>
                    <w:t>2.21</w:t>
                  </w:r>
                </w:p>
              </w:tc>
              <w:tc>
                <w:tcPr>
                  <w:tcW w:w="1395" w:type="dxa"/>
                  <w:vAlign w:val="center"/>
                </w:tcPr>
                <w:p>
                  <w:pPr>
                    <w:spacing w:line="276" w:lineRule="auto"/>
                    <w:jc w:val="center"/>
                    <w:rPr>
                      <w:bCs/>
                      <w:szCs w:val="21"/>
                    </w:rPr>
                  </w:pPr>
                  <w:r>
                    <w:rPr>
                      <w:rFonts w:hint="eastAsia"/>
                      <w:bCs/>
                      <w:szCs w:val="21"/>
                    </w:rPr>
                    <w:t>1.49</w:t>
                  </w:r>
                </w:p>
              </w:tc>
              <w:tc>
                <w:tcPr>
                  <w:tcW w:w="1845" w:type="dxa"/>
                  <w:vAlign w:val="center"/>
                </w:tcPr>
                <w:p>
                  <w:pPr>
                    <w:spacing w:line="276" w:lineRule="auto"/>
                    <w:jc w:val="center"/>
                    <w:rPr>
                      <w:bCs/>
                      <w:szCs w:val="21"/>
                    </w:rPr>
                  </w:pPr>
                  <w:r>
                    <w:rPr>
                      <w:rFonts w:hint="eastAsia"/>
                      <w:bCs/>
                      <w:szCs w:val="21"/>
                    </w:rPr>
                    <w:t>1.91</w:t>
                  </w:r>
                </w:p>
              </w:tc>
              <w:tc>
                <w:tcPr>
                  <w:tcW w:w="2227" w:type="dxa"/>
                  <w:vAlign w:val="center"/>
                </w:tcPr>
                <w:p>
                  <w:pPr>
                    <w:spacing w:line="276" w:lineRule="auto"/>
                    <w:jc w:val="center"/>
                    <w:rPr>
                      <w:bCs/>
                      <w:szCs w:val="21"/>
                    </w:rPr>
                  </w:pPr>
                  <w:r>
                    <w:rPr>
                      <w:rFonts w:hint="eastAsia"/>
                      <w:bCs/>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jc w:val="center"/>
                    <w:rPr>
                      <w:bCs/>
                      <w:szCs w:val="21"/>
                    </w:rPr>
                  </w:pPr>
                  <w:r>
                    <w:rPr>
                      <w:rFonts w:hint="eastAsia"/>
                      <w:bCs/>
                      <w:szCs w:val="21"/>
                    </w:rPr>
                    <w:t>阴离子表面活性剂</w:t>
                  </w:r>
                </w:p>
              </w:tc>
              <w:tc>
                <w:tcPr>
                  <w:tcW w:w="1393" w:type="dxa"/>
                  <w:vAlign w:val="center"/>
                </w:tcPr>
                <w:p>
                  <w:pPr>
                    <w:jc w:val="center"/>
                    <w:rPr>
                      <w:bCs/>
                      <w:szCs w:val="21"/>
                    </w:rPr>
                  </w:pPr>
                  <w:r>
                    <w:rPr>
                      <w:rFonts w:hint="eastAsia"/>
                      <w:bCs/>
                      <w:szCs w:val="21"/>
                    </w:rPr>
                    <w:t>6.78</w:t>
                  </w:r>
                </w:p>
              </w:tc>
              <w:tc>
                <w:tcPr>
                  <w:tcW w:w="1395" w:type="dxa"/>
                  <w:vAlign w:val="center"/>
                </w:tcPr>
                <w:p>
                  <w:pPr>
                    <w:jc w:val="center"/>
                    <w:rPr>
                      <w:bCs/>
                      <w:szCs w:val="21"/>
                    </w:rPr>
                  </w:pPr>
                  <w:r>
                    <w:rPr>
                      <w:rFonts w:hint="eastAsia"/>
                      <w:bCs/>
                      <w:szCs w:val="21"/>
                    </w:rPr>
                    <w:t>7.27</w:t>
                  </w:r>
                </w:p>
              </w:tc>
              <w:tc>
                <w:tcPr>
                  <w:tcW w:w="1845" w:type="dxa"/>
                  <w:vAlign w:val="center"/>
                </w:tcPr>
                <w:p>
                  <w:pPr>
                    <w:jc w:val="center"/>
                    <w:rPr>
                      <w:bCs/>
                      <w:szCs w:val="21"/>
                    </w:rPr>
                  </w:pPr>
                  <w:r>
                    <w:rPr>
                      <w:rFonts w:hint="eastAsia"/>
                      <w:bCs/>
                      <w:szCs w:val="21"/>
                    </w:rPr>
                    <w:t>7.68</w:t>
                  </w:r>
                </w:p>
              </w:tc>
              <w:tc>
                <w:tcPr>
                  <w:tcW w:w="2227" w:type="dxa"/>
                  <w:vAlign w:val="center"/>
                </w:tcPr>
                <w:p>
                  <w:pPr>
                    <w:jc w:val="center"/>
                    <w:rPr>
                      <w:bCs/>
                      <w:szCs w:val="21"/>
                    </w:rPr>
                  </w:pPr>
                  <w:r>
                    <w:rPr>
                      <w:rFonts w:hint="eastAsia"/>
                      <w:bCs/>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684" w:type="dxa"/>
                  <w:vAlign w:val="center"/>
                </w:tcPr>
                <w:p>
                  <w:pPr>
                    <w:jc w:val="center"/>
                    <w:rPr>
                      <w:bCs/>
                      <w:szCs w:val="21"/>
                    </w:rPr>
                  </w:pPr>
                  <w:r>
                    <w:rPr>
                      <w:rFonts w:hint="eastAsia"/>
                      <w:bCs/>
                      <w:szCs w:val="21"/>
                    </w:rPr>
                    <w:t>备注</w:t>
                  </w:r>
                </w:p>
              </w:tc>
              <w:tc>
                <w:tcPr>
                  <w:tcW w:w="6860" w:type="dxa"/>
                  <w:gridSpan w:val="4"/>
                  <w:vAlign w:val="center"/>
                </w:tcPr>
                <w:p>
                  <w:pPr>
                    <w:jc w:val="center"/>
                    <w:rPr>
                      <w:bCs/>
                      <w:szCs w:val="21"/>
                    </w:rPr>
                  </w:pPr>
                  <w:r>
                    <w:rPr>
                      <w:rFonts w:hint="eastAsia"/>
                      <w:bCs/>
                      <w:szCs w:val="21"/>
                    </w:rPr>
                    <w:t>“ND”表示未检出，即检测结果低于方法检出限。</w:t>
                  </w:r>
                </w:p>
              </w:tc>
            </w:tr>
          </w:tbl>
          <w:p>
            <w:pPr>
              <w:widowControl/>
              <w:spacing w:line="360" w:lineRule="auto"/>
              <w:ind w:firstLine="480"/>
              <w:rPr>
                <w:b/>
                <w:kern w:val="0"/>
                <w:sz w:val="24"/>
              </w:rPr>
            </w:pPr>
            <w:r>
              <w:rPr>
                <w:rFonts w:hint="eastAsia"/>
                <w:b/>
                <w:kern w:val="0"/>
                <w:sz w:val="24"/>
              </w:rPr>
              <w:t>2、</w:t>
            </w:r>
            <w:r>
              <w:rPr>
                <w:b/>
                <w:kern w:val="0"/>
                <w:sz w:val="24"/>
              </w:rPr>
              <w:t>废气</w:t>
            </w:r>
            <w:r>
              <w:rPr>
                <w:rFonts w:hint="eastAsia"/>
                <w:b/>
                <w:kern w:val="0"/>
                <w:sz w:val="24"/>
              </w:rPr>
              <w:t>污染及现有的环保措施</w:t>
            </w:r>
          </w:p>
          <w:p>
            <w:pPr>
              <w:spacing w:line="360" w:lineRule="auto"/>
              <w:ind w:firstLine="480" w:firstLineChars="200"/>
              <w:rPr>
                <w:sz w:val="24"/>
              </w:rPr>
            </w:pPr>
            <w:r>
              <w:rPr>
                <w:rFonts w:hint="eastAsia"/>
                <w:sz w:val="24"/>
              </w:rPr>
              <w:t>项目营运过程产生的废水主要为汽车尾气、焊接烟气、打磨粉尘以及喷漆与烘干有机废气。</w:t>
            </w:r>
          </w:p>
          <w:p>
            <w:pPr>
              <w:spacing w:line="360" w:lineRule="auto"/>
              <w:ind w:firstLine="480" w:firstLineChars="200"/>
              <w:rPr>
                <w:sz w:val="24"/>
              </w:rPr>
            </w:pPr>
            <w:r>
              <w:rPr>
                <w:rFonts w:hint="eastAsia"/>
                <w:sz w:val="24"/>
              </w:rPr>
              <w:t>（1）汽车</w:t>
            </w:r>
            <w:r>
              <w:rPr>
                <w:sz w:val="24"/>
              </w:rPr>
              <w:t>尾气</w:t>
            </w:r>
          </w:p>
          <w:p>
            <w:pPr>
              <w:spacing w:line="360" w:lineRule="auto"/>
              <w:ind w:firstLine="480" w:firstLineChars="200"/>
              <w:rPr>
                <w:sz w:val="24"/>
              </w:rPr>
            </w:pPr>
            <w:r>
              <w:rPr>
                <w:sz w:val="24"/>
              </w:rPr>
              <w:t>汽车进出项目经营区行驶时在怠速及慢速状态下</w:t>
            </w:r>
            <w:r>
              <w:rPr>
                <w:rFonts w:hint="eastAsia"/>
                <w:sz w:val="24"/>
              </w:rPr>
              <w:t>会有</w:t>
            </w:r>
            <w:r>
              <w:rPr>
                <w:sz w:val="24"/>
              </w:rPr>
              <w:t>尾气排放。汽车尾气中主要污染因子为一氧化碳（CO）、碳氢化合物（THC）、氮氧化物（NO</w:t>
            </w:r>
            <w:r>
              <w:rPr>
                <w:sz w:val="24"/>
                <w:vertAlign w:val="subscript"/>
              </w:rPr>
              <w:t>x</w:t>
            </w:r>
            <w:r>
              <w:rPr>
                <w:sz w:val="24"/>
              </w:rPr>
              <w:t>）等。项目汽车维修保养针对小型汽车，年维修</w:t>
            </w:r>
            <w:r>
              <w:rPr>
                <w:rFonts w:hint="eastAsia"/>
                <w:sz w:val="24"/>
              </w:rPr>
              <w:t>600</w:t>
            </w:r>
            <w:r>
              <w:rPr>
                <w:sz w:val="24"/>
              </w:rPr>
              <w:t>辆，保养</w:t>
            </w:r>
            <w:r>
              <w:rPr>
                <w:rFonts w:hint="eastAsia"/>
                <w:sz w:val="24"/>
              </w:rPr>
              <w:t>8</w:t>
            </w:r>
            <w:r>
              <w:rPr>
                <w:sz w:val="24"/>
              </w:rPr>
              <w:t>00辆。厂区平面敞开式布置，自然通风，汽车尾气易于扩散且排放量较小，对环境空气</w:t>
            </w:r>
            <w:r>
              <w:rPr>
                <w:rFonts w:hint="eastAsia"/>
                <w:sz w:val="24"/>
              </w:rPr>
              <w:t>影响较小</w:t>
            </w:r>
            <w:r>
              <w:rPr>
                <w:sz w:val="24"/>
              </w:rPr>
              <w:t>。</w:t>
            </w:r>
          </w:p>
          <w:p>
            <w:pPr>
              <w:spacing w:line="360" w:lineRule="auto"/>
              <w:ind w:firstLine="480" w:firstLineChars="200"/>
              <w:rPr>
                <w:sz w:val="24"/>
              </w:rPr>
            </w:pPr>
            <w:r>
              <w:rPr>
                <w:kern w:val="0"/>
                <w:sz w:val="24"/>
              </w:rPr>
              <w:t>（2）焊接烟尘</w:t>
            </w:r>
            <w:r>
              <w:rPr>
                <w:rFonts w:hint="eastAsia"/>
                <w:kern w:val="0"/>
                <w:sz w:val="24"/>
                <w:lang w:eastAsia="zh-CN"/>
              </w:rPr>
              <w:t>和</w:t>
            </w:r>
            <w:r>
              <w:rPr>
                <w:kern w:val="0"/>
                <w:sz w:val="24"/>
              </w:rPr>
              <w:t>打磨、丕灰粉尘</w:t>
            </w:r>
          </w:p>
          <w:p>
            <w:pPr>
              <w:spacing w:line="360" w:lineRule="auto"/>
              <w:ind w:firstLine="480" w:firstLineChars="200"/>
              <w:jc w:val="left"/>
              <w:rPr>
                <w:sz w:val="24"/>
              </w:rPr>
            </w:pPr>
            <w:r>
              <w:rPr>
                <w:bCs/>
                <w:sz w:val="24"/>
              </w:rPr>
              <w:t>项目钣金工序</w:t>
            </w:r>
            <w:r>
              <w:rPr>
                <w:rFonts w:hint="eastAsia"/>
                <w:bCs/>
                <w:sz w:val="24"/>
              </w:rPr>
              <w:t>有</w:t>
            </w:r>
            <w:r>
              <w:rPr>
                <w:bCs/>
                <w:sz w:val="24"/>
              </w:rPr>
              <w:t>需对零部件进行焊接处理，焊接过程会产生烟尘</w:t>
            </w:r>
            <w:r>
              <w:rPr>
                <w:rFonts w:hint="eastAsia"/>
                <w:bCs/>
                <w:sz w:val="24"/>
              </w:rPr>
              <w:t>（颗粒物）</w:t>
            </w:r>
            <w:r>
              <w:rPr>
                <w:bCs/>
                <w:sz w:val="24"/>
              </w:rPr>
              <w:t>，项目所用焊接材料主要为气保焊丝</w:t>
            </w:r>
            <w:r>
              <w:rPr>
                <w:rFonts w:hint="eastAsia"/>
                <w:bCs/>
                <w:sz w:val="24"/>
              </w:rPr>
              <w:t>，</w:t>
            </w:r>
            <w:r>
              <w:rPr>
                <w:bCs/>
                <w:sz w:val="24"/>
              </w:rPr>
              <w:t>焊接烟气排放特性为面源、间断无规律、无组织排放，且产生的焊接烟气经通风后可极快稀释</w:t>
            </w:r>
            <w:r>
              <w:rPr>
                <w:rFonts w:hint="eastAsia"/>
                <w:kern w:val="0"/>
                <w:sz w:val="24"/>
                <w:lang w:eastAsia="zh-CN"/>
              </w:rPr>
              <w:t>；</w:t>
            </w:r>
            <w:r>
              <w:rPr>
                <w:kern w:val="0"/>
                <w:sz w:val="24"/>
              </w:rPr>
              <w:t>打磨、丕灰过程是在喷漆前对不平整的地方进行人工修整，打磨过程中用砂纸打磨，磨砂纸的砂粒之间的间隙较小，磨出的碎末也较小；丕灰过程也会产生少量粉尘，采用移动式集尘器在工作界面对其进行收集，逸散到周边的粉尘量很小，</w:t>
            </w:r>
            <w:r>
              <w:rPr>
                <w:rFonts w:hint="eastAsia"/>
                <w:kern w:val="0"/>
                <w:sz w:val="24"/>
              </w:rPr>
              <w:t>本次在</w:t>
            </w:r>
            <w:r>
              <w:rPr>
                <w:kern w:val="0"/>
                <w:sz w:val="24"/>
              </w:rPr>
              <w:t>正常运营的情况下</w:t>
            </w:r>
            <w:r>
              <w:rPr>
                <w:rFonts w:hint="eastAsia"/>
                <w:kern w:val="0"/>
                <w:sz w:val="24"/>
              </w:rPr>
              <w:t>对</w:t>
            </w:r>
            <w:r>
              <w:rPr>
                <w:kern w:val="0"/>
                <w:sz w:val="24"/>
              </w:rPr>
              <w:t>厂界无组织排放</w:t>
            </w:r>
            <w:r>
              <w:rPr>
                <w:rFonts w:hint="eastAsia"/>
                <w:kern w:val="0"/>
                <w:sz w:val="24"/>
              </w:rPr>
              <w:t>进行了监测，</w:t>
            </w:r>
            <w:r>
              <w:rPr>
                <w:kern w:val="0"/>
                <w:sz w:val="24"/>
              </w:rPr>
              <w:t>监测数据详见表1-</w:t>
            </w:r>
            <w:r>
              <w:rPr>
                <w:rFonts w:hint="eastAsia"/>
                <w:kern w:val="0"/>
                <w:sz w:val="24"/>
              </w:rPr>
              <w:t>8</w:t>
            </w:r>
            <w:r>
              <w:rPr>
                <w:kern w:val="0"/>
                <w:sz w:val="24"/>
              </w:rPr>
              <w:t>。</w:t>
            </w:r>
            <w:r>
              <w:rPr>
                <w:rFonts w:hint="eastAsia"/>
                <w:kern w:val="0"/>
                <w:sz w:val="24"/>
              </w:rPr>
              <w:t>根据监测数据可知，厂界颗粒物</w:t>
            </w:r>
            <w:r>
              <w:rPr>
                <w:rFonts w:hint="eastAsia"/>
                <w:sz w:val="24"/>
                <w:szCs w:val="24"/>
              </w:rPr>
              <w:t>能够满足</w:t>
            </w:r>
            <w:r>
              <w:rPr>
                <w:sz w:val="24"/>
                <w:szCs w:val="24"/>
              </w:rPr>
              <w:t>《大气污染物综合排放标准》（GB8978-1996）无组织排放监控浓度限值</w:t>
            </w:r>
            <w:r>
              <w:rPr>
                <w:kern w:val="0"/>
                <w:sz w:val="24"/>
              </w:rPr>
              <w:t>。</w:t>
            </w:r>
          </w:p>
          <w:p>
            <w:pPr>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）喷漆与烘干有机废气</w:t>
            </w:r>
          </w:p>
          <w:p>
            <w:pPr>
              <w:spacing w:line="360" w:lineRule="auto"/>
              <w:ind w:firstLine="480" w:firstLineChars="200"/>
              <w:rPr>
                <w:kern w:val="0"/>
                <w:sz w:val="24"/>
              </w:rPr>
            </w:pPr>
            <w:r>
              <w:rPr>
                <w:kern w:val="0"/>
                <w:sz w:val="24"/>
                <w:szCs w:val="24"/>
              </w:rPr>
              <w:t>项目汽车喷漆、烤漆时会产生一定量的油漆废气，平均每天喷漆烤漆</w:t>
            </w:r>
            <w:r>
              <w:rPr>
                <w:rFonts w:hint="eastAsia"/>
                <w:kern w:val="0"/>
                <w:sz w:val="24"/>
                <w:szCs w:val="24"/>
              </w:rPr>
              <w:t>1.5</w:t>
            </w:r>
            <w:r>
              <w:rPr>
                <w:kern w:val="0"/>
                <w:sz w:val="24"/>
                <w:szCs w:val="24"/>
              </w:rPr>
              <w:t>h，</w:t>
            </w:r>
            <w:r>
              <w:rPr>
                <w:rFonts w:hint="eastAsia"/>
                <w:kern w:val="0"/>
                <w:sz w:val="24"/>
                <w:szCs w:val="24"/>
              </w:rPr>
              <w:t>项目</w:t>
            </w:r>
            <w:r>
              <w:rPr>
                <w:kern w:val="0"/>
                <w:sz w:val="24"/>
                <w:szCs w:val="24"/>
              </w:rPr>
              <w:t>设置有</w:t>
            </w:r>
            <w:r>
              <w:rPr>
                <w:rFonts w:hint="eastAsia"/>
                <w:kern w:val="0"/>
                <w:sz w:val="24"/>
                <w:szCs w:val="24"/>
              </w:rPr>
              <w:t>1间</w:t>
            </w:r>
            <w:r>
              <w:rPr>
                <w:kern w:val="0"/>
                <w:sz w:val="24"/>
                <w:szCs w:val="24"/>
              </w:rPr>
              <w:t>一体式的封闭式喷漆烤漆房，喷烤漆工段均在喷漆烤漆房内进行，采用手工喷枪喷涂，</w:t>
            </w:r>
            <w:r>
              <w:rPr>
                <w:rFonts w:hint="eastAsia"/>
                <w:kern w:val="0"/>
                <w:sz w:val="24"/>
              </w:rPr>
              <w:t>根据现场踏勘可知目前喷漆和烘干工序产生的有机废气通过收集后送至过滤棉+UV光催化氧化+活性炭吸附处理后引至屋顶高空15m排放，</w:t>
            </w:r>
            <w:r>
              <w:rPr>
                <w:kern w:val="0"/>
                <w:sz w:val="24"/>
              </w:rPr>
              <w:t>为了解本项目处理后有机废气的排放情况，本环评委托</w:t>
            </w:r>
            <w:r>
              <w:rPr>
                <w:rFonts w:hint="eastAsia" w:hAnsi="宋体"/>
                <w:sz w:val="24"/>
              </w:rPr>
              <w:t>湖南博测检测技术有限公司</w:t>
            </w:r>
            <w:r>
              <w:rPr>
                <w:kern w:val="0"/>
                <w:sz w:val="24"/>
              </w:rPr>
              <w:t>在项目正常运营的情况下对</w:t>
            </w:r>
            <w:r>
              <w:rPr>
                <w:rFonts w:hint="eastAsia"/>
                <w:kern w:val="0"/>
                <w:sz w:val="24"/>
              </w:rPr>
              <w:t>废气</w:t>
            </w:r>
            <w:r>
              <w:rPr>
                <w:kern w:val="0"/>
                <w:sz w:val="24"/>
              </w:rPr>
              <w:t>处理设施排放口进行了一期现状监测，有组织排放监测数据详见表1-</w:t>
            </w:r>
            <w:r>
              <w:rPr>
                <w:rFonts w:hint="eastAsia"/>
                <w:kern w:val="0"/>
                <w:sz w:val="24"/>
              </w:rPr>
              <w:t>7</w:t>
            </w:r>
            <w:r>
              <w:rPr>
                <w:kern w:val="0"/>
                <w:sz w:val="24"/>
              </w:rPr>
              <w:t>，厂界无组织排放监测数据详见表1-</w:t>
            </w:r>
            <w:r>
              <w:rPr>
                <w:rFonts w:hint="eastAsia"/>
                <w:kern w:val="0"/>
                <w:sz w:val="24"/>
              </w:rPr>
              <w:t>8</w:t>
            </w:r>
            <w:r>
              <w:rPr>
                <w:kern w:val="0"/>
                <w:sz w:val="24"/>
              </w:rPr>
              <w:t>。</w:t>
            </w:r>
          </w:p>
          <w:p>
            <w:pPr>
              <w:numPr>
                <w:ilvl w:val="0"/>
                <w:numId w:val="1"/>
              </w:numPr>
              <w:spacing w:line="360" w:lineRule="auto"/>
              <w:ind w:firstLine="480" w:firstLineChars="200"/>
              <w:rPr>
                <w:sz w:val="24"/>
                <w:szCs w:val="22"/>
              </w:rPr>
            </w:pPr>
            <w:r>
              <w:rPr>
                <w:rFonts w:hint="eastAsia"/>
                <w:sz w:val="24"/>
                <w:szCs w:val="22"/>
              </w:rPr>
              <w:t>食堂油烟</w:t>
            </w:r>
          </w:p>
          <w:p>
            <w:pPr>
              <w:pStyle w:val="2"/>
              <w:spacing w:after="0" w:line="360" w:lineRule="auto"/>
              <w:ind w:firstLine="480" w:firstLineChars="200"/>
              <w:rPr>
                <w:sz w:val="24"/>
                <w:szCs w:val="24"/>
              </w:rPr>
            </w:pPr>
            <w:r>
              <w:rPr>
                <w:rFonts w:hint="eastAsia"/>
                <w:sz w:val="24"/>
                <w:szCs w:val="24"/>
              </w:rPr>
              <w:t>项目综合服务中心设置员工食堂，为员工提供餐饮，主要产生油烟废气，项目食堂已安装油烟净化装置，饮食油烟经处理后引至楼顶排放。</w:t>
            </w:r>
          </w:p>
          <w:p>
            <w:pPr>
              <w:jc w:val="center"/>
              <w:rPr>
                <w:b/>
                <w:sz w:val="24"/>
                <w:szCs w:val="24"/>
              </w:rPr>
            </w:pPr>
            <w:r>
              <w:rPr>
                <w:b/>
                <w:sz w:val="24"/>
                <w:szCs w:val="24"/>
              </w:rPr>
              <w:t>表</w:t>
            </w:r>
            <w:r>
              <w:rPr>
                <w:rFonts w:hint="eastAsia"/>
                <w:b/>
                <w:sz w:val="24"/>
                <w:szCs w:val="24"/>
              </w:rPr>
              <w:t>1-</w:t>
            </w:r>
            <w:r>
              <w:rPr>
                <w:rFonts w:hint="eastAsia"/>
                <w:b/>
                <w:sz w:val="24"/>
                <w:szCs w:val="24"/>
                <w:lang w:val="en-US" w:eastAsia="zh-CN"/>
              </w:rPr>
              <w:t>6</w:t>
            </w:r>
            <w:r>
              <w:rPr>
                <w:rFonts w:hint="eastAsia"/>
                <w:b/>
                <w:sz w:val="24"/>
                <w:szCs w:val="24"/>
              </w:rPr>
              <w:t xml:space="preserve">   喷漆房废气处理设置排放口监测数据一览表 </w:t>
            </w:r>
          </w:p>
          <w:tbl>
            <w:tblPr>
              <w:tblStyle w:val="20"/>
              <w:tblW w:w="8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4"/>
              <w:gridCol w:w="796"/>
              <w:gridCol w:w="1583"/>
              <w:gridCol w:w="1134"/>
              <w:gridCol w:w="833"/>
              <w:gridCol w:w="1150"/>
              <w:gridCol w:w="1145"/>
              <w:gridCol w:w="11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854" w:type="dxa"/>
                  <w:vMerge w:val="restart"/>
                  <w:vAlign w:val="center"/>
                </w:tcPr>
                <w:p>
                  <w:pPr>
                    <w:jc w:val="center"/>
                    <w:rPr>
                      <w:szCs w:val="21"/>
                    </w:rPr>
                  </w:pPr>
                  <w:r>
                    <w:rPr>
                      <w:rFonts w:hint="eastAsia"/>
                      <w:szCs w:val="21"/>
                    </w:rPr>
                    <w:t>检测</w:t>
                  </w:r>
                </w:p>
                <w:p>
                  <w:pPr>
                    <w:jc w:val="center"/>
                    <w:rPr>
                      <w:szCs w:val="21"/>
                    </w:rPr>
                  </w:pPr>
                  <w:r>
                    <w:rPr>
                      <w:rFonts w:hint="eastAsia"/>
                      <w:szCs w:val="21"/>
                    </w:rPr>
                    <w:t>点位</w:t>
                  </w:r>
                </w:p>
              </w:tc>
              <w:tc>
                <w:tcPr>
                  <w:tcW w:w="796" w:type="dxa"/>
                  <w:vMerge w:val="restart"/>
                  <w:vAlign w:val="center"/>
                </w:tcPr>
                <w:p>
                  <w:pPr>
                    <w:jc w:val="center"/>
                    <w:rPr>
                      <w:szCs w:val="21"/>
                    </w:rPr>
                  </w:pPr>
                  <w:r>
                    <w:rPr>
                      <w:rFonts w:hint="eastAsia"/>
                      <w:szCs w:val="21"/>
                    </w:rPr>
                    <w:t>检测</w:t>
                  </w:r>
                </w:p>
                <w:p>
                  <w:pPr>
                    <w:jc w:val="center"/>
                    <w:rPr>
                      <w:szCs w:val="21"/>
                    </w:rPr>
                  </w:pPr>
                  <w:r>
                    <w:rPr>
                      <w:rFonts w:hint="eastAsia"/>
                      <w:szCs w:val="21"/>
                    </w:rPr>
                    <w:t>日期</w:t>
                  </w:r>
                </w:p>
              </w:tc>
              <w:tc>
                <w:tcPr>
                  <w:tcW w:w="2717" w:type="dxa"/>
                  <w:gridSpan w:val="2"/>
                  <w:vMerge w:val="restart"/>
                  <w:vAlign w:val="center"/>
                </w:tcPr>
                <w:p>
                  <w:pPr>
                    <w:jc w:val="center"/>
                    <w:rPr>
                      <w:szCs w:val="21"/>
                    </w:rPr>
                  </w:pPr>
                  <w:r>
                    <w:rPr>
                      <w:rFonts w:hint="eastAsia"/>
                      <w:szCs w:val="21"/>
                    </w:rPr>
                    <w:t>检测项目</w:t>
                  </w:r>
                </w:p>
              </w:tc>
              <w:tc>
                <w:tcPr>
                  <w:tcW w:w="833" w:type="dxa"/>
                  <w:vMerge w:val="restart"/>
                  <w:vAlign w:val="center"/>
                </w:tcPr>
                <w:p>
                  <w:pPr>
                    <w:jc w:val="center"/>
                    <w:rPr>
                      <w:szCs w:val="21"/>
                    </w:rPr>
                  </w:pPr>
                  <w:r>
                    <w:rPr>
                      <w:rFonts w:hint="eastAsia"/>
                      <w:szCs w:val="21"/>
                    </w:rPr>
                    <w:t>计量单位</w:t>
                  </w:r>
                </w:p>
              </w:tc>
              <w:tc>
                <w:tcPr>
                  <w:tcW w:w="3440" w:type="dxa"/>
                  <w:gridSpan w:val="3"/>
                  <w:vAlign w:val="center"/>
                </w:tcPr>
                <w:p>
                  <w:pPr>
                    <w:jc w:val="center"/>
                    <w:rPr>
                      <w:szCs w:val="21"/>
                    </w:rPr>
                  </w:pPr>
                  <w:r>
                    <w:rPr>
                      <w:rFonts w:hint="eastAsia"/>
                      <w:szCs w:val="21"/>
                    </w:rPr>
                    <w:t>检测结果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zCs w:val="21"/>
                    </w:rPr>
                  </w:pPr>
                </w:p>
              </w:tc>
              <w:tc>
                <w:tcPr>
                  <w:tcW w:w="2717" w:type="dxa"/>
                  <w:gridSpan w:val="2"/>
                  <w:vMerge w:val="continue"/>
                  <w:vAlign w:val="center"/>
                </w:tcPr>
                <w:p>
                  <w:pPr>
                    <w:widowControl/>
                    <w:jc w:val="left"/>
                    <w:rPr>
                      <w:szCs w:val="21"/>
                    </w:rPr>
                  </w:pPr>
                </w:p>
              </w:tc>
              <w:tc>
                <w:tcPr>
                  <w:tcW w:w="833" w:type="dxa"/>
                  <w:vMerge w:val="continue"/>
                  <w:vAlign w:val="center"/>
                </w:tcPr>
                <w:p>
                  <w:pPr>
                    <w:widowControl/>
                    <w:jc w:val="left"/>
                    <w:rPr>
                      <w:szCs w:val="21"/>
                    </w:rPr>
                  </w:pPr>
                </w:p>
              </w:tc>
              <w:tc>
                <w:tcPr>
                  <w:tcW w:w="1150" w:type="dxa"/>
                  <w:vAlign w:val="center"/>
                </w:tcPr>
                <w:p>
                  <w:pPr>
                    <w:jc w:val="center"/>
                    <w:rPr>
                      <w:sz w:val="21"/>
                      <w:szCs w:val="21"/>
                    </w:rPr>
                  </w:pPr>
                  <w:r>
                    <w:rPr>
                      <w:rFonts w:hint="eastAsia"/>
                      <w:sz w:val="21"/>
                      <w:szCs w:val="21"/>
                    </w:rPr>
                    <w:t>第一次</w:t>
                  </w:r>
                </w:p>
              </w:tc>
              <w:tc>
                <w:tcPr>
                  <w:tcW w:w="1145" w:type="dxa"/>
                  <w:vAlign w:val="center"/>
                </w:tcPr>
                <w:p>
                  <w:pPr>
                    <w:jc w:val="center"/>
                    <w:rPr>
                      <w:sz w:val="21"/>
                      <w:szCs w:val="21"/>
                    </w:rPr>
                  </w:pPr>
                  <w:r>
                    <w:rPr>
                      <w:rFonts w:hint="eastAsia"/>
                      <w:sz w:val="21"/>
                      <w:szCs w:val="21"/>
                    </w:rPr>
                    <w:t>第二次</w:t>
                  </w:r>
                </w:p>
              </w:tc>
              <w:tc>
                <w:tcPr>
                  <w:tcW w:w="1145" w:type="dxa"/>
                  <w:vAlign w:val="center"/>
                </w:tcPr>
                <w:p>
                  <w:pPr>
                    <w:jc w:val="center"/>
                    <w:rPr>
                      <w:sz w:val="21"/>
                      <w:szCs w:val="21"/>
                    </w:rPr>
                  </w:pPr>
                  <w:r>
                    <w:rPr>
                      <w:rFonts w:hint="eastAsia"/>
                      <w:sz w:val="21"/>
                      <w:szCs w:val="21"/>
                    </w:rPr>
                    <w:t>第三次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 w:hRule="atLeast"/>
                <w:jc w:val="center"/>
              </w:trPr>
              <w:tc>
                <w:tcPr>
                  <w:tcW w:w="854" w:type="dxa"/>
                  <w:vMerge w:val="restart"/>
                  <w:vAlign w:val="center"/>
                </w:tcPr>
                <w:p>
                  <w:pPr>
                    <w:jc w:val="center"/>
                    <w:rPr>
                      <w:szCs w:val="21"/>
                    </w:rPr>
                  </w:pPr>
                  <w:r>
                    <w:rPr>
                      <w:rFonts w:hint="eastAsia"/>
                      <w:szCs w:val="21"/>
                    </w:rPr>
                    <w:t>废气处理设施出口（</w:t>
                  </w:r>
                  <w:r>
                    <w:rPr>
                      <w:szCs w:val="21"/>
                    </w:rPr>
                    <w:t>P1</w:t>
                  </w:r>
                  <w:r>
                    <w:rPr>
                      <w:rFonts w:hint="eastAsia"/>
                      <w:szCs w:val="21"/>
                    </w:rPr>
                    <w:t>）</w:t>
                  </w:r>
                </w:p>
              </w:tc>
              <w:tc>
                <w:tcPr>
                  <w:tcW w:w="796" w:type="dxa"/>
                  <w:vMerge w:val="restart"/>
                  <w:vAlign w:val="center"/>
                </w:tcPr>
                <w:p>
                  <w:pPr>
                    <w:jc w:val="center"/>
                    <w:rPr>
                      <w:snapToGrid w:val="0"/>
                      <w:spacing w:val="-6"/>
                      <w:szCs w:val="21"/>
                    </w:rPr>
                  </w:pPr>
                  <w:r>
                    <w:rPr>
                      <w:rFonts w:hint="eastAsia"/>
                      <w:snapToGrid w:val="0"/>
                      <w:spacing w:val="-6"/>
                      <w:szCs w:val="21"/>
                    </w:rPr>
                    <w:t>12月1日</w:t>
                  </w:r>
                </w:p>
              </w:tc>
              <w:tc>
                <w:tcPr>
                  <w:tcW w:w="2717" w:type="dxa"/>
                  <w:gridSpan w:val="2"/>
                  <w:vAlign w:val="center"/>
                </w:tcPr>
                <w:p>
                  <w:pPr>
                    <w:widowControl/>
                    <w:jc w:val="center"/>
                    <w:rPr>
                      <w:szCs w:val="21"/>
                    </w:rPr>
                  </w:pPr>
                  <w:r>
                    <w:rPr>
                      <w:rFonts w:hint="eastAsia"/>
                      <w:szCs w:val="21"/>
                    </w:rPr>
                    <w:t>标干烟气流量</w:t>
                  </w:r>
                </w:p>
              </w:tc>
              <w:tc>
                <w:tcPr>
                  <w:tcW w:w="833" w:type="dxa"/>
                  <w:vAlign w:val="center"/>
                </w:tcPr>
                <w:p>
                  <w:pPr>
                    <w:jc w:val="center"/>
                    <w:rPr>
                      <w:snapToGrid w:val="0"/>
                      <w:spacing w:val="-6"/>
                      <w:szCs w:val="21"/>
                    </w:rPr>
                  </w:pPr>
                  <w:r>
                    <w:rPr>
                      <w:snapToGrid w:val="0"/>
                      <w:spacing w:val="-6"/>
                      <w:szCs w:val="21"/>
                    </w:rPr>
                    <w:t>m</w:t>
                  </w:r>
                  <w:r>
                    <w:rPr>
                      <w:snapToGrid w:val="0"/>
                      <w:spacing w:val="-6"/>
                      <w:szCs w:val="21"/>
                      <w:vertAlign w:val="superscript"/>
                    </w:rPr>
                    <w:t>3</w:t>
                  </w:r>
                  <w:r>
                    <w:rPr>
                      <w:snapToGrid w:val="0"/>
                      <w:spacing w:val="-6"/>
                      <w:szCs w:val="21"/>
                    </w:rPr>
                    <w:t>/h</w:t>
                  </w:r>
                </w:p>
              </w:tc>
              <w:tc>
                <w:tcPr>
                  <w:tcW w:w="1150" w:type="dxa"/>
                  <w:vAlign w:val="center"/>
                </w:tcPr>
                <w:p>
                  <w:pPr>
                    <w:jc w:val="center"/>
                    <w:rPr>
                      <w:sz w:val="21"/>
                      <w:szCs w:val="21"/>
                    </w:rPr>
                  </w:pPr>
                  <w:r>
                    <w:rPr>
                      <w:rFonts w:hint="eastAsia"/>
                      <w:sz w:val="21"/>
                      <w:szCs w:val="21"/>
                    </w:rPr>
                    <w:t>2093</w:t>
                  </w:r>
                </w:p>
              </w:tc>
              <w:tc>
                <w:tcPr>
                  <w:tcW w:w="1145" w:type="dxa"/>
                  <w:vAlign w:val="center"/>
                </w:tcPr>
                <w:p>
                  <w:pPr>
                    <w:jc w:val="center"/>
                    <w:rPr>
                      <w:sz w:val="21"/>
                      <w:szCs w:val="21"/>
                    </w:rPr>
                  </w:pPr>
                  <w:r>
                    <w:rPr>
                      <w:rFonts w:hint="eastAsia"/>
                      <w:sz w:val="21"/>
                      <w:szCs w:val="21"/>
                    </w:rPr>
                    <w:t>2821</w:t>
                  </w:r>
                </w:p>
              </w:tc>
              <w:tc>
                <w:tcPr>
                  <w:tcW w:w="1145" w:type="dxa"/>
                  <w:vAlign w:val="center"/>
                </w:tcPr>
                <w:p>
                  <w:pPr>
                    <w:jc w:val="center"/>
                    <w:rPr>
                      <w:sz w:val="21"/>
                      <w:szCs w:val="21"/>
                    </w:rPr>
                  </w:pPr>
                  <w:r>
                    <w:rPr>
                      <w:rFonts w:hint="eastAsia"/>
                      <w:sz w:val="21"/>
                      <w:szCs w:val="21"/>
                    </w:rPr>
                    <w:t>2116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854" w:type="dxa"/>
                  <w:vMerge w:val="continue"/>
                  <w:vAlign w:val="center"/>
                </w:tcPr>
                <w:p>
                  <w:pPr>
                    <w:widowControl/>
                    <w:jc w:val="center"/>
                    <w:rPr>
                      <w:szCs w:val="21"/>
                    </w:rPr>
                  </w:pPr>
                </w:p>
              </w:tc>
              <w:tc>
                <w:tcPr>
                  <w:tcW w:w="796" w:type="dxa"/>
                  <w:vMerge w:val="continue"/>
                  <w:vAlign w:val="center"/>
                </w:tcPr>
                <w:p>
                  <w:pPr>
                    <w:widowControl/>
                    <w:jc w:val="center"/>
                    <w:rPr>
                      <w:snapToGrid w:val="0"/>
                      <w:spacing w:val="-6"/>
                      <w:szCs w:val="21"/>
                    </w:rPr>
                  </w:pPr>
                </w:p>
              </w:tc>
              <w:tc>
                <w:tcPr>
                  <w:tcW w:w="1583" w:type="dxa"/>
                  <w:vMerge w:val="restart"/>
                  <w:vAlign w:val="center"/>
                </w:tcPr>
                <w:p>
                  <w:pPr>
                    <w:jc w:val="center"/>
                  </w:pPr>
                  <w:r>
                    <w:rPr>
                      <w:rFonts w:hint="eastAsia"/>
                    </w:rPr>
                    <w:t>颗粒物</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＜20</w:t>
                  </w:r>
                </w:p>
              </w:tc>
              <w:tc>
                <w:tcPr>
                  <w:tcW w:w="1145" w:type="dxa"/>
                  <w:vAlign w:val="center"/>
                </w:tcPr>
                <w:p>
                  <w:pPr>
                    <w:spacing w:line="276" w:lineRule="auto"/>
                    <w:jc w:val="center"/>
                    <w:rPr>
                      <w:sz w:val="21"/>
                      <w:szCs w:val="21"/>
                    </w:rPr>
                  </w:pPr>
                  <w:r>
                    <w:rPr>
                      <w:rFonts w:hint="eastAsia"/>
                      <w:sz w:val="21"/>
                      <w:szCs w:val="21"/>
                    </w:rPr>
                    <w:t>＜20</w:t>
                  </w:r>
                </w:p>
              </w:tc>
              <w:tc>
                <w:tcPr>
                  <w:tcW w:w="1145" w:type="dxa"/>
                  <w:vAlign w:val="center"/>
                </w:tcPr>
                <w:p>
                  <w:pPr>
                    <w:spacing w:line="276" w:lineRule="auto"/>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center"/>
                    <w:rPr>
                      <w:szCs w:val="21"/>
                    </w:rPr>
                  </w:pPr>
                </w:p>
              </w:tc>
              <w:tc>
                <w:tcPr>
                  <w:tcW w:w="796" w:type="dxa"/>
                  <w:vMerge w:val="continue"/>
                  <w:vAlign w:val="center"/>
                </w:tcPr>
                <w:p>
                  <w:pPr>
                    <w:widowControl/>
                    <w:jc w:val="center"/>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z w:val="21"/>
                      <w:szCs w:val="21"/>
                    </w:rPr>
                  </w:pPr>
                  <w:r>
                    <w:rPr>
                      <w:rFonts w:hint="eastAsia"/>
                      <w:sz w:val="21"/>
                      <w:szCs w:val="21"/>
                    </w:rPr>
                    <w:t>/</w:t>
                  </w:r>
                </w:p>
              </w:tc>
              <w:tc>
                <w:tcPr>
                  <w:tcW w:w="1145" w:type="dxa"/>
                  <w:vAlign w:val="center"/>
                </w:tcPr>
                <w:p>
                  <w:pPr>
                    <w:jc w:val="center"/>
                    <w:rPr>
                      <w:sz w:val="21"/>
                      <w:szCs w:val="21"/>
                    </w:rPr>
                  </w:pPr>
                  <w:r>
                    <w:rPr>
                      <w:rFonts w:hint="eastAsia"/>
                      <w:sz w:val="21"/>
                      <w:szCs w:val="21"/>
                    </w:rPr>
                    <w:t>/</w:t>
                  </w:r>
                </w:p>
              </w:tc>
              <w:tc>
                <w:tcPr>
                  <w:tcW w:w="1145" w:type="dxa"/>
                  <w:vAlign w:val="center"/>
                </w:tcPr>
                <w:p>
                  <w:pPr>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center"/>
                    <w:rPr>
                      <w:szCs w:val="21"/>
                    </w:rPr>
                  </w:pPr>
                </w:p>
              </w:tc>
              <w:tc>
                <w:tcPr>
                  <w:tcW w:w="796" w:type="dxa"/>
                  <w:vMerge w:val="continue"/>
                  <w:vAlign w:val="center"/>
                </w:tcPr>
                <w:p>
                  <w:pPr>
                    <w:widowControl/>
                    <w:jc w:val="center"/>
                    <w:rPr>
                      <w:snapToGrid w:val="0"/>
                      <w:spacing w:val="-6"/>
                      <w:szCs w:val="21"/>
                    </w:rPr>
                  </w:pPr>
                </w:p>
              </w:tc>
              <w:tc>
                <w:tcPr>
                  <w:tcW w:w="1583" w:type="dxa"/>
                  <w:vMerge w:val="restart"/>
                  <w:vAlign w:val="center"/>
                </w:tcPr>
                <w:p>
                  <w:pPr>
                    <w:jc w:val="center"/>
                  </w:pPr>
                  <w:r>
                    <w:rPr>
                      <w:rFonts w:hint="eastAsia"/>
                    </w:rPr>
                    <w:t>甲苯</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0.418</w:t>
                  </w:r>
                </w:p>
              </w:tc>
              <w:tc>
                <w:tcPr>
                  <w:tcW w:w="1145" w:type="dxa"/>
                  <w:vAlign w:val="center"/>
                </w:tcPr>
                <w:p>
                  <w:pPr>
                    <w:spacing w:line="276" w:lineRule="auto"/>
                    <w:jc w:val="center"/>
                    <w:rPr>
                      <w:sz w:val="21"/>
                      <w:szCs w:val="21"/>
                    </w:rPr>
                  </w:pPr>
                  <w:r>
                    <w:rPr>
                      <w:rFonts w:hint="eastAsia"/>
                      <w:sz w:val="21"/>
                      <w:szCs w:val="21"/>
                    </w:rPr>
                    <w:t>0.354</w:t>
                  </w:r>
                </w:p>
              </w:tc>
              <w:tc>
                <w:tcPr>
                  <w:tcW w:w="1145" w:type="dxa"/>
                  <w:vAlign w:val="center"/>
                </w:tcPr>
                <w:p>
                  <w:pPr>
                    <w:spacing w:line="276" w:lineRule="auto"/>
                    <w:jc w:val="center"/>
                    <w:rPr>
                      <w:sz w:val="21"/>
                      <w:szCs w:val="21"/>
                    </w:rPr>
                  </w:pPr>
                  <w:r>
                    <w:rPr>
                      <w:rFonts w:hint="eastAsia"/>
                      <w:sz w:val="21"/>
                      <w:szCs w:val="21"/>
                    </w:rPr>
                    <w:t>0.375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center"/>
                    <w:rPr>
                      <w:szCs w:val="21"/>
                    </w:rPr>
                  </w:pPr>
                </w:p>
              </w:tc>
              <w:tc>
                <w:tcPr>
                  <w:tcW w:w="796" w:type="dxa"/>
                  <w:vMerge w:val="continue"/>
                  <w:vAlign w:val="center"/>
                </w:tcPr>
                <w:p>
                  <w:pPr>
                    <w:widowControl/>
                    <w:jc w:val="center"/>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z w:val="21"/>
                      <w:szCs w:val="21"/>
                    </w:rPr>
                  </w:pPr>
                  <w:r>
                    <w:rPr>
                      <w:rFonts w:hint="eastAsia"/>
                      <w:sz w:val="21"/>
                      <w:szCs w:val="21"/>
                    </w:rPr>
                    <w:t>8.74*10</w:t>
                  </w:r>
                  <w:r>
                    <w:rPr>
                      <w:rFonts w:hint="eastAsia"/>
                      <w:sz w:val="21"/>
                      <w:szCs w:val="21"/>
                      <w:vertAlign w:val="superscript"/>
                    </w:rPr>
                    <w:t>-4</w:t>
                  </w:r>
                </w:p>
              </w:tc>
              <w:tc>
                <w:tcPr>
                  <w:tcW w:w="1145" w:type="dxa"/>
                  <w:vAlign w:val="center"/>
                </w:tcPr>
                <w:p>
                  <w:pPr>
                    <w:jc w:val="center"/>
                    <w:rPr>
                      <w:sz w:val="21"/>
                      <w:szCs w:val="21"/>
                    </w:rPr>
                  </w:pPr>
                  <w:r>
                    <w:rPr>
                      <w:rFonts w:hint="eastAsia"/>
                      <w:sz w:val="21"/>
                      <w:szCs w:val="21"/>
                    </w:rPr>
                    <w:t>9.98*10</w:t>
                  </w:r>
                  <w:r>
                    <w:rPr>
                      <w:rFonts w:hint="eastAsia"/>
                      <w:sz w:val="21"/>
                      <w:szCs w:val="21"/>
                      <w:vertAlign w:val="superscript"/>
                    </w:rPr>
                    <w:t>-4</w:t>
                  </w:r>
                </w:p>
              </w:tc>
              <w:tc>
                <w:tcPr>
                  <w:tcW w:w="1145" w:type="dxa"/>
                  <w:vAlign w:val="center"/>
                </w:tcPr>
                <w:p>
                  <w:pPr>
                    <w:jc w:val="center"/>
                    <w:rPr>
                      <w:sz w:val="21"/>
                      <w:szCs w:val="21"/>
                    </w:rPr>
                  </w:pPr>
                  <w:r>
                    <w:rPr>
                      <w:rFonts w:hint="eastAsia"/>
                      <w:sz w:val="21"/>
                      <w:szCs w:val="21"/>
                    </w:rPr>
                    <w:t>7.91*10</w:t>
                  </w:r>
                  <w:r>
                    <w:rPr>
                      <w:rFonts w:hint="eastAsia"/>
                      <w:sz w:val="21"/>
                      <w:szCs w:val="21"/>
                      <w:vertAlign w:val="superscript"/>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center"/>
                    <w:rPr>
                      <w:szCs w:val="21"/>
                    </w:rPr>
                  </w:pPr>
                </w:p>
              </w:tc>
              <w:tc>
                <w:tcPr>
                  <w:tcW w:w="796" w:type="dxa"/>
                  <w:vMerge w:val="continue"/>
                  <w:vAlign w:val="center"/>
                </w:tcPr>
                <w:p>
                  <w:pPr>
                    <w:widowControl/>
                    <w:jc w:val="center"/>
                    <w:rPr>
                      <w:snapToGrid w:val="0"/>
                      <w:spacing w:val="-6"/>
                      <w:szCs w:val="21"/>
                    </w:rPr>
                  </w:pPr>
                </w:p>
              </w:tc>
              <w:tc>
                <w:tcPr>
                  <w:tcW w:w="1583" w:type="dxa"/>
                  <w:vMerge w:val="restart"/>
                  <w:vAlign w:val="center"/>
                </w:tcPr>
                <w:p>
                  <w:pPr>
                    <w:jc w:val="center"/>
                  </w:pPr>
                  <w:r>
                    <w:rPr>
                      <w:rFonts w:hint="eastAsia"/>
                    </w:rPr>
                    <w:t>对/间二甲苯</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0.289</w:t>
                  </w:r>
                </w:p>
              </w:tc>
              <w:tc>
                <w:tcPr>
                  <w:tcW w:w="1145" w:type="dxa"/>
                  <w:vAlign w:val="center"/>
                </w:tcPr>
                <w:p>
                  <w:pPr>
                    <w:spacing w:line="276" w:lineRule="auto"/>
                    <w:jc w:val="center"/>
                    <w:rPr>
                      <w:sz w:val="21"/>
                      <w:szCs w:val="21"/>
                    </w:rPr>
                  </w:pPr>
                  <w:r>
                    <w:rPr>
                      <w:rFonts w:hint="eastAsia"/>
                      <w:sz w:val="21"/>
                      <w:szCs w:val="21"/>
                    </w:rPr>
                    <w:t>0.305</w:t>
                  </w:r>
                </w:p>
              </w:tc>
              <w:tc>
                <w:tcPr>
                  <w:tcW w:w="1145" w:type="dxa"/>
                  <w:vAlign w:val="center"/>
                </w:tcPr>
                <w:p>
                  <w:pPr>
                    <w:spacing w:line="276" w:lineRule="auto"/>
                    <w:jc w:val="center"/>
                    <w:rPr>
                      <w:sz w:val="21"/>
                      <w:szCs w:val="21"/>
                    </w:rPr>
                  </w:pPr>
                  <w:r>
                    <w:rPr>
                      <w:rFonts w:hint="eastAsia"/>
                      <w:sz w:val="21"/>
                      <w:szCs w:val="21"/>
                    </w:rPr>
                    <w:t>0.294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center"/>
                    <w:rPr>
                      <w:szCs w:val="21"/>
                    </w:rPr>
                  </w:pPr>
                </w:p>
              </w:tc>
              <w:tc>
                <w:tcPr>
                  <w:tcW w:w="796" w:type="dxa"/>
                  <w:vMerge w:val="continue"/>
                  <w:vAlign w:val="center"/>
                </w:tcPr>
                <w:p>
                  <w:pPr>
                    <w:widowControl/>
                    <w:jc w:val="center"/>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z w:val="21"/>
                      <w:szCs w:val="21"/>
                    </w:rPr>
                  </w:pPr>
                  <w:r>
                    <w:rPr>
                      <w:rFonts w:hint="eastAsia"/>
                      <w:sz w:val="21"/>
                      <w:szCs w:val="21"/>
                    </w:rPr>
                    <w:t>6.04*10</w:t>
                  </w:r>
                  <w:r>
                    <w:rPr>
                      <w:rFonts w:hint="eastAsia"/>
                      <w:sz w:val="21"/>
                      <w:szCs w:val="21"/>
                      <w:vertAlign w:val="superscript"/>
                    </w:rPr>
                    <w:t>-4</w:t>
                  </w:r>
                </w:p>
              </w:tc>
              <w:tc>
                <w:tcPr>
                  <w:tcW w:w="1145" w:type="dxa"/>
                  <w:vAlign w:val="center"/>
                </w:tcPr>
                <w:p>
                  <w:pPr>
                    <w:jc w:val="center"/>
                    <w:rPr>
                      <w:sz w:val="21"/>
                      <w:szCs w:val="21"/>
                    </w:rPr>
                  </w:pPr>
                  <w:r>
                    <w:rPr>
                      <w:rFonts w:hint="eastAsia"/>
                      <w:sz w:val="21"/>
                      <w:szCs w:val="21"/>
                    </w:rPr>
                    <w:t>8.6*10</w:t>
                  </w:r>
                  <w:r>
                    <w:rPr>
                      <w:rFonts w:hint="eastAsia"/>
                      <w:sz w:val="21"/>
                      <w:szCs w:val="21"/>
                      <w:vertAlign w:val="superscript"/>
                    </w:rPr>
                    <w:t>-4</w:t>
                  </w:r>
                </w:p>
              </w:tc>
              <w:tc>
                <w:tcPr>
                  <w:tcW w:w="1145" w:type="dxa"/>
                  <w:vAlign w:val="center"/>
                </w:tcPr>
                <w:p>
                  <w:pPr>
                    <w:jc w:val="center"/>
                    <w:rPr>
                      <w:sz w:val="21"/>
                      <w:szCs w:val="21"/>
                    </w:rPr>
                  </w:pPr>
                  <w:r>
                    <w:rPr>
                      <w:rFonts w:hint="eastAsia"/>
                      <w:sz w:val="21"/>
                      <w:szCs w:val="21"/>
                    </w:rPr>
                    <w:t>6.22*10</w:t>
                  </w:r>
                  <w:r>
                    <w:rPr>
                      <w:rFonts w:hint="eastAsia"/>
                      <w:sz w:val="21"/>
                      <w:szCs w:val="21"/>
                      <w:vertAlign w:val="superscript"/>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rPr>
                    <w:t>邻二甲苯</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0.345</w:t>
                  </w:r>
                </w:p>
              </w:tc>
              <w:tc>
                <w:tcPr>
                  <w:tcW w:w="1145" w:type="dxa"/>
                  <w:vAlign w:val="center"/>
                </w:tcPr>
                <w:p>
                  <w:pPr>
                    <w:spacing w:line="276" w:lineRule="auto"/>
                    <w:jc w:val="center"/>
                    <w:rPr>
                      <w:sz w:val="21"/>
                      <w:szCs w:val="21"/>
                    </w:rPr>
                  </w:pPr>
                  <w:r>
                    <w:rPr>
                      <w:rFonts w:hint="eastAsia"/>
                      <w:sz w:val="21"/>
                      <w:szCs w:val="21"/>
                    </w:rPr>
                    <w:t>0.318</w:t>
                  </w:r>
                </w:p>
              </w:tc>
              <w:tc>
                <w:tcPr>
                  <w:tcW w:w="1145" w:type="dxa"/>
                  <w:vAlign w:val="center"/>
                </w:tcPr>
                <w:p>
                  <w:pPr>
                    <w:spacing w:line="276" w:lineRule="auto"/>
                    <w:jc w:val="center"/>
                    <w:rPr>
                      <w:sz w:val="21"/>
                      <w:szCs w:val="21"/>
                    </w:rPr>
                  </w:pPr>
                  <w:r>
                    <w:rPr>
                      <w:rFonts w:hint="eastAsia"/>
                      <w:sz w:val="21"/>
                      <w:szCs w:val="21"/>
                    </w:rPr>
                    <w:t>0.311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napToGrid w:val="0"/>
                      <w:spacing w:val="-6"/>
                      <w:sz w:val="21"/>
                      <w:szCs w:val="21"/>
                    </w:rPr>
                  </w:pPr>
                  <w:r>
                    <w:rPr>
                      <w:rFonts w:hint="eastAsia"/>
                      <w:snapToGrid w:val="0"/>
                      <w:spacing w:val="-6"/>
                      <w:sz w:val="21"/>
                      <w:szCs w:val="21"/>
                    </w:rPr>
                    <w:t>7.22</w:t>
                  </w:r>
                  <w:r>
                    <w:rPr>
                      <w:rFonts w:hint="eastAsia"/>
                      <w:sz w:val="21"/>
                      <w:szCs w:val="21"/>
                    </w:rPr>
                    <w:t>*10</w:t>
                  </w:r>
                  <w:r>
                    <w:rPr>
                      <w:rFonts w:hint="eastAsia"/>
                      <w:sz w:val="21"/>
                      <w:szCs w:val="21"/>
                      <w:vertAlign w:val="superscript"/>
                    </w:rPr>
                    <w:t>-4</w:t>
                  </w:r>
                </w:p>
              </w:tc>
              <w:tc>
                <w:tcPr>
                  <w:tcW w:w="1145" w:type="dxa"/>
                  <w:vAlign w:val="center"/>
                </w:tcPr>
                <w:p>
                  <w:pPr>
                    <w:jc w:val="center"/>
                    <w:rPr>
                      <w:snapToGrid w:val="0"/>
                      <w:spacing w:val="-6"/>
                      <w:sz w:val="21"/>
                      <w:szCs w:val="21"/>
                    </w:rPr>
                  </w:pPr>
                  <w:r>
                    <w:rPr>
                      <w:rFonts w:hint="eastAsia"/>
                      <w:snapToGrid w:val="0"/>
                      <w:spacing w:val="-6"/>
                      <w:sz w:val="21"/>
                      <w:szCs w:val="21"/>
                    </w:rPr>
                    <w:t>8.97*</w:t>
                  </w:r>
                  <w:r>
                    <w:rPr>
                      <w:rFonts w:hint="eastAsia"/>
                      <w:sz w:val="21"/>
                      <w:szCs w:val="21"/>
                    </w:rPr>
                    <w:t>10</w:t>
                  </w:r>
                  <w:r>
                    <w:rPr>
                      <w:rFonts w:hint="eastAsia"/>
                      <w:sz w:val="21"/>
                      <w:szCs w:val="21"/>
                      <w:vertAlign w:val="superscript"/>
                    </w:rPr>
                    <w:t>-4</w:t>
                  </w:r>
                </w:p>
              </w:tc>
              <w:tc>
                <w:tcPr>
                  <w:tcW w:w="1145" w:type="dxa"/>
                  <w:vAlign w:val="center"/>
                </w:tcPr>
                <w:p>
                  <w:pPr>
                    <w:jc w:val="center"/>
                    <w:rPr>
                      <w:snapToGrid w:val="0"/>
                      <w:spacing w:val="-6"/>
                      <w:sz w:val="21"/>
                      <w:szCs w:val="21"/>
                    </w:rPr>
                  </w:pPr>
                  <w:r>
                    <w:rPr>
                      <w:rFonts w:hint="eastAsia"/>
                      <w:snapToGrid w:val="0"/>
                      <w:spacing w:val="-6"/>
                      <w:sz w:val="21"/>
                      <w:szCs w:val="21"/>
                    </w:rPr>
                    <w:t>6.58*10</w:t>
                  </w:r>
                  <w:r>
                    <w:rPr>
                      <w:rFonts w:hint="eastAsia"/>
                      <w:sz w:val="21"/>
                      <w:szCs w:val="21"/>
                      <w:vertAlign w:val="superscript"/>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rPr>
                    <w:t>挥发性有机物</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1.52</w:t>
                  </w:r>
                </w:p>
              </w:tc>
              <w:tc>
                <w:tcPr>
                  <w:tcW w:w="1145" w:type="dxa"/>
                  <w:vAlign w:val="center"/>
                </w:tcPr>
                <w:p>
                  <w:pPr>
                    <w:spacing w:line="276" w:lineRule="auto"/>
                    <w:jc w:val="center"/>
                    <w:rPr>
                      <w:sz w:val="21"/>
                      <w:szCs w:val="21"/>
                    </w:rPr>
                  </w:pPr>
                  <w:r>
                    <w:rPr>
                      <w:rFonts w:hint="eastAsia"/>
                      <w:sz w:val="21"/>
                      <w:szCs w:val="21"/>
                    </w:rPr>
                    <w:t>1.38</w:t>
                  </w:r>
                </w:p>
              </w:tc>
              <w:tc>
                <w:tcPr>
                  <w:tcW w:w="1145" w:type="dxa"/>
                  <w:vAlign w:val="center"/>
                </w:tcPr>
                <w:p>
                  <w:pPr>
                    <w:spacing w:line="276" w:lineRule="auto"/>
                    <w:jc w:val="center"/>
                    <w:rPr>
                      <w:sz w:val="21"/>
                      <w:szCs w:val="21"/>
                    </w:rPr>
                  </w:pPr>
                  <w:r>
                    <w:rPr>
                      <w:rFonts w:hint="eastAsia"/>
                      <w:sz w:val="21"/>
                      <w:szCs w:val="21"/>
                    </w:rPr>
                    <w:t>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napToGrid w:val="0"/>
                      <w:spacing w:val="-6"/>
                      <w:sz w:val="21"/>
                      <w:szCs w:val="21"/>
                    </w:rPr>
                  </w:pPr>
                  <w:r>
                    <w:rPr>
                      <w:rFonts w:hint="eastAsia"/>
                      <w:snapToGrid w:val="0"/>
                      <w:spacing w:val="-6"/>
                      <w:sz w:val="21"/>
                      <w:szCs w:val="21"/>
                    </w:rPr>
                    <w:t>3.18</w:t>
                  </w:r>
                  <w:r>
                    <w:rPr>
                      <w:rFonts w:hint="eastAsia"/>
                      <w:sz w:val="21"/>
                      <w:szCs w:val="21"/>
                    </w:rPr>
                    <w:t>*10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napToGrid w:val="0"/>
                      <w:spacing w:val="-6"/>
                      <w:sz w:val="21"/>
                      <w:szCs w:val="21"/>
                    </w:rPr>
                    <w:t>3.89*1</w:t>
                  </w:r>
                  <w:r>
                    <w:rPr>
                      <w:rFonts w:hint="eastAsia"/>
                      <w:sz w:val="21"/>
                      <w:szCs w:val="21"/>
                    </w:rPr>
                    <w:t>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napToGrid w:val="0"/>
                      <w:spacing w:val="-6"/>
                      <w:sz w:val="21"/>
                      <w:szCs w:val="21"/>
                    </w:rPr>
                    <w:t>3.02*1</w:t>
                  </w:r>
                  <w:r>
                    <w:rPr>
                      <w:rFonts w:hint="eastAsia"/>
                      <w:sz w:val="21"/>
                      <w:szCs w:val="21"/>
                    </w:rPr>
                    <w:t>0</w:t>
                  </w:r>
                  <w:r>
                    <w:rPr>
                      <w:rFonts w:hint="eastAsia"/>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restart"/>
                  <w:vAlign w:val="center"/>
                </w:tcPr>
                <w:p>
                  <w:pPr>
                    <w:widowControl/>
                    <w:jc w:val="left"/>
                    <w:rPr>
                      <w:snapToGrid w:val="0"/>
                      <w:spacing w:val="-6"/>
                      <w:szCs w:val="21"/>
                    </w:rPr>
                  </w:pPr>
                  <w:r>
                    <w:rPr>
                      <w:rFonts w:hint="eastAsia"/>
                      <w:snapToGrid w:val="0"/>
                      <w:spacing w:val="-6"/>
                      <w:szCs w:val="21"/>
                    </w:rPr>
                    <w:t>12月2日</w:t>
                  </w:r>
                </w:p>
              </w:tc>
              <w:tc>
                <w:tcPr>
                  <w:tcW w:w="2717" w:type="dxa"/>
                  <w:gridSpan w:val="2"/>
                  <w:vAlign w:val="center"/>
                </w:tcPr>
                <w:p>
                  <w:pPr>
                    <w:jc w:val="center"/>
                  </w:pPr>
                  <w:r>
                    <w:rPr>
                      <w:rFonts w:hint="eastAsia"/>
                      <w:szCs w:val="21"/>
                    </w:rPr>
                    <w:t>标干烟气流量</w:t>
                  </w:r>
                </w:p>
              </w:tc>
              <w:tc>
                <w:tcPr>
                  <w:tcW w:w="833" w:type="dxa"/>
                  <w:vAlign w:val="center"/>
                </w:tcPr>
                <w:p>
                  <w:pPr>
                    <w:jc w:val="center"/>
                  </w:pPr>
                  <w:r>
                    <w:rPr>
                      <w:snapToGrid w:val="0"/>
                      <w:spacing w:val="-6"/>
                      <w:szCs w:val="21"/>
                    </w:rPr>
                    <w:t>m</w:t>
                  </w:r>
                  <w:r>
                    <w:rPr>
                      <w:snapToGrid w:val="0"/>
                      <w:spacing w:val="-6"/>
                      <w:szCs w:val="21"/>
                      <w:vertAlign w:val="superscript"/>
                    </w:rPr>
                    <w:t>3</w:t>
                  </w:r>
                  <w:r>
                    <w:rPr>
                      <w:snapToGrid w:val="0"/>
                      <w:spacing w:val="-6"/>
                      <w:szCs w:val="21"/>
                    </w:rPr>
                    <w:t>/h</w:t>
                  </w:r>
                </w:p>
              </w:tc>
              <w:tc>
                <w:tcPr>
                  <w:tcW w:w="1150" w:type="dxa"/>
                  <w:vAlign w:val="center"/>
                </w:tcPr>
                <w:p>
                  <w:pPr>
                    <w:jc w:val="center"/>
                    <w:rPr>
                      <w:sz w:val="21"/>
                      <w:szCs w:val="21"/>
                    </w:rPr>
                  </w:pPr>
                  <w:r>
                    <w:rPr>
                      <w:rFonts w:hint="eastAsia"/>
                      <w:sz w:val="21"/>
                      <w:szCs w:val="21"/>
                    </w:rPr>
                    <w:t>2977</w:t>
                  </w:r>
                </w:p>
              </w:tc>
              <w:tc>
                <w:tcPr>
                  <w:tcW w:w="1145" w:type="dxa"/>
                  <w:vAlign w:val="center"/>
                </w:tcPr>
                <w:p>
                  <w:pPr>
                    <w:jc w:val="center"/>
                    <w:rPr>
                      <w:sz w:val="21"/>
                      <w:szCs w:val="21"/>
                    </w:rPr>
                  </w:pPr>
                  <w:r>
                    <w:rPr>
                      <w:rFonts w:hint="eastAsia"/>
                      <w:sz w:val="21"/>
                      <w:szCs w:val="21"/>
                    </w:rPr>
                    <w:t>3393</w:t>
                  </w:r>
                </w:p>
              </w:tc>
              <w:tc>
                <w:tcPr>
                  <w:tcW w:w="1145" w:type="dxa"/>
                  <w:vAlign w:val="center"/>
                </w:tcPr>
                <w:p>
                  <w:pPr>
                    <w:jc w:val="center"/>
                    <w:rPr>
                      <w:sz w:val="21"/>
                      <w:szCs w:val="21"/>
                    </w:rPr>
                  </w:pPr>
                  <w:r>
                    <w:rPr>
                      <w:rFonts w:hint="eastAsia"/>
                      <w:sz w:val="21"/>
                      <w:szCs w:val="21"/>
                    </w:rPr>
                    <w:t>3387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rPr>
                    <w:t>颗粒物</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＜20</w:t>
                  </w:r>
                </w:p>
              </w:tc>
              <w:tc>
                <w:tcPr>
                  <w:tcW w:w="1145" w:type="dxa"/>
                  <w:vAlign w:val="center"/>
                </w:tcPr>
                <w:p>
                  <w:pPr>
                    <w:spacing w:line="276" w:lineRule="auto"/>
                    <w:jc w:val="center"/>
                    <w:rPr>
                      <w:sz w:val="21"/>
                      <w:szCs w:val="21"/>
                    </w:rPr>
                  </w:pPr>
                  <w:r>
                    <w:rPr>
                      <w:rFonts w:hint="eastAsia"/>
                      <w:sz w:val="21"/>
                      <w:szCs w:val="21"/>
                    </w:rPr>
                    <w:t>＜20</w:t>
                  </w:r>
                </w:p>
              </w:tc>
              <w:tc>
                <w:tcPr>
                  <w:tcW w:w="1145" w:type="dxa"/>
                  <w:vAlign w:val="center"/>
                </w:tcPr>
                <w:p>
                  <w:pPr>
                    <w:spacing w:line="276" w:lineRule="auto"/>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napToGrid w:val="0"/>
                      <w:spacing w:val="-6"/>
                      <w:sz w:val="21"/>
                      <w:szCs w:val="21"/>
                    </w:rPr>
                  </w:pPr>
                  <w:r>
                    <w:rPr>
                      <w:rFonts w:hint="eastAsia"/>
                      <w:sz w:val="21"/>
                      <w:szCs w:val="21"/>
                    </w:rPr>
                    <w:t>/</w:t>
                  </w:r>
                </w:p>
              </w:tc>
              <w:tc>
                <w:tcPr>
                  <w:tcW w:w="1145" w:type="dxa"/>
                  <w:vAlign w:val="center"/>
                </w:tcPr>
                <w:p>
                  <w:pPr>
                    <w:jc w:val="center"/>
                    <w:rPr>
                      <w:snapToGrid w:val="0"/>
                      <w:spacing w:val="-6"/>
                      <w:sz w:val="21"/>
                      <w:szCs w:val="21"/>
                    </w:rPr>
                  </w:pPr>
                  <w:r>
                    <w:rPr>
                      <w:rFonts w:hint="eastAsia"/>
                      <w:sz w:val="21"/>
                      <w:szCs w:val="21"/>
                    </w:rPr>
                    <w:t>/</w:t>
                  </w:r>
                </w:p>
              </w:tc>
              <w:tc>
                <w:tcPr>
                  <w:tcW w:w="1145" w:type="dxa"/>
                  <w:vAlign w:val="center"/>
                </w:tcPr>
                <w:p>
                  <w:pPr>
                    <w:jc w:val="center"/>
                    <w:rPr>
                      <w:snapToGrid w:val="0"/>
                      <w:spacing w:val="-6"/>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rPr>
                    <w:t>甲苯</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0.357</w:t>
                  </w:r>
                </w:p>
              </w:tc>
              <w:tc>
                <w:tcPr>
                  <w:tcW w:w="1145" w:type="dxa"/>
                  <w:vAlign w:val="center"/>
                </w:tcPr>
                <w:p>
                  <w:pPr>
                    <w:spacing w:line="276" w:lineRule="auto"/>
                    <w:jc w:val="center"/>
                    <w:rPr>
                      <w:sz w:val="21"/>
                      <w:szCs w:val="21"/>
                    </w:rPr>
                  </w:pPr>
                  <w:r>
                    <w:rPr>
                      <w:rFonts w:hint="eastAsia"/>
                      <w:sz w:val="21"/>
                      <w:szCs w:val="21"/>
                    </w:rPr>
                    <w:t>0.370</w:t>
                  </w:r>
                </w:p>
              </w:tc>
              <w:tc>
                <w:tcPr>
                  <w:tcW w:w="1145" w:type="dxa"/>
                  <w:vAlign w:val="center"/>
                </w:tcPr>
                <w:p>
                  <w:pPr>
                    <w:spacing w:line="276" w:lineRule="auto"/>
                    <w:jc w:val="center"/>
                    <w:rPr>
                      <w:sz w:val="21"/>
                      <w:szCs w:val="21"/>
                    </w:rPr>
                  </w:pPr>
                  <w:r>
                    <w:rPr>
                      <w:rFonts w:hint="eastAsia"/>
                      <w:sz w:val="21"/>
                      <w:szCs w:val="21"/>
                    </w:rPr>
                    <w:t>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napToGrid w:val="0"/>
                      <w:spacing w:val="-6"/>
                      <w:sz w:val="21"/>
                      <w:szCs w:val="21"/>
                    </w:rPr>
                  </w:pPr>
                  <w:r>
                    <w:rPr>
                      <w:rFonts w:hint="eastAsia"/>
                      <w:sz w:val="21"/>
                      <w:szCs w:val="21"/>
                    </w:rPr>
                    <w:t>1.06*10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z w:val="21"/>
                      <w:szCs w:val="21"/>
                    </w:rPr>
                    <w:t>1.04*10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z w:val="21"/>
                      <w:szCs w:val="21"/>
                    </w:rPr>
                    <w:t>8.52*10</w:t>
                  </w:r>
                  <w:r>
                    <w:rPr>
                      <w:rFonts w:hint="eastAsia"/>
                      <w:sz w:val="21"/>
                      <w:szCs w:val="21"/>
                      <w:vertAlign w:val="superscript"/>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rPr>
                    <w:t>对/间二甲苯</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0.309</w:t>
                  </w:r>
                </w:p>
              </w:tc>
              <w:tc>
                <w:tcPr>
                  <w:tcW w:w="1145" w:type="dxa"/>
                  <w:vAlign w:val="center"/>
                </w:tcPr>
                <w:p>
                  <w:pPr>
                    <w:spacing w:line="276" w:lineRule="auto"/>
                    <w:jc w:val="center"/>
                    <w:rPr>
                      <w:sz w:val="21"/>
                      <w:szCs w:val="21"/>
                    </w:rPr>
                  </w:pPr>
                  <w:r>
                    <w:rPr>
                      <w:rFonts w:hint="eastAsia"/>
                      <w:sz w:val="21"/>
                      <w:szCs w:val="21"/>
                    </w:rPr>
                    <w:t>0.339</w:t>
                  </w:r>
                </w:p>
              </w:tc>
              <w:tc>
                <w:tcPr>
                  <w:tcW w:w="1145" w:type="dxa"/>
                  <w:vAlign w:val="center"/>
                </w:tcPr>
                <w:p>
                  <w:pPr>
                    <w:spacing w:line="276" w:lineRule="auto"/>
                    <w:jc w:val="center"/>
                    <w:rPr>
                      <w:sz w:val="21"/>
                      <w:szCs w:val="21"/>
                    </w:rPr>
                  </w:pPr>
                  <w:r>
                    <w:rPr>
                      <w:rFonts w:hint="eastAsia"/>
                      <w:sz w:val="21"/>
                      <w:szCs w:val="21"/>
                    </w:rPr>
                    <w:t>0.339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napToGrid w:val="0"/>
                      <w:spacing w:val="-6"/>
                      <w:sz w:val="21"/>
                      <w:szCs w:val="21"/>
                    </w:rPr>
                  </w:pPr>
                  <w:r>
                    <w:rPr>
                      <w:rFonts w:hint="eastAsia"/>
                      <w:snapToGrid w:val="0"/>
                      <w:spacing w:val="-6"/>
                      <w:sz w:val="21"/>
                      <w:szCs w:val="21"/>
                    </w:rPr>
                    <w:t>9.19</w:t>
                  </w:r>
                  <w:r>
                    <w:rPr>
                      <w:rFonts w:hint="eastAsia"/>
                      <w:sz w:val="21"/>
                      <w:szCs w:val="21"/>
                    </w:rPr>
                    <w:t>*10</w:t>
                  </w:r>
                  <w:r>
                    <w:rPr>
                      <w:rFonts w:hint="eastAsia"/>
                      <w:sz w:val="21"/>
                      <w:szCs w:val="21"/>
                      <w:vertAlign w:val="superscript"/>
                    </w:rPr>
                    <w:t>-4</w:t>
                  </w:r>
                </w:p>
              </w:tc>
              <w:tc>
                <w:tcPr>
                  <w:tcW w:w="1145" w:type="dxa"/>
                  <w:vAlign w:val="center"/>
                </w:tcPr>
                <w:p>
                  <w:pPr>
                    <w:jc w:val="center"/>
                    <w:rPr>
                      <w:snapToGrid w:val="0"/>
                      <w:spacing w:val="-6"/>
                      <w:sz w:val="21"/>
                      <w:szCs w:val="21"/>
                    </w:rPr>
                  </w:pPr>
                  <w:r>
                    <w:rPr>
                      <w:rFonts w:hint="eastAsia"/>
                      <w:snapToGrid w:val="0"/>
                      <w:spacing w:val="-6"/>
                      <w:sz w:val="21"/>
                      <w:szCs w:val="21"/>
                    </w:rPr>
                    <w:t>1.15</w:t>
                  </w:r>
                  <w:r>
                    <w:rPr>
                      <w:rFonts w:hint="eastAsia"/>
                      <w:sz w:val="21"/>
                      <w:szCs w:val="21"/>
                    </w:rPr>
                    <w:t>*10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napToGrid w:val="0"/>
                      <w:spacing w:val="-6"/>
                      <w:sz w:val="21"/>
                      <w:szCs w:val="21"/>
                    </w:rPr>
                    <w:t>1.14*</w:t>
                  </w:r>
                  <w:r>
                    <w:rPr>
                      <w:rFonts w:hint="eastAsia"/>
                      <w:sz w:val="21"/>
                      <w:szCs w:val="21"/>
                    </w:rPr>
                    <w:t>10</w:t>
                  </w:r>
                  <w:r>
                    <w:rPr>
                      <w:rFonts w:hint="eastAsia"/>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rPr>
                    <w:t>邻二甲苯</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0.324</w:t>
                  </w:r>
                </w:p>
              </w:tc>
              <w:tc>
                <w:tcPr>
                  <w:tcW w:w="1145" w:type="dxa"/>
                  <w:vAlign w:val="center"/>
                </w:tcPr>
                <w:p>
                  <w:pPr>
                    <w:spacing w:line="276" w:lineRule="auto"/>
                    <w:jc w:val="center"/>
                    <w:rPr>
                      <w:sz w:val="21"/>
                      <w:szCs w:val="21"/>
                    </w:rPr>
                  </w:pPr>
                  <w:r>
                    <w:rPr>
                      <w:rFonts w:hint="eastAsia"/>
                      <w:sz w:val="21"/>
                      <w:szCs w:val="21"/>
                    </w:rPr>
                    <w:t>0.322</w:t>
                  </w:r>
                </w:p>
              </w:tc>
              <w:tc>
                <w:tcPr>
                  <w:tcW w:w="1145" w:type="dxa"/>
                  <w:vAlign w:val="center"/>
                </w:tcPr>
                <w:p>
                  <w:pPr>
                    <w:spacing w:line="276" w:lineRule="auto"/>
                    <w:jc w:val="center"/>
                    <w:rPr>
                      <w:sz w:val="21"/>
                      <w:szCs w:val="21"/>
                    </w:rPr>
                  </w:pPr>
                  <w:r>
                    <w:rPr>
                      <w:rFonts w:hint="eastAsia"/>
                      <w:sz w:val="21"/>
                      <w:szCs w:val="21"/>
                    </w:rPr>
                    <w:t>0.342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snapToGrid w:val="0"/>
                      <w:spacing w:val="-6"/>
                      <w:sz w:val="21"/>
                      <w:szCs w:val="21"/>
                    </w:rPr>
                  </w:pPr>
                  <w:r>
                    <w:rPr>
                      <w:rFonts w:hint="eastAsia"/>
                      <w:snapToGrid w:val="0"/>
                      <w:spacing w:val="-6"/>
                      <w:sz w:val="21"/>
                      <w:szCs w:val="21"/>
                    </w:rPr>
                    <w:t>9.64</w:t>
                  </w:r>
                  <w:r>
                    <w:rPr>
                      <w:rFonts w:hint="eastAsia"/>
                      <w:sz w:val="21"/>
                      <w:szCs w:val="21"/>
                    </w:rPr>
                    <w:t>*10</w:t>
                  </w:r>
                  <w:r>
                    <w:rPr>
                      <w:rFonts w:hint="eastAsia"/>
                      <w:sz w:val="21"/>
                      <w:szCs w:val="21"/>
                      <w:vertAlign w:val="superscript"/>
                    </w:rPr>
                    <w:t>-4</w:t>
                  </w:r>
                </w:p>
              </w:tc>
              <w:tc>
                <w:tcPr>
                  <w:tcW w:w="1145" w:type="dxa"/>
                  <w:vAlign w:val="center"/>
                </w:tcPr>
                <w:p>
                  <w:pPr>
                    <w:jc w:val="center"/>
                    <w:rPr>
                      <w:snapToGrid w:val="0"/>
                      <w:spacing w:val="-6"/>
                      <w:sz w:val="21"/>
                      <w:szCs w:val="21"/>
                    </w:rPr>
                  </w:pPr>
                  <w:r>
                    <w:rPr>
                      <w:rFonts w:hint="eastAsia"/>
                      <w:sz w:val="21"/>
                      <w:szCs w:val="21"/>
                    </w:rPr>
                    <w:t>1.09*10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napToGrid w:val="0"/>
                      <w:spacing w:val="-6"/>
                      <w:sz w:val="21"/>
                      <w:szCs w:val="21"/>
                    </w:rPr>
                    <w:t>1.158</w:t>
                  </w:r>
                  <w:r>
                    <w:rPr>
                      <w:rFonts w:hint="eastAsia"/>
                      <w:sz w:val="21"/>
                      <w:szCs w:val="21"/>
                    </w:rPr>
                    <w:t>*10</w:t>
                  </w:r>
                  <w:r>
                    <w:rPr>
                      <w:rFonts w:hint="eastAsia"/>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restart"/>
                  <w:vAlign w:val="center"/>
                </w:tcPr>
                <w:p>
                  <w:pPr>
                    <w:jc w:val="center"/>
                  </w:pPr>
                  <w:r>
                    <w:rPr>
                      <w:rFonts w:hint="eastAsia"/>
                      <w:sz w:val="24"/>
                      <w:szCs w:val="24"/>
                    </w:rPr>
                    <w:t>VOCs</w:t>
                  </w:r>
                </w:p>
              </w:tc>
              <w:tc>
                <w:tcPr>
                  <w:tcW w:w="1134" w:type="dxa"/>
                  <w:vAlign w:val="center"/>
                </w:tcPr>
                <w:p>
                  <w:pPr>
                    <w:jc w:val="center"/>
                  </w:pPr>
                  <w:r>
                    <w:rPr>
                      <w:rFonts w:hint="eastAsia"/>
                    </w:rPr>
                    <w:t>排放浓度</w:t>
                  </w:r>
                </w:p>
              </w:tc>
              <w:tc>
                <w:tcPr>
                  <w:tcW w:w="833" w:type="dxa"/>
                  <w:vAlign w:val="center"/>
                </w:tcPr>
                <w:p>
                  <w:pPr>
                    <w:jc w:val="center"/>
                  </w:pPr>
                  <w:r>
                    <w:t>mg/m</w:t>
                  </w:r>
                  <w:r>
                    <w:rPr>
                      <w:vertAlign w:val="superscript"/>
                    </w:rPr>
                    <w:t>3</w:t>
                  </w:r>
                </w:p>
              </w:tc>
              <w:tc>
                <w:tcPr>
                  <w:tcW w:w="1150" w:type="dxa"/>
                  <w:vAlign w:val="center"/>
                </w:tcPr>
                <w:p>
                  <w:pPr>
                    <w:spacing w:line="276" w:lineRule="auto"/>
                    <w:jc w:val="center"/>
                    <w:rPr>
                      <w:sz w:val="21"/>
                      <w:szCs w:val="21"/>
                    </w:rPr>
                  </w:pPr>
                  <w:r>
                    <w:rPr>
                      <w:rFonts w:hint="eastAsia"/>
                      <w:sz w:val="21"/>
                      <w:szCs w:val="21"/>
                    </w:rPr>
                    <w:t>1.46</w:t>
                  </w:r>
                </w:p>
              </w:tc>
              <w:tc>
                <w:tcPr>
                  <w:tcW w:w="1145" w:type="dxa"/>
                  <w:vAlign w:val="center"/>
                </w:tcPr>
                <w:p>
                  <w:pPr>
                    <w:spacing w:line="276" w:lineRule="auto"/>
                    <w:jc w:val="center"/>
                    <w:rPr>
                      <w:sz w:val="21"/>
                      <w:szCs w:val="21"/>
                    </w:rPr>
                  </w:pPr>
                  <w:r>
                    <w:rPr>
                      <w:rFonts w:hint="eastAsia"/>
                      <w:sz w:val="21"/>
                      <w:szCs w:val="21"/>
                    </w:rPr>
                    <w:t>1.45</w:t>
                  </w:r>
                </w:p>
              </w:tc>
              <w:tc>
                <w:tcPr>
                  <w:tcW w:w="1145" w:type="dxa"/>
                  <w:vAlign w:val="center"/>
                </w:tcPr>
                <w:p>
                  <w:pPr>
                    <w:spacing w:line="276" w:lineRule="auto"/>
                    <w:jc w:val="center"/>
                    <w:rPr>
                      <w:sz w:val="21"/>
                      <w:szCs w:val="21"/>
                    </w:rPr>
                  </w:pPr>
                  <w:r>
                    <w:rPr>
                      <w:rFonts w:hint="eastAsia"/>
                      <w:sz w:val="21"/>
                      <w:szCs w:val="21"/>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854" w:type="dxa"/>
                  <w:vMerge w:val="continue"/>
                  <w:vAlign w:val="center"/>
                </w:tcPr>
                <w:p>
                  <w:pPr>
                    <w:widowControl/>
                    <w:jc w:val="left"/>
                    <w:rPr>
                      <w:szCs w:val="21"/>
                    </w:rPr>
                  </w:pPr>
                </w:p>
              </w:tc>
              <w:tc>
                <w:tcPr>
                  <w:tcW w:w="796" w:type="dxa"/>
                  <w:vMerge w:val="continue"/>
                  <w:vAlign w:val="center"/>
                </w:tcPr>
                <w:p>
                  <w:pPr>
                    <w:widowControl/>
                    <w:jc w:val="left"/>
                    <w:rPr>
                      <w:snapToGrid w:val="0"/>
                      <w:spacing w:val="-6"/>
                      <w:szCs w:val="21"/>
                    </w:rPr>
                  </w:pPr>
                </w:p>
              </w:tc>
              <w:tc>
                <w:tcPr>
                  <w:tcW w:w="1583" w:type="dxa"/>
                  <w:vMerge w:val="continue"/>
                  <w:vAlign w:val="center"/>
                </w:tcPr>
                <w:p>
                  <w:pPr>
                    <w:jc w:val="center"/>
                  </w:pPr>
                </w:p>
              </w:tc>
              <w:tc>
                <w:tcPr>
                  <w:tcW w:w="1134" w:type="dxa"/>
                  <w:vAlign w:val="center"/>
                </w:tcPr>
                <w:p>
                  <w:pPr>
                    <w:jc w:val="center"/>
                  </w:pPr>
                  <w:r>
                    <w:rPr>
                      <w:rFonts w:hint="eastAsia"/>
                    </w:rPr>
                    <w:t>排放速率</w:t>
                  </w:r>
                </w:p>
              </w:tc>
              <w:tc>
                <w:tcPr>
                  <w:tcW w:w="833" w:type="dxa"/>
                  <w:vAlign w:val="center"/>
                </w:tcPr>
                <w:p>
                  <w:pPr>
                    <w:jc w:val="center"/>
                  </w:pPr>
                  <w:r>
                    <w:t>kg/h</w:t>
                  </w:r>
                </w:p>
              </w:tc>
              <w:tc>
                <w:tcPr>
                  <w:tcW w:w="1150" w:type="dxa"/>
                  <w:vAlign w:val="center"/>
                </w:tcPr>
                <w:p>
                  <w:pPr>
                    <w:jc w:val="center"/>
                    <w:rPr>
                      <w:b/>
                      <w:bCs/>
                      <w:snapToGrid w:val="0"/>
                      <w:spacing w:val="-6"/>
                      <w:sz w:val="21"/>
                      <w:szCs w:val="21"/>
                    </w:rPr>
                  </w:pPr>
                  <w:r>
                    <w:rPr>
                      <w:rFonts w:hint="eastAsia"/>
                      <w:snapToGrid w:val="0"/>
                      <w:spacing w:val="-6"/>
                      <w:sz w:val="21"/>
                      <w:szCs w:val="21"/>
                    </w:rPr>
                    <w:t>4.34</w:t>
                  </w:r>
                  <w:r>
                    <w:rPr>
                      <w:rFonts w:hint="eastAsia"/>
                      <w:sz w:val="21"/>
                      <w:szCs w:val="21"/>
                    </w:rPr>
                    <w:t>*10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napToGrid w:val="0"/>
                      <w:spacing w:val="-6"/>
                      <w:sz w:val="21"/>
                      <w:szCs w:val="21"/>
                    </w:rPr>
                    <w:t>4.91</w:t>
                  </w:r>
                  <w:r>
                    <w:rPr>
                      <w:rFonts w:hint="eastAsia"/>
                      <w:sz w:val="21"/>
                      <w:szCs w:val="21"/>
                    </w:rPr>
                    <w:t>*10</w:t>
                  </w:r>
                  <w:r>
                    <w:rPr>
                      <w:rFonts w:hint="eastAsia"/>
                      <w:sz w:val="21"/>
                      <w:szCs w:val="21"/>
                      <w:vertAlign w:val="superscript"/>
                    </w:rPr>
                    <w:t>-3</w:t>
                  </w:r>
                </w:p>
              </w:tc>
              <w:tc>
                <w:tcPr>
                  <w:tcW w:w="1145" w:type="dxa"/>
                  <w:vAlign w:val="center"/>
                </w:tcPr>
                <w:p>
                  <w:pPr>
                    <w:jc w:val="center"/>
                    <w:rPr>
                      <w:snapToGrid w:val="0"/>
                      <w:spacing w:val="-6"/>
                      <w:sz w:val="21"/>
                      <w:szCs w:val="21"/>
                    </w:rPr>
                  </w:pPr>
                  <w:r>
                    <w:rPr>
                      <w:rFonts w:hint="eastAsia"/>
                      <w:snapToGrid w:val="0"/>
                      <w:spacing w:val="-6"/>
                      <w:sz w:val="21"/>
                      <w:szCs w:val="21"/>
                    </w:rPr>
                    <w:t>5.08</w:t>
                  </w:r>
                  <w:r>
                    <w:rPr>
                      <w:rFonts w:hint="eastAsia"/>
                      <w:sz w:val="21"/>
                      <w:szCs w:val="21"/>
                    </w:rPr>
                    <w:t>*10</w:t>
                  </w:r>
                  <w:r>
                    <w:rPr>
                      <w:rFonts w:hint="eastAsia"/>
                      <w:sz w:val="21"/>
                      <w:szCs w:val="21"/>
                      <w:vertAlign w:val="superscript"/>
                    </w:rPr>
                    <w:t>-3</w:t>
                  </w:r>
                </w:p>
              </w:tc>
            </w:tr>
          </w:tbl>
          <w:p>
            <w:pPr>
              <w:spacing w:line="360" w:lineRule="auto"/>
              <w:ind w:firstLine="480" w:firstLineChars="200"/>
              <w:rPr>
                <w:sz w:val="24"/>
                <w:szCs w:val="24"/>
              </w:rPr>
            </w:pPr>
            <w:r>
              <w:rPr>
                <w:rFonts w:hint="eastAsia"/>
                <w:sz w:val="24"/>
                <w:szCs w:val="24"/>
              </w:rPr>
              <w:t>由表1-</w:t>
            </w:r>
            <w:r>
              <w:rPr>
                <w:rFonts w:hint="eastAsia"/>
                <w:sz w:val="24"/>
                <w:szCs w:val="24"/>
                <w:lang w:val="en-US" w:eastAsia="zh-CN"/>
              </w:rPr>
              <w:t>6</w:t>
            </w:r>
            <w:r>
              <w:rPr>
                <w:rFonts w:hint="eastAsia"/>
                <w:sz w:val="24"/>
                <w:szCs w:val="24"/>
              </w:rPr>
              <w:t>可知，项目喷烤漆废气中甲苯、对/间二甲苯、邻二甲苯、挥发性有机物经</w:t>
            </w:r>
            <w:r>
              <w:rPr>
                <w:rFonts w:hint="eastAsia"/>
                <w:kern w:val="0"/>
                <w:sz w:val="24"/>
                <w:szCs w:val="24"/>
              </w:rPr>
              <w:t>过滤棉</w:t>
            </w:r>
            <w:r>
              <w:rPr>
                <w:rFonts w:hint="eastAsia"/>
                <w:kern w:val="0"/>
                <w:sz w:val="24"/>
              </w:rPr>
              <w:t>+UV光催化氧化</w:t>
            </w:r>
            <w:r>
              <w:rPr>
                <w:rFonts w:hint="eastAsia"/>
                <w:kern w:val="0"/>
                <w:sz w:val="24"/>
                <w:szCs w:val="24"/>
              </w:rPr>
              <w:t>+活性炭吸附处理</w:t>
            </w:r>
            <w:r>
              <w:rPr>
                <w:rFonts w:hint="eastAsia"/>
                <w:sz w:val="24"/>
                <w:szCs w:val="24"/>
              </w:rPr>
              <w:t>排气筒最大的排放浓度分别为0.418</w:t>
            </w:r>
            <w:r>
              <w:rPr>
                <w:sz w:val="24"/>
                <w:szCs w:val="24"/>
              </w:rPr>
              <w:t>mg/m</w:t>
            </w:r>
            <w:r>
              <w:rPr>
                <w:sz w:val="24"/>
                <w:szCs w:val="24"/>
                <w:vertAlign w:val="superscript"/>
              </w:rPr>
              <w:t>3</w:t>
            </w:r>
            <w:r>
              <w:rPr>
                <w:rFonts w:hint="eastAsia"/>
                <w:sz w:val="24"/>
                <w:szCs w:val="24"/>
              </w:rPr>
              <w:t>、0.305</w:t>
            </w:r>
            <w:r>
              <w:rPr>
                <w:sz w:val="24"/>
                <w:szCs w:val="24"/>
              </w:rPr>
              <w:t>mg/m</w:t>
            </w:r>
            <w:r>
              <w:rPr>
                <w:sz w:val="24"/>
                <w:szCs w:val="24"/>
                <w:vertAlign w:val="superscript"/>
              </w:rPr>
              <w:t>3</w:t>
            </w:r>
            <w:r>
              <w:rPr>
                <w:rFonts w:hint="eastAsia"/>
                <w:sz w:val="24"/>
                <w:szCs w:val="24"/>
              </w:rPr>
              <w:t>、0.345</w:t>
            </w:r>
            <w:r>
              <w:rPr>
                <w:sz w:val="24"/>
                <w:szCs w:val="24"/>
              </w:rPr>
              <w:t>mg/m</w:t>
            </w:r>
            <w:r>
              <w:rPr>
                <w:sz w:val="24"/>
                <w:szCs w:val="24"/>
                <w:vertAlign w:val="superscript"/>
              </w:rPr>
              <w:t>3</w:t>
            </w:r>
            <w:r>
              <w:rPr>
                <w:rFonts w:hint="eastAsia"/>
                <w:sz w:val="24"/>
                <w:szCs w:val="24"/>
              </w:rPr>
              <w:t>、1.52</w:t>
            </w:r>
            <w:r>
              <w:rPr>
                <w:sz w:val="24"/>
                <w:szCs w:val="24"/>
              </w:rPr>
              <w:t>mg/m</w:t>
            </w:r>
            <w:r>
              <w:rPr>
                <w:sz w:val="24"/>
                <w:szCs w:val="24"/>
                <w:vertAlign w:val="superscript"/>
              </w:rPr>
              <w:t>3</w:t>
            </w:r>
            <w:r>
              <w:rPr>
                <w:rFonts w:hint="eastAsia"/>
                <w:sz w:val="24"/>
                <w:szCs w:val="24"/>
              </w:rPr>
              <w:t>，最大排放速率分别为1.06*10</w:t>
            </w:r>
            <w:r>
              <w:rPr>
                <w:rFonts w:hint="eastAsia"/>
                <w:sz w:val="24"/>
                <w:szCs w:val="24"/>
                <w:vertAlign w:val="superscript"/>
              </w:rPr>
              <w:t>-3</w:t>
            </w:r>
            <w:r>
              <w:rPr>
                <w:sz w:val="24"/>
                <w:szCs w:val="24"/>
              </w:rPr>
              <w:t>kg/h</w:t>
            </w:r>
            <w:r>
              <w:rPr>
                <w:rFonts w:hint="eastAsia"/>
                <w:sz w:val="24"/>
                <w:szCs w:val="24"/>
              </w:rPr>
              <w:t>、1.15*10</w:t>
            </w:r>
            <w:r>
              <w:rPr>
                <w:rFonts w:hint="eastAsia"/>
                <w:sz w:val="24"/>
                <w:szCs w:val="24"/>
                <w:vertAlign w:val="superscript"/>
              </w:rPr>
              <w:t>-3</w:t>
            </w:r>
            <w:r>
              <w:rPr>
                <w:sz w:val="24"/>
                <w:szCs w:val="24"/>
              </w:rPr>
              <w:t>kg/h</w:t>
            </w:r>
            <w:r>
              <w:rPr>
                <w:rFonts w:hint="eastAsia"/>
                <w:sz w:val="24"/>
                <w:szCs w:val="24"/>
              </w:rPr>
              <w:t>、1.158*10</w:t>
            </w:r>
            <w:r>
              <w:rPr>
                <w:rFonts w:hint="eastAsia"/>
                <w:sz w:val="24"/>
                <w:szCs w:val="24"/>
                <w:vertAlign w:val="superscript"/>
              </w:rPr>
              <w:t>-3</w:t>
            </w:r>
            <w:r>
              <w:rPr>
                <w:sz w:val="24"/>
                <w:szCs w:val="24"/>
              </w:rPr>
              <w:t>kg/h</w:t>
            </w:r>
            <w:r>
              <w:rPr>
                <w:rFonts w:hint="eastAsia"/>
                <w:sz w:val="24"/>
                <w:szCs w:val="24"/>
              </w:rPr>
              <w:t>、5.08*10</w:t>
            </w:r>
            <w:r>
              <w:rPr>
                <w:rFonts w:hint="eastAsia"/>
                <w:sz w:val="24"/>
                <w:szCs w:val="24"/>
                <w:vertAlign w:val="superscript"/>
              </w:rPr>
              <w:t>-3</w:t>
            </w:r>
            <w:r>
              <w:rPr>
                <w:sz w:val="24"/>
                <w:szCs w:val="24"/>
              </w:rPr>
              <w:t>kg/h</w:t>
            </w:r>
            <w:r>
              <w:rPr>
                <w:rFonts w:hint="eastAsia"/>
                <w:sz w:val="24"/>
                <w:szCs w:val="24"/>
              </w:rPr>
              <w:t>，外排各污染物浓度能够满足</w:t>
            </w:r>
            <w:r>
              <w:rPr>
                <w:sz w:val="24"/>
                <w:szCs w:val="24"/>
              </w:rPr>
              <w:t>《</w:t>
            </w:r>
            <w:r>
              <w:rPr>
                <w:rFonts w:hint="eastAsia"/>
                <w:sz w:val="24"/>
                <w:szCs w:val="24"/>
              </w:rPr>
              <w:t>表面涂装（汽车制造及维修）挥发性有机物、镍排放标准</w:t>
            </w:r>
            <w:r>
              <w:rPr>
                <w:sz w:val="24"/>
                <w:szCs w:val="24"/>
              </w:rPr>
              <w:t>》</w:t>
            </w:r>
            <w:r>
              <w:rPr>
                <w:rFonts w:hint="eastAsia"/>
                <w:sz w:val="24"/>
                <w:szCs w:val="24"/>
              </w:rPr>
              <w:t>（D</w:t>
            </w:r>
            <w:r>
              <w:rPr>
                <w:sz w:val="24"/>
                <w:szCs w:val="24"/>
              </w:rPr>
              <w:t>B</w:t>
            </w:r>
            <w:r>
              <w:rPr>
                <w:rFonts w:hint="eastAsia"/>
                <w:sz w:val="24"/>
                <w:szCs w:val="24"/>
              </w:rPr>
              <w:t>43/1356</w:t>
            </w:r>
            <w:r>
              <w:rPr>
                <w:sz w:val="24"/>
                <w:szCs w:val="24"/>
              </w:rPr>
              <w:t>-</w:t>
            </w:r>
            <w:r>
              <w:rPr>
                <w:rFonts w:hint="eastAsia"/>
                <w:sz w:val="24"/>
                <w:szCs w:val="24"/>
              </w:rPr>
              <w:t>2017）表1（甲苯</w:t>
            </w:r>
            <w:r>
              <w:rPr>
                <w:sz w:val="24"/>
                <w:szCs w:val="24"/>
              </w:rPr>
              <w:t>≤</w:t>
            </w:r>
            <w:r>
              <w:rPr>
                <w:rFonts w:hint="eastAsia"/>
                <w:sz w:val="24"/>
                <w:szCs w:val="24"/>
              </w:rPr>
              <w:t>3</w:t>
            </w:r>
            <w:r>
              <w:rPr>
                <w:sz w:val="24"/>
                <w:szCs w:val="24"/>
              </w:rPr>
              <w:t>mg/m</w:t>
            </w:r>
            <w:r>
              <w:rPr>
                <w:sz w:val="24"/>
                <w:szCs w:val="24"/>
                <w:vertAlign w:val="superscript"/>
              </w:rPr>
              <w:t>3</w:t>
            </w:r>
            <w:r>
              <w:rPr>
                <w:rFonts w:hint="eastAsia"/>
                <w:sz w:val="24"/>
                <w:szCs w:val="24"/>
              </w:rPr>
              <w:t>、苯系物</w:t>
            </w:r>
            <w:r>
              <w:rPr>
                <w:sz w:val="24"/>
                <w:szCs w:val="24"/>
              </w:rPr>
              <w:t>≤</w:t>
            </w:r>
            <w:r>
              <w:rPr>
                <w:rFonts w:hint="eastAsia"/>
                <w:sz w:val="24"/>
                <w:szCs w:val="24"/>
              </w:rPr>
              <w:t>30</w:t>
            </w:r>
            <w:r>
              <w:rPr>
                <w:sz w:val="24"/>
                <w:szCs w:val="24"/>
              </w:rPr>
              <w:t>mg/m</w:t>
            </w:r>
            <w:r>
              <w:rPr>
                <w:sz w:val="24"/>
                <w:szCs w:val="24"/>
                <w:vertAlign w:val="superscript"/>
              </w:rPr>
              <w:t>3</w:t>
            </w:r>
            <w:r>
              <w:rPr>
                <w:rFonts w:hint="eastAsia"/>
                <w:sz w:val="24"/>
                <w:szCs w:val="24"/>
              </w:rPr>
              <w:t>）标准要求，</w:t>
            </w:r>
            <w:r>
              <w:rPr>
                <w:sz w:val="24"/>
                <w:szCs w:val="24"/>
              </w:rPr>
              <w:t>有组织排放的漆雾（颗粒物）执行《大气污染物综合排放标准》（GB16297-1996）表2中排放标准</w:t>
            </w:r>
            <w:r>
              <w:rPr>
                <w:rFonts w:hint="eastAsia"/>
                <w:sz w:val="24"/>
                <w:szCs w:val="24"/>
              </w:rPr>
              <w:t>（120</w:t>
            </w:r>
            <w:r>
              <w:rPr>
                <w:sz w:val="24"/>
                <w:szCs w:val="24"/>
              </w:rPr>
              <w:t>≤mg/m</w:t>
            </w:r>
            <w:r>
              <w:rPr>
                <w:sz w:val="24"/>
                <w:szCs w:val="24"/>
                <w:vertAlign w:val="superscript"/>
              </w:rPr>
              <w:t>3</w:t>
            </w:r>
            <w:r>
              <w:rPr>
                <w:rFonts w:hint="eastAsia"/>
                <w:sz w:val="24"/>
                <w:szCs w:val="24"/>
              </w:rPr>
              <w:t>、3.5kg/h）</w:t>
            </w:r>
            <w:r>
              <w:rPr>
                <w:sz w:val="24"/>
                <w:szCs w:val="24"/>
              </w:rPr>
              <w:t>；有组织排放的VOCs参照执行天津市《工业企业挥发性有机物排放控制标准》（DB12/524-20</w:t>
            </w:r>
            <w:r>
              <w:rPr>
                <w:rFonts w:hint="eastAsia"/>
                <w:sz w:val="24"/>
                <w:szCs w:val="24"/>
              </w:rPr>
              <w:t>20</w:t>
            </w:r>
            <w:r>
              <w:rPr>
                <w:sz w:val="24"/>
                <w:szCs w:val="24"/>
              </w:rPr>
              <w:t>）表</w:t>
            </w:r>
            <w:r>
              <w:rPr>
                <w:rFonts w:hint="eastAsia"/>
                <w:sz w:val="24"/>
                <w:szCs w:val="24"/>
              </w:rPr>
              <w:t>1</w:t>
            </w:r>
            <w:r>
              <w:rPr>
                <w:sz w:val="24"/>
                <w:szCs w:val="24"/>
              </w:rPr>
              <w:t>中“</w:t>
            </w:r>
            <w:r>
              <w:rPr>
                <w:rFonts w:hint="eastAsia"/>
                <w:sz w:val="24"/>
                <w:szCs w:val="24"/>
              </w:rPr>
              <w:t>表面涂装</w:t>
            </w:r>
            <w:r>
              <w:rPr>
                <w:sz w:val="24"/>
                <w:szCs w:val="24"/>
              </w:rPr>
              <w:t>”标准限值</w:t>
            </w:r>
            <w:r>
              <w:rPr>
                <w:rFonts w:hint="eastAsia"/>
                <w:sz w:val="24"/>
                <w:szCs w:val="24"/>
              </w:rPr>
              <w:t>（60</w:t>
            </w:r>
            <w:r>
              <w:rPr>
                <w:sz w:val="24"/>
                <w:szCs w:val="24"/>
              </w:rPr>
              <w:t>≤mg/m</w:t>
            </w:r>
            <w:r>
              <w:rPr>
                <w:sz w:val="24"/>
                <w:szCs w:val="24"/>
                <w:vertAlign w:val="superscript"/>
              </w:rPr>
              <w:t>3</w:t>
            </w:r>
            <w:r>
              <w:rPr>
                <w:rFonts w:hint="eastAsia"/>
                <w:sz w:val="24"/>
                <w:szCs w:val="24"/>
              </w:rPr>
              <w:t>、1.8kg/h），项目现有废气措施可行</w:t>
            </w:r>
            <w:r>
              <w:rPr>
                <w:rFonts w:hint="eastAsia"/>
                <w:sz w:val="24"/>
                <w:szCs w:val="24"/>
                <w:lang w:eastAsia="zh-CN"/>
              </w:rPr>
              <w:t>，</w:t>
            </w:r>
          </w:p>
          <w:p>
            <w:pPr>
              <w:pStyle w:val="30"/>
              <w:spacing w:line="240" w:lineRule="auto"/>
              <w:ind w:firstLine="0" w:firstLineChars="0"/>
              <w:jc w:val="center"/>
              <w:rPr>
                <w:rFonts w:hAnsi="Times New Roman"/>
                <w:b/>
                <w:sz w:val="21"/>
                <w:szCs w:val="21"/>
              </w:rPr>
            </w:pPr>
            <w:r>
              <w:rPr>
                <w:b/>
                <w:sz w:val="21"/>
                <w:szCs w:val="21"/>
              </w:rPr>
              <w:t>表</w:t>
            </w:r>
            <w:r>
              <w:rPr>
                <w:rFonts w:hint="eastAsia"/>
                <w:b/>
                <w:sz w:val="21"/>
                <w:szCs w:val="21"/>
              </w:rPr>
              <w:t>1-</w:t>
            </w:r>
            <w:r>
              <w:rPr>
                <w:rFonts w:hint="eastAsia"/>
                <w:b/>
                <w:sz w:val="21"/>
                <w:szCs w:val="21"/>
                <w:lang w:val="en-US" w:eastAsia="zh-CN"/>
              </w:rPr>
              <w:t>7</w:t>
            </w:r>
            <w:r>
              <w:rPr>
                <w:rFonts w:hint="eastAsia"/>
                <w:b/>
                <w:sz w:val="21"/>
                <w:szCs w:val="21"/>
              </w:rPr>
              <w:t xml:space="preserve"> 厂界</w:t>
            </w:r>
            <w:r>
              <w:rPr>
                <w:rFonts w:hint="eastAsia" w:hAnsi="Times New Roman"/>
                <w:b/>
                <w:sz w:val="21"/>
                <w:szCs w:val="21"/>
              </w:rPr>
              <w:t>无组织排放废气检测结果一览表  单位</w:t>
            </w:r>
            <w:r>
              <w:rPr>
                <w:b/>
                <w:sz w:val="21"/>
                <w:szCs w:val="21"/>
              </w:rPr>
              <w:t>mg/m</w:t>
            </w:r>
            <w:r>
              <w:rPr>
                <w:b/>
                <w:sz w:val="21"/>
                <w:szCs w:val="21"/>
                <w:vertAlign w:val="superscript"/>
              </w:rPr>
              <w:t>3</w:t>
            </w:r>
          </w:p>
          <w:tbl>
            <w:tblPr>
              <w:tblStyle w:val="20"/>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072"/>
              <w:gridCol w:w="1303"/>
              <w:gridCol w:w="1016"/>
              <w:gridCol w:w="1053"/>
              <w:gridCol w:w="1096"/>
              <w:gridCol w:w="126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015" w:type="pct"/>
                  <w:vMerge w:val="restart"/>
                  <w:vAlign w:val="center"/>
                </w:tcPr>
                <w:p>
                  <w:pPr>
                    <w:jc w:val="center"/>
                    <w:rPr>
                      <w:rFonts w:ascii="宋体" w:hAnsi="宋体" w:cs="宋体"/>
                      <w:szCs w:val="21"/>
                    </w:rPr>
                  </w:pPr>
                  <w:r>
                    <w:rPr>
                      <w:rFonts w:hint="eastAsia" w:ascii="宋体" w:hAnsi="宋体" w:cs="宋体"/>
                      <w:szCs w:val="21"/>
                    </w:rPr>
                    <w:t>采样位置</w:t>
                  </w:r>
                </w:p>
              </w:tc>
              <w:tc>
                <w:tcPr>
                  <w:tcW w:w="628" w:type="pct"/>
                  <w:vMerge w:val="restart"/>
                  <w:vAlign w:val="center"/>
                </w:tcPr>
                <w:p>
                  <w:pPr>
                    <w:jc w:val="center"/>
                    <w:rPr>
                      <w:rFonts w:ascii="宋体" w:hAnsi="宋体" w:cs="宋体"/>
                      <w:szCs w:val="21"/>
                    </w:rPr>
                  </w:pPr>
                  <w:r>
                    <w:rPr>
                      <w:rFonts w:hint="eastAsia" w:ascii="宋体" w:hAnsi="宋体" w:cs="宋体"/>
                      <w:szCs w:val="21"/>
                    </w:rPr>
                    <w:t>检测项目</w:t>
                  </w:r>
                </w:p>
              </w:tc>
              <w:tc>
                <w:tcPr>
                  <w:tcW w:w="763" w:type="pct"/>
                  <w:vMerge w:val="restart"/>
                  <w:vAlign w:val="center"/>
                </w:tcPr>
                <w:p>
                  <w:pPr>
                    <w:jc w:val="center"/>
                    <w:rPr>
                      <w:rFonts w:ascii="宋体" w:hAnsi="宋体" w:cs="宋体"/>
                      <w:szCs w:val="21"/>
                    </w:rPr>
                  </w:pPr>
                  <w:r>
                    <w:rPr>
                      <w:rFonts w:hint="eastAsia" w:ascii="宋体" w:hAnsi="宋体" w:cs="宋体"/>
                      <w:szCs w:val="21"/>
                    </w:rPr>
                    <w:t>采样时间</w:t>
                  </w:r>
                </w:p>
              </w:tc>
              <w:tc>
                <w:tcPr>
                  <w:tcW w:w="595" w:type="pct"/>
                  <w:vMerge w:val="restart"/>
                  <w:vAlign w:val="center"/>
                </w:tcPr>
                <w:p>
                  <w:pPr>
                    <w:jc w:val="center"/>
                    <w:rPr>
                      <w:rFonts w:ascii="宋体" w:hAnsi="宋体" w:cs="宋体"/>
                      <w:szCs w:val="21"/>
                    </w:rPr>
                  </w:pPr>
                  <w:r>
                    <w:rPr>
                      <w:rFonts w:hint="eastAsia" w:ascii="宋体" w:hAnsi="宋体" w:cs="宋体"/>
                      <w:szCs w:val="21"/>
                    </w:rPr>
                    <w:t>单位</w:t>
                  </w:r>
                </w:p>
              </w:tc>
              <w:tc>
                <w:tcPr>
                  <w:tcW w:w="1998" w:type="pct"/>
                  <w:gridSpan w:val="3"/>
                  <w:vAlign w:val="center"/>
                </w:tcPr>
                <w:p>
                  <w:pPr>
                    <w:jc w:val="center"/>
                    <w:rPr>
                      <w:rFonts w:ascii="宋体" w:hAnsi="宋体" w:cs="宋体"/>
                      <w:szCs w:val="21"/>
                    </w:rPr>
                  </w:pPr>
                  <w:r>
                    <w:rPr>
                      <w:rFonts w:hint="eastAsia" w:ascii="宋体" w:hAnsi="宋体" w:cs="宋体"/>
                      <w:szCs w:val="21"/>
                    </w:rPr>
                    <w:t>检测结果</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Merge w:val="continue"/>
                  <w:vAlign w:val="center"/>
                </w:tcPr>
                <w:p>
                  <w:pPr>
                    <w:jc w:val="center"/>
                    <w:rPr>
                      <w:rFonts w:ascii="宋体" w:hAnsi="宋体" w:cs="宋体"/>
                      <w:szCs w:val="21"/>
                    </w:rPr>
                  </w:pPr>
                </w:p>
              </w:tc>
              <w:tc>
                <w:tcPr>
                  <w:tcW w:w="595" w:type="pct"/>
                  <w:vMerge w:val="continue"/>
                  <w:vAlign w:val="center"/>
                </w:tcPr>
                <w:p>
                  <w:pPr>
                    <w:jc w:val="center"/>
                    <w:rPr>
                      <w:rFonts w:ascii="宋体" w:hAnsi="宋体" w:cs="宋体"/>
                      <w:szCs w:val="21"/>
                    </w:rPr>
                  </w:pPr>
                </w:p>
              </w:tc>
              <w:tc>
                <w:tcPr>
                  <w:tcW w:w="617" w:type="pct"/>
                  <w:vAlign w:val="center"/>
                </w:tcPr>
                <w:p>
                  <w:pPr>
                    <w:jc w:val="center"/>
                    <w:rPr>
                      <w:rFonts w:ascii="宋体" w:hAnsi="宋体" w:cs="宋体"/>
                      <w:szCs w:val="21"/>
                    </w:rPr>
                  </w:pPr>
                  <w:r>
                    <w:rPr>
                      <w:rFonts w:hint="eastAsia" w:ascii="宋体" w:hAnsi="宋体" w:cs="宋体"/>
                      <w:szCs w:val="21"/>
                    </w:rPr>
                    <w:t>第一次</w:t>
                  </w:r>
                </w:p>
              </w:tc>
              <w:tc>
                <w:tcPr>
                  <w:tcW w:w="642" w:type="pct"/>
                  <w:vAlign w:val="center"/>
                </w:tcPr>
                <w:p>
                  <w:pPr>
                    <w:jc w:val="center"/>
                    <w:rPr>
                      <w:rFonts w:ascii="宋体" w:hAnsi="宋体" w:cs="宋体"/>
                      <w:szCs w:val="21"/>
                    </w:rPr>
                  </w:pPr>
                  <w:r>
                    <w:rPr>
                      <w:rFonts w:hint="eastAsia" w:ascii="宋体" w:hAnsi="宋体" w:cs="宋体"/>
                      <w:szCs w:val="21"/>
                    </w:rPr>
                    <w:t>第二次</w:t>
                  </w:r>
                </w:p>
              </w:tc>
              <w:tc>
                <w:tcPr>
                  <w:tcW w:w="738" w:type="pct"/>
                  <w:vAlign w:val="center"/>
                </w:tcPr>
                <w:p>
                  <w:pPr>
                    <w:jc w:val="center"/>
                    <w:rPr>
                      <w:rFonts w:ascii="宋体" w:hAnsi="宋体" w:cs="宋体"/>
                      <w:szCs w:val="21"/>
                    </w:rPr>
                  </w:pPr>
                  <w:r>
                    <w:rPr>
                      <w:rFonts w:hint="eastAsia" w:ascii="宋体" w:hAnsi="宋体" w:cs="宋体"/>
                      <w:szCs w:val="21"/>
                    </w:rPr>
                    <w:t>第三次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1015" w:type="pct"/>
                  <w:vMerge w:val="restart"/>
                  <w:vAlign w:val="center"/>
                </w:tcPr>
                <w:p>
                  <w:pPr>
                    <w:jc w:val="center"/>
                    <w:rPr>
                      <w:rFonts w:ascii="宋体" w:hAnsi="宋体" w:cs="宋体"/>
                      <w:szCs w:val="21"/>
                    </w:rPr>
                  </w:pPr>
                  <w:r>
                    <w:rPr>
                      <w:rFonts w:hint="eastAsia" w:ascii="宋体" w:hAnsi="宋体" w:cs="宋体"/>
                      <w:kern w:val="0"/>
                      <w:szCs w:val="21"/>
                    </w:rPr>
                    <w:t>上风向东北侧10米处</w:t>
                  </w:r>
                </w:p>
              </w:tc>
              <w:tc>
                <w:tcPr>
                  <w:tcW w:w="628" w:type="pct"/>
                  <w:vMerge w:val="restart"/>
                  <w:vAlign w:val="center"/>
                </w:tcPr>
                <w:p>
                  <w:pPr>
                    <w:jc w:val="center"/>
                    <w:rPr>
                      <w:rFonts w:ascii="宋体" w:hAnsi="宋体" w:cs="宋体"/>
                      <w:szCs w:val="21"/>
                    </w:rPr>
                  </w:pPr>
                  <w:r>
                    <w:rPr>
                      <w:rFonts w:hint="eastAsia" w:ascii="宋体" w:hAnsi="宋体" w:cs="宋体"/>
                      <w:szCs w:val="21"/>
                    </w:rPr>
                    <w:t>颗粒物</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spacing w:line="276" w:lineRule="auto"/>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0.067</w:t>
                  </w:r>
                </w:p>
              </w:tc>
              <w:tc>
                <w:tcPr>
                  <w:tcW w:w="642" w:type="pct"/>
                  <w:vAlign w:val="center"/>
                </w:tcPr>
                <w:p>
                  <w:pPr>
                    <w:jc w:val="center"/>
                    <w:rPr>
                      <w:rFonts w:ascii="宋体" w:hAnsi="宋体" w:cs="宋体"/>
                      <w:szCs w:val="21"/>
                    </w:rPr>
                  </w:pPr>
                  <w:r>
                    <w:rPr>
                      <w:rFonts w:hint="eastAsia" w:ascii="宋体" w:hAnsi="宋体" w:cs="宋体"/>
                      <w:szCs w:val="21"/>
                    </w:rPr>
                    <w:t>0.083</w:t>
                  </w:r>
                </w:p>
              </w:tc>
              <w:tc>
                <w:tcPr>
                  <w:tcW w:w="738" w:type="pct"/>
                  <w:vAlign w:val="center"/>
                </w:tcPr>
                <w:p>
                  <w:pPr>
                    <w:jc w:val="center"/>
                    <w:rPr>
                      <w:rFonts w:ascii="宋体" w:hAnsi="宋体" w:cs="宋体"/>
                      <w:szCs w:val="21"/>
                    </w:rPr>
                  </w:pPr>
                  <w:r>
                    <w:rPr>
                      <w:rFonts w:hint="eastAsia" w:ascii="宋体" w:hAnsi="宋体" w:cs="宋体"/>
                      <w:szCs w:val="21"/>
                    </w:rPr>
                    <w:t>0.067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0.100</w:t>
                  </w:r>
                </w:p>
              </w:tc>
              <w:tc>
                <w:tcPr>
                  <w:tcW w:w="642" w:type="pct"/>
                  <w:vAlign w:val="center"/>
                </w:tcPr>
                <w:p>
                  <w:pPr>
                    <w:jc w:val="center"/>
                    <w:rPr>
                      <w:rFonts w:ascii="宋体" w:hAnsi="宋体" w:cs="宋体"/>
                      <w:szCs w:val="21"/>
                    </w:rPr>
                  </w:pPr>
                  <w:r>
                    <w:rPr>
                      <w:rFonts w:hint="eastAsia" w:ascii="宋体" w:hAnsi="宋体" w:cs="宋体"/>
                      <w:szCs w:val="21"/>
                    </w:rPr>
                    <w:t>0.083</w:t>
                  </w:r>
                </w:p>
              </w:tc>
              <w:tc>
                <w:tcPr>
                  <w:tcW w:w="738" w:type="pct"/>
                  <w:vAlign w:val="center"/>
                </w:tcPr>
                <w:p>
                  <w:pPr>
                    <w:jc w:val="center"/>
                    <w:rPr>
                      <w:rFonts w:ascii="宋体" w:hAnsi="宋体" w:cs="宋体"/>
                      <w:szCs w:val="21"/>
                    </w:rPr>
                  </w:pPr>
                  <w:r>
                    <w:rPr>
                      <w:rFonts w:hint="eastAsia" w:ascii="宋体" w:hAnsi="宋体" w:cs="宋体"/>
                      <w:szCs w:val="21"/>
                    </w:rPr>
                    <w:t>0.067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ascii="宋体" w:hAnsi="宋体" w:cs="宋体"/>
                      <w:szCs w:val="21"/>
                    </w:rPr>
                    <w:t>甲苯</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ascii="宋体" w:hAnsi="宋体" w:cs="宋体"/>
                      <w:szCs w:val="21"/>
                    </w:rPr>
                    <w:t>二甲苯</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sz w:val="24"/>
                      <w:szCs w:val="24"/>
                    </w:rPr>
                    <w:t>VOCs</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0.261</w:t>
                  </w:r>
                </w:p>
              </w:tc>
              <w:tc>
                <w:tcPr>
                  <w:tcW w:w="642"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0.179</w:t>
                  </w:r>
                </w:p>
              </w:tc>
              <w:tc>
                <w:tcPr>
                  <w:tcW w:w="738"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0.128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0.424</w:t>
                  </w:r>
                </w:p>
              </w:tc>
              <w:tc>
                <w:tcPr>
                  <w:tcW w:w="642"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0.413</w:t>
                  </w:r>
                </w:p>
              </w:tc>
              <w:tc>
                <w:tcPr>
                  <w:tcW w:w="738"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0.312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1015" w:type="pct"/>
                  <w:vMerge w:val="restart"/>
                  <w:vAlign w:val="center"/>
                </w:tcPr>
                <w:p>
                  <w:pPr>
                    <w:jc w:val="center"/>
                    <w:rPr>
                      <w:rFonts w:ascii="宋体" w:hAnsi="宋体" w:cs="宋体"/>
                      <w:szCs w:val="21"/>
                    </w:rPr>
                  </w:pPr>
                  <w:r>
                    <w:rPr>
                      <w:rFonts w:hint="eastAsia" w:ascii="宋体" w:hAnsi="宋体" w:cs="宋体"/>
                      <w:kern w:val="0"/>
                      <w:szCs w:val="21"/>
                    </w:rPr>
                    <w:t>下风向西南侧10米处</w:t>
                  </w:r>
                </w:p>
              </w:tc>
              <w:tc>
                <w:tcPr>
                  <w:tcW w:w="628" w:type="pct"/>
                  <w:vMerge w:val="restart"/>
                  <w:vAlign w:val="center"/>
                </w:tcPr>
                <w:p>
                  <w:pPr>
                    <w:jc w:val="center"/>
                    <w:rPr>
                      <w:rFonts w:ascii="宋体" w:hAnsi="宋体" w:cs="宋体"/>
                      <w:szCs w:val="21"/>
                    </w:rPr>
                  </w:pPr>
                  <w:r>
                    <w:rPr>
                      <w:rFonts w:hint="eastAsia" w:ascii="宋体" w:hAnsi="宋体" w:cs="宋体"/>
                      <w:szCs w:val="21"/>
                    </w:rPr>
                    <w:t>颗粒物</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spacing w:line="276" w:lineRule="auto"/>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0.100</w:t>
                  </w:r>
                </w:p>
              </w:tc>
              <w:tc>
                <w:tcPr>
                  <w:tcW w:w="642" w:type="pct"/>
                  <w:vAlign w:val="center"/>
                </w:tcPr>
                <w:p>
                  <w:pPr>
                    <w:jc w:val="center"/>
                    <w:rPr>
                      <w:rFonts w:ascii="宋体" w:hAnsi="宋体" w:cs="宋体"/>
                      <w:szCs w:val="21"/>
                    </w:rPr>
                  </w:pPr>
                  <w:r>
                    <w:rPr>
                      <w:rFonts w:hint="eastAsia" w:ascii="宋体" w:hAnsi="宋体" w:cs="宋体"/>
                      <w:szCs w:val="21"/>
                    </w:rPr>
                    <w:t>0.117</w:t>
                  </w:r>
                </w:p>
              </w:tc>
              <w:tc>
                <w:tcPr>
                  <w:tcW w:w="738" w:type="pct"/>
                  <w:vAlign w:val="center"/>
                </w:tcPr>
                <w:p>
                  <w:pPr>
                    <w:jc w:val="center"/>
                    <w:rPr>
                      <w:rFonts w:ascii="宋体" w:hAnsi="宋体" w:cs="宋体"/>
                      <w:szCs w:val="21"/>
                    </w:rPr>
                  </w:pPr>
                  <w:r>
                    <w:rPr>
                      <w:rFonts w:hint="eastAsia" w:ascii="宋体" w:hAnsi="宋体" w:cs="宋体"/>
                      <w:szCs w:val="21"/>
                    </w:rPr>
                    <w:t>0.167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0.100</w:t>
                  </w:r>
                </w:p>
              </w:tc>
              <w:tc>
                <w:tcPr>
                  <w:tcW w:w="642" w:type="pct"/>
                  <w:vAlign w:val="center"/>
                </w:tcPr>
                <w:p>
                  <w:pPr>
                    <w:jc w:val="center"/>
                    <w:rPr>
                      <w:rFonts w:ascii="宋体" w:hAnsi="宋体" w:cs="宋体"/>
                      <w:szCs w:val="21"/>
                    </w:rPr>
                  </w:pPr>
                  <w:r>
                    <w:rPr>
                      <w:rFonts w:hint="eastAsia" w:ascii="宋体" w:hAnsi="宋体" w:cs="宋体"/>
                      <w:szCs w:val="21"/>
                    </w:rPr>
                    <w:t>0.117</w:t>
                  </w:r>
                </w:p>
              </w:tc>
              <w:tc>
                <w:tcPr>
                  <w:tcW w:w="738" w:type="pct"/>
                  <w:vAlign w:val="center"/>
                </w:tcPr>
                <w:p>
                  <w:pPr>
                    <w:jc w:val="center"/>
                    <w:rPr>
                      <w:rFonts w:ascii="宋体" w:hAnsi="宋体" w:cs="宋体"/>
                      <w:szCs w:val="21"/>
                    </w:rPr>
                  </w:pPr>
                  <w:r>
                    <w:rPr>
                      <w:rFonts w:hint="eastAsia" w:ascii="宋体" w:hAnsi="宋体" w:cs="宋体"/>
                      <w:szCs w:val="21"/>
                    </w:rPr>
                    <w:t>0.133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ascii="宋体" w:hAnsi="宋体" w:cs="宋体"/>
                      <w:szCs w:val="21"/>
                    </w:rPr>
                    <w:t>甲苯</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ascii="宋体" w:hAnsi="宋体" w:cs="宋体"/>
                      <w:szCs w:val="21"/>
                    </w:rPr>
                    <w:t>二甲苯</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sz w:val="24"/>
                      <w:szCs w:val="24"/>
                    </w:rPr>
                    <w:t>VOCs</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0.169</w:t>
                  </w:r>
                </w:p>
              </w:tc>
              <w:tc>
                <w:tcPr>
                  <w:tcW w:w="642"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0.137</w:t>
                  </w:r>
                </w:p>
              </w:tc>
              <w:tc>
                <w:tcPr>
                  <w:tcW w:w="738"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0.232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0.316</w:t>
                  </w:r>
                </w:p>
              </w:tc>
              <w:tc>
                <w:tcPr>
                  <w:tcW w:w="642"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0.287</w:t>
                  </w:r>
                </w:p>
              </w:tc>
              <w:tc>
                <w:tcPr>
                  <w:tcW w:w="738"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0.276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1015" w:type="pct"/>
                  <w:vMerge w:val="restart"/>
                  <w:vAlign w:val="center"/>
                </w:tcPr>
                <w:p>
                  <w:pPr>
                    <w:jc w:val="center"/>
                    <w:rPr>
                      <w:rFonts w:ascii="宋体" w:hAnsi="宋体" w:cs="宋体"/>
                      <w:szCs w:val="21"/>
                    </w:rPr>
                  </w:pPr>
                  <w:r>
                    <w:rPr>
                      <w:rFonts w:hint="eastAsia" w:ascii="宋体" w:hAnsi="宋体" w:cs="宋体"/>
                      <w:kern w:val="0"/>
                      <w:szCs w:val="21"/>
                    </w:rPr>
                    <w:t>下风向西北侧10米处</w:t>
                  </w:r>
                </w:p>
              </w:tc>
              <w:tc>
                <w:tcPr>
                  <w:tcW w:w="628" w:type="pct"/>
                  <w:vMerge w:val="restart"/>
                  <w:vAlign w:val="center"/>
                </w:tcPr>
                <w:p>
                  <w:pPr>
                    <w:jc w:val="center"/>
                    <w:rPr>
                      <w:rFonts w:ascii="宋体" w:hAnsi="宋体" w:cs="宋体"/>
                      <w:szCs w:val="21"/>
                    </w:rPr>
                  </w:pPr>
                  <w:r>
                    <w:rPr>
                      <w:rFonts w:hint="eastAsia" w:ascii="宋体" w:hAnsi="宋体" w:cs="宋体"/>
                      <w:szCs w:val="21"/>
                    </w:rPr>
                    <w:t>颗粒物</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spacing w:line="276" w:lineRule="auto"/>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0.133</w:t>
                  </w:r>
                </w:p>
              </w:tc>
              <w:tc>
                <w:tcPr>
                  <w:tcW w:w="642" w:type="pct"/>
                  <w:vAlign w:val="center"/>
                </w:tcPr>
                <w:p>
                  <w:pPr>
                    <w:jc w:val="center"/>
                    <w:rPr>
                      <w:rFonts w:ascii="宋体" w:hAnsi="宋体" w:cs="宋体"/>
                      <w:szCs w:val="21"/>
                    </w:rPr>
                  </w:pPr>
                  <w:r>
                    <w:rPr>
                      <w:rFonts w:hint="eastAsia" w:ascii="宋体" w:hAnsi="宋体" w:cs="宋体"/>
                      <w:szCs w:val="21"/>
                    </w:rPr>
                    <w:t>0.117</w:t>
                  </w:r>
                </w:p>
              </w:tc>
              <w:tc>
                <w:tcPr>
                  <w:tcW w:w="738" w:type="pct"/>
                  <w:vAlign w:val="center"/>
                </w:tcPr>
                <w:p>
                  <w:pPr>
                    <w:jc w:val="center"/>
                    <w:rPr>
                      <w:rFonts w:ascii="宋体" w:hAnsi="宋体" w:cs="宋体"/>
                      <w:szCs w:val="21"/>
                    </w:rPr>
                  </w:pPr>
                  <w:r>
                    <w:rPr>
                      <w:rFonts w:hint="eastAsia" w:ascii="宋体" w:hAnsi="宋体" w:cs="宋体"/>
                      <w:szCs w:val="21"/>
                    </w:rPr>
                    <w:t>0.150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0.150</w:t>
                  </w:r>
                </w:p>
              </w:tc>
              <w:tc>
                <w:tcPr>
                  <w:tcW w:w="642" w:type="pct"/>
                  <w:vAlign w:val="center"/>
                </w:tcPr>
                <w:p>
                  <w:pPr>
                    <w:jc w:val="center"/>
                    <w:rPr>
                      <w:rFonts w:ascii="宋体" w:hAnsi="宋体" w:cs="宋体"/>
                      <w:szCs w:val="21"/>
                    </w:rPr>
                  </w:pPr>
                  <w:r>
                    <w:rPr>
                      <w:rFonts w:hint="eastAsia" w:ascii="宋体" w:hAnsi="宋体" w:cs="宋体"/>
                      <w:szCs w:val="21"/>
                    </w:rPr>
                    <w:t>0.100</w:t>
                  </w:r>
                </w:p>
              </w:tc>
              <w:tc>
                <w:tcPr>
                  <w:tcW w:w="738" w:type="pct"/>
                  <w:vAlign w:val="center"/>
                </w:tcPr>
                <w:p>
                  <w:pPr>
                    <w:jc w:val="center"/>
                    <w:rPr>
                      <w:rFonts w:ascii="宋体" w:hAnsi="宋体" w:cs="宋体"/>
                      <w:szCs w:val="21"/>
                    </w:rPr>
                  </w:pPr>
                  <w:r>
                    <w:rPr>
                      <w:rFonts w:hint="eastAsia" w:ascii="宋体" w:hAnsi="宋体" w:cs="宋体"/>
                      <w:szCs w:val="21"/>
                    </w:rPr>
                    <w:t>0.150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ascii="宋体" w:hAnsi="宋体" w:cs="宋体"/>
                      <w:szCs w:val="21"/>
                    </w:rPr>
                    <w:t>甲苯</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ascii="宋体" w:hAnsi="宋体" w:cs="宋体"/>
                      <w:szCs w:val="21"/>
                    </w:rPr>
                    <w:t>二甲苯</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jc w:val="center"/>
                    <w:rPr>
                      <w:rFonts w:ascii="宋体" w:hAnsi="宋体" w:cs="宋体"/>
                      <w:szCs w:val="21"/>
                    </w:rPr>
                  </w:pPr>
                  <w:r>
                    <w:rPr>
                      <w:rFonts w:hint="eastAsia" w:ascii="宋体" w:hAnsi="宋体" w:cs="宋体"/>
                      <w:szCs w:val="21"/>
                    </w:rPr>
                    <w:t>ND</w:t>
                  </w:r>
                </w:p>
              </w:tc>
              <w:tc>
                <w:tcPr>
                  <w:tcW w:w="642" w:type="pct"/>
                  <w:vAlign w:val="center"/>
                </w:tcPr>
                <w:p>
                  <w:pPr>
                    <w:jc w:val="center"/>
                    <w:rPr>
                      <w:rFonts w:ascii="宋体" w:hAnsi="宋体" w:cs="宋体"/>
                      <w:szCs w:val="21"/>
                    </w:rPr>
                  </w:pPr>
                  <w:r>
                    <w:rPr>
                      <w:rFonts w:hint="eastAsia" w:ascii="宋体" w:hAnsi="宋体" w:cs="宋体"/>
                      <w:szCs w:val="21"/>
                    </w:rPr>
                    <w:t>ND</w:t>
                  </w:r>
                </w:p>
              </w:tc>
              <w:tc>
                <w:tcPr>
                  <w:tcW w:w="738" w:type="pct"/>
                  <w:vAlign w:val="center"/>
                </w:tcPr>
                <w:p>
                  <w:pPr>
                    <w:jc w:val="center"/>
                    <w:rPr>
                      <w:rFonts w:ascii="宋体" w:hAnsi="宋体" w:cs="宋体"/>
                      <w:szCs w:val="21"/>
                    </w:rPr>
                  </w:pPr>
                  <w:r>
                    <w:rPr>
                      <w:rFonts w:hint="eastAsia" w:ascii="宋体" w:hAnsi="宋体" w:cs="宋体"/>
                      <w:szCs w:val="21"/>
                    </w:rPr>
                    <w:t>ND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15" w:type="pct"/>
                  <w:vMerge w:val="continue"/>
                  <w:vAlign w:val="center"/>
                </w:tcPr>
                <w:p>
                  <w:pPr>
                    <w:jc w:val="center"/>
                    <w:rPr>
                      <w:rFonts w:ascii="宋体" w:hAnsi="宋体" w:cs="宋体"/>
                      <w:szCs w:val="21"/>
                    </w:rPr>
                  </w:pPr>
                </w:p>
              </w:tc>
              <w:tc>
                <w:tcPr>
                  <w:tcW w:w="628" w:type="pct"/>
                  <w:vMerge w:val="restart"/>
                  <w:vAlign w:val="center"/>
                </w:tcPr>
                <w:p>
                  <w:pPr>
                    <w:jc w:val="center"/>
                    <w:rPr>
                      <w:rFonts w:ascii="宋体" w:hAnsi="宋体" w:cs="宋体"/>
                      <w:szCs w:val="21"/>
                    </w:rPr>
                  </w:pPr>
                  <w:r>
                    <w:rPr>
                      <w:rFonts w:hint="eastAsia"/>
                      <w:sz w:val="24"/>
                      <w:szCs w:val="24"/>
                    </w:rPr>
                    <w:t>VOCs</w:t>
                  </w:r>
                </w:p>
              </w:tc>
              <w:tc>
                <w:tcPr>
                  <w:tcW w:w="763" w:type="pct"/>
                  <w:vAlign w:val="center"/>
                </w:tcPr>
                <w:p>
                  <w:pPr>
                    <w:jc w:val="center"/>
                    <w:rPr>
                      <w:rFonts w:ascii="宋体" w:hAnsi="宋体" w:cs="宋体"/>
                      <w:szCs w:val="21"/>
                    </w:rPr>
                  </w:pPr>
                  <w:r>
                    <w:rPr>
                      <w:rFonts w:hint="eastAsia" w:ascii="宋体" w:hAnsi="宋体" w:cs="宋体"/>
                      <w:szCs w:val="21"/>
                    </w:rPr>
                    <w:t>2020/11/12</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0.135</w:t>
                  </w:r>
                </w:p>
              </w:tc>
              <w:tc>
                <w:tcPr>
                  <w:tcW w:w="642"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0.105</w:t>
                  </w:r>
                </w:p>
              </w:tc>
              <w:tc>
                <w:tcPr>
                  <w:tcW w:w="738"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0.108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15" w:type="pct"/>
                  <w:vMerge w:val="continue"/>
                  <w:vAlign w:val="center"/>
                </w:tcPr>
                <w:p>
                  <w:pPr>
                    <w:jc w:val="center"/>
                    <w:rPr>
                      <w:rFonts w:ascii="宋体" w:hAnsi="宋体" w:cs="宋体"/>
                      <w:szCs w:val="21"/>
                    </w:rPr>
                  </w:pPr>
                </w:p>
              </w:tc>
              <w:tc>
                <w:tcPr>
                  <w:tcW w:w="628" w:type="pct"/>
                  <w:vMerge w:val="continue"/>
                  <w:vAlign w:val="center"/>
                </w:tcPr>
                <w:p>
                  <w:pPr>
                    <w:jc w:val="center"/>
                    <w:rPr>
                      <w:rFonts w:ascii="宋体" w:hAnsi="宋体" w:cs="宋体"/>
                      <w:szCs w:val="21"/>
                    </w:rPr>
                  </w:pPr>
                </w:p>
              </w:tc>
              <w:tc>
                <w:tcPr>
                  <w:tcW w:w="763" w:type="pct"/>
                  <w:vAlign w:val="center"/>
                </w:tcPr>
                <w:p>
                  <w:pPr>
                    <w:jc w:val="center"/>
                    <w:rPr>
                      <w:rFonts w:ascii="宋体" w:hAnsi="宋体" w:cs="宋体"/>
                      <w:szCs w:val="21"/>
                    </w:rPr>
                  </w:pPr>
                  <w:r>
                    <w:rPr>
                      <w:rFonts w:hint="eastAsia" w:ascii="宋体" w:hAnsi="宋体" w:cs="宋体"/>
                      <w:szCs w:val="21"/>
                    </w:rPr>
                    <w:t>2020/11/13</w:t>
                  </w:r>
                </w:p>
              </w:tc>
              <w:tc>
                <w:tcPr>
                  <w:tcW w:w="595" w:type="pct"/>
                  <w:vAlign w:val="center"/>
                </w:tcPr>
                <w:p>
                  <w:pPr>
                    <w:jc w:val="center"/>
                    <w:rPr>
                      <w:rFonts w:ascii="宋体" w:hAnsi="宋体" w:cs="宋体"/>
                      <w:szCs w:val="21"/>
                    </w:rPr>
                  </w:pPr>
                  <w:r>
                    <w:rPr>
                      <w:rFonts w:hint="eastAsia" w:ascii="宋体" w:hAnsi="宋体" w:cs="宋体"/>
                      <w:kern w:val="0"/>
                      <w:szCs w:val="21"/>
                    </w:rPr>
                    <w:t>mg/m</w:t>
                  </w:r>
                  <w:r>
                    <w:rPr>
                      <w:rFonts w:hint="eastAsia" w:ascii="宋体" w:hAnsi="宋体" w:cs="宋体"/>
                      <w:kern w:val="0"/>
                      <w:szCs w:val="21"/>
                      <w:vertAlign w:val="superscript"/>
                    </w:rPr>
                    <w:t>3</w:t>
                  </w:r>
                </w:p>
              </w:tc>
              <w:tc>
                <w:tcPr>
                  <w:tcW w:w="617"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0.239</w:t>
                  </w:r>
                </w:p>
              </w:tc>
              <w:tc>
                <w:tcPr>
                  <w:tcW w:w="642"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0.220</w:t>
                  </w:r>
                </w:p>
              </w:tc>
              <w:tc>
                <w:tcPr>
                  <w:tcW w:w="738" w:type="pct"/>
                  <w:vAlign w:val="center"/>
                </w:tcPr>
                <w:p>
                  <w:pPr>
                    <w:pStyle w:val="26"/>
                    <w:jc w:val="center"/>
                    <w:rPr>
                      <w:rFonts w:ascii="宋体" w:hAnsi="宋体" w:eastAsia="宋体" w:cs="宋体"/>
                      <w:sz w:val="21"/>
                      <w:szCs w:val="21"/>
                    </w:rPr>
                  </w:pPr>
                  <w:r>
                    <w:rPr>
                      <w:rFonts w:hint="eastAsia" w:ascii="宋体" w:hAnsi="宋体" w:eastAsia="宋体" w:cs="宋体"/>
                      <w:sz w:val="21"/>
                      <w:szCs w:val="21"/>
                    </w:rPr>
                    <w:t>0.152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5000" w:type="pct"/>
                  <w:gridSpan w:val="7"/>
                  <w:vAlign w:val="center"/>
                </w:tcPr>
                <w:p>
                  <w:pPr>
                    <w:pStyle w:val="26"/>
                    <w:rPr>
                      <w:rFonts w:ascii="宋体" w:hAnsi="宋体" w:eastAsia="宋体" w:cs="宋体"/>
                      <w:sz w:val="21"/>
                      <w:szCs w:val="21"/>
                    </w:rPr>
                  </w:pPr>
                  <w:r>
                    <w:rPr>
                      <w:rFonts w:hint="eastAsia" w:ascii="宋体" w:hAnsi="宋体" w:eastAsia="宋体" w:cs="宋体"/>
                      <w:sz w:val="21"/>
                      <w:szCs w:val="21"/>
                    </w:rPr>
                    <w:t>备注：1.ND表示结果低于方法检出限</w:t>
                  </w:r>
                </w:p>
                <w:p>
                  <w:pPr>
                    <w:pStyle w:val="26"/>
                    <w:ind w:firstLine="630" w:firstLineChars="300"/>
                    <w:rPr>
                      <w:rFonts w:ascii="宋体" w:hAnsi="宋体" w:eastAsia="宋体" w:cs="宋体"/>
                      <w:sz w:val="21"/>
                      <w:szCs w:val="21"/>
                    </w:rPr>
                  </w:pPr>
                  <w:r>
                    <w:rPr>
                      <w:rFonts w:hint="eastAsia" w:ascii="宋体" w:hAnsi="宋体" w:eastAsia="宋体" w:cs="宋体"/>
                      <w:sz w:val="21"/>
                      <w:szCs w:val="21"/>
                    </w:rPr>
                    <w:t>2.该检测结果仅对本次采样样品负责。</w:t>
                  </w:r>
                </w:p>
              </w:tc>
            </w:tr>
          </w:tbl>
          <w:p>
            <w:pPr>
              <w:spacing w:line="360" w:lineRule="auto"/>
              <w:ind w:firstLine="480" w:firstLineChars="200"/>
              <w:rPr>
                <w:sz w:val="24"/>
                <w:szCs w:val="24"/>
              </w:rPr>
            </w:pPr>
            <w:r>
              <w:rPr>
                <w:sz w:val="24"/>
                <w:szCs w:val="24"/>
              </w:rPr>
              <w:t>根据表1-</w:t>
            </w:r>
            <w:r>
              <w:rPr>
                <w:rFonts w:hint="eastAsia"/>
                <w:sz w:val="24"/>
                <w:szCs w:val="24"/>
                <w:lang w:val="en-US" w:eastAsia="zh-CN"/>
              </w:rPr>
              <w:t>7</w:t>
            </w:r>
            <w:r>
              <w:rPr>
                <w:sz w:val="24"/>
                <w:szCs w:val="24"/>
              </w:rPr>
              <w:t>可知，项目厂界下风向颗粒物</w:t>
            </w:r>
            <w:r>
              <w:rPr>
                <w:rFonts w:hint="eastAsia"/>
                <w:sz w:val="24"/>
                <w:szCs w:val="24"/>
              </w:rPr>
              <w:t>最大</w:t>
            </w:r>
            <w:r>
              <w:rPr>
                <w:sz w:val="24"/>
                <w:szCs w:val="24"/>
              </w:rPr>
              <w:t>浓度为</w:t>
            </w:r>
            <w:r>
              <w:rPr>
                <w:rFonts w:hint="eastAsia"/>
                <w:sz w:val="24"/>
                <w:szCs w:val="24"/>
              </w:rPr>
              <w:t>0.167</w:t>
            </w:r>
            <w:r>
              <w:rPr>
                <w:sz w:val="24"/>
                <w:szCs w:val="24"/>
              </w:rPr>
              <w:t>mg/m</w:t>
            </w:r>
            <w:r>
              <w:rPr>
                <w:sz w:val="24"/>
                <w:szCs w:val="24"/>
                <w:vertAlign w:val="superscript"/>
              </w:rPr>
              <w:t>3</w:t>
            </w:r>
            <w:r>
              <w:rPr>
                <w:rFonts w:hint="eastAsia"/>
                <w:sz w:val="24"/>
                <w:szCs w:val="24"/>
              </w:rPr>
              <w:t>，能够满足</w:t>
            </w:r>
            <w:r>
              <w:rPr>
                <w:sz w:val="24"/>
                <w:szCs w:val="24"/>
              </w:rPr>
              <w:t>《大气污染物综合排放标准》（GB8978-1996）无组织排放监控浓度限值1.0mg/m</w:t>
            </w:r>
            <w:r>
              <w:rPr>
                <w:sz w:val="24"/>
                <w:szCs w:val="24"/>
                <w:vertAlign w:val="superscript"/>
              </w:rPr>
              <w:t>3</w:t>
            </w:r>
            <w:r>
              <w:rPr>
                <w:sz w:val="24"/>
                <w:szCs w:val="24"/>
              </w:rPr>
              <w:t>要求</w:t>
            </w:r>
            <w:r>
              <w:rPr>
                <w:rFonts w:hint="eastAsia"/>
                <w:sz w:val="24"/>
                <w:szCs w:val="24"/>
              </w:rPr>
              <w:t>，甲苯、二甲苯和挥发性有机物最大浓度分别为ND（低于检出限）、ND（低于检出限）、0.239</w:t>
            </w:r>
            <w:r>
              <w:rPr>
                <w:sz w:val="24"/>
                <w:szCs w:val="24"/>
              </w:rPr>
              <w:t>mg/m</w:t>
            </w:r>
            <w:r>
              <w:rPr>
                <w:sz w:val="24"/>
                <w:szCs w:val="24"/>
                <w:vertAlign w:val="superscript"/>
              </w:rPr>
              <w:t>3</w:t>
            </w:r>
            <w:r>
              <w:rPr>
                <w:rFonts w:hint="eastAsia"/>
                <w:sz w:val="24"/>
                <w:szCs w:val="24"/>
              </w:rPr>
              <w:t>，</w:t>
            </w:r>
            <w:r>
              <w:rPr>
                <w:rFonts w:hint="eastAsia"/>
                <w:snapToGrid w:val="0"/>
                <w:kern w:val="0"/>
                <w:sz w:val="24"/>
              </w:rPr>
              <w:t>甲苯、二甲苯</w:t>
            </w:r>
            <w:r>
              <w:rPr>
                <w:rFonts w:hint="eastAsia"/>
                <w:sz w:val="24"/>
                <w:szCs w:val="24"/>
              </w:rPr>
              <w:t>能够满足</w:t>
            </w:r>
            <w:r>
              <w:rPr>
                <w:sz w:val="24"/>
                <w:szCs w:val="24"/>
              </w:rPr>
              <w:t>《</w:t>
            </w:r>
            <w:r>
              <w:rPr>
                <w:rFonts w:hint="eastAsia"/>
                <w:sz w:val="24"/>
                <w:szCs w:val="24"/>
              </w:rPr>
              <w:t>表面涂装（汽车制造及维修）挥发性有机物、镍排放标准</w:t>
            </w:r>
            <w:r>
              <w:rPr>
                <w:sz w:val="24"/>
                <w:szCs w:val="24"/>
              </w:rPr>
              <w:t>》</w:t>
            </w:r>
            <w:r>
              <w:rPr>
                <w:rFonts w:hint="eastAsia"/>
                <w:sz w:val="24"/>
                <w:szCs w:val="24"/>
              </w:rPr>
              <w:t>（D</w:t>
            </w:r>
            <w:r>
              <w:rPr>
                <w:sz w:val="24"/>
                <w:szCs w:val="24"/>
              </w:rPr>
              <w:t>B</w:t>
            </w:r>
            <w:r>
              <w:rPr>
                <w:rFonts w:hint="eastAsia"/>
                <w:sz w:val="24"/>
                <w:szCs w:val="24"/>
              </w:rPr>
              <w:t>43/1356</w:t>
            </w:r>
            <w:r>
              <w:rPr>
                <w:sz w:val="24"/>
                <w:szCs w:val="24"/>
              </w:rPr>
              <w:t>-</w:t>
            </w:r>
            <w:r>
              <w:rPr>
                <w:rFonts w:hint="eastAsia"/>
                <w:sz w:val="24"/>
                <w:szCs w:val="24"/>
              </w:rPr>
              <w:t>2017）表3标准要求，VOCs</w:t>
            </w:r>
            <w:r>
              <w:rPr>
                <w:rFonts w:hint="eastAsia"/>
                <w:sz w:val="24"/>
                <w:szCs w:val="24"/>
                <w:lang w:val="en-US" w:eastAsia="zh-CN"/>
              </w:rPr>
              <w:t>厂界外</w:t>
            </w:r>
            <w:r>
              <w:rPr>
                <w:rFonts w:hint="eastAsia"/>
                <w:sz w:val="24"/>
                <w:szCs w:val="24"/>
              </w:rPr>
              <w:t>满足</w:t>
            </w:r>
            <w:r>
              <w:rPr>
                <w:sz w:val="24"/>
                <w:szCs w:val="24"/>
              </w:rPr>
              <w:t>天津市《工业企业挥发性有机物排放控制标准》（DB12/524-20</w:t>
            </w:r>
            <w:r>
              <w:rPr>
                <w:rFonts w:hint="eastAsia"/>
                <w:sz w:val="24"/>
                <w:szCs w:val="24"/>
              </w:rPr>
              <w:t>20</w:t>
            </w:r>
            <w:r>
              <w:rPr>
                <w:sz w:val="24"/>
                <w:szCs w:val="24"/>
              </w:rPr>
              <w:t>）表</w:t>
            </w:r>
            <w:r>
              <w:rPr>
                <w:rFonts w:hint="eastAsia"/>
                <w:sz w:val="24"/>
                <w:szCs w:val="24"/>
              </w:rPr>
              <w:t>2</w:t>
            </w:r>
            <w:r>
              <w:rPr>
                <w:sz w:val="24"/>
                <w:szCs w:val="24"/>
              </w:rPr>
              <w:t>挥发性有机物无组织排放限值</w:t>
            </w:r>
            <w:r>
              <w:rPr>
                <w:rFonts w:hint="eastAsia"/>
                <w:sz w:val="24"/>
                <w:szCs w:val="24"/>
                <w:lang w:eastAsia="zh-CN"/>
              </w:rPr>
              <w:t>，</w:t>
            </w:r>
            <w:r>
              <w:rPr>
                <w:rFonts w:hint="eastAsia"/>
                <w:sz w:val="24"/>
                <w:szCs w:val="24"/>
              </w:rPr>
              <w:t>VOCs</w:t>
            </w:r>
            <w:r>
              <w:rPr>
                <w:rFonts w:hint="eastAsia"/>
                <w:sz w:val="24"/>
                <w:szCs w:val="24"/>
                <w:lang w:val="en-US" w:eastAsia="zh-CN"/>
              </w:rPr>
              <w:t>厂界内</w:t>
            </w:r>
            <w:r>
              <w:rPr>
                <w:rFonts w:hint="eastAsia"/>
                <w:sz w:val="24"/>
                <w:szCs w:val="24"/>
              </w:rPr>
              <w:t>满足</w:t>
            </w:r>
            <w:r>
              <w:rPr>
                <w:sz w:val="24"/>
                <w:szCs w:val="24"/>
              </w:rPr>
              <w:t>天津市《工业企业挥发性有机物排放控制标准》（DB12/524-20</w:t>
            </w:r>
            <w:r>
              <w:rPr>
                <w:rFonts w:hint="eastAsia"/>
                <w:sz w:val="24"/>
                <w:szCs w:val="24"/>
              </w:rPr>
              <w:t>20</w:t>
            </w:r>
            <w:r>
              <w:rPr>
                <w:sz w:val="24"/>
                <w:szCs w:val="24"/>
              </w:rPr>
              <w:t>）表</w:t>
            </w:r>
            <w:r>
              <w:rPr>
                <w:rFonts w:hint="eastAsia"/>
                <w:sz w:val="24"/>
                <w:szCs w:val="24"/>
              </w:rPr>
              <w:t>2</w:t>
            </w:r>
            <w:r>
              <w:rPr>
                <w:sz w:val="24"/>
                <w:szCs w:val="24"/>
              </w:rPr>
              <w:t>挥发性有机物无组织排放限值</w:t>
            </w:r>
            <w:r>
              <w:rPr>
                <w:rFonts w:hint="eastAsia"/>
                <w:sz w:val="24"/>
                <w:szCs w:val="24"/>
              </w:rPr>
              <w:t>。</w:t>
            </w:r>
          </w:p>
          <w:p>
            <w:pPr>
              <w:spacing w:line="360" w:lineRule="auto"/>
              <w:ind w:firstLine="482" w:firstLineChars="200"/>
              <w:rPr>
                <w:b/>
                <w:sz w:val="24"/>
              </w:rPr>
            </w:pPr>
            <w:r>
              <w:rPr>
                <w:rFonts w:hint="eastAsia"/>
                <w:b/>
                <w:sz w:val="24"/>
              </w:rPr>
              <w:t>3、噪声污染及现有的环保措施</w:t>
            </w:r>
          </w:p>
          <w:p>
            <w:pPr>
              <w:spacing w:line="360" w:lineRule="auto"/>
              <w:ind w:firstLine="480" w:firstLineChars="200"/>
              <w:rPr>
                <w:sz w:val="24"/>
              </w:rPr>
            </w:pPr>
            <w:r>
              <w:rPr>
                <w:rFonts w:hint="eastAsia"/>
                <w:sz w:val="24"/>
              </w:rPr>
              <w:t>根据现场踏勘，</w:t>
            </w:r>
            <w:r>
              <w:rPr>
                <w:rFonts w:hint="eastAsia"/>
                <w:bCs/>
                <w:sz w:val="24"/>
              </w:rPr>
              <w:t>项目噪声源主要各类维修设备运行噪声，噪声级约为75~85dB(A) ，另外汽车进出产生交通噪声、项目在营业运行过程中产生的社会噪声等，噪声级在60-75dB(A) 。</w:t>
            </w:r>
            <w:r>
              <w:rPr>
                <w:spacing w:val="10"/>
                <w:kern w:val="24"/>
                <w:sz w:val="24"/>
              </w:rPr>
              <w:t>由于产生噪声设备</w:t>
            </w:r>
            <w:r>
              <w:rPr>
                <w:rFonts w:hint="eastAsia"/>
                <w:spacing w:val="10"/>
                <w:kern w:val="24"/>
                <w:sz w:val="24"/>
              </w:rPr>
              <w:t>不多</w:t>
            </w:r>
            <w:r>
              <w:rPr>
                <w:spacing w:val="10"/>
                <w:kern w:val="24"/>
                <w:sz w:val="24"/>
              </w:rPr>
              <w:t>、</w:t>
            </w:r>
            <w:r>
              <w:rPr>
                <w:rFonts w:hint="eastAsia"/>
                <w:spacing w:val="10"/>
                <w:kern w:val="24"/>
                <w:sz w:val="24"/>
              </w:rPr>
              <w:t>高噪声</w:t>
            </w:r>
            <w:r>
              <w:rPr>
                <w:spacing w:val="10"/>
                <w:kern w:val="24"/>
                <w:sz w:val="24"/>
              </w:rPr>
              <w:t>噪声</w:t>
            </w:r>
            <w:r>
              <w:rPr>
                <w:rFonts w:hint="eastAsia"/>
                <w:spacing w:val="10"/>
                <w:kern w:val="24"/>
                <w:sz w:val="24"/>
              </w:rPr>
              <w:t>设备</w:t>
            </w:r>
            <w:r>
              <w:rPr>
                <w:spacing w:val="10"/>
                <w:kern w:val="24"/>
                <w:sz w:val="24"/>
              </w:rPr>
              <w:t>较</w:t>
            </w:r>
            <w:r>
              <w:rPr>
                <w:rFonts w:hint="eastAsia"/>
                <w:spacing w:val="10"/>
                <w:kern w:val="24"/>
                <w:sz w:val="24"/>
              </w:rPr>
              <w:t>少</w:t>
            </w:r>
            <w:r>
              <w:rPr>
                <w:spacing w:val="10"/>
                <w:kern w:val="24"/>
                <w:sz w:val="24"/>
              </w:rPr>
              <w:t>、</w:t>
            </w:r>
            <w:r>
              <w:rPr>
                <w:rFonts w:hint="eastAsia"/>
                <w:spacing w:val="10"/>
                <w:kern w:val="24"/>
                <w:sz w:val="24"/>
              </w:rPr>
              <w:t>且项目</w:t>
            </w:r>
            <w:r>
              <w:rPr>
                <w:spacing w:val="10"/>
                <w:kern w:val="24"/>
                <w:sz w:val="24"/>
              </w:rPr>
              <w:t>仅白天工作，经自然距离衰减后，不会对区域声环境产生较大影响。</w:t>
            </w:r>
            <w:r>
              <w:rPr>
                <w:rFonts w:hint="eastAsia"/>
                <w:sz w:val="24"/>
              </w:rPr>
              <w:t>根据</w:t>
            </w:r>
            <w:r>
              <w:rPr>
                <w:rFonts w:hint="eastAsia" w:hAnsi="宋体"/>
                <w:sz w:val="24"/>
              </w:rPr>
              <w:t>湖南博测检测技术有限公司</w:t>
            </w:r>
            <w:r>
              <w:rPr>
                <w:sz w:val="24"/>
              </w:rPr>
              <w:t>20</w:t>
            </w:r>
            <w:r>
              <w:rPr>
                <w:rFonts w:hint="eastAsia"/>
                <w:sz w:val="24"/>
              </w:rPr>
              <w:t>20</w:t>
            </w:r>
            <w:r>
              <w:rPr>
                <w:sz w:val="24"/>
              </w:rPr>
              <w:t>年</w:t>
            </w:r>
            <w:r>
              <w:rPr>
                <w:rFonts w:hint="eastAsia"/>
                <w:sz w:val="24"/>
              </w:rPr>
              <w:t>11</w:t>
            </w:r>
            <w:r>
              <w:rPr>
                <w:sz w:val="24"/>
              </w:rPr>
              <w:t>月</w:t>
            </w:r>
            <w:r>
              <w:rPr>
                <w:rFonts w:hint="eastAsia"/>
                <w:sz w:val="24"/>
              </w:rPr>
              <w:t>12~13</w:t>
            </w:r>
            <w:r>
              <w:rPr>
                <w:sz w:val="24"/>
              </w:rPr>
              <w:t>日对项目正常生产情况下厂界四周的噪声现状监测结果可知，</w:t>
            </w:r>
            <w:r>
              <w:rPr>
                <w:rFonts w:hint="eastAsia"/>
                <w:sz w:val="24"/>
              </w:rPr>
              <w:t>监测结果见下表。</w:t>
            </w:r>
          </w:p>
          <w:p>
            <w:pPr>
              <w:pStyle w:val="26"/>
              <w:jc w:val="center"/>
              <w:rPr>
                <w:b/>
                <w:bCs/>
                <w:sz w:val="21"/>
                <w:szCs w:val="21"/>
              </w:rPr>
            </w:pPr>
            <w:r>
              <w:rPr>
                <w:rFonts w:hint="eastAsia"/>
                <w:b/>
                <w:bCs/>
                <w:sz w:val="21"/>
                <w:szCs w:val="21"/>
              </w:rPr>
              <w:t>表1-</w:t>
            </w:r>
            <w:r>
              <w:rPr>
                <w:rFonts w:hint="eastAsia"/>
                <w:b/>
                <w:bCs/>
                <w:sz w:val="21"/>
                <w:szCs w:val="21"/>
                <w:lang w:val="en-US" w:eastAsia="zh-CN"/>
              </w:rPr>
              <w:t>8</w:t>
            </w:r>
            <w:r>
              <w:rPr>
                <w:rFonts w:hint="eastAsia"/>
                <w:b/>
                <w:bCs/>
                <w:sz w:val="21"/>
                <w:szCs w:val="21"/>
              </w:rPr>
              <w:t xml:space="preserve"> 厂界声环境监测结果</w:t>
            </w:r>
          </w:p>
          <w:tbl>
            <w:tblPr>
              <w:tblStyle w:val="20"/>
              <w:tblW w:w="0" w:type="auto"/>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530"/>
              <w:gridCol w:w="1621"/>
              <w:gridCol w:w="992"/>
              <w:gridCol w:w="1701"/>
              <w:gridCol w:w="155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279" w:type="dxa"/>
                  <w:vMerge w:val="restart"/>
                  <w:vAlign w:val="center"/>
                </w:tcPr>
                <w:p>
                  <w:pPr>
                    <w:jc w:val="center"/>
                    <w:rPr>
                      <w:szCs w:val="21"/>
                    </w:rPr>
                  </w:pPr>
                  <w:r>
                    <w:rPr>
                      <w:rFonts w:hint="eastAsia"/>
                      <w:szCs w:val="21"/>
                    </w:rPr>
                    <w:t>采样位置</w:t>
                  </w:r>
                </w:p>
              </w:tc>
              <w:tc>
                <w:tcPr>
                  <w:tcW w:w="1530" w:type="dxa"/>
                  <w:vMerge w:val="restart"/>
                  <w:vAlign w:val="center"/>
                </w:tcPr>
                <w:p>
                  <w:pPr>
                    <w:jc w:val="center"/>
                    <w:rPr>
                      <w:szCs w:val="21"/>
                    </w:rPr>
                  </w:pPr>
                  <w:r>
                    <w:rPr>
                      <w:szCs w:val="21"/>
                    </w:rPr>
                    <w:t>检测项目</w:t>
                  </w:r>
                </w:p>
              </w:tc>
              <w:tc>
                <w:tcPr>
                  <w:tcW w:w="1621" w:type="dxa"/>
                  <w:vMerge w:val="restart"/>
                  <w:vAlign w:val="center"/>
                </w:tcPr>
                <w:p>
                  <w:pPr>
                    <w:jc w:val="center"/>
                    <w:rPr>
                      <w:szCs w:val="21"/>
                    </w:rPr>
                  </w:pPr>
                  <w:r>
                    <w:rPr>
                      <w:rFonts w:hint="eastAsia"/>
                      <w:szCs w:val="21"/>
                    </w:rPr>
                    <w:t>采样时间</w:t>
                  </w:r>
                </w:p>
              </w:tc>
              <w:tc>
                <w:tcPr>
                  <w:tcW w:w="992" w:type="dxa"/>
                  <w:vMerge w:val="restart"/>
                  <w:vAlign w:val="center"/>
                </w:tcPr>
                <w:p>
                  <w:pPr>
                    <w:jc w:val="center"/>
                    <w:rPr>
                      <w:szCs w:val="21"/>
                    </w:rPr>
                  </w:pPr>
                  <w:r>
                    <w:rPr>
                      <w:szCs w:val="21"/>
                    </w:rPr>
                    <w:t>单位</w:t>
                  </w:r>
                </w:p>
              </w:tc>
              <w:tc>
                <w:tcPr>
                  <w:tcW w:w="3260" w:type="dxa"/>
                  <w:gridSpan w:val="2"/>
                  <w:vAlign w:val="center"/>
                </w:tcPr>
                <w:p>
                  <w:pPr>
                    <w:jc w:val="center"/>
                    <w:rPr>
                      <w:szCs w:val="21"/>
                    </w:rPr>
                  </w:pPr>
                </w:p>
                <w:p>
                  <w:pPr>
                    <w:jc w:val="center"/>
                    <w:rPr>
                      <w:szCs w:val="21"/>
                    </w:rPr>
                  </w:pPr>
                  <w:r>
                    <w:rPr>
                      <w:szCs w:val="21"/>
                    </w:rPr>
                    <w:t>检测结果</w:t>
                  </w:r>
                </w:p>
                <w:p>
                  <w:pPr>
                    <w:pStyle w:val="2"/>
                    <w:spacing w:after="0"/>
                    <w:rPr>
                      <w:szCs w:val="21"/>
                    </w:rPr>
                  </w:pPr>
                </w:p>
                <w:p>
                  <w:pPr>
                    <w:pStyle w:val="3"/>
                    <w:spacing w:before="0" w:beforeAutospacing="0" w:after="0" w:afterAutospacing="0"/>
                    <w:rPr>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279" w:type="dxa"/>
                  <w:vMerge w:val="continue"/>
                  <w:vAlign w:val="center"/>
                </w:tcPr>
                <w:p>
                  <w:pPr>
                    <w:rPr>
                      <w:szCs w:val="21"/>
                    </w:rPr>
                  </w:pPr>
                </w:p>
              </w:tc>
              <w:tc>
                <w:tcPr>
                  <w:tcW w:w="1530" w:type="dxa"/>
                  <w:vMerge w:val="continue"/>
                  <w:vAlign w:val="center"/>
                </w:tcPr>
                <w:p>
                  <w:pPr>
                    <w:jc w:val="center"/>
                    <w:rPr>
                      <w:szCs w:val="21"/>
                    </w:rPr>
                  </w:pPr>
                </w:p>
              </w:tc>
              <w:tc>
                <w:tcPr>
                  <w:tcW w:w="1621" w:type="dxa"/>
                  <w:vMerge w:val="continue"/>
                  <w:vAlign w:val="center"/>
                </w:tcPr>
                <w:p>
                  <w:pPr>
                    <w:jc w:val="center"/>
                    <w:rPr>
                      <w:szCs w:val="21"/>
                    </w:rPr>
                  </w:pPr>
                </w:p>
              </w:tc>
              <w:tc>
                <w:tcPr>
                  <w:tcW w:w="992" w:type="dxa"/>
                  <w:vMerge w:val="continue"/>
                  <w:vAlign w:val="center"/>
                </w:tcPr>
                <w:p>
                  <w:pPr>
                    <w:jc w:val="center"/>
                    <w:rPr>
                      <w:szCs w:val="21"/>
                    </w:rPr>
                  </w:pPr>
                </w:p>
              </w:tc>
              <w:tc>
                <w:tcPr>
                  <w:tcW w:w="1701" w:type="dxa"/>
                  <w:vAlign w:val="center"/>
                </w:tcPr>
                <w:p>
                  <w:pPr>
                    <w:jc w:val="center"/>
                    <w:rPr>
                      <w:szCs w:val="21"/>
                    </w:rPr>
                  </w:pPr>
                  <w:r>
                    <w:rPr>
                      <w:rFonts w:hint="eastAsia"/>
                      <w:szCs w:val="21"/>
                    </w:rPr>
                    <w:t>昼间（6:00~22:00）</w:t>
                  </w:r>
                </w:p>
              </w:tc>
              <w:tc>
                <w:tcPr>
                  <w:tcW w:w="1559" w:type="dxa"/>
                  <w:vAlign w:val="center"/>
                </w:tcPr>
                <w:p>
                  <w:pPr>
                    <w:jc w:val="center"/>
                    <w:rPr>
                      <w:szCs w:val="21"/>
                    </w:rPr>
                  </w:pPr>
                  <w:r>
                    <w:rPr>
                      <w:rFonts w:hint="eastAsia"/>
                      <w:szCs w:val="21"/>
                    </w:rPr>
                    <w:t>夜间（22:00~次日6:00）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rPr>
                      <w:szCs w:val="21"/>
                    </w:rPr>
                  </w:pPr>
                  <w:r>
                    <w:rPr>
                      <w:szCs w:val="21"/>
                    </w:rPr>
                    <w:t>N</w:t>
                  </w:r>
                  <w:r>
                    <w:rPr>
                      <w:rFonts w:hint="eastAsia"/>
                      <w:szCs w:val="21"/>
                    </w:rPr>
                    <w:t>1：项目东侧</w:t>
                  </w:r>
                </w:p>
              </w:tc>
              <w:tc>
                <w:tcPr>
                  <w:tcW w:w="1530" w:type="dxa"/>
                  <w:vMerge w:val="restart"/>
                  <w:vAlign w:val="center"/>
                </w:tcPr>
                <w:p>
                  <w:pPr>
                    <w:jc w:val="center"/>
                    <w:rPr>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49</w:t>
                  </w:r>
                </w:p>
              </w:tc>
              <w:tc>
                <w:tcPr>
                  <w:tcW w:w="1559" w:type="dxa"/>
                  <w:vAlign w:val="center"/>
                </w:tcPr>
                <w:p>
                  <w:pPr>
                    <w:jc w:val="center"/>
                    <w:rPr>
                      <w:szCs w:val="21"/>
                    </w:rPr>
                  </w:pPr>
                  <w:r>
                    <w:rPr>
                      <w:rFonts w:hint="eastAsia"/>
                      <w:szCs w:val="21"/>
                    </w:rPr>
                    <w:t>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szCs w:val="21"/>
                    </w:rPr>
                  </w:pPr>
                </w:p>
              </w:tc>
              <w:tc>
                <w:tcPr>
                  <w:tcW w:w="1530" w:type="dxa"/>
                  <w:vMerge w:val="continue"/>
                  <w:vAlign w:val="center"/>
                </w:tcPr>
                <w:p>
                  <w:pPr>
                    <w:jc w:val="center"/>
                    <w:rPr>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53</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jc w:val="center"/>
                    <w:rPr>
                      <w:szCs w:val="21"/>
                    </w:rPr>
                  </w:pPr>
                  <w:r>
                    <w:rPr>
                      <w:szCs w:val="21"/>
                    </w:rPr>
                    <w:t>N</w:t>
                  </w:r>
                  <w:r>
                    <w:rPr>
                      <w:rFonts w:hint="eastAsia"/>
                      <w:szCs w:val="21"/>
                    </w:rPr>
                    <w:t>2：项目南侧</w:t>
                  </w:r>
                </w:p>
              </w:tc>
              <w:tc>
                <w:tcPr>
                  <w:tcW w:w="1530" w:type="dxa"/>
                  <w:vMerge w:val="restart"/>
                  <w:vAlign w:val="center"/>
                </w:tcPr>
                <w:p>
                  <w:pPr>
                    <w:jc w:val="center"/>
                    <w:rPr>
                      <w:kern w:val="0"/>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54</w:t>
                  </w:r>
                </w:p>
              </w:tc>
              <w:tc>
                <w:tcPr>
                  <w:tcW w:w="1559" w:type="dxa"/>
                  <w:vAlign w:val="center"/>
                </w:tcPr>
                <w:p>
                  <w:pPr>
                    <w:jc w:val="center"/>
                    <w:rPr>
                      <w:szCs w:val="21"/>
                    </w:rPr>
                  </w:pPr>
                  <w:r>
                    <w:rPr>
                      <w:rFonts w:hint="eastAsia"/>
                      <w:szCs w:val="21"/>
                    </w:rPr>
                    <w:t>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kern w:val="0"/>
                      <w:szCs w:val="21"/>
                    </w:rPr>
                  </w:pPr>
                </w:p>
              </w:tc>
              <w:tc>
                <w:tcPr>
                  <w:tcW w:w="1530" w:type="dxa"/>
                  <w:vMerge w:val="continue"/>
                  <w:vAlign w:val="center"/>
                </w:tcPr>
                <w:p>
                  <w:pPr>
                    <w:jc w:val="center"/>
                    <w:rPr>
                      <w:rFonts w:ascii="宋体" w:hAnsi="宋体" w:cs="宋体"/>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54</w:t>
                  </w:r>
                </w:p>
              </w:tc>
              <w:tc>
                <w:tcPr>
                  <w:tcW w:w="1559" w:type="dxa"/>
                  <w:vAlign w:val="center"/>
                </w:tcPr>
                <w:p>
                  <w:pPr>
                    <w:jc w:val="center"/>
                    <w:rPr>
                      <w:szCs w:val="21"/>
                    </w:rPr>
                  </w:pPr>
                  <w:r>
                    <w:rPr>
                      <w:rFonts w:hint="eastAsia"/>
                      <w:szCs w:val="21"/>
                    </w:rPr>
                    <w:t>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jc w:val="center"/>
                    <w:rPr>
                      <w:szCs w:val="21"/>
                    </w:rPr>
                  </w:pPr>
                  <w:r>
                    <w:rPr>
                      <w:szCs w:val="21"/>
                    </w:rPr>
                    <w:t>N</w:t>
                  </w:r>
                  <w:r>
                    <w:rPr>
                      <w:rFonts w:hint="eastAsia"/>
                      <w:szCs w:val="21"/>
                    </w:rPr>
                    <w:t>3：项目西侧</w:t>
                  </w:r>
                </w:p>
              </w:tc>
              <w:tc>
                <w:tcPr>
                  <w:tcW w:w="1530" w:type="dxa"/>
                  <w:vMerge w:val="restart"/>
                  <w:vAlign w:val="center"/>
                </w:tcPr>
                <w:p>
                  <w:pPr>
                    <w:jc w:val="center"/>
                    <w:rPr>
                      <w:kern w:val="0"/>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49</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szCs w:val="21"/>
                    </w:rPr>
                  </w:pPr>
                </w:p>
              </w:tc>
              <w:tc>
                <w:tcPr>
                  <w:tcW w:w="1530" w:type="dxa"/>
                  <w:vMerge w:val="continue"/>
                  <w:vAlign w:val="center"/>
                </w:tcPr>
                <w:p>
                  <w:pPr>
                    <w:jc w:val="center"/>
                    <w:rPr>
                      <w:rFonts w:ascii="宋体" w:hAnsi="宋体" w:cs="宋体"/>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56</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jc w:val="center"/>
                    <w:rPr>
                      <w:szCs w:val="21"/>
                    </w:rPr>
                  </w:pPr>
                  <w:r>
                    <w:rPr>
                      <w:szCs w:val="21"/>
                    </w:rPr>
                    <w:t>N</w:t>
                  </w:r>
                  <w:r>
                    <w:rPr>
                      <w:rFonts w:hint="eastAsia"/>
                      <w:szCs w:val="21"/>
                    </w:rPr>
                    <w:t>4：项目北侧</w:t>
                  </w:r>
                </w:p>
              </w:tc>
              <w:tc>
                <w:tcPr>
                  <w:tcW w:w="1530" w:type="dxa"/>
                  <w:vMerge w:val="restart"/>
                  <w:vAlign w:val="center"/>
                </w:tcPr>
                <w:p>
                  <w:pPr>
                    <w:jc w:val="center"/>
                    <w:rPr>
                      <w:rFonts w:ascii="宋体" w:hAnsi="宋体" w:cs="宋体"/>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50</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szCs w:val="21"/>
                    </w:rPr>
                  </w:pPr>
                </w:p>
              </w:tc>
              <w:tc>
                <w:tcPr>
                  <w:tcW w:w="1530" w:type="dxa"/>
                  <w:vMerge w:val="continue"/>
                  <w:vAlign w:val="center"/>
                </w:tcPr>
                <w:p>
                  <w:pPr>
                    <w:jc w:val="center"/>
                    <w:rPr>
                      <w:rFonts w:ascii="宋体" w:hAnsi="宋体" w:cs="宋体"/>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52</w:t>
                  </w:r>
                </w:p>
              </w:tc>
              <w:tc>
                <w:tcPr>
                  <w:tcW w:w="1559" w:type="dxa"/>
                  <w:vAlign w:val="center"/>
                </w:tcPr>
                <w:p>
                  <w:pPr>
                    <w:jc w:val="center"/>
                    <w:rPr>
                      <w:szCs w:val="21"/>
                    </w:rPr>
                  </w:pPr>
                  <w:r>
                    <w:rPr>
                      <w:rFonts w:hint="eastAsia"/>
                      <w:szCs w:val="21"/>
                    </w:rPr>
                    <w:t>44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8682" w:type="dxa"/>
                  <w:gridSpan w:val="6"/>
                  <w:vAlign w:val="center"/>
                </w:tcPr>
                <w:p>
                  <w:pPr>
                    <w:pStyle w:val="2"/>
                    <w:spacing w:after="0"/>
                    <w:rPr>
                      <w:rFonts w:hAnsi="宋体" w:cs="宋体"/>
                      <w:szCs w:val="21"/>
                    </w:rPr>
                  </w:pPr>
                  <w:r>
                    <w:rPr>
                      <w:rFonts w:hint="eastAsia" w:hAnsi="宋体" w:cs="宋体"/>
                      <w:szCs w:val="21"/>
                    </w:rPr>
                    <w:t>备注：该检测结果仅对本次采样样品负责。</w:t>
                  </w:r>
                </w:p>
              </w:tc>
            </w:tr>
          </w:tbl>
          <w:p>
            <w:pPr>
              <w:spacing w:line="360" w:lineRule="auto"/>
              <w:ind w:firstLine="480" w:firstLineChars="200"/>
            </w:pPr>
            <w:r>
              <w:rPr>
                <w:rFonts w:hint="eastAsia"/>
                <w:sz w:val="24"/>
              </w:rPr>
              <w:t>根据上表可知，</w:t>
            </w:r>
            <w:r>
              <w:rPr>
                <w:sz w:val="24"/>
              </w:rPr>
              <w:t>项目厂界北侧噪声值均能达到《工业企业厂界环境噪声排放标准》（GB12348-2008）中</w:t>
            </w:r>
            <w:r>
              <w:rPr>
                <w:rFonts w:hint="eastAsia"/>
                <w:sz w:val="24"/>
              </w:rPr>
              <w:t>4</w:t>
            </w:r>
            <w:r>
              <w:rPr>
                <w:sz w:val="24"/>
              </w:rPr>
              <w:t>类区标准</w:t>
            </w:r>
            <w:r>
              <w:rPr>
                <w:rFonts w:hint="eastAsia"/>
                <w:sz w:val="24"/>
              </w:rPr>
              <w:t>、</w:t>
            </w:r>
            <w:r>
              <w:rPr>
                <w:sz w:val="24"/>
              </w:rPr>
              <w:t>其余各侧能达到</w:t>
            </w:r>
            <w:r>
              <w:rPr>
                <w:rFonts w:hint="eastAsia"/>
                <w:sz w:val="24"/>
              </w:rPr>
              <w:t>2类标准</w:t>
            </w:r>
            <w:r>
              <w:rPr>
                <w:sz w:val="24"/>
              </w:rPr>
              <w:t>要求，对周边环境影响</w:t>
            </w:r>
            <w:r>
              <w:rPr>
                <w:rFonts w:hint="eastAsia"/>
                <w:sz w:val="24"/>
              </w:rPr>
              <w:t>不大</w:t>
            </w:r>
            <w:r>
              <w:rPr>
                <w:sz w:val="24"/>
              </w:rPr>
              <w:t>。</w:t>
            </w:r>
          </w:p>
          <w:p>
            <w:pPr>
              <w:spacing w:line="360" w:lineRule="auto"/>
              <w:ind w:firstLine="482" w:firstLineChars="200"/>
              <w:rPr>
                <w:b/>
                <w:sz w:val="24"/>
              </w:rPr>
            </w:pPr>
            <w:r>
              <w:rPr>
                <w:rFonts w:hint="eastAsia"/>
                <w:b/>
                <w:kern w:val="0"/>
                <w:sz w:val="24"/>
              </w:rPr>
              <w:t>4、</w:t>
            </w:r>
            <w:r>
              <w:rPr>
                <w:rFonts w:hint="eastAsia"/>
                <w:b/>
                <w:sz w:val="24"/>
              </w:rPr>
              <w:t>固体废物污染及现有的环保措施</w:t>
            </w:r>
          </w:p>
          <w:p>
            <w:pPr>
              <w:spacing w:line="360" w:lineRule="auto"/>
              <w:ind w:firstLine="480" w:firstLineChars="200"/>
              <w:rPr>
                <w:sz w:val="24"/>
              </w:rPr>
            </w:pPr>
            <w:r>
              <w:rPr>
                <w:rFonts w:hint="eastAsia"/>
                <w:sz w:val="24"/>
              </w:rPr>
              <w:t>一般固废收集后外售综合利用、危废交有资质的单位处理（协议见附件5）、生活垃圾垃圾桶收集后由环卫部门清运。根据现场踏勘可知目前项目固废存在的问题是一般固废在店内</w:t>
            </w:r>
            <w:r>
              <w:rPr>
                <w:sz w:val="24"/>
              </w:rPr>
              <w:t>，随意堆放</w:t>
            </w:r>
            <w:r>
              <w:rPr>
                <w:rFonts w:hint="eastAsia"/>
                <w:sz w:val="24"/>
              </w:rPr>
              <w:t>，没有按照要求建设专门的暂存场所；危险固废暂存间标识标牌错误，需根据实际危险固废标识标牌。</w:t>
            </w:r>
          </w:p>
          <w:p>
            <w:pPr>
              <w:widowControl/>
              <w:spacing w:line="360" w:lineRule="auto"/>
              <w:rPr>
                <w:b/>
                <w:sz w:val="24"/>
              </w:rPr>
            </w:pPr>
            <w:r>
              <w:rPr>
                <w:rFonts w:hint="eastAsia"/>
                <w:b/>
                <w:sz w:val="24"/>
              </w:rPr>
              <w:t>二</w:t>
            </w:r>
            <w:r>
              <w:rPr>
                <w:b/>
                <w:sz w:val="24"/>
              </w:rPr>
              <w:t>、</w:t>
            </w:r>
            <w:r>
              <w:rPr>
                <w:rFonts w:hint="eastAsia"/>
                <w:b/>
                <w:sz w:val="24"/>
              </w:rPr>
              <w:t>厂区现有环保措施及存在问题情况</w:t>
            </w:r>
          </w:p>
          <w:p>
            <w:pPr>
              <w:spacing w:line="360" w:lineRule="auto"/>
              <w:ind w:firstLine="480" w:firstLineChars="200"/>
              <w:rPr>
                <w:sz w:val="24"/>
                <w:u w:val="single"/>
              </w:rPr>
            </w:pPr>
            <w:r>
              <w:rPr>
                <w:rFonts w:hint="eastAsia"/>
                <w:sz w:val="24"/>
                <w:u w:val="single"/>
              </w:rPr>
              <w:t>由上述分析可知，项目厂区现有环保措施及存在的环境问题见表1-</w:t>
            </w:r>
            <w:r>
              <w:rPr>
                <w:rFonts w:hint="eastAsia"/>
                <w:sz w:val="24"/>
                <w:u w:val="single"/>
                <w:lang w:val="en-US" w:eastAsia="zh-CN"/>
              </w:rPr>
              <w:t>9</w:t>
            </w:r>
            <w:r>
              <w:rPr>
                <w:rFonts w:hint="eastAsia"/>
                <w:sz w:val="24"/>
                <w:u w:val="single"/>
              </w:rPr>
              <w:t>。</w:t>
            </w:r>
          </w:p>
          <w:p>
            <w:pPr>
              <w:pStyle w:val="30"/>
              <w:spacing w:line="240" w:lineRule="auto"/>
              <w:ind w:firstLine="0" w:firstLineChars="0"/>
              <w:jc w:val="center"/>
              <w:rPr>
                <w:rFonts w:hAnsi="Times New Roman"/>
                <w:b/>
                <w:u w:val="single"/>
              </w:rPr>
            </w:pPr>
            <w:r>
              <w:rPr>
                <w:rFonts w:hint="eastAsia" w:hAnsi="Times New Roman"/>
                <w:b/>
                <w:u w:val="single"/>
              </w:rPr>
              <w:t>表1-</w:t>
            </w:r>
            <w:r>
              <w:rPr>
                <w:rFonts w:hint="eastAsia" w:hAnsi="Times New Roman"/>
                <w:b/>
                <w:u w:val="single"/>
                <w:lang w:val="en-US" w:eastAsia="zh-CN"/>
              </w:rPr>
              <w:t>9</w:t>
            </w:r>
            <w:r>
              <w:rPr>
                <w:rFonts w:hint="eastAsia" w:hAnsi="Times New Roman"/>
                <w:b/>
                <w:u w:val="single"/>
              </w:rPr>
              <w:t xml:space="preserve">   厂区现有环保措施及存在问题一览表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91"/>
              <w:gridCol w:w="3809"/>
              <w:gridCol w:w="3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4" w:type="pct"/>
                  <w:gridSpan w:val="2"/>
                  <w:vAlign w:val="center"/>
                </w:tcPr>
                <w:p>
                  <w:pPr>
                    <w:jc w:val="center"/>
                    <w:rPr>
                      <w:szCs w:val="21"/>
                      <w:u w:val="single"/>
                    </w:rPr>
                  </w:pPr>
                  <w:r>
                    <w:rPr>
                      <w:szCs w:val="21"/>
                      <w:u w:val="single"/>
                    </w:rPr>
                    <w:t>名称</w:t>
                  </w:r>
                </w:p>
              </w:tc>
              <w:tc>
                <w:tcPr>
                  <w:tcW w:w="2236" w:type="pct"/>
                  <w:vAlign w:val="center"/>
                </w:tcPr>
                <w:p>
                  <w:pPr>
                    <w:jc w:val="center"/>
                    <w:rPr>
                      <w:szCs w:val="21"/>
                      <w:u w:val="single"/>
                    </w:rPr>
                  </w:pPr>
                  <w:r>
                    <w:rPr>
                      <w:rFonts w:hint="eastAsia"/>
                      <w:szCs w:val="21"/>
                      <w:u w:val="single"/>
                    </w:rPr>
                    <w:t>现有污防设施情况</w:t>
                  </w:r>
                </w:p>
              </w:tc>
              <w:tc>
                <w:tcPr>
                  <w:tcW w:w="1839" w:type="pct"/>
                </w:tcPr>
                <w:p>
                  <w:pPr>
                    <w:jc w:val="center"/>
                    <w:rPr>
                      <w:szCs w:val="21"/>
                      <w:u w:val="single"/>
                    </w:rPr>
                  </w:pPr>
                  <w:r>
                    <w:rPr>
                      <w:rFonts w:hint="eastAsia"/>
                      <w:szCs w:val="21"/>
                      <w:u w:val="single"/>
                    </w:rPr>
                    <w:t>存在的问题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1" w:type="pct"/>
                  <w:vMerge w:val="restart"/>
                  <w:vAlign w:val="center"/>
                </w:tcPr>
                <w:p>
                  <w:pPr>
                    <w:jc w:val="center"/>
                    <w:rPr>
                      <w:szCs w:val="21"/>
                      <w:u w:val="single"/>
                    </w:rPr>
                  </w:pPr>
                  <w:r>
                    <w:rPr>
                      <w:rFonts w:hint="eastAsia"/>
                      <w:szCs w:val="21"/>
                      <w:u w:val="single"/>
                    </w:rPr>
                    <w:t>废水</w:t>
                  </w:r>
                </w:p>
              </w:tc>
              <w:tc>
                <w:tcPr>
                  <w:tcW w:w="523" w:type="pct"/>
                  <w:vAlign w:val="center"/>
                </w:tcPr>
                <w:p>
                  <w:pPr>
                    <w:jc w:val="center"/>
                    <w:rPr>
                      <w:szCs w:val="21"/>
                      <w:u w:val="single"/>
                    </w:rPr>
                  </w:pPr>
                  <w:r>
                    <w:rPr>
                      <w:rFonts w:hint="eastAsia"/>
                      <w:szCs w:val="21"/>
                      <w:u w:val="single"/>
                    </w:rPr>
                    <w:t>生活</w:t>
                  </w:r>
                </w:p>
                <w:p>
                  <w:pPr>
                    <w:jc w:val="center"/>
                    <w:rPr>
                      <w:szCs w:val="21"/>
                      <w:u w:val="single"/>
                    </w:rPr>
                  </w:pPr>
                  <w:r>
                    <w:rPr>
                      <w:rFonts w:hint="eastAsia"/>
                      <w:szCs w:val="21"/>
                      <w:u w:val="single"/>
                    </w:rPr>
                    <w:t>废水</w:t>
                  </w:r>
                </w:p>
              </w:tc>
              <w:tc>
                <w:tcPr>
                  <w:tcW w:w="2236" w:type="pct"/>
                  <w:vAlign w:val="center"/>
                </w:tcPr>
                <w:p>
                  <w:pPr>
                    <w:jc w:val="center"/>
                    <w:rPr>
                      <w:sz w:val="24"/>
                      <w:u w:val="single"/>
                    </w:rPr>
                  </w:pPr>
                  <w:r>
                    <w:rPr>
                      <w:rFonts w:hint="eastAsia"/>
                      <w:szCs w:val="21"/>
                      <w:u w:val="single"/>
                    </w:rPr>
                    <w:t>设置了化粪池，生活废水经化粪池处理后，排入市政管道</w:t>
                  </w:r>
                </w:p>
              </w:tc>
              <w:tc>
                <w:tcPr>
                  <w:tcW w:w="1839" w:type="pct"/>
                  <w:vMerge w:val="restart"/>
                  <w:vAlign w:val="center"/>
                </w:tcPr>
                <w:p>
                  <w:pPr>
                    <w:jc w:val="center"/>
                    <w:rPr>
                      <w:szCs w:val="21"/>
                      <w:u w:val="single"/>
                    </w:rPr>
                  </w:pPr>
                  <w:r>
                    <w:rPr>
                      <w:rFonts w:hint="eastAsia"/>
                      <w:szCs w:val="21"/>
                      <w:u w:val="single"/>
                    </w:rPr>
                    <w:t>区域采取措施可行，符合环保要求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1" w:type="pct"/>
                  <w:vMerge w:val="continue"/>
                  <w:vAlign w:val="center"/>
                </w:tcPr>
                <w:p>
                  <w:pPr>
                    <w:jc w:val="center"/>
                    <w:rPr>
                      <w:szCs w:val="21"/>
                      <w:u w:val="single"/>
                    </w:rPr>
                  </w:pPr>
                </w:p>
              </w:tc>
              <w:tc>
                <w:tcPr>
                  <w:tcW w:w="523" w:type="pct"/>
                  <w:vAlign w:val="center"/>
                </w:tcPr>
                <w:p>
                  <w:pPr>
                    <w:jc w:val="center"/>
                    <w:rPr>
                      <w:szCs w:val="21"/>
                      <w:u w:val="single"/>
                    </w:rPr>
                  </w:pPr>
                  <w:r>
                    <w:rPr>
                      <w:rFonts w:hint="eastAsia"/>
                      <w:szCs w:val="21"/>
                      <w:u w:val="single"/>
                    </w:rPr>
                    <w:t>生产</w:t>
                  </w:r>
                </w:p>
                <w:p>
                  <w:pPr>
                    <w:jc w:val="center"/>
                    <w:rPr>
                      <w:szCs w:val="21"/>
                      <w:u w:val="single"/>
                    </w:rPr>
                  </w:pPr>
                  <w:r>
                    <w:rPr>
                      <w:rFonts w:hint="eastAsia"/>
                      <w:szCs w:val="21"/>
                      <w:u w:val="single"/>
                    </w:rPr>
                    <w:t>废水</w:t>
                  </w:r>
                </w:p>
              </w:tc>
              <w:tc>
                <w:tcPr>
                  <w:tcW w:w="2236" w:type="pct"/>
                  <w:vAlign w:val="center"/>
                </w:tcPr>
                <w:p>
                  <w:pPr>
                    <w:jc w:val="center"/>
                    <w:rPr>
                      <w:szCs w:val="21"/>
                      <w:u w:val="single"/>
                    </w:rPr>
                  </w:pPr>
                  <w:r>
                    <w:rPr>
                      <w:rFonts w:hint="eastAsia" w:ascii="Dutch801 Rm BT" w:hAnsi="Dutch801 Rm BT"/>
                      <w:szCs w:val="21"/>
                      <w:u w:val="single"/>
                    </w:rPr>
                    <w:t>设置了隔油沉淀池，生产废水经隔油沉淀处理后，排入市政管道</w:t>
                  </w:r>
                </w:p>
              </w:tc>
              <w:tc>
                <w:tcPr>
                  <w:tcW w:w="1839" w:type="pct"/>
                  <w:vMerge w:val="continue"/>
                  <w:vAlign w:val="center"/>
                </w:tcPr>
                <w:p>
                  <w:pPr>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1" w:type="pct"/>
                  <w:vMerge w:val="restart"/>
                  <w:vAlign w:val="center"/>
                </w:tcPr>
                <w:p>
                  <w:pPr>
                    <w:jc w:val="center"/>
                    <w:rPr>
                      <w:szCs w:val="21"/>
                      <w:u w:val="single"/>
                    </w:rPr>
                  </w:pPr>
                  <w:r>
                    <w:rPr>
                      <w:rFonts w:hint="eastAsia"/>
                      <w:szCs w:val="21"/>
                      <w:u w:val="single"/>
                    </w:rPr>
                    <w:t>废气</w:t>
                  </w:r>
                </w:p>
              </w:tc>
              <w:tc>
                <w:tcPr>
                  <w:tcW w:w="523" w:type="pct"/>
                  <w:vAlign w:val="center"/>
                </w:tcPr>
                <w:p>
                  <w:pPr>
                    <w:jc w:val="center"/>
                    <w:rPr>
                      <w:szCs w:val="21"/>
                      <w:u w:val="single"/>
                    </w:rPr>
                  </w:pPr>
                  <w:r>
                    <w:rPr>
                      <w:rFonts w:hint="eastAsia"/>
                      <w:szCs w:val="21"/>
                      <w:u w:val="single"/>
                    </w:rPr>
                    <w:t>汽车尾气</w:t>
                  </w:r>
                </w:p>
              </w:tc>
              <w:tc>
                <w:tcPr>
                  <w:tcW w:w="2236" w:type="pct"/>
                  <w:vAlign w:val="center"/>
                </w:tcPr>
                <w:p>
                  <w:pPr>
                    <w:jc w:val="center"/>
                    <w:rPr>
                      <w:szCs w:val="21"/>
                      <w:u w:val="single"/>
                    </w:rPr>
                  </w:pPr>
                  <w:r>
                    <w:rPr>
                      <w:rFonts w:hint="eastAsia"/>
                      <w:szCs w:val="21"/>
                      <w:u w:val="single"/>
                    </w:rPr>
                    <w:t>产生量较少，通过周边自然扩散，影响较小</w:t>
                  </w:r>
                </w:p>
              </w:tc>
              <w:tc>
                <w:tcPr>
                  <w:tcW w:w="1839" w:type="pct"/>
                  <w:vAlign w:val="center"/>
                </w:tcPr>
                <w:p>
                  <w:pPr>
                    <w:jc w:val="center"/>
                    <w:rPr>
                      <w:szCs w:val="21"/>
                      <w:u w:val="single"/>
                    </w:rPr>
                  </w:pPr>
                  <w:r>
                    <w:rPr>
                      <w:rFonts w:hint="eastAsia"/>
                      <w:szCs w:val="21"/>
                      <w:u w:val="single"/>
                    </w:rPr>
                    <w:t>采取措施可行，符合环保要求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1" w:type="pct"/>
                  <w:vMerge w:val="continue"/>
                  <w:vAlign w:val="center"/>
                </w:tcPr>
                <w:p>
                  <w:pPr>
                    <w:jc w:val="center"/>
                    <w:rPr>
                      <w:szCs w:val="21"/>
                      <w:u w:val="single"/>
                    </w:rPr>
                  </w:pPr>
                </w:p>
              </w:tc>
              <w:tc>
                <w:tcPr>
                  <w:tcW w:w="523" w:type="pct"/>
                  <w:vAlign w:val="center"/>
                </w:tcPr>
                <w:p>
                  <w:pPr>
                    <w:jc w:val="center"/>
                    <w:rPr>
                      <w:szCs w:val="21"/>
                      <w:u w:val="single"/>
                    </w:rPr>
                  </w:pPr>
                  <w:r>
                    <w:rPr>
                      <w:rFonts w:hint="eastAsia"/>
                      <w:szCs w:val="21"/>
                      <w:u w:val="single"/>
                    </w:rPr>
                    <w:t>焊接烟气</w:t>
                  </w:r>
                </w:p>
              </w:tc>
              <w:tc>
                <w:tcPr>
                  <w:tcW w:w="2236" w:type="pct"/>
                  <w:vAlign w:val="center"/>
                </w:tcPr>
                <w:p>
                  <w:pPr>
                    <w:jc w:val="center"/>
                    <w:rPr>
                      <w:szCs w:val="21"/>
                      <w:u w:val="single"/>
                    </w:rPr>
                  </w:pPr>
                  <w:r>
                    <w:rPr>
                      <w:rFonts w:hint="eastAsia"/>
                      <w:szCs w:val="21"/>
                      <w:u w:val="single"/>
                    </w:rPr>
                    <w:t>产生量较少，</w:t>
                  </w:r>
                  <w:r>
                    <w:rPr>
                      <w:szCs w:val="21"/>
                      <w:u w:val="single"/>
                    </w:rPr>
                    <w:t>逸散到周围的烟尘量很小，焊接烟气经通风后可极快稀</w:t>
                  </w:r>
                  <w:r>
                    <w:rPr>
                      <w:bCs/>
                      <w:szCs w:val="21"/>
                      <w:u w:val="single"/>
                    </w:rPr>
                    <w:t>释</w:t>
                  </w:r>
                  <w:r>
                    <w:rPr>
                      <w:rFonts w:hint="eastAsia"/>
                      <w:bCs/>
                      <w:szCs w:val="21"/>
                      <w:u w:val="single"/>
                    </w:rPr>
                    <w:t>，</w:t>
                  </w:r>
                  <w:r>
                    <w:rPr>
                      <w:rFonts w:hint="eastAsia"/>
                      <w:szCs w:val="21"/>
                      <w:u w:val="single"/>
                    </w:rPr>
                    <w:t>本次对企业边界无组织废气进行监测，无组织颗粒物满足</w:t>
                  </w:r>
                  <w:r>
                    <w:rPr>
                      <w:szCs w:val="21"/>
                      <w:u w:val="single"/>
                    </w:rPr>
                    <w:t>《大气污染物综合排放标准》（GB8978-1996）无组织排放监控浓度限值要求</w:t>
                  </w:r>
                </w:p>
              </w:tc>
              <w:tc>
                <w:tcPr>
                  <w:tcW w:w="1839" w:type="pct"/>
                  <w:vAlign w:val="center"/>
                </w:tcPr>
                <w:p>
                  <w:pPr>
                    <w:jc w:val="center"/>
                    <w:rPr>
                      <w:szCs w:val="21"/>
                      <w:u w:val="single"/>
                    </w:rPr>
                  </w:pPr>
                  <w:r>
                    <w:rPr>
                      <w:rFonts w:hint="eastAsia"/>
                      <w:szCs w:val="21"/>
                      <w:u w:val="single"/>
                    </w:rPr>
                    <w:t>采取措施可行，符合环保要求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1" w:type="pct"/>
                  <w:vMerge w:val="continue"/>
                  <w:vAlign w:val="center"/>
                </w:tcPr>
                <w:p>
                  <w:pPr>
                    <w:jc w:val="center"/>
                    <w:rPr>
                      <w:szCs w:val="21"/>
                      <w:u w:val="single"/>
                    </w:rPr>
                  </w:pPr>
                </w:p>
              </w:tc>
              <w:tc>
                <w:tcPr>
                  <w:tcW w:w="523" w:type="pct"/>
                  <w:vAlign w:val="center"/>
                </w:tcPr>
                <w:p>
                  <w:pPr>
                    <w:jc w:val="center"/>
                    <w:rPr>
                      <w:szCs w:val="21"/>
                      <w:u w:val="single"/>
                    </w:rPr>
                  </w:pPr>
                  <w:r>
                    <w:rPr>
                      <w:szCs w:val="21"/>
                      <w:u w:val="single"/>
                    </w:rPr>
                    <w:t>打磨、丕灰粉尘</w:t>
                  </w:r>
                </w:p>
              </w:tc>
              <w:tc>
                <w:tcPr>
                  <w:tcW w:w="2236" w:type="pct"/>
                  <w:vAlign w:val="center"/>
                </w:tcPr>
                <w:p>
                  <w:pPr>
                    <w:jc w:val="center"/>
                    <w:rPr>
                      <w:kern w:val="0"/>
                      <w:sz w:val="24"/>
                      <w:u w:val="single"/>
                    </w:rPr>
                  </w:pPr>
                  <w:r>
                    <w:rPr>
                      <w:szCs w:val="21"/>
                      <w:u w:val="single"/>
                    </w:rPr>
                    <w:t>采取移动式集尘器在工作界面对其进行收集，逸散到周边的粉尘量很小，</w:t>
                  </w:r>
                  <w:r>
                    <w:rPr>
                      <w:rFonts w:hint="eastAsia"/>
                      <w:szCs w:val="21"/>
                      <w:u w:val="single"/>
                    </w:rPr>
                    <w:t>根据本次对企业边界无组织废气进行监测，无组织颗粒物满足</w:t>
                  </w:r>
                  <w:r>
                    <w:rPr>
                      <w:szCs w:val="21"/>
                      <w:u w:val="single"/>
                    </w:rPr>
                    <w:t>《大气污染物综合排放标准》（GB8978-1996）无组织排放监控浓度限值要求</w:t>
                  </w:r>
                </w:p>
              </w:tc>
              <w:tc>
                <w:tcPr>
                  <w:tcW w:w="1839" w:type="pct"/>
                  <w:vAlign w:val="center"/>
                </w:tcPr>
                <w:p>
                  <w:pPr>
                    <w:jc w:val="center"/>
                    <w:rPr>
                      <w:szCs w:val="21"/>
                      <w:u w:val="single"/>
                    </w:rPr>
                  </w:pPr>
                  <w:r>
                    <w:rPr>
                      <w:rFonts w:hint="eastAsia"/>
                      <w:szCs w:val="21"/>
                      <w:u w:val="single"/>
                    </w:rPr>
                    <w:t>采取措施可行，符合环保要求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1" w:type="pct"/>
                  <w:vMerge w:val="continue"/>
                  <w:vAlign w:val="center"/>
                </w:tcPr>
                <w:p>
                  <w:pPr>
                    <w:jc w:val="center"/>
                    <w:rPr>
                      <w:szCs w:val="21"/>
                      <w:u w:val="single"/>
                    </w:rPr>
                  </w:pPr>
                </w:p>
              </w:tc>
              <w:tc>
                <w:tcPr>
                  <w:tcW w:w="523" w:type="pct"/>
                  <w:vAlign w:val="center"/>
                </w:tcPr>
                <w:p>
                  <w:pPr>
                    <w:jc w:val="center"/>
                    <w:rPr>
                      <w:szCs w:val="21"/>
                      <w:u w:val="single"/>
                    </w:rPr>
                  </w:pPr>
                  <w:r>
                    <w:rPr>
                      <w:rFonts w:hint="eastAsia"/>
                      <w:szCs w:val="21"/>
                      <w:u w:val="single"/>
                    </w:rPr>
                    <w:t>喷烤漆废气</w:t>
                  </w:r>
                </w:p>
              </w:tc>
              <w:tc>
                <w:tcPr>
                  <w:tcW w:w="2236" w:type="pct"/>
                  <w:vAlign w:val="center"/>
                </w:tcPr>
                <w:p>
                  <w:pPr>
                    <w:jc w:val="center"/>
                    <w:rPr>
                      <w:szCs w:val="21"/>
                      <w:u w:val="single"/>
                    </w:rPr>
                  </w:pPr>
                  <w:r>
                    <w:rPr>
                      <w:rFonts w:hint="eastAsia"/>
                      <w:szCs w:val="21"/>
                      <w:u w:val="single"/>
                    </w:rPr>
                    <w:t>整体密闭+过滤棉+UV光催化氧化+活性炭吸附处理后引至1根15m高排气筒高空排放，本次对企业排气筒废气进行监测，排气筒废气有组织能满足标准要求。</w:t>
                  </w:r>
                </w:p>
              </w:tc>
              <w:tc>
                <w:tcPr>
                  <w:tcW w:w="1839" w:type="pct"/>
                  <w:vAlign w:val="center"/>
                </w:tcPr>
                <w:p>
                  <w:pPr>
                    <w:jc w:val="center"/>
                    <w:rPr>
                      <w:szCs w:val="21"/>
                      <w:u w:val="single"/>
                    </w:rPr>
                  </w:pPr>
                  <w:r>
                    <w:rPr>
                      <w:rFonts w:hint="eastAsia"/>
                      <w:szCs w:val="21"/>
                      <w:u w:val="single"/>
                    </w:rPr>
                    <w:t>采取措施可行，符合环保要求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4" w:type="pct"/>
                  <w:gridSpan w:val="2"/>
                  <w:vAlign w:val="center"/>
                </w:tcPr>
                <w:p>
                  <w:pPr>
                    <w:jc w:val="center"/>
                    <w:rPr>
                      <w:szCs w:val="21"/>
                      <w:u w:val="single"/>
                    </w:rPr>
                  </w:pPr>
                  <w:r>
                    <w:rPr>
                      <w:rFonts w:hint="eastAsia"/>
                      <w:szCs w:val="21"/>
                      <w:u w:val="single"/>
                    </w:rPr>
                    <w:t>噪声</w:t>
                  </w:r>
                </w:p>
              </w:tc>
              <w:tc>
                <w:tcPr>
                  <w:tcW w:w="2236" w:type="pct"/>
                  <w:vAlign w:val="center"/>
                </w:tcPr>
                <w:p>
                  <w:pPr>
                    <w:jc w:val="center"/>
                    <w:rPr>
                      <w:szCs w:val="21"/>
                      <w:u w:val="single"/>
                    </w:rPr>
                  </w:pPr>
                  <w:r>
                    <w:rPr>
                      <w:rFonts w:hint="eastAsia"/>
                      <w:szCs w:val="21"/>
                      <w:u w:val="single"/>
                    </w:rPr>
                    <w:t>对噪声设备采取使用减震基础，墙体隔声等措施，本次对企业四周围噪声进行监测，噪声能满足标准要求。</w:t>
                  </w:r>
                </w:p>
              </w:tc>
              <w:tc>
                <w:tcPr>
                  <w:tcW w:w="1839" w:type="pct"/>
                  <w:vAlign w:val="center"/>
                </w:tcPr>
                <w:p>
                  <w:pPr>
                    <w:jc w:val="center"/>
                    <w:rPr>
                      <w:szCs w:val="21"/>
                      <w:u w:val="single"/>
                    </w:rPr>
                  </w:pPr>
                  <w:r>
                    <w:rPr>
                      <w:rFonts w:hint="eastAsia"/>
                      <w:szCs w:val="21"/>
                      <w:u w:val="single"/>
                    </w:rPr>
                    <w:t>采取措施可行，符合环保要求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4" w:type="pct"/>
                  <w:gridSpan w:val="2"/>
                  <w:vMerge w:val="restart"/>
                  <w:vAlign w:val="center"/>
                </w:tcPr>
                <w:p>
                  <w:pPr>
                    <w:jc w:val="center"/>
                    <w:rPr>
                      <w:szCs w:val="21"/>
                      <w:u w:val="single"/>
                    </w:rPr>
                  </w:pPr>
                  <w:r>
                    <w:rPr>
                      <w:rFonts w:hint="eastAsia"/>
                      <w:szCs w:val="21"/>
                      <w:u w:val="single"/>
                    </w:rPr>
                    <w:t>固废</w:t>
                  </w:r>
                </w:p>
              </w:tc>
              <w:tc>
                <w:tcPr>
                  <w:tcW w:w="2236" w:type="pct"/>
                  <w:vAlign w:val="center"/>
                </w:tcPr>
                <w:p>
                  <w:pPr>
                    <w:jc w:val="center"/>
                    <w:rPr>
                      <w:szCs w:val="21"/>
                      <w:u w:val="single"/>
                    </w:rPr>
                  </w:pPr>
                  <w:r>
                    <w:rPr>
                      <w:rFonts w:hint="eastAsia"/>
                      <w:szCs w:val="21"/>
                      <w:u w:val="single"/>
                    </w:rPr>
                    <w:t>一般</w:t>
                  </w:r>
                  <w:r>
                    <w:rPr>
                      <w:szCs w:val="21"/>
                      <w:u w:val="single"/>
                    </w:rPr>
                    <w:t>固废</w:t>
                  </w:r>
                  <w:r>
                    <w:rPr>
                      <w:rFonts w:hint="eastAsia"/>
                      <w:szCs w:val="21"/>
                      <w:u w:val="single"/>
                    </w:rPr>
                    <w:t>（废车辆配件）在店内</w:t>
                  </w:r>
                  <w:r>
                    <w:rPr>
                      <w:szCs w:val="21"/>
                      <w:u w:val="single"/>
                    </w:rPr>
                    <w:t>随意堆放</w:t>
                  </w:r>
                </w:p>
              </w:tc>
              <w:tc>
                <w:tcPr>
                  <w:tcW w:w="1839" w:type="pct"/>
                  <w:vAlign w:val="center"/>
                </w:tcPr>
                <w:p>
                  <w:pPr>
                    <w:jc w:val="center"/>
                    <w:rPr>
                      <w:szCs w:val="21"/>
                      <w:u w:val="single"/>
                    </w:rPr>
                  </w:pPr>
                  <w:r>
                    <w:rPr>
                      <w:szCs w:val="21"/>
                      <w:u w:val="single"/>
                    </w:rPr>
                    <w:t>没有专门的</w:t>
                  </w:r>
                  <w:r>
                    <w:rPr>
                      <w:rFonts w:hint="eastAsia"/>
                      <w:szCs w:val="21"/>
                      <w:u w:val="single"/>
                    </w:rPr>
                    <w:t>一般</w:t>
                  </w:r>
                  <w:r>
                    <w:rPr>
                      <w:szCs w:val="21"/>
                      <w:u w:val="single"/>
                    </w:rPr>
                    <w:t>废物暂存场所</w:t>
                  </w:r>
                  <w:r>
                    <w:rPr>
                      <w:rFonts w:hint="eastAsia"/>
                      <w:szCs w:val="21"/>
                      <w:u w:val="single"/>
                    </w:rPr>
                    <w:t>，不符合环保要求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4" w:type="pct"/>
                  <w:gridSpan w:val="2"/>
                  <w:vMerge w:val="continue"/>
                  <w:vAlign w:val="center"/>
                </w:tcPr>
                <w:p>
                  <w:pPr>
                    <w:jc w:val="center"/>
                    <w:rPr>
                      <w:szCs w:val="21"/>
                      <w:u w:val="single"/>
                    </w:rPr>
                  </w:pPr>
                </w:p>
              </w:tc>
              <w:tc>
                <w:tcPr>
                  <w:tcW w:w="2236" w:type="pct"/>
                  <w:vAlign w:val="center"/>
                </w:tcPr>
                <w:p>
                  <w:pPr>
                    <w:jc w:val="center"/>
                    <w:rPr>
                      <w:szCs w:val="21"/>
                      <w:u w:val="single"/>
                    </w:rPr>
                  </w:pPr>
                  <w:r>
                    <w:rPr>
                      <w:szCs w:val="21"/>
                      <w:u w:val="single"/>
                    </w:rPr>
                    <w:t>危险暂存间</w:t>
                  </w:r>
                  <w:r>
                    <w:rPr>
                      <w:rFonts w:hint="eastAsia"/>
                      <w:szCs w:val="21"/>
                      <w:u w:val="single"/>
                    </w:rPr>
                    <w:t>中</w:t>
                  </w:r>
                  <w:r>
                    <w:rPr>
                      <w:szCs w:val="21"/>
                      <w:u w:val="single"/>
                    </w:rPr>
                    <w:t>相关标识标牌</w:t>
                  </w:r>
                  <w:r>
                    <w:rPr>
                      <w:rFonts w:hint="eastAsia"/>
                      <w:szCs w:val="21"/>
                      <w:u w:val="single"/>
                    </w:rPr>
                    <w:t>错误</w:t>
                  </w:r>
                </w:p>
              </w:tc>
              <w:tc>
                <w:tcPr>
                  <w:tcW w:w="1839" w:type="pct"/>
                  <w:vAlign w:val="center"/>
                </w:tcPr>
                <w:p>
                  <w:pPr>
                    <w:jc w:val="center"/>
                    <w:rPr>
                      <w:szCs w:val="21"/>
                      <w:u w:val="single"/>
                    </w:rPr>
                  </w:pPr>
                  <w:r>
                    <w:rPr>
                      <w:szCs w:val="21"/>
                      <w:u w:val="single"/>
                    </w:rPr>
                    <w:t>危险暂存间标识标牌</w:t>
                  </w:r>
                  <w:r>
                    <w:rPr>
                      <w:rFonts w:hint="eastAsia"/>
                      <w:szCs w:val="21"/>
                      <w:u w:val="single"/>
                    </w:rPr>
                    <w:t>错误，不符合环保要求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4" w:type="pct"/>
                  <w:gridSpan w:val="2"/>
                  <w:vMerge w:val="continue"/>
                  <w:vAlign w:val="center"/>
                </w:tcPr>
                <w:p>
                  <w:pPr>
                    <w:jc w:val="center"/>
                    <w:rPr>
                      <w:szCs w:val="21"/>
                      <w:u w:val="single"/>
                    </w:rPr>
                  </w:pPr>
                </w:p>
              </w:tc>
              <w:tc>
                <w:tcPr>
                  <w:tcW w:w="2236" w:type="pct"/>
                  <w:vAlign w:val="center"/>
                </w:tcPr>
                <w:p>
                  <w:pPr>
                    <w:jc w:val="center"/>
                    <w:rPr>
                      <w:szCs w:val="21"/>
                      <w:u w:val="single"/>
                    </w:rPr>
                  </w:pPr>
                  <w:r>
                    <w:rPr>
                      <w:rFonts w:hint="eastAsia"/>
                      <w:szCs w:val="21"/>
                      <w:u w:val="single"/>
                    </w:rPr>
                    <w:t>生活垃圾收集桶收集后交环卫部门清运</w:t>
                  </w:r>
                </w:p>
              </w:tc>
              <w:tc>
                <w:tcPr>
                  <w:tcW w:w="1839" w:type="pct"/>
                  <w:vAlign w:val="center"/>
                </w:tcPr>
                <w:p>
                  <w:pPr>
                    <w:jc w:val="center"/>
                    <w:rPr>
                      <w:szCs w:val="21"/>
                      <w:u w:val="single"/>
                    </w:rPr>
                  </w:pPr>
                  <w:r>
                    <w:rPr>
                      <w:rFonts w:hint="eastAsia"/>
                      <w:szCs w:val="21"/>
                      <w:u w:val="single"/>
                    </w:rPr>
                    <w:t>采取措施可行，符合环保要求</w:t>
                  </w:r>
                </w:p>
              </w:tc>
            </w:tr>
          </w:tbl>
          <w:p>
            <w:pPr>
              <w:widowControl/>
              <w:spacing w:line="360" w:lineRule="auto"/>
              <w:rPr>
                <w:b/>
                <w:kern w:val="0"/>
                <w:sz w:val="24"/>
                <w:u w:val="single"/>
              </w:rPr>
            </w:pPr>
            <w:r>
              <w:rPr>
                <w:rFonts w:hint="eastAsia"/>
                <w:b/>
                <w:kern w:val="0"/>
                <w:sz w:val="24"/>
                <w:u w:val="single"/>
              </w:rPr>
              <w:t>三</w:t>
            </w:r>
            <w:r>
              <w:rPr>
                <w:b/>
                <w:kern w:val="0"/>
                <w:sz w:val="24"/>
                <w:u w:val="single"/>
              </w:rPr>
              <w:t>、拟采取的整改措施</w:t>
            </w:r>
          </w:p>
          <w:p>
            <w:pPr>
              <w:spacing w:line="360" w:lineRule="auto"/>
              <w:ind w:firstLine="480" w:firstLineChars="200"/>
              <w:rPr>
                <w:sz w:val="24"/>
                <w:u w:val="single"/>
              </w:rPr>
            </w:pPr>
            <w:r>
              <w:rPr>
                <w:rFonts w:hint="eastAsia"/>
                <w:sz w:val="24"/>
                <w:u w:val="single"/>
              </w:rPr>
              <w:t>由上表1-</w:t>
            </w:r>
            <w:r>
              <w:rPr>
                <w:rFonts w:hint="eastAsia"/>
                <w:sz w:val="24"/>
                <w:u w:val="single"/>
                <w:lang w:val="en-US" w:eastAsia="zh-CN"/>
              </w:rPr>
              <w:t>9</w:t>
            </w:r>
            <w:r>
              <w:rPr>
                <w:rFonts w:hint="eastAsia"/>
                <w:sz w:val="24"/>
                <w:u w:val="single"/>
              </w:rPr>
              <w:t>可知企业存在的环保问题，针对上述环保问题，本环评提出以下针对性的整改措施，详见表1-1</w:t>
            </w:r>
            <w:r>
              <w:rPr>
                <w:rFonts w:hint="eastAsia"/>
                <w:sz w:val="24"/>
                <w:u w:val="single"/>
                <w:lang w:val="en-US" w:eastAsia="zh-CN"/>
              </w:rPr>
              <w:t>0</w:t>
            </w:r>
            <w:r>
              <w:rPr>
                <w:rFonts w:hint="eastAsia"/>
                <w:sz w:val="24"/>
                <w:u w:val="single"/>
              </w:rPr>
              <w:t>。</w:t>
            </w:r>
          </w:p>
          <w:p>
            <w:pPr>
              <w:pStyle w:val="30"/>
              <w:spacing w:line="240" w:lineRule="auto"/>
              <w:ind w:firstLine="0" w:firstLineChars="0"/>
              <w:jc w:val="center"/>
              <w:rPr>
                <w:rFonts w:hAnsi="Times New Roman"/>
                <w:b/>
                <w:u w:val="single"/>
              </w:rPr>
            </w:pPr>
            <w:r>
              <w:rPr>
                <w:rFonts w:hint="eastAsia" w:hAnsi="Times New Roman"/>
                <w:b/>
                <w:u w:val="single"/>
              </w:rPr>
              <w:t>表1-1</w:t>
            </w:r>
            <w:r>
              <w:rPr>
                <w:rFonts w:hint="eastAsia" w:hAnsi="Times New Roman"/>
                <w:b/>
                <w:u w:val="single"/>
                <w:lang w:val="en-US" w:eastAsia="zh-CN"/>
              </w:rPr>
              <w:t>0</w:t>
            </w:r>
            <w:r>
              <w:rPr>
                <w:rFonts w:hint="eastAsia" w:hAnsi="Times New Roman"/>
                <w:b/>
                <w:u w:val="single"/>
              </w:rPr>
              <w:t xml:space="preserve">   厂区整改措施一览表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19"/>
              <w:gridCol w:w="5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6" w:hRule="atLeast"/>
                <w:jc w:val="center"/>
              </w:trPr>
              <w:tc>
                <w:tcPr>
                  <w:tcW w:w="414" w:type="pct"/>
                  <w:vAlign w:val="center"/>
                </w:tcPr>
                <w:p>
                  <w:pPr>
                    <w:jc w:val="center"/>
                    <w:rPr>
                      <w:szCs w:val="21"/>
                      <w:u w:val="single"/>
                    </w:rPr>
                  </w:pPr>
                  <w:r>
                    <w:rPr>
                      <w:szCs w:val="21"/>
                      <w:u w:val="single"/>
                    </w:rPr>
                    <w:t>名称</w:t>
                  </w:r>
                </w:p>
              </w:tc>
              <w:tc>
                <w:tcPr>
                  <w:tcW w:w="1478" w:type="pct"/>
                  <w:vAlign w:val="center"/>
                </w:tcPr>
                <w:p>
                  <w:pPr>
                    <w:jc w:val="center"/>
                    <w:rPr>
                      <w:szCs w:val="21"/>
                      <w:u w:val="single"/>
                    </w:rPr>
                  </w:pPr>
                  <w:r>
                    <w:rPr>
                      <w:rFonts w:hint="eastAsia"/>
                      <w:szCs w:val="21"/>
                      <w:u w:val="single"/>
                    </w:rPr>
                    <w:t>存在的问题</w:t>
                  </w:r>
                </w:p>
              </w:tc>
              <w:tc>
                <w:tcPr>
                  <w:tcW w:w="3106" w:type="pct"/>
                </w:tcPr>
                <w:p>
                  <w:pPr>
                    <w:jc w:val="center"/>
                    <w:rPr>
                      <w:szCs w:val="21"/>
                      <w:u w:val="single"/>
                    </w:rPr>
                  </w:pPr>
                  <w:r>
                    <w:rPr>
                      <w:rFonts w:hint="eastAsia"/>
                      <w:szCs w:val="21"/>
                      <w:u w:val="single"/>
                    </w:rPr>
                    <w:t>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 w:type="pct"/>
                  <w:vMerge w:val="restart"/>
                  <w:vAlign w:val="center"/>
                </w:tcPr>
                <w:p>
                  <w:pPr>
                    <w:jc w:val="center"/>
                    <w:rPr>
                      <w:szCs w:val="21"/>
                      <w:u w:val="single"/>
                    </w:rPr>
                  </w:pPr>
                  <w:r>
                    <w:rPr>
                      <w:rFonts w:hint="eastAsia"/>
                      <w:szCs w:val="21"/>
                      <w:u w:val="single"/>
                    </w:rPr>
                    <w:t>固废</w:t>
                  </w:r>
                </w:p>
              </w:tc>
              <w:tc>
                <w:tcPr>
                  <w:tcW w:w="1478" w:type="pct"/>
                  <w:vAlign w:val="center"/>
                </w:tcPr>
                <w:p>
                  <w:pPr>
                    <w:jc w:val="center"/>
                    <w:rPr>
                      <w:szCs w:val="21"/>
                      <w:u w:val="single"/>
                    </w:rPr>
                  </w:pPr>
                  <w:r>
                    <w:rPr>
                      <w:szCs w:val="21"/>
                      <w:u w:val="single"/>
                    </w:rPr>
                    <w:t>没有专门的</w:t>
                  </w:r>
                  <w:r>
                    <w:rPr>
                      <w:rFonts w:hint="eastAsia"/>
                      <w:szCs w:val="21"/>
                      <w:u w:val="single"/>
                    </w:rPr>
                    <w:t>一般</w:t>
                  </w:r>
                  <w:r>
                    <w:rPr>
                      <w:szCs w:val="21"/>
                      <w:u w:val="single"/>
                    </w:rPr>
                    <w:t>废物暂存场所</w:t>
                  </w:r>
                  <w:r>
                    <w:rPr>
                      <w:rFonts w:hint="eastAsia"/>
                      <w:szCs w:val="21"/>
                      <w:u w:val="single"/>
                    </w:rPr>
                    <w:t>，不符合环保要求</w:t>
                  </w:r>
                </w:p>
              </w:tc>
              <w:tc>
                <w:tcPr>
                  <w:tcW w:w="3106" w:type="pct"/>
                  <w:vAlign w:val="center"/>
                </w:tcPr>
                <w:p>
                  <w:pPr>
                    <w:rPr>
                      <w:szCs w:val="21"/>
                      <w:u w:val="single"/>
                    </w:rPr>
                  </w:pPr>
                  <w:r>
                    <w:rPr>
                      <w:szCs w:val="21"/>
                      <w:u w:val="single"/>
                    </w:rPr>
                    <w:t>新建</w:t>
                  </w:r>
                  <w:r>
                    <w:rPr>
                      <w:rFonts w:hint="eastAsia"/>
                      <w:szCs w:val="21"/>
                      <w:u w:val="single"/>
                    </w:rPr>
                    <w:t>一般</w:t>
                  </w:r>
                  <w:r>
                    <w:rPr>
                      <w:szCs w:val="21"/>
                      <w:u w:val="single"/>
                    </w:rPr>
                    <w:t>固废的暂存场所</w:t>
                  </w:r>
                  <w:r>
                    <w:rPr>
                      <w:rFonts w:hint="eastAsia"/>
                      <w:szCs w:val="21"/>
                      <w:u w:val="single"/>
                    </w:rPr>
                    <w:t>（位于厂区西侧面积约10m</w:t>
                  </w:r>
                  <w:r>
                    <w:rPr>
                      <w:rFonts w:hint="eastAsia"/>
                      <w:szCs w:val="21"/>
                      <w:u w:val="single"/>
                      <w:vertAlign w:val="superscript"/>
                    </w:rPr>
                    <w:t>2</w:t>
                  </w:r>
                  <w:r>
                    <w:rPr>
                      <w:rFonts w:hint="eastAsia"/>
                      <w:szCs w:val="21"/>
                      <w:u w:val="single"/>
                    </w:rPr>
                    <w:t>）</w:t>
                  </w:r>
                  <w:r>
                    <w:rPr>
                      <w:szCs w:val="21"/>
                      <w:u w:val="single"/>
                    </w:rPr>
                    <w:t>，</w:t>
                  </w:r>
                  <w:r>
                    <w:rPr>
                      <w:kern w:val="0"/>
                      <w:szCs w:val="21"/>
                      <w:u w:val="single"/>
                    </w:rPr>
                    <w:t>使</w:t>
                  </w:r>
                  <w:r>
                    <w:rPr>
                      <w:rFonts w:hint="eastAsia"/>
                      <w:kern w:val="0"/>
                      <w:szCs w:val="21"/>
                      <w:u w:val="single"/>
                    </w:rPr>
                    <w:t>项目</w:t>
                  </w:r>
                  <w:r>
                    <w:rPr>
                      <w:kern w:val="0"/>
                      <w:szCs w:val="21"/>
                      <w:u w:val="single"/>
                    </w:rPr>
                    <w:t>的</w:t>
                  </w:r>
                  <w:r>
                    <w:rPr>
                      <w:rFonts w:hint="eastAsia"/>
                      <w:kern w:val="0"/>
                      <w:szCs w:val="21"/>
                      <w:u w:val="single"/>
                    </w:rPr>
                    <w:t>各类</w:t>
                  </w:r>
                  <w:r>
                    <w:rPr>
                      <w:kern w:val="0"/>
                      <w:szCs w:val="21"/>
                      <w:u w:val="single"/>
                    </w:rPr>
                    <w:t>一般固废满足《一般工业固体废物贮存、处置场污染控制标准》（GB18599-2001）</w:t>
                  </w:r>
                  <w:r>
                    <w:rPr>
                      <w:rFonts w:hint="eastAsia"/>
                      <w:kern w:val="0"/>
                      <w:szCs w:val="21"/>
                      <w:u w:val="single"/>
                    </w:rPr>
                    <w:t>及修改单</w:t>
                  </w:r>
                  <w:r>
                    <w:rPr>
                      <w:kern w:val="0"/>
                      <w:szCs w:val="21"/>
                      <w:u w:val="singl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 w:type="pct"/>
                  <w:vMerge w:val="continue"/>
                  <w:vAlign w:val="center"/>
                </w:tcPr>
                <w:p>
                  <w:pPr>
                    <w:jc w:val="center"/>
                    <w:rPr>
                      <w:szCs w:val="21"/>
                      <w:u w:val="single"/>
                    </w:rPr>
                  </w:pPr>
                </w:p>
              </w:tc>
              <w:tc>
                <w:tcPr>
                  <w:tcW w:w="1478" w:type="pct"/>
                  <w:vAlign w:val="center"/>
                </w:tcPr>
                <w:p>
                  <w:pPr>
                    <w:jc w:val="center"/>
                    <w:rPr>
                      <w:szCs w:val="21"/>
                      <w:u w:val="single"/>
                    </w:rPr>
                  </w:pPr>
                  <w:r>
                    <w:rPr>
                      <w:szCs w:val="21"/>
                      <w:u w:val="single"/>
                    </w:rPr>
                    <w:t>危险暂存间相关标识标牌</w:t>
                  </w:r>
                  <w:r>
                    <w:rPr>
                      <w:rFonts w:hint="eastAsia"/>
                      <w:szCs w:val="21"/>
                      <w:u w:val="single"/>
                    </w:rPr>
                    <w:t>标识错误，不符合环保要求</w:t>
                  </w:r>
                </w:p>
              </w:tc>
              <w:tc>
                <w:tcPr>
                  <w:tcW w:w="3106" w:type="pct"/>
                  <w:vAlign w:val="center"/>
                </w:tcPr>
                <w:p>
                  <w:pPr>
                    <w:rPr>
                      <w:szCs w:val="21"/>
                      <w:u w:val="single"/>
                    </w:rPr>
                  </w:pPr>
                  <w:r>
                    <w:rPr>
                      <w:rFonts w:hint="eastAsia"/>
                      <w:szCs w:val="21"/>
                      <w:u w:val="single"/>
                    </w:rPr>
                    <w:t>根据</w:t>
                  </w:r>
                  <w:r>
                    <w:rPr>
                      <w:szCs w:val="21"/>
                      <w:u w:val="single"/>
                    </w:rPr>
                    <w:t>《环境保护图形标志—排放口（源）》和国家环保总局《排污口规范化整治要求》（试行）的技术要求</w:t>
                  </w:r>
                  <w:r>
                    <w:rPr>
                      <w:rFonts w:hint="eastAsia"/>
                      <w:szCs w:val="21"/>
                      <w:u w:val="single"/>
                    </w:rPr>
                    <w:t>，</w:t>
                  </w:r>
                  <w:r>
                    <w:rPr>
                      <w:szCs w:val="21"/>
                      <w:u w:val="single"/>
                    </w:rPr>
                    <w:t>绘制企业排污口分布图，排污口的规范化要符合有关环保要求</w:t>
                  </w:r>
                </w:p>
              </w:tc>
            </w:tr>
          </w:tbl>
          <w:p>
            <w:pPr>
              <w:widowControl/>
              <w:spacing w:line="360" w:lineRule="auto"/>
              <w:rPr>
                <w:b/>
                <w:sz w:val="24"/>
                <w:szCs w:val="24"/>
                <w:u w:val="single"/>
              </w:rPr>
            </w:pPr>
            <w:r>
              <w:rPr>
                <w:rFonts w:hint="eastAsia"/>
                <w:b/>
                <w:kern w:val="0"/>
                <w:sz w:val="24"/>
                <w:u w:val="single"/>
              </w:rPr>
              <w:t>四</w:t>
            </w:r>
            <w:r>
              <w:rPr>
                <w:b/>
                <w:kern w:val="0"/>
                <w:sz w:val="24"/>
                <w:u w:val="single"/>
              </w:rPr>
              <w:t>、</w:t>
            </w:r>
            <w:r>
              <w:rPr>
                <w:b/>
                <w:sz w:val="24"/>
                <w:szCs w:val="24"/>
                <w:u w:val="single"/>
              </w:rPr>
              <w:t>现有工程存在的环境问题及相应的建议</w:t>
            </w:r>
          </w:p>
          <w:p>
            <w:pPr>
              <w:adjustRightInd w:val="0"/>
              <w:snapToGrid w:val="0"/>
              <w:spacing w:line="360" w:lineRule="auto"/>
              <w:ind w:firstLine="480" w:firstLineChars="200"/>
              <w:rPr>
                <w:snapToGrid w:val="0"/>
                <w:kern w:val="0"/>
                <w:sz w:val="24"/>
                <w:szCs w:val="21"/>
                <w:u w:val="single"/>
              </w:rPr>
            </w:pPr>
            <w:r>
              <w:rPr>
                <w:rFonts w:hint="eastAsia"/>
                <w:sz w:val="24"/>
                <w:szCs w:val="21"/>
                <w:u w:val="single"/>
              </w:rPr>
              <w:t>根据上述分析，本项目</w:t>
            </w:r>
            <w:r>
              <w:rPr>
                <w:sz w:val="24"/>
                <w:szCs w:val="21"/>
                <w:u w:val="single"/>
              </w:rPr>
              <w:t>有工程存在的环境问题</w:t>
            </w:r>
            <w:r>
              <w:rPr>
                <w:rFonts w:hint="eastAsia"/>
                <w:sz w:val="24"/>
                <w:szCs w:val="21"/>
                <w:u w:val="single"/>
              </w:rPr>
              <w:t>为项目</w:t>
            </w:r>
            <w:r>
              <w:rPr>
                <w:rFonts w:hint="eastAsia"/>
                <w:snapToGrid w:val="0"/>
                <w:kern w:val="0"/>
                <w:sz w:val="24"/>
                <w:szCs w:val="21"/>
                <w:u w:val="single"/>
              </w:rPr>
              <w:t>无单独一般废物暂存间、</w:t>
            </w:r>
            <w:r>
              <w:rPr>
                <w:snapToGrid w:val="0"/>
                <w:kern w:val="0"/>
                <w:sz w:val="24"/>
                <w:szCs w:val="21"/>
                <w:u w:val="single"/>
              </w:rPr>
              <w:t>危险暂存间相关标识标牌</w:t>
            </w:r>
            <w:r>
              <w:rPr>
                <w:rFonts w:hint="eastAsia"/>
                <w:snapToGrid w:val="0"/>
                <w:kern w:val="0"/>
                <w:sz w:val="24"/>
                <w:szCs w:val="21"/>
                <w:u w:val="single"/>
              </w:rPr>
              <w:t>标识错误，不符合环保要求。</w:t>
            </w:r>
          </w:p>
          <w:p>
            <w:pPr>
              <w:adjustRightInd w:val="0"/>
              <w:snapToGrid w:val="0"/>
              <w:spacing w:line="360" w:lineRule="auto"/>
              <w:ind w:firstLine="480" w:firstLineChars="200"/>
              <w:rPr>
                <w:sz w:val="24"/>
                <w:szCs w:val="24"/>
                <w:u w:val="single"/>
              </w:rPr>
            </w:pPr>
            <w:r>
              <w:rPr>
                <w:rFonts w:hint="eastAsia"/>
                <w:sz w:val="24"/>
                <w:szCs w:val="24"/>
                <w:u w:val="single"/>
              </w:rPr>
              <w:t>整改建议：新设置</w:t>
            </w:r>
            <w:r>
              <w:rPr>
                <w:sz w:val="24"/>
                <w:szCs w:val="24"/>
                <w:u w:val="single"/>
              </w:rPr>
              <w:t>一间</w:t>
            </w:r>
            <w:r>
              <w:rPr>
                <w:rFonts w:hint="eastAsia"/>
                <w:sz w:val="24"/>
                <w:szCs w:val="24"/>
                <w:u w:val="single"/>
              </w:rPr>
              <w:t>一般废物</w:t>
            </w:r>
            <w:r>
              <w:rPr>
                <w:sz w:val="24"/>
                <w:szCs w:val="24"/>
                <w:u w:val="single"/>
              </w:rPr>
              <w:t>暂存间</w:t>
            </w:r>
            <w:r>
              <w:rPr>
                <w:rFonts w:hint="eastAsia"/>
                <w:sz w:val="24"/>
                <w:szCs w:val="24"/>
                <w:u w:val="single"/>
              </w:rPr>
              <w:t>（10</w:t>
            </w:r>
            <w:r>
              <w:rPr>
                <w:rFonts w:hint="eastAsia" w:hAnsi="宋体"/>
                <w:snapToGrid w:val="0"/>
                <w:kern w:val="0"/>
                <w:sz w:val="24"/>
                <w:szCs w:val="24"/>
                <w:u w:val="single"/>
              </w:rPr>
              <w:t>m</w:t>
            </w:r>
            <w:r>
              <w:rPr>
                <w:rFonts w:hint="eastAsia" w:hAnsi="宋体"/>
                <w:snapToGrid w:val="0"/>
                <w:kern w:val="0"/>
                <w:sz w:val="24"/>
                <w:szCs w:val="24"/>
                <w:u w:val="single"/>
                <w:vertAlign w:val="superscript"/>
              </w:rPr>
              <w:t>2</w:t>
            </w:r>
            <w:r>
              <w:rPr>
                <w:rFonts w:hint="eastAsia"/>
                <w:sz w:val="24"/>
                <w:szCs w:val="24"/>
                <w:u w:val="single"/>
              </w:rPr>
              <w:t>）</w:t>
            </w:r>
            <w:r>
              <w:rPr>
                <w:sz w:val="24"/>
                <w:szCs w:val="24"/>
                <w:u w:val="single"/>
              </w:rPr>
              <w:t>，</w:t>
            </w:r>
            <w:r>
              <w:rPr>
                <w:rFonts w:hint="eastAsia"/>
                <w:sz w:val="24"/>
                <w:szCs w:val="24"/>
                <w:u w:val="single"/>
              </w:rPr>
              <w:t>新设的一般废物暂存间必须严格按照</w:t>
            </w:r>
            <w:r>
              <w:rPr>
                <w:kern w:val="0"/>
                <w:sz w:val="24"/>
                <w:szCs w:val="24"/>
                <w:u w:val="single"/>
              </w:rPr>
              <w:t>《一般工业固体废物贮存、处置场污染控制标准》（GB18599-2001）</w:t>
            </w:r>
            <w:r>
              <w:rPr>
                <w:rFonts w:hint="eastAsia"/>
                <w:kern w:val="0"/>
                <w:sz w:val="24"/>
                <w:szCs w:val="24"/>
                <w:u w:val="single"/>
              </w:rPr>
              <w:t>及修改单</w:t>
            </w:r>
            <w:r>
              <w:rPr>
                <w:rFonts w:hint="eastAsia"/>
                <w:snapToGrid w:val="0"/>
                <w:kern w:val="0"/>
                <w:sz w:val="24"/>
                <w:szCs w:val="24"/>
                <w:u w:val="single"/>
              </w:rPr>
              <w:t>~</w:t>
            </w:r>
            <w:r>
              <w:rPr>
                <w:snapToGrid w:val="0"/>
                <w:kern w:val="0"/>
                <w:sz w:val="24"/>
                <w:szCs w:val="24"/>
                <w:u w:val="single"/>
              </w:rPr>
              <w:t>的要求进行建设</w:t>
            </w:r>
            <w:r>
              <w:rPr>
                <w:rFonts w:hint="eastAsia"/>
                <w:snapToGrid w:val="0"/>
                <w:kern w:val="0"/>
                <w:sz w:val="24"/>
                <w:szCs w:val="24"/>
                <w:u w:val="single"/>
              </w:rPr>
              <w:t>，具体详见本报告“第七章环境影响分析中第4.1小结”。</w:t>
            </w:r>
          </w:p>
          <w:p>
            <w:pPr>
              <w:spacing w:line="360" w:lineRule="auto"/>
              <w:ind w:firstLine="480" w:firstLineChars="200"/>
              <w:rPr>
                <w:sz w:val="24"/>
                <w:szCs w:val="24"/>
              </w:rPr>
            </w:pPr>
          </w:p>
        </w:tc>
      </w:tr>
    </w:tbl>
    <w:p>
      <w:pPr>
        <w:rPr>
          <w:b/>
          <w:sz w:val="32"/>
          <w:szCs w:val="32"/>
        </w:rPr>
      </w:pPr>
      <w:r>
        <w:rPr>
          <w:rFonts w:hint="eastAsia"/>
          <w:b/>
          <w:sz w:val="32"/>
          <w:szCs w:val="32"/>
        </w:rPr>
        <w:br w:type="page"/>
      </w:r>
    </w:p>
    <w:p>
      <w:pPr>
        <w:adjustRightInd w:val="0"/>
        <w:snapToGrid w:val="0"/>
        <w:outlineLvl w:val="0"/>
        <w:rPr>
          <w:b/>
          <w:sz w:val="32"/>
          <w:szCs w:val="32"/>
        </w:rPr>
      </w:pPr>
      <w:bookmarkStart w:id="66" w:name="_Toc14269"/>
      <w:r>
        <w:rPr>
          <w:rFonts w:hint="eastAsia"/>
          <w:b/>
          <w:sz w:val="32"/>
          <w:szCs w:val="32"/>
        </w:rPr>
        <w:t>二、</w:t>
      </w:r>
      <w:r>
        <w:rPr>
          <w:b/>
          <w:sz w:val="32"/>
          <w:szCs w:val="32"/>
        </w:rPr>
        <w:t>建设项目所在地自然环境环境简况</w:t>
      </w:r>
      <w:bookmarkEnd w:id="66"/>
    </w:p>
    <w:tbl>
      <w:tblPr>
        <w:tblStyle w:val="20"/>
        <w:tblW w:w="8528"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628"/>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584" w:hRule="atLeast"/>
          <w:jc w:val="center"/>
        </w:trPr>
        <w:tc>
          <w:tcPr>
            <w:tcW w:w="8528" w:type="dxa"/>
          </w:tcPr>
          <w:p>
            <w:pPr>
              <w:adjustRightInd w:val="0"/>
              <w:snapToGrid w:val="0"/>
              <w:spacing w:line="360" w:lineRule="auto"/>
              <w:jc w:val="left"/>
              <w:rPr>
                <w:b/>
                <w:bCs/>
                <w:spacing w:val="-8"/>
                <w:sz w:val="28"/>
                <w:szCs w:val="28"/>
              </w:rPr>
            </w:pPr>
            <w:r>
              <w:rPr>
                <w:b/>
                <w:bCs/>
                <w:spacing w:val="-8"/>
                <w:sz w:val="28"/>
                <w:szCs w:val="28"/>
              </w:rPr>
              <w:t>自然环境简况（地形、地貌、地质、气候、气象、水文、植被、生物多样性等）</w:t>
            </w:r>
          </w:p>
          <w:p>
            <w:pPr>
              <w:adjustRightInd w:val="0"/>
              <w:snapToGrid w:val="0"/>
              <w:spacing w:line="360" w:lineRule="auto"/>
              <w:rPr>
                <w:b/>
                <w:sz w:val="24"/>
              </w:rPr>
            </w:pPr>
            <w:r>
              <w:rPr>
                <w:b/>
                <w:sz w:val="24"/>
              </w:rPr>
              <w:t>一、地理位置</w:t>
            </w:r>
          </w:p>
          <w:p>
            <w:pPr>
              <w:spacing w:line="360" w:lineRule="auto"/>
              <w:ind w:firstLine="480" w:firstLineChars="200"/>
              <w:rPr>
                <w:sz w:val="24"/>
              </w:rPr>
            </w:pPr>
            <w:r>
              <w:rPr>
                <w:sz w:val="24"/>
              </w:rPr>
              <w:t>岳阳市位于湖南省的东北部，素称“湘北门户”。地处东经112°18</w:t>
            </w:r>
            <w:r>
              <w:rPr>
                <w:rFonts w:hint="eastAsia" w:ascii="宋体" w:hAnsi="宋体" w:cs="宋体"/>
                <w:sz w:val="24"/>
              </w:rPr>
              <w:t>′</w:t>
            </w:r>
            <w:r>
              <w:rPr>
                <w:rFonts w:ascii="Dutch801 Rm BT" w:hAnsi="Dutch801 Rm BT" w:cs="Dutch801 Rm BT"/>
                <w:sz w:val="24"/>
              </w:rPr>
              <w:t>31</w:t>
            </w:r>
            <w:r>
              <w:rPr>
                <w:rFonts w:hint="eastAsia" w:ascii="宋体" w:hAnsi="宋体" w:cs="宋体"/>
                <w:sz w:val="24"/>
              </w:rPr>
              <w:t>″</w:t>
            </w:r>
            <w:r>
              <w:rPr>
                <w:rFonts w:ascii="Dutch801 Rm BT" w:hAnsi="Dutch801 Rm BT" w:cs="Dutch801 Rm BT"/>
                <w:sz w:val="24"/>
              </w:rPr>
              <w:t>-114°9</w:t>
            </w:r>
            <w:r>
              <w:rPr>
                <w:rFonts w:hint="eastAsia" w:ascii="宋体" w:hAnsi="宋体" w:cs="宋体"/>
                <w:sz w:val="24"/>
              </w:rPr>
              <w:t>′</w:t>
            </w:r>
            <w:r>
              <w:rPr>
                <w:rFonts w:ascii="Dutch801 Rm BT" w:hAnsi="Dutch801 Rm BT" w:cs="Dutch801 Rm BT"/>
                <w:sz w:val="24"/>
              </w:rPr>
              <w:t>6</w:t>
            </w:r>
            <w:r>
              <w:rPr>
                <w:rFonts w:hint="eastAsia" w:ascii="宋体" w:hAnsi="宋体" w:cs="宋体"/>
                <w:sz w:val="24"/>
              </w:rPr>
              <w:t>″</w:t>
            </w:r>
            <w:r>
              <w:rPr>
                <w:sz w:val="24"/>
              </w:rPr>
              <w:t>，北纬28°25</w:t>
            </w:r>
            <w:r>
              <w:rPr>
                <w:rFonts w:hint="eastAsia" w:ascii="宋体" w:hAnsi="宋体" w:cs="宋体"/>
                <w:sz w:val="24"/>
              </w:rPr>
              <w:t>′</w:t>
            </w:r>
            <w:r>
              <w:rPr>
                <w:rFonts w:ascii="Dutch801 Rm BT" w:hAnsi="Dutch801 Rm BT" w:cs="Dutch801 Rm BT"/>
                <w:sz w:val="24"/>
              </w:rPr>
              <w:t>33</w:t>
            </w:r>
            <w:r>
              <w:rPr>
                <w:rFonts w:hint="eastAsia" w:ascii="宋体" w:hAnsi="宋体" w:cs="宋体"/>
                <w:sz w:val="24"/>
              </w:rPr>
              <w:t>″</w:t>
            </w:r>
            <w:r>
              <w:rPr>
                <w:rFonts w:ascii="Dutch801 Rm BT" w:hAnsi="Dutch801 Rm BT" w:cs="Dutch801 Rm BT"/>
                <w:sz w:val="24"/>
              </w:rPr>
              <w:t>-29°51</w:t>
            </w:r>
            <w:r>
              <w:rPr>
                <w:rFonts w:hint="eastAsia" w:ascii="宋体" w:hAnsi="宋体" w:cs="宋体"/>
                <w:sz w:val="24"/>
              </w:rPr>
              <w:t>′</w:t>
            </w:r>
            <w:r>
              <w:rPr>
                <w:rFonts w:ascii="Dutch801 Rm BT" w:hAnsi="Dutch801 Rm BT" w:cs="Dutch801 Rm BT"/>
                <w:sz w:val="24"/>
              </w:rPr>
              <w:t>00</w:t>
            </w:r>
            <w:r>
              <w:rPr>
                <w:rFonts w:hint="eastAsia" w:ascii="宋体" w:hAnsi="宋体" w:cs="宋体"/>
                <w:sz w:val="24"/>
              </w:rPr>
              <w:t>″</w:t>
            </w:r>
            <w:r>
              <w:rPr>
                <w:sz w:val="24"/>
              </w:rPr>
              <w:t>之间。东邻江西省铜鼓、修水县和湖北省通城县；南抵湖南省浏阳市、长沙县、望城县；西接湖南省南县、安乡县、沅江市；北界湖北省赤壁、洪湖、监利、石首县（市）。全市东西横跨177.84km，南北纵长157.87km。土地总面积14898km</w:t>
            </w:r>
            <w:r>
              <w:rPr>
                <w:sz w:val="24"/>
                <w:vertAlign w:val="superscript"/>
              </w:rPr>
              <w:t>2</w:t>
            </w:r>
            <w:r>
              <w:rPr>
                <w:sz w:val="24"/>
              </w:rPr>
              <w:t>，占全省总面积的7.05%。城市规划区面积845km</w:t>
            </w:r>
            <w:r>
              <w:rPr>
                <w:sz w:val="24"/>
                <w:vertAlign w:val="superscript"/>
              </w:rPr>
              <w:t>2</w:t>
            </w:r>
            <w:r>
              <w:rPr>
                <w:sz w:val="24"/>
              </w:rPr>
              <w:t>，其中市区建成区面积83.73km</w:t>
            </w:r>
            <w:r>
              <w:rPr>
                <w:sz w:val="24"/>
                <w:vertAlign w:val="superscript"/>
              </w:rPr>
              <w:t>2</w:t>
            </w:r>
            <w:r>
              <w:rPr>
                <w:sz w:val="24"/>
              </w:rPr>
              <w:t>。</w:t>
            </w:r>
          </w:p>
          <w:p>
            <w:pPr>
              <w:spacing w:line="360" w:lineRule="auto"/>
              <w:ind w:firstLine="480" w:firstLineChars="200"/>
              <w:rPr>
                <w:sz w:val="24"/>
              </w:rPr>
            </w:pPr>
            <w:r>
              <w:rPr>
                <w:rFonts w:hint="eastAsia"/>
                <w:kern w:val="0"/>
                <w:sz w:val="24"/>
              </w:rPr>
              <w:t>项目位于</w:t>
            </w:r>
            <w:r>
              <w:rPr>
                <w:rFonts w:hint="eastAsia"/>
                <w:sz w:val="24"/>
              </w:rPr>
              <w:t>岳阳市临港产业新区城陵矶片区联港路</w:t>
            </w:r>
            <w:r>
              <w:rPr>
                <w:rFonts w:hint="eastAsia"/>
                <w:kern w:val="0"/>
                <w:sz w:val="24"/>
              </w:rPr>
              <w:t>（中心地理坐标东经</w:t>
            </w:r>
            <w:r>
              <w:rPr>
                <w:rFonts w:hint="eastAsia"/>
                <w:sz w:val="24"/>
                <w:szCs w:val="22"/>
              </w:rPr>
              <w:t>113°10′25.15″、北纬29°25′6.54″</w:t>
            </w:r>
            <w:r>
              <w:rPr>
                <w:rFonts w:hint="eastAsia"/>
                <w:kern w:val="0"/>
                <w:sz w:val="24"/>
              </w:rPr>
              <w:t>），交通便捷。具体位置见附图1。</w:t>
            </w:r>
          </w:p>
          <w:p>
            <w:pPr>
              <w:spacing w:line="360" w:lineRule="auto"/>
              <w:rPr>
                <w:sz w:val="24"/>
              </w:rPr>
            </w:pPr>
            <w:r>
              <w:rPr>
                <w:b/>
                <w:sz w:val="24"/>
              </w:rPr>
              <w:t>二、</w:t>
            </w:r>
            <w:r>
              <w:rPr>
                <w:rFonts w:hint="eastAsia"/>
                <w:b/>
                <w:sz w:val="24"/>
              </w:rPr>
              <w:t>地质</w:t>
            </w:r>
            <w:r>
              <w:rPr>
                <w:b/>
                <w:sz w:val="24"/>
              </w:rPr>
              <w:t>地貌</w:t>
            </w:r>
          </w:p>
          <w:p>
            <w:pPr>
              <w:spacing w:line="360" w:lineRule="auto"/>
              <w:ind w:firstLine="480" w:firstLineChars="200"/>
              <w:rPr>
                <w:sz w:val="24"/>
              </w:rPr>
            </w:pPr>
            <w:r>
              <w:rPr>
                <w:rFonts w:hAnsi="宋体"/>
                <w:sz w:val="24"/>
              </w:rPr>
              <w:t>城陵矶新港区所在地属河流和湖泊冲击平原，地势平坦，土层深厚，土质肥沃。地面标高平均为黄海高程</w:t>
            </w:r>
            <w:r>
              <w:rPr>
                <w:sz w:val="24"/>
              </w:rPr>
              <w:t>27~29m</w:t>
            </w:r>
            <w:r>
              <w:rPr>
                <w:rFonts w:hAnsi="宋体"/>
                <w:sz w:val="24"/>
              </w:rPr>
              <w:t>。地层为第四系冲积沉积层，下为前震系构成，下伏基层为板岩和千枚岩，有较强风化，地基承载力一般为</w:t>
            </w:r>
            <w:r>
              <w:rPr>
                <w:sz w:val="24"/>
              </w:rPr>
              <w:t>120~220KPa</w:t>
            </w:r>
            <w:r>
              <w:rPr>
                <w:rFonts w:hAnsi="宋体"/>
                <w:sz w:val="24"/>
              </w:rPr>
              <w:t>。根据《中国地震动参数区划图（</w:t>
            </w:r>
            <w:r>
              <w:rPr>
                <w:sz w:val="24"/>
              </w:rPr>
              <w:t>GB18306-2001</w:t>
            </w:r>
            <w:r>
              <w:rPr>
                <w:rFonts w:hAnsi="宋体"/>
                <w:sz w:val="24"/>
              </w:rPr>
              <w:t>）》，查得项目区域地震动峰值加速度为</w:t>
            </w:r>
            <w:r>
              <w:rPr>
                <w:sz w:val="24"/>
              </w:rPr>
              <w:t>0.18</w:t>
            </w:r>
            <w:r>
              <w:rPr>
                <w:rFonts w:hAnsi="宋体"/>
                <w:sz w:val="24"/>
              </w:rPr>
              <w:t>，项目区地震动反应谱特征周期为</w:t>
            </w:r>
            <w:r>
              <w:rPr>
                <w:sz w:val="24"/>
              </w:rPr>
              <w:t>0.35s</w:t>
            </w:r>
            <w:r>
              <w:rPr>
                <w:rFonts w:hAnsi="宋体"/>
                <w:sz w:val="24"/>
              </w:rPr>
              <w:t>，抗震设防烈度为</w:t>
            </w:r>
            <w:r>
              <w:rPr>
                <w:sz w:val="24"/>
              </w:rPr>
              <w:t>7</w:t>
            </w:r>
            <w:r>
              <w:rPr>
                <w:rFonts w:hAnsi="宋体"/>
                <w:sz w:val="24"/>
              </w:rPr>
              <w:t>度。建筑物按</w:t>
            </w:r>
            <w:r>
              <w:rPr>
                <w:sz w:val="24"/>
              </w:rPr>
              <w:t>7</w:t>
            </w:r>
            <w:r>
              <w:rPr>
                <w:rFonts w:hAnsi="宋体"/>
                <w:sz w:val="24"/>
              </w:rPr>
              <w:t>度设防。</w:t>
            </w:r>
          </w:p>
          <w:p>
            <w:pPr>
              <w:spacing w:line="360" w:lineRule="auto"/>
              <w:rPr>
                <w:sz w:val="24"/>
              </w:rPr>
            </w:pPr>
            <w:r>
              <w:rPr>
                <w:rFonts w:hint="eastAsia"/>
                <w:b/>
                <w:sz w:val="24"/>
              </w:rPr>
              <w:t>三</w:t>
            </w:r>
            <w:r>
              <w:rPr>
                <w:b/>
                <w:sz w:val="24"/>
              </w:rPr>
              <w:t>、气候、气象</w:t>
            </w:r>
          </w:p>
          <w:p>
            <w:pPr>
              <w:spacing w:line="360" w:lineRule="auto"/>
              <w:ind w:firstLine="480" w:firstLineChars="200"/>
              <w:rPr>
                <w:sz w:val="24"/>
              </w:rPr>
            </w:pPr>
            <w:r>
              <w:rPr>
                <w:rFonts w:hAnsi="宋体"/>
                <w:sz w:val="24"/>
              </w:rPr>
              <w:t>城陵矶新港区处于洞庭湖平原，属亚热带季风湿润气候区，气候湿润，温暧期长，严寒期短，四季分明，雨量充沛。由于受洞庭湖直接影响，市区最高气温比相邻县市低，最低气温比相邻县市高，年平均气温为</w:t>
            </w:r>
            <w:r>
              <w:rPr>
                <w:sz w:val="24"/>
              </w:rPr>
              <w:t>16.9℃</w:t>
            </w:r>
            <w:r>
              <w:rPr>
                <w:rFonts w:hAnsi="宋体"/>
                <w:sz w:val="24"/>
              </w:rPr>
              <w:t>，以七月最热，平均气温在</w:t>
            </w:r>
            <w:r>
              <w:rPr>
                <w:sz w:val="24"/>
              </w:rPr>
              <w:t>28℃</w:t>
            </w:r>
            <w:r>
              <w:rPr>
                <w:rFonts w:hAnsi="宋体"/>
                <w:sz w:val="24"/>
              </w:rPr>
              <w:t>；</w:t>
            </w:r>
            <w:r>
              <w:rPr>
                <w:sz w:val="24"/>
              </w:rPr>
              <w:t>1</w:t>
            </w:r>
            <w:r>
              <w:rPr>
                <w:rFonts w:hAnsi="宋体"/>
                <w:sz w:val="24"/>
              </w:rPr>
              <w:t>月最冷，平均气温为</w:t>
            </w:r>
            <w:r>
              <w:rPr>
                <w:sz w:val="24"/>
              </w:rPr>
              <w:t>4.2℃</w:t>
            </w:r>
            <w:r>
              <w:rPr>
                <w:rFonts w:hAnsi="宋体"/>
                <w:sz w:val="24"/>
              </w:rPr>
              <w:t>，年平均降雨量</w:t>
            </w:r>
            <w:r>
              <w:rPr>
                <w:sz w:val="24"/>
              </w:rPr>
              <w:t>1302mm</w:t>
            </w:r>
            <w:r>
              <w:rPr>
                <w:rFonts w:hAnsi="宋体"/>
                <w:sz w:val="24"/>
              </w:rPr>
              <w:t>，年平均相对湿度为</w:t>
            </w:r>
            <w:r>
              <w:rPr>
                <w:sz w:val="24"/>
              </w:rPr>
              <w:t>79%</w:t>
            </w:r>
            <w:r>
              <w:rPr>
                <w:rFonts w:hAnsi="宋体"/>
                <w:sz w:val="24"/>
              </w:rPr>
              <w:t>，全年无霜期</w:t>
            </w:r>
            <w:r>
              <w:rPr>
                <w:sz w:val="24"/>
              </w:rPr>
              <w:t>277</w:t>
            </w:r>
            <w:r>
              <w:rPr>
                <w:rFonts w:hAnsi="宋体"/>
                <w:sz w:val="24"/>
              </w:rPr>
              <w:t>天。位于港区中内的芭蕉湖常规水面面积达</w:t>
            </w:r>
            <w:r>
              <w:rPr>
                <w:sz w:val="24"/>
              </w:rPr>
              <w:t>11km</w:t>
            </w:r>
            <w:r>
              <w:rPr>
                <w:sz w:val="24"/>
                <w:vertAlign w:val="superscript"/>
              </w:rPr>
              <w:t>2</w:t>
            </w:r>
            <w:r>
              <w:rPr>
                <w:rFonts w:hAnsi="宋体"/>
                <w:sz w:val="24"/>
              </w:rPr>
              <w:t>，与周边区域共</w:t>
            </w:r>
            <w:r>
              <w:rPr>
                <w:sz w:val="24"/>
              </w:rPr>
              <w:t>28.81km</w:t>
            </w:r>
            <w:r>
              <w:rPr>
                <w:sz w:val="24"/>
                <w:vertAlign w:val="superscript"/>
              </w:rPr>
              <w:t>2</w:t>
            </w:r>
            <w:r>
              <w:rPr>
                <w:rFonts w:hAnsi="宋体"/>
                <w:sz w:val="24"/>
              </w:rPr>
              <w:t>，是规划中的城市绿地，境内山水环绕，环境优美，置身如此，不仅可以感受她的勃勃生机，而且可以领略到这块土地的美丽、神奇与无究魅力。日照率</w:t>
            </w:r>
            <w:r>
              <w:rPr>
                <w:sz w:val="24"/>
              </w:rPr>
              <w:t>40%</w:t>
            </w:r>
            <w:r>
              <w:rPr>
                <w:rFonts w:hAnsi="宋体"/>
                <w:sz w:val="24"/>
              </w:rPr>
              <w:t>。常年主导风向为西北风，夏季主要风向为南风。区域外水域面积大，空气湿润，年平均相对湿度</w:t>
            </w:r>
            <w:r>
              <w:rPr>
                <w:sz w:val="24"/>
              </w:rPr>
              <w:t>78%</w:t>
            </w:r>
            <w:r>
              <w:rPr>
                <w:rFonts w:hAnsi="宋体"/>
                <w:sz w:val="24"/>
              </w:rPr>
              <w:t>。</w:t>
            </w:r>
          </w:p>
          <w:p>
            <w:pPr>
              <w:spacing w:line="360" w:lineRule="auto"/>
              <w:ind w:firstLine="480" w:firstLineChars="200"/>
              <w:rPr>
                <w:sz w:val="24"/>
              </w:rPr>
            </w:pPr>
            <w:r>
              <w:rPr>
                <w:rFonts w:hAnsi="宋体"/>
                <w:sz w:val="24"/>
              </w:rPr>
              <w:t>常年主导风向：北、北东</w:t>
            </w:r>
          </w:p>
          <w:p>
            <w:pPr>
              <w:spacing w:line="360" w:lineRule="auto"/>
              <w:ind w:firstLine="480" w:firstLineChars="200"/>
              <w:rPr>
                <w:sz w:val="24"/>
              </w:rPr>
            </w:pPr>
            <w:r>
              <w:rPr>
                <w:rFonts w:hAnsi="宋体"/>
                <w:sz w:val="24"/>
              </w:rPr>
              <w:t>历年平均风速：</w:t>
            </w:r>
            <w:r>
              <w:rPr>
                <w:sz w:val="24"/>
              </w:rPr>
              <w:t xml:space="preserve">       3.1m/s</w:t>
            </w:r>
          </w:p>
          <w:p>
            <w:pPr>
              <w:spacing w:line="360" w:lineRule="auto"/>
              <w:ind w:firstLine="480" w:firstLineChars="200"/>
              <w:rPr>
                <w:sz w:val="24"/>
              </w:rPr>
            </w:pPr>
            <w:r>
              <w:rPr>
                <w:rFonts w:hAnsi="宋体"/>
                <w:sz w:val="24"/>
              </w:rPr>
              <w:t>瞬时最高风速：</w:t>
            </w:r>
            <w:r>
              <w:rPr>
                <w:sz w:val="24"/>
              </w:rPr>
              <w:t xml:space="preserve">       40m/s</w:t>
            </w:r>
          </w:p>
          <w:p>
            <w:pPr>
              <w:spacing w:line="360" w:lineRule="auto"/>
              <w:ind w:firstLine="480" w:firstLineChars="200"/>
              <w:rPr>
                <w:sz w:val="24"/>
              </w:rPr>
            </w:pPr>
            <w:r>
              <w:rPr>
                <w:rFonts w:hAnsi="宋体"/>
                <w:sz w:val="24"/>
              </w:rPr>
              <w:t>极端最高气温：</w:t>
            </w:r>
            <w:r>
              <w:rPr>
                <w:sz w:val="24"/>
              </w:rPr>
              <w:t xml:space="preserve">       39.3℃</w:t>
            </w:r>
          </w:p>
          <w:p>
            <w:pPr>
              <w:spacing w:line="360" w:lineRule="auto"/>
              <w:ind w:firstLine="480" w:firstLineChars="200"/>
              <w:rPr>
                <w:sz w:val="24"/>
              </w:rPr>
            </w:pPr>
            <w:r>
              <w:rPr>
                <w:rFonts w:hAnsi="宋体"/>
                <w:sz w:val="24"/>
              </w:rPr>
              <w:t>极端最低气温：</w:t>
            </w:r>
            <w:r>
              <w:rPr>
                <w:sz w:val="24"/>
              </w:rPr>
              <w:t xml:space="preserve">       -11.8℃</w:t>
            </w:r>
          </w:p>
          <w:p>
            <w:pPr>
              <w:spacing w:line="360" w:lineRule="auto"/>
              <w:ind w:firstLine="480" w:firstLineChars="200"/>
              <w:rPr>
                <w:sz w:val="24"/>
              </w:rPr>
            </w:pPr>
            <w:r>
              <w:rPr>
                <w:rFonts w:hAnsi="宋体"/>
                <w:sz w:val="24"/>
              </w:rPr>
              <w:t>历年平均气温：</w:t>
            </w:r>
            <w:r>
              <w:rPr>
                <w:sz w:val="24"/>
              </w:rPr>
              <w:t xml:space="preserve">       17℃</w:t>
            </w:r>
          </w:p>
          <w:p>
            <w:pPr>
              <w:spacing w:line="360" w:lineRule="auto"/>
              <w:ind w:firstLine="480" w:firstLineChars="200"/>
              <w:rPr>
                <w:sz w:val="24"/>
              </w:rPr>
            </w:pPr>
            <w:r>
              <w:rPr>
                <w:rFonts w:hAnsi="宋体"/>
                <w:sz w:val="24"/>
              </w:rPr>
              <w:t>历年平均相对湿度：</w:t>
            </w:r>
            <w:r>
              <w:rPr>
                <w:sz w:val="24"/>
              </w:rPr>
              <w:t xml:space="preserve">   79</w:t>
            </w:r>
            <w:r>
              <w:rPr>
                <w:rFonts w:hAnsi="宋体"/>
                <w:sz w:val="24"/>
              </w:rPr>
              <w:t>％</w:t>
            </w:r>
          </w:p>
          <w:p>
            <w:pPr>
              <w:spacing w:line="360" w:lineRule="auto"/>
              <w:ind w:firstLine="480" w:firstLineChars="200"/>
              <w:rPr>
                <w:sz w:val="24"/>
              </w:rPr>
            </w:pPr>
            <w:r>
              <w:rPr>
                <w:rFonts w:hAnsi="宋体"/>
                <w:sz w:val="24"/>
              </w:rPr>
              <w:t>历年最大相对湿度：</w:t>
            </w:r>
            <w:r>
              <w:rPr>
                <w:sz w:val="24"/>
              </w:rPr>
              <w:t xml:space="preserve">   100</w:t>
            </w:r>
            <w:r>
              <w:rPr>
                <w:rFonts w:hAnsi="宋体"/>
                <w:sz w:val="24"/>
              </w:rPr>
              <w:t>％</w:t>
            </w:r>
          </w:p>
          <w:p>
            <w:pPr>
              <w:spacing w:line="360" w:lineRule="auto"/>
              <w:ind w:firstLine="480" w:firstLineChars="200"/>
              <w:rPr>
                <w:sz w:val="24"/>
              </w:rPr>
            </w:pPr>
            <w:r>
              <w:rPr>
                <w:rFonts w:hAnsi="宋体"/>
                <w:sz w:val="24"/>
              </w:rPr>
              <w:t>历年最小相对湿度：</w:t>
            </w:r>
            <w:r>
              <w:rPr>
                <w:sz w:val="24"/>
              </w:rPr>
              <w:t xml:space="preserve">   12</w:t>
            </w:r>
            <w:r>
              <w:rPr>
                <w:rFonts w:hAnsi="宋体"/>
                <w:sz w:val="24"/>
              </w:rPr>
              <w:t>％</w:t>
            </w:r>
          </w:p>
          <w:p>
            <w:pPr>
              <w:spacing w:line="360" w:lineRule="auto"/>
              <w:ind w:firstLine="480" w:firstLineChars="200"/>
              <w:rPr>
                <w:sz w:val="24"/>
              </w:rPr>
            </w:pPr>
            <w:r>
              <w:rPr>
                <w:rFonts w:hAnsi="宋体"/>
                <w:sz w:val="24"/>
              </w:rPr>
              <w:t>历年平均气温压：</w:t>
            </w:r>
            <w:r>
              <w:rPr>
                <w:sz w:val="24"/>
              </w:rPr>
              <w:t xml:space="preserve">     100.7KPa</w:t>
            </w:r>
          </w:p>
          <w:p>
            <w:pPr>
              <w:spacing w:line="360" w:lineRule="auto"/>
              <w:ind w:firstLine="480" w:firstLineChars="200"/>
              <w:rPr>
                <w:sz w:val="24"/>
              </w:rPr>
            </w:pPr>
            <w:r>
              <w:rPr>
                <w:rFonts w:hAnsi="宋体"/>
                <w:sz w:val="24"/>
              </w:rPr>
              <w:t>年平均降雨量：</w:t>
            </w:r>
            <w:r>
              <w:rPr>
                <w:sz w:val="24"/>
              </w:rPr>
              <w:t xml:space="preserve">       1302.4mm</w:t>
            </w:r>
          </w:p>
          <w:p>
            <w:pPr>
              <w:spacing w:line="360" w:lineRule="auto"/>
              <w:ind w:firstLine="480" w:firstLineChars="200"/>
              <w:rPr>
                <w:sz w:val="24"/>
              </w:rPr>
            </w:pPr>
            <w:r>
              <w:rPr>
                <w:rFonts w:hAnsi="宋体"/>
                <w:sz w:val="24"/>
              </w:rPr>
              <w:t>年最大降雨量：</w:t>
            </w:r>
            <w:r>
              <w:rPr>
                <w:sz w:val="24"/>
              </w:rPr>
              <w:t xml:space="preserve">       2336.5mm</w:t>
            </w:r>
          </w:p>
          <w:p>
            <w:pPr>
              <w:spacing w:line="360" w:lineRule="auto"/>
              <w:ind w:firstLine="480" w:firstLineChars="200"/>
              <w:rPr>
                <w:sz w:val="24"/>
              </w:rPr>
            </w:pPr>
            <w:r>
              <w:rPr>
                <w:rFonts w:hAnsi="宋体"/>
                <w:sz w:val="24"/>
              </w:rPr>
              <w:t>年最小降雨量：</w:t>
            </w:r>
            <w:r>
              <w:rPr>
                <w:sz w:val="24"/>
              </w:rPr>
              <w:t xml:space="preserve">       787.4mm</w:t>
            </w:r>
          </w:p>
          <w:p>
            <w:pPr>
              <w:spacing w:line="360" w:lineRule="auto"/>
              <w:ind w:firstLine="480" w:firstLineChars="200"/>
              <w:rPr>
                <w:sz w:val="24"/>
              </w:rPr>
            </w:pPr>
            <w:r>
              <w:rPr>
                <w:rFonts w:hAnsi="宋体"/>
                <w:sz w:val="24"/>
              </w:rPr>
              <w:t>最大积雪深度：</w:t>
            </w:r>
            <w:r>
              <w:rPr>
                <w:sz w:val="24"/>
              </w:rPr>
              <w:t xml:space="preserve">       230mm</w:t>
            </w:r>
          </w:p>
          <w:p>
            <w:pPr>
              <w:spacing w:line="360" w:lineRule="auto"/>
              <w:ind w:firstLine="480" w:firstLineChars="200"/>
              <w:rPr>
                <w:sz w:val="24"/>
              </w:rPr>
            </w:pPr>
            <w:r>
              <w:rPr>
                <w:rFonts w:hAnsi="宋体"/>
                <w:sz w:val="24"/>
              </w:rPr>
              <w:t>年平均蒸发量：</w:t>
            </w:r>
            <w:r>
              <w:rPr>
                <w:sz w:val="24"/>
              </w:rPr>
              <w:t xml:space="preserve">       142.2mm</w:t>
            </w:r>
          </w:p>
          <w:p>
            <w:pPr>
              <w:spacing w:line="360" w:lineRule="auto"/>
              <w:rPr>
                <w:sz w:val="24"/>
              </w:rPr>
            </w:pPr>
            <w:r>
              <w:rPr>
                <w:rFonts w:hint="eastAsia"/>
                <w:b/>
                <w:sz w:val="24"/>
              </w:rPr>
              <w:t>四</w:t>
            </w:r>
            <w:r>
              <w:rPr>
                <w:b/>
                <w:sz w:val="24"/>
              </w:rPr>
              <w:t>、水文</w:t>
            </w:r>
          </w:p>
          <w:p>
            <w:pPr>
              <w:spacing w:line="360" w:lineRule="auto"/>
              <w:ind w:firstLine="480" w:firstLineChars="200"/>
              <w:rPr>
                <w:sz w:val="24"/>
              </w:rPr>
            </w:pPr>
            <w:r>
              <w:rPr>
                <w:rFonts w:hAnsi="宋体"/>
                <w:sz w:val="24"/>
              </w:rPr>
              <w:t>区内地下水类型可分为基岩裂隙水和第四系松散地层孔隙水。前者水量贫乏，后者可分为孔隙潜水和孔隙承压水两类，孔隙潜水分布较广，主要富集于第四系松散层中，与地表水呈季节性互补关系，受江湖水位影响，动态变化大，水位一般</w:t>
            </w:r>
            <w:r>
              <w:rPr>
                <w:sz w:val="24"/>
              </w:rPr>
              <w:t>1</w:t>
            </w:r>
            <w:r>
              <w:rPr>
                <w:rFonts w:hAnsi="宋体"/>
                <w:sz w:val="24"/>
              </w:rPr>
              <w:t>～</w:t>
            </w:r>
            <w:r>
              <w:rPr>
                <w:sz w:val="24"/>
              </w:rPr>
              <w:t>5m</w:t>
            </w:r>
            <w:r>
              <w:rPr>
                <w:rFonts w:hAnsi="宋体"/>
                <w:sz w:val="24"/>
              </w:rPr>
              <w:t>，水量不丰富。孔隙承压水主要分布在中更新统</w:t>
            </w:r>
            <w:r>
              <w:rPr>
                <w:sz w:val="24"/>
              </w:rPr>
              <w:t>Q2al</w:t>
            </w:r>
            <w:r>
              <w:rPr>
                <w:rFonts w:hAnsi="宋体"/>
                <w:sz w:val="24"/>
              </w:rPr>
              <w:t>下部透水性较强的含砾粘土及沙砾石层中，含水层厚</w:t>
            </w:r>
            <w:r>
              <w:rPr>
                <w:sz w:val="24"/>
              </w:rPr>
              <w:t>3</w:t>
            </w:r>
            <w:r>
              <w:rPr>
                <w:rFonts w:hAnsi="宋体"/>
                <w:sz w:val="24"/>
              </w:rPr>
              <w:t>～</w:t>
            </w:r>
            <w:r>
              <w:rPr>
                <w:sz w:val="24"/>
              </w:rPr>
              <w:t>8m</w:t>
            </w:r>
            <w:r>
              <w:rPr>
                <w:rFonts w:hAnsi="宋体"/>
                <w:sz w:val="24"/>
              </w:rPr>
              <w:t>，顶板高程一般</w:t>
            </w:r>
            <w:r>
              <w:rPr>
                <w:sz w:val="24"/>
              </w:rPr>
              <w:t>16</w:t>
            </w:r>
            <w:r>
              <w:rPr>
                <w:rFonts w:hAnsi="宋体"/>
                <w:sz w:val="24"/>
              </w:rPr>
              <w:t>～</w:t>
            </w:r>
            <w:r>
              <w:rPr>
                <w:sz w:val="24"/>
              </w:rPr>
              <w:t>19m</w:t>
            </w:r>
            <w:r>
              <w:rPr>
                <w:rFonts w:hAnsi="宋体"/>
                <w:sz w:val="24"/>
              </w:rPr>
              <w:t>，低于湖水位</w:t>
            </w:r>
            <w:r>
              <w:rPr>
                <w:sz w:val="24"/>
              </w:rPr>
              <w:t>2</w:t>
            </w:r>
            <w:r>
              <w:rPr>
                <w:rFonts w:hAnsi="宋体"/>
                <w:sz w:val="24"/>
              </w:rPr>
              <w:t>～</w:t>
            </w:r>
            <w:r>
              <w:rPr>
                <w:sz w:val="24"/>
              </w:rPr>
              <w:t>6m</w:t>
            </w:r>
            <w:r>
              <w:rPr>
                <w:rFonts w:hAnsi="宋体"/>
                <w:sz w:val="24"/>
              </w:rPr>
              <w:t>，略具承压性。根据对两组水的抽样分析，地下水位重碳酸、硫酸钾钠钙型低矿化度软水和重碳酸钾钙型低矿化度软水，对砼无侵蚀性。</w:t>
            </w:r>
          </w:p>
          <w:p>
            <w:pPr>
              <w:spacing w:line="360" w:lineRule="auto"/>
              <w:ind w:firstLine="480" w:firstLineChars="200"/>
              <w:rPr>
                <w:sz w:val="24"/>
              </w:rPr>
            </w:pPr>
            <w:r>
              <w:rPr>
                <w:rFonts w:hAnsi="宋体"/>
                <w:sz w:val="24"/>
              </w:rPr>
              <w:t>城陵矶新港区的城陵矶是长江中游第一矶，属</w:t>
            </w:r>
            <w:r>
              <w:rPr>
                <w:sz w:val="24"/>
              </w:rPr>
              <w:t>“</w:t>
            </w:r>
            <w:r>
              <w:rPr>
                <w:rFonts w:hAnsi="宋体"/>
                <w:sz w:val="24"/>
              </w:rPr>
              <w:t>长江八大良港</w:t>
            </w:r>
            <w:r>
              <w:rPr>
                <w:sz w:val="24"/>
              </w:rPr>
              <w:t>”</w:t>
            </w:r>
            <w:r>
              <w:rPr>
                <w:rFonts w:hAnsi="宋体"/>
                <w:sz w:val="24"/>
              </w:rPr>
              <w:t>之一，是长江中游水陆联运、干支联系的综合枢纽港口；湖南省水路第一门户，是湖南惟一的国家一类口岸。其地表水体发育，池塘星罗棋布，较大的地表水为长江、东洞庭湖等。由于矶头滨临江岸，南北介于东风、芭蕉两湖之间，面朝荆江，成为二面临水的岛矶。城陵矶突出江湖汇口，具有抗冲和挑流作用，是地处</w:t>
            </w:r>
            <w:r>
              <w:rPr>
                <w:sz w:val="24"/>
              </w:rPr>
              <w:t>Y</w:t>
            </w:r>
            <w:r>
              <w:rPr>
                <w:rFonts w:hAnsi="宋体"/>
                <w:sz w:val="24"/>
              </w:rPr>
              <w:t>字形水道南侧的洞庭湖口节点。附近七里山，过水断面</w:t>
            </w:r>
            <w:r>
              <w:rPr>
                <w:sz w:val="24"/>
              </w:rPr>
              <w:t>1000m</w:t>
            </w:r>
            <w:r>
              <w:rPr>
                <w:rFonts w:hAnsi="宋体"/>
                <w:sz w:val="24"/>
              </w:rPr>
              <w:t>，历年最高水位</w:t>
            </w:r>
            <w:r>
              <w:rPr>
                <w:sz w:val="24"/>
              </w:rPr>
              <w:t>32.75m</w:t>
            </w:r>
            <w:r>
              <w:rPr>
                <w:rFonts w:hAnsi="宋体"/>
                <w:sz w:val="24"/>
              </w:rPr>
              <w:t>，是四水、四口入湖水经调蓄再度入江的唯一出口。又为江湖之间洄游性和半洄游性经济鱼类来往的通道。城陵矶是湘北内联四水、外通江海的第一港。洞庭湖四水常年有</w:t>
            </w:r>
            <w:r>
              <w:rPr>
                <w:sz w:val="24"/>
              </w:rPr>
              <w:t>300</w:t>
            </w:r>
            <w:r>
              <w:rPr>
                <w:rFonts w:hAnsi="宋体"/>
                <w:sz w:val="24"/>
              </w:rPr>
              <w:t>～</w:t>
            </w:r>
            <w:r>
              <w:rPr>
                <w:sz w:val="24"/>
              </w:rPr>
              <w:t>500</w:t>
            </w:r>
            <w:r>
              <w:rPr>
                <w:rFonts w:hAnsi="宋体"/>
                <w:sz w:val="24"/>
              </w:rPr>
              <w:t>吨级船队及千吨级顶推船队经此出入长江，长江干流船舶亦可于此停靠，年吞吐量约</w:t>
            </w:r>
            <w:r>
              <w:rPr>
                <w:sz w:val="24"/>
              </w:rPr>
              <w:t>430</w:t>
            </w:r>
            <w:r>
              <w:rPr>
                <w:rFonts w:hAnsi="宋体"/>
                <w:sz w:val="24"/>
              </w:rPr>
              <w:t>万吨。港口有专线通京广铁路，便于水陆联运。</w:t>
            </w:r>
          </w:p>
          <w:p>
            <w:pPr>
              <w:spacing w:line="360" w:lineRule="auto"/>
              <w:ind w:firstLine="480" w:firstLineChars="200"/>
              <w:rPr>
                <w:sz w:val="24"/>
              </w:rPr>
            </w:pPr>
            <w:r>
              <w:rPr>
                <w:rFonts w:hAnsi="宋体"/>
                <w:sz w:val="24"/>
              </w:rPr>
              <w:t>（</w:t>
            </w:r>
            <w:r>
              <w:rPr>
                <w:sz w:val="24"/>
              </w:rPr>
              <w:t>1</w:t>
            </w:r>
            <w:r>
              <w:rPr>
                <w:rFonts w:hAnsi="宋体"/>
                <w:sz w:val="24"/>
              </w:rPr>
              <w:t>）长江</w:t>
            </w:r>
          </w:p>
          <w:p>
            <w:pPr>
              <w:spacing w:line="360" w:lineRule="auto"/>
              <w:ind w:firstLine="480" w:firstLineChars="200"/>
              <w:rPr>
                <w:sz w:val="24"/>
              </w:rPr>
            </w:pPr>
            <w:r>
              <w:rPr>
                <w:rFonts w:hAnsi="宋体"/>
                <w:sz w:val="24"/>
              </w:rPr>
              <w:t>根据长江螺山水文站水文数据，长江在该段主要水文参数如下：</w:t>
            </w:r>
          </w:p>
          <w:p>
            <w:pPr>
              <w:spacing w:line="360" w:lineRule="auto"/>
              <w:ind w:firstLine="480" w:firstLineChars="200"/>
              <w:rPr>
                <w:sz w:val="24"/>
              </w:rPr>
            </w:pPr>
            <w:r>
              <w:rPr>
                <w:rFonts w:hAnsi="宋体"/>
                <w:sz w:val="24"/>
              </w:rPr>
              <w:t>流量：多年平均流量</w:t>
            </w:r>
            <w:r>
              <w:rPr>
                <w:sz w:val="24"/>
              </w:rPr>
              <w:t>20300m3/s</w:t>
            </w:r>
            <w:r>
              <w:rPr>
                <w:rFonts w:hAnsi="宋体"/>
                <w:sz w:val="24"/>
              </w:rPr>
              <w:t>；</w:t>
            </w:r>
          </w:p>
          <w:p>
            <w:pPr>
              <w:spacing w:line="360" w:lineRule="auto"/>
              <w:ind w:firstLine="480" w:firstLineChars="200"/>
              <w:rPr>
                <w:sz w:val="24"/>
              </w:rPr>
            </w:pPr>
            <w:r>
              <w:rPr>
                <w:rFonts w:hAnsi="宋体"/>
                <w:sz w:val="24"/>
              </w:rPr>
              <w:t>历年最大流量</w:t>
            </w:r>
            <w:r>
              <w:rPr>
                <w:sz w:val="24"/>
              </w:rPr>
              <w:t>61200m</w:t>
            </w:r>
            <w:r>
              <w:rPr>
                <w:sz w:val="24"/>
                <w:vertAlign w:val="superscript"/>
              </w:rPr>
              <w:t>3</w:t>
            </w:r>
            <w:r>
              <w:rPr>
                <w:sz w:val="24"/>
              </w:rPr>
              <w:t>/s</w:t>
            </w:r>
            <w:r>
              <w:rPr>
                <w:rFonts w:hAnsi="宋体"/>
                <w:sz w:val="24"/>
              </w:rPr>
              <w:t>；</w:t>
            </w:r>
          </w:p>
          <w:p>
            <w:pPr>
              <w:spacing w:line="360" w:lineRule="auto"/>
              <w:ind w:firstLine="480" w:firstLineChars="200"/>
              <w:rPr>
                <w:sz w:val="24"/>
              </w:rPr>
            </w:pPr>
            <w:r>
              <w:rPr>
                <w:rFonts w:hAnsi="宋体"/>
                <w:sz w:val="24"/>
              </w:rPr>
              <w:t>历年最小流量</w:t>
            </w:r>
            <w:r>
              <w:rPr>
                <w:sz w:val="24"/>
              </w:rPr>
              <w:t>4190m</w:t>
            </w:r>
            <w:r>
              <w:rPr>
                <w:sz w:val="24"/>
                <w:vertAlign w:val="superscript"/>
              </w:rPr>
              <w:t>3</w:t>
            </w:r>
            <w:r>
              <w:rPr>
                <w:sz w:val="24"/>
              </w:rPr>
              <w:t>/s</w:t>
            </w:r>
            <w:r>
              <w:rPr>
                <w:rFonts w:hAnsi="宋体"/>
                <w:sz w:val="24"/>
              </w:rPr>
              <w:t>；</w:t>
            </w:r>
          </w:p>
          <w:p>
            <w:pPr>
              <w:spacing w:line="360" w:lineRule="auto"/>
              <w:ind w:firstLine="480" w:firstLineChars="200"/>
              <w:rPr>
                <w:sz w:val="24"/>
              </w:rPr>
            </w:pPr>
            <w:r>
              <w:rPr>
                <w:rFonts w:hAnsi="宋体"/>
                <w:sz w:val="24"/>
              </w:rPr>
              <w:t>流速：多年平均流速</w:t>
            </w:r>
            <w:r>
              <w:rPr>
                <w:sz w:val="24"/>
              </w:rPr>
              <w:t>1.45m/s</w:t>
            </w:r>
            <w:r>
              <w:rPr>
                <w:rFonts w:hAnsi="宋体"/>
                <w:sz w:val="24"/>
              </w:rPr>
              <w:t>；</w:t>
            </w:r>
          </w:p>
          <w:p>
            <w:pPr>
              <w:spacing w:line="360" w:lineRule="auto"/>
              <w:ind w:firstLine="480" w:firstLineChars="200"/>
              <w:rPr>
                <w:sz w:val="24"/>
              </w:rPr>
            </w:pPr>
            <w:r>
              <w:rPr>
                <w:rFonts w:hAnsi="宋体"/>
                <w:sz w:val="24"/>
              </w:rPr>
              <w:t>含砂量：多年平均值</w:t>
            </w:r>
            <w:r>
              <w:rPr>
                <w:sz w:val="24"/>
              </w:rPr>
              <w:t>0.683kg/m</w:t>
            </w:r>
            <w:r>
              <w:rPr>
                <w:sz w:val="24"/>
                <w:vertAlign w:val="superscript"/>
              </w:rPr>
              <w:t>3</w:t>
            </w:r>
            <w:r>
              <w:rPr>
                <w:rFonts w:hAnsi="宋体"/>
                <w:sz w:val="24"/>
              </w:rPr>
              <w:t>；</w:t>
            </w:r>
          </w:p>
          <w:p>
            <w:pPr>
              <w:spacing w:line="360" w:lineRule="auto"/>
              <w:ind w:firstLine="480" w:firstLineChars="200"/>
              <w:rPr>
                <w:sz w:val="24"/>
              </w:rPr>
            </w:pPr>
            <w:r>
              <w:rPr>
                <w:rFonts w:hAnsi="宋体"/>
                <w:sz w:val="24"/>
              </w:rPr>
              <w:t>输砂量：多年平均输砂量</w:t>
            </w:r>
            <w:r>
              <w:rPr>
                <w:sz w:val="24"/>
              </w:rPr>
              <w:t>13.7t/s</w:t>
            </w:r>
            <w:r>
              <w:rPr>
                <w:rFonts w:hAnsi="宋体"/>
                <w:sz w:val="24"/>
              </w:rPr>
              <w:t>；</w:t>
            </w:r>
          </w:p>
          <w:p>
            <w:pPr>
              <w:spacing w:line="360" w:lineRule="auto"/>
              <w:ind w:firstLine="480" w:firstLineChars="200"/>
              <w:rPr>
                <w:sz w:val="24"/>
              </w:rPr>
            </w:pPr>
            <w:r>
              <w:rPr>
                <w:rFonts w:hAnsi="宋体"/>
                <w:sz w:val="24"/>
              </w:rPr>
              <w:t>历年最大输砂量</w:t>
            </w:r>
            <w:r>
              <w:rPr>
                <w:sz w:val="24"/>
              </w:rPr>
              <w:t>177t/s</w:t>
            </w:r>
            <w:r>
              <w:rPr>
                <w:rFonts w:hAnsi="宋体"/>
                <w:sz w:val="24"/>
              </w:rPr>
              <w:t>；</w:t>
            </w:r>
          </w:p>
          <w:p>
            <w:pPr>
              <w:spacing w:line="360" w:lineRule="auto"/>
              <w:ind w:firstLine="480" w:firstLineChars="200"/>
              <w:rPr>
                <w:sz w:val="24"/>
              </w:rPr>
            </w:pPr>
            <w:r>
              <w:rPr>
                <w:rFonts w:hAnsi="宋体"/>
                <w:sz w:val="24"/>
              </w:rPr>
              <w:t>历年最小输砂量</w:t>
            </w:r>
            <w:r>
              <w:rPr>
                <w:sz w:val="24"/>
              </w:rPr>
              <w:t>0.59t/s</w:t>
            </w:r>
            <w:r>
              <w:rPr>
                <w:rFonts w:hAnsi="宋体"/>
                <w:sz w:val="24"/>
              </w:rPr>
              <w:t>；</w:t>
            </w:r>
          </w:p>
          <w:p>
            <w:pPr>
              <w:spacing w:line="360" w:lineRule="auto"/>
              <w:ind w:firstLine="480" w:firstLineChars="200"/>
              <w:rPr>
                <w:sz w:val="24"/>
              </w:rPr>
            </w:pPr>
            <w:r>
              <w:rPr>
                <w:rFonts w:hAnsi="宋体"/>
                <w:sz w:val="24"/>
              </w:rPr>
              <w:t>水位：多年平均水位</w:t>
            </w:r>
            <w:r>
              <w:rPr>
                <w:sz w:val="24"/>
              </w:rPr>
              <w:t>23.19m(</w:t>
            </w:r>
            <w:r>
              <w:rPr>
                <w:rFonts w:hAnsi="宋体"/>
                <w:sz w:val="24"/>
              </w:rPr>
              <w:t>吴淞高程</w:t>
            </w:r>
            <w:r>
              <w:rPr>
                <w:sz w:val="24"/>
              </w:rPr>
              <w:t>)</w:t>
            </w:r>
            <w:r>
              <w:rPr>
                <w:rFonts w:hAnsi="宋体"/>
                <w:sz w:val="24"/>
              </w:rPr>
              <w:t>；</w:t>
            </w:r>
          </w:p>
          <w:p>
            <w:pPr>
              <w:spacing w:line="360" w:lineRule="auto"/>
              <w:ind w:firstLine="480" w:firstLineChars="200"/>
              <w:rPr>
                <w:sz w:val="24"/>
              </w:rPr>
            </w:pPr>
            <w:r>
              <w:rPr>
                <w:rFonts w:hAnsi="宋体"/>
                <w:sz w:val="24"/>
              </w:rPr>
              <w:t>历年最高水位</w:t>
            </w:r>
            <w:r>
              <w:rPr>
                <w:sz w:val="24"/>
              </w:rPr>
              <w:t>33.14m</w:t>
            </w:r>
            <w:r>
              <w:rPr>
                <w:rFonts w:hAnsi="宋体"/>
                <w:sz w:val="24"/>
              </w:rPr>
              <w:t>；</w:t>
            </w:r>
          </w:p>
          <w:p>
            <w:pPr>
              <w:spacing w:line="360" w:lineRule="auto"/>
              <w:ind w:firstLine="480" w:firstLineChars="200"/>
              <w:rPr>
                <w:sz w:val="24"/>
              </w:rPr>
            </w:pPr>
            <w:r>
              <w:rPr>
                <w:rFonts w:hAnsi="宋体"/>
                <w:sz w:val="24"/>
              </w:rPr>
              <w:t>历年最低水位</w:t>
            </w:r>
            <w:r>
              <w:rPr>
                <w:sz w:val="24"/>
              </w:rPr>
              <w:t>15.99m</w:t>
            </w:r>
            <w:r>
              <w:rPr>
                <w:rFonts w:hAnsi="宋体"/>
                <w:sz w:val="24"/>
              </w:rPr>
              <w:t>；</w:t>
            </w:r>
          </w:p>
          <w:p>
            <w:pPr>
              <w:spacing w:line="360" w:lineRule="auto"/>
              <w:ind w:firstLine="482"/>
              <w:rPr>
                <w:sz w:val="24"/>
              </w:rPr>
            </w:pPr>
            <w:r>
              <w:rPr>
                <w:rFonts w:hAnsi="宋体"/>
                <w:sz w:val="24"/>
              </w:rPr>
              <w:t>（</w:t>
            </w:r>
            <w:r>
              <w:rPr>
                <w:sz w:val="24"/>
              </w:rPr>
              <w:t>2</w:t>
            </w:r>
            <w:r>
              <w:rPr>
                <w:rFonts w:hAnsi="宋体"/>
                <w:sz w:val="24"/>
              </w:rPr>
              <w:t>）象骨港：</w:t>
            </w:r>
          </w:p>
          <w:p>
            <w:pPr>
              <w:spacing w:line="360" w:lineRule="auto"/>
              <w:ind w:firstLine="482"/>
              <w:rPr>
                <w:rFonts w:hAnsi="宋体"/>
                <w:sz w:val="24"/>
              </w:rPr>
            </w:pPr>
            <w:r>
              <w:rPr>
                <w:rFonts w:hAnsi="宋体"/>
                <w:sz w:val="24"/>
              </w:rPr>
              <w:t>发源于云溪乡东风村，河长约</w:t>
            </w:r>
            <w:r>
              <w:rPr>
                <w:sz w:val="24"/>
              </w:rPr>
              <w:t>12km</w:t>
            </w:r>
            <w:r>
              <w:rPr>
                <w:rFonts w:hAnsi="宋体"/>
                <w:sz w:val="24"/>
              </w:rPr>
              <w:t>，流域面积</w:t>
            </w:r>
            <w:r>
              <w:rPr>
                <w:sz w:val="24"/>
              </w:rPr>
              <w:t>21.0km</w:t>
            </w:r>
            <w:r>
              <w:rPr>
                <w:sz w:val="24"/>
                <w:vertAlign w:val="superscript"/>
              </w:rPr>
              <w:t>2</w:t>
            </w:r>
            <w:r>
              <w:rPr>
                <w:rFonts w:hAnsi="宋体"/>
                <w:sz w:val="24"/>
              </w:rPr>
              <w:t>，其中位于象骨港河上游的黄泥沟水系流域面积</w:t>
            </w:r>
            <w:r>
              <w:rPr>
                <w:sz w:val="24"/>
              </w:rPr>
              <w:t>7.92km</w:t>
            </w:r>
            <w:r>
              <w:rPr>
                <w:sz w:val="24"/>
                <w:vertAlign w:val="superscript"/>
              </w:rPr>
              <w:t>2</w:t>
            </w:r>
            <w:r>
              <w:rPr>
                <w:rFonts w:hAnsi="宋体"/>
                <w:sz w:val="24"/>
              </w:rPr>
              <w:t>，其径流汇入黄泥沟湖后，经黄泥沟节制闸入象骨港。</w:t>
            </w:r>
          </w:p>
          <w:p>
            <w:pPr>
              <w:spacing w:line="360" w:lineRule="auto"/>
              <w:ind w:firstLine="482"/>
              <w:rPr>
                <w:rFonts w:hAnsi="宋体"/>
                <w:sz w:val="24"/>
              </w:rPr>
            </w:pPr>
            <w:r>
              <w:rPr>
                <w:rFonts w:hint="eastAsia" w:hAnsi="宋体"/>
                <w:sz w:val="24"/>
              </w:rPr>
              <w:t>（3）芭蕉湖</w:t>
            </w:r>
          </w:p>
          <w:p>
            <w:pPr>
              <w:spacing w:line="360" w:lineRule="auto"/>
              <w:ind w:firstLine="482"/>
              <w:rPr>
                <w:sz w:val="24"/>
              </w:rPr>
            </w:pPr>
            <w:r>
              <w:rPr>
                <w:rFonts w:hint="eastAsia"/>
                <w:sz w:val="24"/>
              </w:rPr>
              <w:t>芭蕉湖位于岳阳市城陵矶东侧，是永济垸内湖，为长江直入水系，集雨面积</w:t>
            </w:r>
            <w:r>
              <w:rPr>
                <w:sz w:val="24"/>
              </w:rPr>
              <w:t>131</w:t>
            </w:r>
            <w:r>
              <w:rPr>
                <w:rFonts w:hint="eastAsia"/>
                <w:sz w:val="24"/>
              </w:rPr>
              <w:t>平方公里，水面面积</w:t>
            </w:r>
            <w:r>
              <w:rPr>
                <w:sz w:val="24"/>
              </w:rPr>
              <w:t>11.2</w:t>
            </w:r>
            <w:r>
              <w:rPr>
                <w:rFonts w:hint="eastAsia"/>
                <w:sz w:val="24"/>
              </w:rPr>
              <w:t>平方公里，根据</w:t>
            </w:r>
            <w:r>
              <w:fldChar w:fldCharType="begin"/>
            </w:r>
            <w:r>
              <w:instrText xml:space="preserve"> HYPERLINK "http://code.fabao365.com/search/wd=%E5%B2%B3%E9%98%B3%E5%B8%82%E4%BA%BA%E6%B0%91%E6%94%BF%E5%BA%9C%E5%85%B3%E4%BA%8E%E5%8D%B0%E5%8F%91%26lt%3B%E5%B2%B3%E9%98%B3%E5%B8%82%E6%B0%B4%E7%8E%AF%E5%A2%83%E5%8A%9F%E8%83%BD%E5%8C%BA%E7%AE%A1%E7%90%86%E8%A7%84%E5%AE%9A%26gt%3B%E3%80%81%26lt%3B%E5%B2%B3%E9%98%B3%E5%B8%82%E6%B0%B4%E7%8E%AF%E5%A2%83%E5%8A%9F%E8%83%BD%E5%8C%BA%E5%88%92%E5%88%86%26gt%3B%E3%80%81%26lt%3B%E5%B2%B3%E9%98%B3%E5%B8%82%E7%8E%AF%E5%A2%83%E7%A9%BA%E6%B0%94%E8%B4%A8%E9%87%8F%E5%8A%9F%E8%83%BD%E5%8C%BA%E5%88%92%E5%88%86%26gt%3B%E3%80%81%26lt%3B%E5%B2%B3%E9%98%B3%E5%B8%82%E5%9F%8E%E5%B8%82%E5%8C%BA%E5%9F%9F%E7%8E%AF%E5%A2%83%E5%99%AA%E5%A3%B0%E6%A0%87%E5%87%86%E9%80%82%E7%94%A8%E5%8C%BA%E5%9F%9F%E5%88%92%E5%88%86%E8%A7%84%E5%AE%9A%26gt%3B%E7%9A%84%E9%80%9A%E7%9F%A5" \t "_blank" \o "搜索：岳阳市人民政府关于印发&lt;岳阳市水环境功能区管理规定&gt;、&lt;岳阳市水环境功能区划分&gt;、&lt;岳阳市环境空气质量功能区划分&gt;、&lt;岳阳市城市区域环境噪声标准适用区域划分规定&gt;的通知" </w:instrText>
            </w:r>
            <w:r>
              <w:fldChar w:fldCharType="separate"/>
            </w:r>
            <w:r>
              <w:rPr>
                <w:rStyle w:val="24"/>
                <w:rFonts w:hint="eastAsia"/>
                <w:color w:val="auto"/>
                <w:sz w:val="24"/>
              </w:rPr>
              <w:t>《关于印发</w:t>
            </w:r>
            <w:r>
              <w:rPr>
                <w:rStyle w:val="24"/>
                <w:color w:val="auto"/>
                <w:sz w:val="24"/>
              </w:rPr>
              <w:t>&lt;</w:t>
            </w:r>
            <w:r>
              <w:rPr>
                <w:rStyle w:val="24"/>
                <w:rFonts w:hint="eastAsia"/>
                <w:color w:val="auto"/>
                <w:sz w:val="24"/>
              </w:rPr>
              <w:t>岳阳市水环境功能区管理规定</w:t>
            </w:r>
            <w:r>
              <w:rPr>
                <w:rStyle w:val="24"/>
                <w:color w:val="auto"/>
                <w:sz w:val="24"/>
              </w:rPr>
              <w:t>&gt;</w:t>
            </w:r>
            <w:r>
              <w:rPr>
                <w:rStyle w:val="24"/>
                <w:rFonts w:hint="eastAsia"/>
                <w:color w:val="auto"/>
                <w:sz w:val="24"/>
              </w:rPr>
              <w:t>和</w:t>
            </w:r>
            <w:r>
              <w:rPr>
                <w:rStyle w:val="24"/>
                <w:color w:val="auto"/>
                <w:sz w:val="24"/>
              </w:rPr>
              <w:t>&lt;</w:t>
            </w:r>
            <w:r>
              <w:rPr>
                <w:rStyle w:val="24"/>
                <w:rFonts w:hint="eastAsia"/>
                <w:color w:val="auto"/>
                <w:sz w:val="24"/>
              </w:rPr>
              <w:t>岳阳市水环境功能区划分</w:t>
            </w:r>
            <w:r>
              <w:rPr>
                <w:rStyle w:val="24"/>
                <w:color w:val="auto"/>
                <w:sz w:val="24"/>
              </w:rPr>
              <w:t>&gt;</w:t>
            </w:r>
            <w:r>
              <w:rPr>
                <w:rStyle w:val="24"/>
                <w:rFonts w:hint="eastAsia"/>
                <w:color w:val="auto"/>
                <w:sz w:val="24"/>
              </w:rPr>
              <w:t>的通知</w:t>
            </w:r>
            <w:r>
              <w:rPr>
                <w:rStyle w:val="24"/>
                <w:rFonts w:hint="eastAsia"/>
                <w:color w:val="auto"/>
                <w:sz w:val="24"/>
              </w:rPr>
              <w:fldChar w:fldCharType="end"/>
            </w:r>
            <w:r>
              <w:rPr>
                <w:rFonts w:hint="eastAsia"/>
                <w:sz w:val="24"/>
              </w:rPr>
              <w:t>》（岳政发〔</w:t>
            </w:r>
            <w:r>
              <w:rPr>
                <w:sz w:val="24"/>
              </w:rPr>
              <w:t>2010</w:t>
            </w:r>
            <w:r>
              <w:rPr>
                <w:rFonts w:hint="eastAsia"/>
                <w:sz w:val="24"/>
              </w:rPr>
              <w:t>〕</w:t>
            </w:r>
            <w:r>
              <w:rPr>
                <w:sz w:val="24"/>
              </w:rPr>
              <w:t>30</w:t>
            </w:r>
            <w:r>
              <w:rPr>
                <w:rFonts w:hint="eastAsia"/>
                <w:sz w:val="24"/>
              </w:rPr>
              <w:t>号），芭蕉湖水域功能属于一般渔类用水区，水质应执行《地表水环境质量标准》（</w:t>
            </w:r>
            <w:r>
              <w:rPr>
                <w:sz w:val="24"/>
              </w:rPr>
              <w:t>GB3838-2002</w:t>
            </w:r>
            <w:r>
              <w:rPr>
                <w:rFonts w:hint="eastAsia"/>
                <w:sz w:val="24"/>
              </w:rPr>
              <w:t>）</w:t>
            </w:r>
            <w:r>
              <w:rPr>
                <w:sz w:val="24"/>
              </w:rPr>
              <w:fldChar w:fldCharType="begin"/>
            </w:r>
            <w:r>
              <w:rPr>
                <w:sz w:val="24"/>
              </w:rPr>
              <w:instrText xml:space="preserve"> = 3 \* ROMAN </w:instrText>
            </w:r>
            <w:r>
              <w:rPr>
                <w:sz w:val="24"/>
              </w:rPr>
              <w:fldChar w:fldCharType="separate"/>
            </w:r>
            <w:r>
              <w:rPr>
                <w:sz w:val="24"/>
              </w:rPr>
              <w:t>III</w:t>
            </w:r>
            <w:r>
              <w:rPr>
                <w:sz w:val="24"/>
              </w:rPr>
              <w:fldChar w:fldCharType="end"/>
            </w:r>
            <w:r>
              <w:rPr>
                <w:rFonts w:hint="eastAsia"/>
                <w:sz w:val="24"/>
              </w:rPr>
              <w:t>类标准。芭蕉湖为华能岳阳电厂取水、排水循环调蓄湖泊，水位由华能电厂取水、排水体系控制，最低控制水位</w:t>
            </w:r>
            <w:r>
              <w:rPr>
                <w:sz w:val="24"/>
              </w:rPr>
              <w:t>24</w:t>
            </w:r>
            <w:r>
              <w:rPr>
                <w:rFonts w:hint="eastAsia"/>
                <w:sz w:val="24"/>
              </w:rPr>
              <w:t>米，设计水位</w:t>
            </w:r>
            <w:r>
              <w:rPr>
                <w:sz w:val="24"/>
              </w:rPr>
              <w:t>25</w:t>
            </w:r>
            <w:r>
              <w:rPr>
                <w:rFonts w:hint="eastAsia"/>
                <w:sz w:val="24"/>
              </w:rPr>
              <w:t>米，最高控制水位</w:t>
            </w:r>
            <w:r>
              <w:rPr>
                <w:sz w:val="24"/>
              </w:rPr>
              <w:t>26</w:t>
            </w:r>
            <w:r>
              <w:rPr>
                <w:rFonts w:hint="eastAsia"/>
                <w:sz w:val="24"/>
              </w:rPr>
              <w:t>米，水源主要来源于清溪港径流。项目所在地属于芭蕉湖雨水收集范围，项目雨水经东侧联港路市政雨水管网收集外排至东侧芭蕉湖内。</w:t>
            </w:r>
          </w:p>
          <w:p>
            <w:pPr>
              <w:spacing w:line="360" w:lineRule="auto"/>
              <w:jc w:val="left"/>
              <w:rPr>
                <w:szCs w:val="21"/>
              </w:rPr>
            </w:pPr>
            <w:r>
              <w:rPr>
                <w:rFonts w:hint="eastAsia"/>
                <w:b/>
                <w:sz w:val="24"/>
              </w:rPr>
              <w:t>五、</w:t>
            </w:r>
            <w:r>
              <w:rPr>
                <w:b/>
                <w:sz w:val="24"/>
              </w:rPr>
              <w:t>土壤</w:t>
            </w:r>
          </w:p>
          <w:p>
            <w:pPr>
              <w:snapToGrid w:val="0"/>
              <w:spacing w:line="360" w:lineRule="auto"/>
              <w:ind w:firstLine="352" w:firstLineChars="147"/>
              <w:rPr>
                <w:b/>
                <w:sz w:val="24"/>
              </w:rPr>
            </w:pPr>
            <w:r>
              <w:rPr>
                <w:sz w:val="24"/>
              </w:rPr>
              <w:t>岳阳市总国土面积15019平方公里，耕地面积32.10千公顷，其中水田面积17.33千公顷。区域表土为受长江和洞庭湖控制的冲积土，表层以粘土为主，夹少量砂土，厚度在0.4-12.64m，呈红褐色、黄褐色、深绿色和紫红色等类型；自然土壤以湖土和红壤为主，农耕以水稻土和菜园土为主。</w:t>
            </w:r>
          </w:p>
          <w:p>
            <w:pPr>
              <w:snapToGrid w:val="0"/>
              <w:spacing w:line="360" w:lineRule="auto"/>
              <w:rPr>
                <w:b/>
                <w:sz w:val="24"/>
              </w:rPr>
            </w:pPr>
            <w:r>
              <w:rPr>
                <w:rFonts w:hint="eastAsia"/>
                <w:b/>
                <w:sz w:val="24"/>
              </w:rPr>
              <w:t>六、生态环境概况</w:t>
            </w:r>
          </w:p>
          <w:p>
            <w:pPr>
              <w:adjustRightInd w:val="0"/>
              <w:snapToGrid w:val="0"/>
              <w:spacing w:line="360" w:lineRule="auto"/>
              <w:ind w:firstLine="480" w:firstLineChars="200"/>
              <w:rPr>
                <w:rFonts w:hAnsi="宋体"/>
                <w:sz w:val="24"/>
              </w:rPr>
            </w:pPr>
            <w:r>
              <w:rPr>
                <w:rFonts w:hint="eastAsia" w:hAnsi="宋体"/>
                <w:sz w:val="24"/>
              </w:rPr>
              <w:t>岳阳市土地富饶，拥有丰富的自然资源。岳阳是国家重要的粮、棉、猪、鱼等优质农产品基地，有四个县(市)进入全国粮、棉、猪百强县行列，有机茶、无公害蔬菜、优质水果、长江蟹、洞庭青虾等农副产品市场十分畅销。</w:t>
            </w:r>
          </w:p>
          <w:p>
            <w:pPr>
              <w:adjustRightInd w:val="0"/>
              <w:snapToGrid w:val="0"/>
              <w:spacing w:line="360" w:lineRule="auto"/>
              <w:ind w:firstLine="480" w:firstLineChars="200"/>
              <w:rPr>
                <w:rFonts w:hAnsi="宋体"/>
                <w:sz w:val="24"/>
              </w:rPr>
            </w:pPr>
            <w:r>
              <w:rPr>
                <w:rFonts w:hint="eastAsia" w:hAnsi="宋体"/>
                <w:sz w:val="24"/>
              </w:rPr>
              <w:t>岳阳水资源充沛，淡水面积达31万公顷，在全国独一无二，有利于种植业、淡水鱼业和水运业的发展，还为大耗水、大运量的造纸等现代工业提供了良好的基础条件。</w:t>
            </w:r>
          </w:p>
          <w:p>
            <w:pPr>
              <w:adjustRightInd w:val="0"/>
              <w:snapToGrid w:val="0"/>
              <w:spacing w:line="360" w:lineRule="auto"/>
              <w:ind w:firstLine="480" w:firstLineChars="200"/>
              <w:rPr>
                <w:rFonts w:hAnsi="宋体"/>
                <w:sz w:val="24"/>
              </w:rPr>
            </w:pPr>
            <w:r>
              <w:rPr>
                <w:rFonts w:hint="eastAsia" w:hAnsi="宋体"/>
                <w:sz w:val="24"/>
              </w:rPr>
              <w:t xml:space="preserve">岳阳生物资源多种多样，境内有木本植物1118种，药用植物1224种，水生植物131种，家畜家禽10多种，水生动物116种，野生动物266种。岳阳矿产资源多样，境内蕴藏矿种60余种，已探明大型矿床27处、中型28处、小型45处，可供开采矿点200多处，主要矿种有金、银、铅等金属矿产10余种，有白云石、花岗岩、高岭土等非金属矿产20余种，此外，还有铌、钽、铍等稀有及稀土金属矿产和地下矿泉水等资源。 </w:t>
            </w:r>
          </w:p>
          <w:p>
            <w:pPr>
              <w:snapToGrid w:val="0"/>
              <w:spacing w:line="360" w:lineRule="auto"/>
              <w:outlineLvl w:val="2"/>
              <w:rPr>
                <w:b/>
                <w:bCs/>
                <w:sz w:val="24"/>
              </w:rPr>
            </w:pPr>
            <w:r>
              <w:rPr>
                <w:rFonts w:hint="eastAsia" w:hAnsi="宋体"/>
                <w:b/>
                <w:bCs/>
                <w:sz w:val="24"/>
              </w:rPr>
              <w:t>七</w:t>
            </w:r>
            <w:r>
              <w:rPr>
                <w:rFonts w:hAnsi="宋体"/>
                <w:b/>
                <w:bCs/>
                <w:sz w:val="24"/>
              </w:rPr>
              <w:t>、</w:t>
            </w:r>
            <w:r>
              <w:rPr>
                <w:rFonts w:hint="eastAsia" w:hAnsi="宋体"/>
                <w:b/>
                <w:bCs/>
                <w:sz w:val="24"/>
              </w:rPr>
              <w:t>湖南</w:t>
            </w:r>
            <w:r>
              <w:rPr>
                <w:rFonts w:hAnsi="宋体"/>
                <w:b/>
                <w:bCs/>
                <w:sz w:val="24"/>
              </w:rPr>
              <w:t>城陵矶临港产业新区概况</w:t>
            </w:r>
          </w:p>
          <w:p>
            <w:pPr>
              <w:adjustRightInd w:val="0"/>
              <w:snapToGrid w:val="0"/>
              <w:spacing w:line="360" w:lineRule="auto"/>
              <w:ind w:firstLine="480" w:firstLineChars="200"/>
              <w:rPr>
                <w:sz w:val="24"/>
              </w:rPr>
            </w:pPr>
            <w:r>
              <w:rPr>
                <w:rFonts w:hAnsi="宋体"/>
                <w:sz w:val="24"/>
              </w:rPr>
              <w:t>湖南城陵矶临港产业新区于湖南省岳阳市云溪区西部，总规划用地面积</w:t>
            </w:r>
            <w:r>
              <w:rPr>
                <w:sz w:val="24"/>
              </w:rPr>
              <w:t>23.6km</w:t>
            </w:r>
            <w:r>
              <w:rPr>
                <w:sz w:val="24"/>
                <w:vertAlign w:val="superscript"/>
              </w:rPr>
              <w:t>2</w:t>
            </w:r>
            <w:r>
              <w:rPr>
                <w:rFonts w:hAnsi="宋体"/>
                <w:sz w:val="24"/>
              </w:rPr>
              <w:t>，是一个以港口（城陵矶港）为依托，以物流仓储、加工贸易、现代装备制造、新型建材及精细化工等为主导产业的港口经济带。</w:t>
            </w:r>
          </w:p>
          <w:p>
            <w:pPr>
              <w:adjustRightInd w:val="0"/>
              <w:snapToGrid w:val="0"/>
              <w:spacing w:line="360" w:lineRule="auto"/>
              <w:ind w:firstLine="480" w:firstLineChars="200"/>
              <w:rPr>
                <w:sz w:val="24"/>
              </w:rPr>
            </w:pPr>
            <w:r>
              <w:rPr>
                <w:rFonts w:hAnsi="宋体"/>
                <w:sz w:val="24"/>
              </w:rPr>
              <w:t>临港产业新区区位、交通优势明显，地处湘、鄂、赣三省中心交汇点，依长江、衔洞庭、带四水，是长江流域经济带和京广铁路经济带的投资宝地，是长三角经济带和珠三角经济带西进北上的战略要地，也是长株潭城市圈和武汉城市圈的中心腹地，区内城陵矶新港是全国</w:t>
            </w:r>
            <w:r>
              <w:rPr>
                <w:sz w:val="24"/>
              </w:rPr>
              <w:t>28</w:t>
            </w:r>
            <w:r>
              <w:rPr>
                <w:rFonts w:hAnsi="宋体"/>
                <w:sz w:val="24"/>
              </w:rPr>
              <w:t>个内河主枢纽港之一，国家对外贸易一类开放港口，湖南省长江干线上唯一口岸，长江航运和湘江航运重要的中转站，枯水期</w:t>
            </w:r>
            <w:r>
              <w:rPr>
                <w:sz w:val="24"/>
              </w:rPr>
              <w:t>5000</w:t>
            </w:r>
            <w:r>
              <w:rPr>
                <w:rFonts w:hAnsi="宋体"/>
                <w:sz w:val="24"/>
              </w:rPr>
              <w:t>吨级船舶可进港作业。随岳高速、京珠高速、</w:t>
            </w:r>
            <w:r>
              <w:rPr>
                <w:sz w:val="24"/>
              </w:rPr>
              <w:t>107</w:t>
            </w:r>
            <w:r>
              <w:rPr>
                <w:rFonts w:hAnsi="宋体"/>
                <w:sz w:val="24"/>
              </w:rPr>
              <w:t>国道、</w:t>
            </w:r>
            <w:r>
              <w:rPr>
                <w:sz w:val="24"/>
              </w:rPr>
              <w:t>S201</w:t>
            </w:r>
            <w:r>
              <w:rPr>
                <w:rFonts w:hAnsi="宋体"/>
                <w:sz w:val="24"/>
              </w:rPr>
              <w:t>、</w:t>
            </w:r>
            <w:r>
              <w:rPr>
                <w:sz w:val="24"/>
              </w:rPr>
              <w:t>S301</w:t>
            </w:r>
            <w:r>
              <w:rPr>
                <w:rFonts w:hAnsi="宋体"/>
                <w:sz w:val="24"/>
              </w:rPr>
              <w:t>等公路，以及京广铁路、岳沙铁路、武广高速伴区或穿境而过。区内有进港路、通港路、支线铁路与上述公路、铁路连通，构成纵横交错的交通网络。</w:t>
            </w:r>
          </w:p>
          <w:p>
            <w:pPr>
              <w:adjustRightInd w:val="0"/>
              <w:snapToGrid w:val="0"/>
              <w:spacing w:line="360" w:lineRule="auto"/>
              <w:ind w:firstLine="480" w:firstLineChars="200"/>
              <w:rPr>
                <w:rFonts w:hAnsi="宋体"/>
                <w:sz w:val="24"/>
              </w:rPr>
            </w:pPr>
            <w:r>
              <w:rPr>
                <w:rFonts w:hAnsi="宋体"/>
                <w:sz w:val="24"/>
              </w:rPr>
              <w:t>湖南城陵矶临港产业新区总体规划结构为</w:t>
            </w:r>
            <w:r>
              <w:rPr>
                <w:sz w:val="24"/>
              </w:rPr>
              <w:t>“</w:t>
            </w:r>
            <w:r>
              <w:rPr>
                <w:rFonts w:hAnsi="宋体"/>
                <w:sz w:val="24"/>
              </w:rPr>
              <w:t>五区</w:t>
            </w:r>
            <w:r>
              <w:rPr>
                <w:sz w:val="24"/>
              </w:rPr>
              <w:t>”</w:t>
            </w:r>
            <w:r>
              <w:rPr>
                <w:rFonts w:hAnsi="宋体"/>
                <w:sz w:val="24"/>
              </w:rPr>
              <w:t>，一是港口航运物流区：规划面积</w:t>
            </w:r>
            <w:r>
              <w:rPr>
                <w:sz w:val="24"/>
              </w:rPr>
              <w:t>5.5</w:t>
            </w:r>
            <w:r>
              <w:rPr>
                <w:rFonts w:hint="eastAsia"/>
                <w:sz w:val="24"/>
              </w:rPr>
              <w:t>k</w:t>
            </w:r>
            <w:r>
              <w:rPr>
                <w:sz w:val="24"/>
              </w:rPr>
              <w:t>m²</w:t>
            </w:r>
            <w:r>
              <w:rPr>
                <w:rFonts w:hAnsi="宋体"/>
                <w:sz w:val="24"/>
              </w:rPr>
              <w:t>，共有长江岸线</w:t>
            </w:r>
            <w:r>
              <w:rPr>
                <w:sz w:val="24"/>
              </w:rPr>
              <w:t>6670</w:t>
            </w:r>
            <w:r>
              <w:rPr>
                <w:rFonts w:hAnsi="宋体"/>
                <w:sz w:val="24"/>
              </w:rPr>
              <w:t>米，除</w:t>
            </w:r>
            <w:r>
              <w:rPr>
                <w:sz w:val="24"/>
              </w:rPr>
              <w:t>1600</w:t>
            </w:r>
            <w:r>
              <w:rPr>
                <w:rFonts w:hAnsi="宋体"/>
                <w:sz w:val="24"/>
              </w:rPr>
              <w:t>米为已有货主码头（华能、华新水泥），其他岸线一律规划为公共码头。目前，新港公司国际集装箱码头（一、二、三期）共用岸线</w:t>
            </w:r>
            <w:r>
              <w:rPr>
                <w:sz w:val="24"/>
              </w:rPr>
              <w:t>2100</w:t>
            </w:r>
            <w:r>
              <w:rPr>
                <w:rFonts w:hAnsi="宋体"/>
                <w:sz w:val="24"/>
              </w:rPr>
              <w:t>米，其余</w:t>
            </w:r>
            <w:r>
              <w:rPr>
                <w:sz w:val="24"/>
              </w:rPr>
              <w:t>2970</w:t>
            </w:r>
            <w:r>
              <w:rPr>
                <w:rFonts w:hAnsi="宋体"/>
                <w:sz w:val="24"/>
              </w:rPr>
              <w:t>米为预留集装箱码头及部分生活岸线。在长江大道以西，兴业路以南、华松路以北的沿岸及腹地陆域纵深约</w:t>
            </w:r>
            <w:r>
              <w:rPr>
                <w:sz w:val="24"/>
              </w:rPr>
              <w:t>400</w:t>
            </w:r>
            <w:r>
              <w:rPr>
                <w:rFonts w:hAnsi="宋体"/>
                <w:sz w:val="24"/>
              </w:rPr>
              <w:t>米，用地面积</w:t>
            </w:r>
            <w:r>
              <w:rPr>
                <w:sz w:val="24"/>
              </w:rPr>
              <w:t>2.6</w:t>
            </w:r>
            <w:r>
              <w:rPr>
                <w:rFonts w:hAnsi="宋体"/>
                <w:sz w:val="24"/>
              </w:rPr>
              <w:t>平方公里规划为物流用地，沿长江岸线布局公共码头，建设综合性的物流园区、专业化工产品物流园区和第三方物流园区，形成以港口为枢纽的现代物流基地。二是装备制造产业区：规划面积</w:t>
            </w:r>
            <w:r>
              <w:rPr>
                <w:sz w:val="24"/>
              </w:rPr>
              <w:t>4.7</w:t>
            </w:r>
            <w:r>
              <w:rPr>
                <w:rFonts w:hint="eastAsia"/>
                <w:sz w:val="24"/>
              </w:rPr>
              <w:t>k</w:t>
            </w:r>
            <w:r>
              <w:rPr>
                <w:sz w:val="24"/>
              </w:rPr>
              <w:t>m²</w:t>
            </w:r>
            <w:r>
              <w:rPr>
                <w:rFonts w:hAnsi="宋体"/>
                <w:sz w:val="24"/>
              </w:rPr>
              <w:t>，由船舶制造园区、重型装备制造园区、机械装备制造园区组成。发展与临港产业相关联的技术密集型先进制造产业。三是能源建材产业区：规划面积</w:t>
            </w:r>
            <w:r>
              <w:rPr>
                <w:sz w:val="24"/>
              </w:rPr>
              <w:t>3.6</w:t>
            </w:r>
            <w:r>
              <w:rPr>
                <w:rFonts w:hint="eastAsia"/>
                <w:sz w:val="24"/>
              </w:rPr>
              <w:t>k</w:t>
            </w:r>
            <w:r>
              <w:rPr>
                <w:sz w:val="24"/>
              </w:rPr>
              <w:t>m²</w:t>
            </w:r>
            <w:r>
              <w:rPr>
                <w:rFonts w:hAnsi="宋体"/>
                <w:sz w:val="24"/>
              </w:rPr>
              <w:t>。结合港口已有建材能源资源，布局大运量新型化工及新型建材产业。四是新兴产业区：规划面积</w:t>
            </w:r>
            <w:r>
              <w:rPr>
                <w:sz w:val="24"/>
              </w:rPr>
              <w:t>5.2</w:t>
            </w:r>
            <w:r>
              <w:rPr>
                <w:rFonts w:hint="eastAsia"/>
                <w:sz w:val="24"/>
              </w:rPr>
              <w:t>k</w:t>
            </w:r>
            <w:r>
              <w:rPr>
                <w:sz w:val="24"/>
              </w:rPr>
              <w:t>m²</w:t>
            </w:r>
            <w:r>
              <w:rPr>
                <w:rFonts w:hAnsi="宋体"/>
                <w:sz w:val="24"/>
              </w:rPr>
              <w:t>。重点发展精密仪器、机电、电子等科技支撑型产业。五是港口贸易服务区：规划面积</w:t>
            </w:r>
            <w:r>
              <w:rPr>
                <w:sz w:val="24"/>
              </w:rPr>
              <w:t>1.3</w:t>
            </w:r>
            <w:r>
              <w:rPr>
                <w:rFonts w:hint="eastAsia"/>
                <w:sz w:val="24"/>
              </w:rPr>
              <w:t>k</w:t>
            </w:r>
            <w:r>
              <w:rPr>
                <w:sz w:val="24"/>
              </w:rPr>
              <w:t>m²</w:t>
            </w:r>
            <w:r>
              <w:rPr>
                <w:rFonts w:hAnsi="宋体"/>
                <w:sz w:val="24"/>
              </w:rPr>
              <w:t>，为临港新区行政办公、产品交易、金融商贸、创业孵化等配套区域。</w:t>
            </w:r>
          </w:p>
          <w:p>
            <w:pPr>
              <w:snapToGrid w:val="0"/>
              <w:spacing w:line="360" w:lineRule="auto"/>
              <w:outlineLvl w:val="2"/>
              <w:rPr>
                <w:rFonts w:hAnsi="宋体"/>
                <w:b/>
                <w:bCs/>
                <w:sz w:val="24"/>
              </w:rPr>
            </w:pPr>
            <w:r>
              <w:rPr>
                <w:rFonts w:hint="eastAsia" w:hAnsi="宋体"/>
                <w:b/>
                <w:bCs/>
                <w:sz w:val="24"/>
              </w:rPr>
              <w:t>八、湖南城陵矶临港产业新区污水处理厂基本情况</w:t>
            </w:r>
          </w:p>
          <w:p>
            <w:pPr>
              <w:adjustRightInd w:val="0"/>
              <w:snapToGrid w:val="0"/>
              <w:spacing w:line="360" w:lineRule="auto"/>
              <w:ind w:firstLine="480" w:firstLineChars="200"/>
              <w:jc w:val="left"/>
              <w:rPr>
                <w:rFonts w:hAnsi="宋体"/>
                <w:sz w:val="24"/>
                <w:szCs w:val="24"/>
              </w:rPr>
            </w:pPr>
            <w:r>
              <w:rPr>
                <w:rFonts w:hint="eastAsia"/>
                <w:sz w:val="24"/>
                <w:szCs w:val="24"/>
              </w:rPr>
              <w:t>湖南城陵矶临港产业新区污水处理厂东邻沿江大道，西靠长江大堤，处于云港路与沿江路的交界处，于</w:t>
            </w:r>
            <w:r>
              <w:rPr>
                <w:sz w:val="24"/>
                <w:szCs w:val="24"/>
              </w:rPr>
              <w:t>2014</w:t>
            </w:r>
            <w:r>
              <w:rPr>
                <w:rFonts w:hint="eastAsia"/>
                <w:sz w:val="24"/>
                <w:szCs w:val="24"/>
              </w:rPr>
              <w:t>年</w:t>
            </w:r>
            <w:r>
              <w:rPr>
                <w:sz w:val="24"/>
                <w:szCs w:val="24"/>
              </w:rPr>
              <w:t>7</w:t>
            </w:r>
            <w:r>
              <w:rPr>
                <w:rFonts w:hint="eastAsia"/>
                <w:sz w:val="24"/>
                <w:szCs w:val="24"/>
              </w:rPr>
              <w:t>月取得岳阳市环境保护局环评批复，</w:t>
            </w:r>
            <w:r>
              <w:rPr>
                <w:sz w:val="24"/>
                <w:szCs w:val="24"/>
              </w:rPr>
              <w:t>2016</w:t>
            </w:r>
            <w:r>
              <w:rPr>
                <w:rFonts w:hint="eastAsia"/>
                <w:sz w:val="24"/>
                <w:szCs w:val="24"/>
              </w:rPr>
              <w:t>年建成，设计处理能力</w:t>
            </w:r>
            <w:r>
              <w:rPr>
                <w:sz w:val="24"/>
                <w:szCs w:val="24"/>
              </w:rPr>
              <w:t>3</w:t>
            </w:r>
            <w:r>
              <w:rPr>
                <w:rFonts w:hint="eastAsia"/>
                <w:sz w:val="24"/>
                <w:szCs w:val="24"/>
              </w:rPr>
              <w:t>万吨</w:t>
            </w:r>
            <w:r>
              <w:rPr>
                <w:sz w:val="24"/>
                <w:szCs w:val="24"/>
              </w:rPr>
              <w:t>/</w:t>
            </w:r>
            <w:r>
              <w:rPr>
                <w:rFonts w:hint="eastAsia"/>
                <w:sz w:val="24"/>
                <w:szCs w:val="24"/>
              </w:rPr>
              <w:t>天，主要采用</w:t>
            </w:r>
            <w:r>
              <w:rPr>
                <w:sz w:val="24"/>
                <w:szCs w:val="24"/>
              </w:rPr>
              <w:t>CASS</w:t>
            </w:r>
            <w:r>
              <w:rPr>
                <w:rFonts w:hint="eastAsia"/>
                <w:sz w:val="24"/>
                <w:szCs w:val="24"/>
              </w:rPr>
              <w:t>工艺，出水达《城镇污水处理厂污染物排放标准》（</w:t>
            </w:r>
            <w:r>
              <w:rPr>
                <w:sz w:val="24"/>
                <w:szCs w:val="24"/>
              </w:rPr>
              <w:t>GB18918-2002</w:t>
            </w:r>
            <w:r>
              <w:rPr>
                <w:rFonts w:hint="eastAsia"/>
                <w:sz w:val="24"/>
                <w:szCs w:val="24"/>
              </w:rPr>
              <w:t>）一级</w:t>
            </w:r>
            <w:r>
              <w:rPr>
                <w:sz w:val="24"/>
                <w:szCs w:val="24"/>
              </w:rPr>
              <w:t>B</w:t>
            </w:r>
            <w:r>
              <w:rPr>
                <w:rFonts w:hint="eastAsia"/>
                <w:sz w:val="24"/>
                <w:szCs w:val="24"/>
              </w:rPr>
              <w:t>排放标准，尾水排至长江。</w:t>
            </w:r>
            <w:r>
              <w:rPr>
                <w:sz w:val="24"/>
                <w:szCs w:val="24"/>
              </w:rPr>
              <w:t>2019</w:t>
            </w:r>
            <w:r>
              <w:rPr>
                <w:rFonts w:hint="eastAsia"/>
                <w:sz w:val="24"/>
                <w:szCs w:val="24"/>
              </w:rPr>
              <w:t>年</w:t>
            </w:r>
            <w:r>
              <w:rPr>
                <w:sz w:val="24"/>
                <w:szCs w:val="24"/>
              </w:rPr>
              <w:t>2</w:t>
            </w:r>
            <w:r>
              <w:rPr>
                <w:rFonts w:hint="eastAsia"/>
                <w:sz w:val="24"/>
                <w:szCs w:val="24"/>
              </w:rPr>
              <w:t>月岳阳联泰水务有限公司委托湖南志远环境咨询服务有限公司编制了《湖南城陵矶临港产业新区污水处理厂一期提标改造工程项目环境影响报告表》，已通过临港新区环保分局审批（岳港环批〔</w:t>
            </w:r>
            <w:r>
              <w:rPr>
                <w:sz w:val="24"/>
                <w:szCs w:val="24"/>
              </w:rPr>
              <w:t>2019</w:t>
            </w:r>
            <w:r>
              <w:rPr>
                <w:rFonts w:hint="eastAsia"/>
                <w:sz w:val="24"/>
                <w:szCs w:val="24"/>
              </w:rPr>
              <w:t>〕</w:t>
            </w:r>
            <w:r>
              <w:rPr>
                <w:sz w:val="24"/>
                <w:szCs w:val="24"/>
              </w:rPr>
              <w:t>4</w:t>
            </w:r>
            <w:r>
              <w:rPr>
                <w:rFonts w:hint="eastAsia"/>
                <w:sz w:val="24"/>
                <w:szCs w:val="24"/>
              </w:rPr>
              <w:t>号）</w:t>
            </w:r>
            <w:r>
              <w:rPr>
                <w:rFonts w:hint="eastAsia" w:hAnsi="宋体"/>
                <w:sz w:val="24"/>
                <w:szCs w:val="24"/>
              </w:rPr>
              <w:t>，提标改造规模为</w:t>
            </w:r>
            <w:r>
              <w:rPr>
                <w:rFonts w:hAnsi="宋体"/>
                <w:sz w:val="24"/>
                <w:szCs w:val="24"/>
              </w:rPr>
              <w:t>3</w:t>
            </w:r>
            <w:r>
              <w:rPr>
                <w:rFonts w:hint="eastAsia" w:hAnsi="宋体"/>
                <w:sz w:val="24"/>
                <w:szCs w:val="24"/>
              </w:rPr>
              <w:t>万吨</w:t>
            </w:r>
            <w:r>
              <w:rPr>
                <w:rFonts w:hAnsi="宋体"/>
                <w:sz w:val="24"/>
                <w:szCs w:val="24"/>
              </w:rPr>
              <w:t>/</w:t>
            </w:r>
            <w:r>
              <w:rPr>
                <w:rFonts w:hint="eastAsia" w:hAnsi="宋体"/>
                <w:sz w:val="24"/>
                <w:szCs w:val="24"/>
              </w:rPr>
              <w:t>天。①新建部分：</w:t>
            </w:r>
            <w:r>
              <w:rPr>
                <w:rFonts w:hAnsi="宋体"/>
                <w:sz w:val="24"/>
                <w:szCs w:val="24"/>
              </w:rPr>
              <w:t>1</w:t>
            </w:r>
            <w:r>
              <w:rPr>
                <w:rFonts w:hint="eastAsia" w:hAnsi="宋体"/>
                <w:sz w:val="24"/>
                <w:szCs w:val="24"/>
              </w:rPr>
              <w:t>座调节池、</w:t>
            </w:r>
            <w:r>
              <w:rPr>
                <w:rFonts w:hAnsi="宋体"/>
                <w:sz w:val="24"/>
                <w:szCs w:val="24"/>
              </w:rPr>
              <w:t>1</w:t>
            </w:r>
            <w:r>
              <w:rPr>
                <w:rFonts w:hint="eastAsia" w:hAnsi="宋体"/>
                <w:sz w:val="24"/>
                <w:szCs w:val="24"/>
              </w:rPr>
              <w:t>座絮凝沉淀池、</w:t>
            </w:r>
            <w:r>
              <w:rPr>
                <w:rFonts w:hAnsi="宋体"/>
                <w:sz w:val="24"/>
                <w:szCs w:val="24"/>
              </w:rPr>
              <w:t>1</w:t>
            </w:r>
            <w:r>
              <w:rPr>
                <w:rFonts w:hint="eastAsia" w:hAnsi="宋体"/>
                <w:sz w:val="24"/>
                <w:szCs w:val="24"/>
              </w:rPr>
              <w:t>座中间提升泵房、</w:t>
            </w:r>
            <w:r>
              <w:rPr>
                <w:rFonts w:hAnsi="宋体"/>
                <w:sz w:val="24"/>
                <w:szCs w:val="24"/>
              </w:rPr>
              <w:t>1</w:t>
            </w:r>
            <w:r>
              <w:rPr>
                <w:rFonts w:hint="eastAsia" w:hAnsi="宋体"/>
                <w:sz w:val="24"/>
                <w:szCs w:val="24"/>
              </w:rPr>
              <w:t>座高效絮凝沉淀池、</w:t>
            </w:r>
            <w:r>
              <w:rPr>
                <w:rFonts w:hAnsi="宋体"/>
                <w:sz w:val="24"/>
                <w:szCs w:val="24"/>
              </w:rPr>
              <w:t>1</w:t>
            </w:r>
            <w:r>
              <w:rPr>
                <w:rFonts w:hint="eastAsia" w:hAnsi="宋体"/>
                <w:sz w:val="24"/>
                <w:szCs w:val="24"/>
              </w:rPr>
              <w:t>座反硝化深床滤池、</w:t>
            </w:r>
            <w:r>
              <w:rPr>
                <w:rFonts w:hAnsi="宋体"/>
                <w:sz w:val="24"/>
                <w:szCs w:val="24"/>
              </w:rPr>
              <w:t>1</w:t>
            </w:r>
            <w:r>
              <w:rPr>
                <w:rFonts w:hint="eastAsia" w:hAnsi="宋体"/>
                <w:sz w:val="24"/>
                <w:szCs w:val="24"/>
              </w:rPr>
              <w:t>座加药间及次氯酸钠消毒渠；②改造部分：在一期每系列生物池的缺氧段各安装微生物培养箱</w:t>
            </w:r>
            <w:r>
              <w:rPr>
                <w:rFonts w:hAnsi="宋体"/>
                <w:sz w:val="24"/>
                <w:szCs w:val="24"/>
              </w:rPr>
              <w:t>12</w:t>
            </w:r>
            <w:r>
              <w:rPr>
                <w:rFonts w:hint="eastAsia" w:hAnsi="宋体"/>
                <w:sz w:val="24"/>
                <w:szCs w:val="24"/>
              </w:rPr>
              <w:t>台（培养箱内安装组合填料，培养箱供气管道就近接于生物池曝气管道）、在原污泥回流泵房内安装除臭污泥投加泵、在原污泥泵出口至进水井处铺设除臭污泥投加管道、在原紫外消毒渠处增设灯管</w:t>
            </w:r>
            <w:r>
              <w:rPr>
                <w:rFonts w:hAnsi="宋体"/>
                <w:sz w:val="24"/>
                <w:szCs w:val="24"/>
              </w:rPr>
              <w:t>28</w:t>
            </w:r>
            <w:r>
              <w:rPr>
                <w:rFonts w:hint="eastAsia" w:hAnsi="宋体"/>
                <w:sz w:val="24"/>
                <w:szCs w:val="24"/>
              </w:rPr>
              <w:t>根。改造完成后，服务范围为临港产业新区（主要为临港</w:t>
            </w:r>
            <w:r>
              <w:rPr>
                <w:rFonts w:hint="eastAsia"/>
                <w:sz w:val="24"/>
                <w:szCs w:val="24"/>
              </w:rPr>
              <w:t>产业核心区），管道接纳标准为</w:t>
            </w:r>
            <w:r>
              <w:rPr>
                <w:sz w:val="24"/>
                <w:szCs w:val="24"/>
              </w:rPr>
              <w:t>COD≤500 mg/L</w:t>
            </w:r>
            <w:r>
              <w:rPr>
                <w:rFonts w:hint="eastAsia"/>
                <w:sz w:val="24"/>
                <w:szCs w:val="24"/>
              </w:rPr>
              <w:t>、</w:t>
            </w:r>
            <w:r>
              <w:rPr>
                <w:sz w:val="24"/>
                <w:szCs w:val="24"/>
              </w:rPr>
              <w:t>BOD</w:t>
            </w:r>
            <w:r>
              <w:rPr>
                <w:sz w:val="24"/>
                <w:szCs w:val="24"/>
                <w:vertAlign w:val="subscript"/>
              </w:rPr>
              <w:t>5</w:t>
            </w:r>
            <w:r>
              <w:rPr>
                <w:sz w:val="24"/>
                <w:szCs w:val="24"/>
              </w:rPr>
              <w:t>≤300 mg/L</w:t>
            </w:r>
            <w:r>
              <w:rPr>
                <w:rFonts w:hint="eastAsia"/>
                <w:sz w:val="24"/>
                <w:szCs w:val="24"/>
              </w:rPr>
              <w:t>、</w:t>
            </w:r>
            <w:r>
              <w:rPr>
                <w:sz w:val="24"/>
                <w:szCs w:val="24"/>
              </w:rPr>
              <w:t>SS≤400 mg/L</w:t>
            </w:r>
            <w:r>
              <w:rPr>
                <w:rFonts w:hint="eastAsia"/>
                <w:sz w:val="24"/>
                <w:szCs w:val="24"/>
              </w:rPr>
              <w:t>、</w:t>
            </w:r>
            <w:r>
              <w:rPr>
                <w:sz w:val="24"/>
                <w:szCs w:val="24"/>
              </w:rPr>
              <w:t>NH</w:t>
            </w:r>
            <w:r>
              <w:rPr>
                <w:sz w:val="24"/>
                <w:szCs w:val="24"/>
                <w:vertAlign w:val="subscript"/>
              </w:rPr>
              <w:t>3</w:t>
            </w:r>
            <w:r>
              <w:rPr>
                <w:sz w:val="24"/>
                <w:szCs w:val="24"/>
              </w:rPr>
              <w:t>-N≤45 mg/L</w:t>
            </w:r>
            <w:r>
              <w:rPr>
                <w:rFonts w:hint="eastAsia"/>
                <w:sz w:val="24"/>
                <w:szCs w:val="24"/>
              </w:rPr>
              <w:t>、</w:t>
            </w:r>
            <w:r>
              <w:rPr>
                <w:sz w:val="24"/>
                <w:szCs w:val="24"/>
              </w:rPr>
              <w:t>TN≤70 mg/L</w:t>
            </w:r>
            <w:r>
              <w:rPr>
                <w:rFonts w:hint="eastAsia"/>
                <w:sz w:val="24"/>
                <w:szCs w:val="24"/>
              </w:rPr>
              <w:t>、</w:t>
            </w:r>
            <w:r>
              <w:rPr>
                <w:sz w:val="24"/>
                <w:szCs w:val="24"/>
              </w:rPr>
              <w:t>TP≤8 mg/L</w:t>
            </w:r>
            <w:r>
              <w:rPr>
                <w:rFonts w:hint="eastAsia"/>
                <w:sz w:val="24"/>
                <w:szCs w:val="24"/>
              </w:rPr>
              <w:t>、石油类</w:t>
            </w:r>
            <w:r>
              <w:rPr>
                <w:sz w:val="24"/>
                <w:szCs w:val="24"/>
              </w:rPr>
              <w:t>≤15 mg/L</w:t>
            </w:r>
            <w:r>
              <w:rPr>
                <w:rFonts w:hint="eastAsia"/>
                <w:sz w:val="24"/>
                <w:szCs w:val="24"/>
              </w:rPr>
              <w:t>，出水水质由《城镇污水处理厂污染物排放标准》（</w:t>
            </w:r>
            <w:r>
              <w:rPr>
                <w:sz w:val="24"/>
                <w:szCs w:val="24"/>
              </w:rPr>
              <w:t>GB18918-2002</w:t>
            </w:r>
            <w:r>
              <w:rPr>
                <w:rFonts w:hint="eastAsia"/>
                <w:sz w:val="24"/>
                <w:szCs w:val="24"/>
              </w:rPr>
              <w:t>）一级</w:t>
            </w:r>
            <w:r>
              <w:rPr>
                <w:sz w:val="24"/>
                <w:szCs w:val="24"/>
              </w:rPr>
              <w:t>B</w:t>
            </w:r>
            <w:r>
              <w:rPr>
                <w:rFonts w:hint="eastAsia"/>
                <w:sz w:val="24"/>
                <w:szCs w:val="24"/>
              </w:rPr>
              <w:t>标准提高至一级</w:t>
            </w:r>
            <w:r>
              <w:rPr>
                <w:sz w:val="24"/>
                <w:szCs w:val="24"/>
              </w:rPr>
              <w:t>A</w:t>
            </w:r>
            <w:r>
              <w:rPr>
                <w:rFonts w:hint="eastAsia"/>
                <w:sz w:val="24"/>
                <w:szCs w:val="24"/>
              </w:rPr>
              <w:t>标准。</w:t>
            </w:r>
          </w:p>
          <w:p>
            <w:pPr>
              <w:pStyle w:val="37"/>
              <w:ind w:firstLine="0" w:firstLineChars="0"/>
              <w:rPr>
                <w:rFonts w:ascii="宋体" w:hAnsi="宋体"/>
                <w:b/>
                <w:bCs/>
              </w:rPr>
            </w:pPr>
            <w:r>
              <w:rPr>
                <w:rFonts w:hint="eastAsia" w:ascii="宋体" w:hAnsi="宋体"/>
                <w:b/>
                <w:bCs/>
              </w:rPr>
              <w:t>九、区域环境功能</w:t>
            </w:r>
          </w:p>
          <w:p>
            <w:pPr>
              <w:spacing w:line="360" w:lineRule="auto"/>
              <w:ind w:firstLine="480" w:firstLineChars="200"/>
              <w:rPr>
                <w:rFonts w:ascii="宋体" w:hAnsi="宋体"/>
                <w:bCs/>
                <w:sz w:val="24"/>
                <w:szCs w:val="24"/>
              </w:rPr>
            </w:pPr>
            <w:r>
              <w:rPr>
                <w:sz w:val="24"/>
              </w:rPr>
              <w:t>本项目所在地环境功能属性见表</w:t>
            </w:r>
            <w:r>
              <w:rPr>
                <w:rFonts w:hint="eastAsia"/>
                <w:sz w:val="24"/>
              </w:rPr>
              <w:t>2-1</w:t>
            </w:r>
          </w:p>
          <w:p>
            <w:pPr>
              <w:ind w:firstLine="482" w:firstLineChars="200"/>
              <w:jc w:val="center"/>
              <w:rPr>
                <w:b/>
                <w:sz w:val="24"/>
              </w:rPr>
            </w:pPr>
            <w:r>
              <w:rPr>
                <w:b/>
                <w:sz w:val="24"/>
              </w:rPr>
              <w:t>表</w:t>
            </w:r>
            <w:r>
              <w:rPr>
                <w:rFonts w:hint="eastAsia"/>
                <w:b/>
                <w:sz w:val="24"/>
              </w:rPr>
              <w:t xml:space="preserve">2-1    </w:t>
            </w:r>
            <w:r>
              <w:rPr>
                <w:b/>
                <w:sz w:val="24"/>
              </w:rPr>
              <w:t>项目选址环境功能属性</w:t>
            </w:r>
          </w:p>
          <w:tbl>
            <w:tblPr>
              <w:tblStyle w:val="20"/>
              <w:tblW w:w="838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67"/>
              <w:gridCol w:w="2892"/>
              <w:gridCol w:w="1318"/>
              <w:gridCol w:w="2716"/>
              <w:gridCol w:w="8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8" w:type="pct"/>
                  <w:vAlign w:val="center"/>
                </w:tcPr>
                <w:p>
                  <w:pPr>
                    <w:jc w:val="center"/>
                  </w:pPr>
                  <w:r>
                    <w:t>编号</w:t>
                  </w:r>
                </w:p>
              </w:tc>
              <w:tc>
                <w:tcPr>
                  <w:tcW w:w="1725" w:type="pct"/>
                  <w:vAlign w:val="center"/>
                </w:tcPr>
                <w:p>
                  <w:pPr>
                    <w:jc w:val="center"/>
                  </w:pPr>
                  <w:r>
                    <w:t>项目</w:t>
                  </w:r>
                </w:p>
              </w:tc>
              <w:tc>
                <w:tcPr>
                  <w:tcW w:w="2936" w:type="pct"/>
                  <w:gridSpan w:val="3"/>
                  <w:vAlign w:val="center"/>
                </w:tcPr>
                <w:p>
                  <w:pPr>
                    <w:jc w:val="center"/>
                  </w:pPr>
                  <w:r>
                    <w:t>功能属性及执行标准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338" w:type="pct"/>
                  <w:vMerge w:val="restart"/>
                  <w:shd w:val="clear" w:color="auto" w:fill="auto"/>
                  <w:vAlign w:val="center"/>
                </w:tcPr>
                <w:p>
                  <w:pPr>
                    <w:jc w:val="center"/>
                  </w:pPr>
                  <w:r>
                    <w:t>1</w:t>
                  </w:r>
                </w:p>
              </w:tc>
              <w:tc>
                <w:tcPr>
                  <w:tcW w:w="1725" w:type="pct"/>
                  <w:vMerge w:val="restart"/>
                  <w:shd w:val="clear" w:color="auto" w:fill="auto"/>
                  <w:vAlign w:val="center"/>
                </w:tcPr>
                <w:p>
                  <w:pPr>
                    <w:jc w:val="center"/>
                  </w:pPr>
                  <w:r>
                    <w:t>水环境功能区</w:t>
                  </w:r>
                </w:p>
              </w:tc>
              <w:tc>
                <w:tcPr>
                  <w:tcW w:w="786" w:type="pct"/>
                  <w:shd w:val="clear" w:color="auto" w:fill="auto"/>
                  <w:vAlign w:val="center"/>
                </w:tcPr>
                <w:p>
                  <w:pPr>
                    <w:jc w:val="center"/>
                  </w:pPr>
                  <w:r>
                    <w:rPr>
                      <w:rFonts w:hint="eastAsia"/>
                    </w:rPr>
                    <w:t>长江</w:t>
                  </w:r>
                </w:p>
              </w:tc>
              <w:tc>
                <w:tcPr>
                  <w:tcW w:w="1620" w:type="pct"/>
                  <w:vMerge w:val="restart"/>
                  <w:shd w:val="clear" w:color="auto" w:fill="auto"/>
                  <w:vAlign w:val="center"/>
                </w:tcPr>
                <w:p>
                  <w:pPr>
                    <w:jc w:val="center"/>
                  </w:pPr>
                  <w:r>
                    <w:rPr>
                      <w:rFonts w:hint="eastAsia"/>
                    </w:rPr>
                    <w:t>渔业用水</w:t>
                  </w:r>
                </w:p>
              </w:tc>
              <w:tc>
                <w:tcPr>
                  <w:tcW w:w="530" w:type="pct"/>
                  <w:vMerge w:val="restart"/>
                  <w:shd w:val="clear" w:color="auto" w:fill="auto"/>
                  <w:vAlign w:val="center"/>
                </w:tcPr>
                <w:p>
                  <w:pPr>
                    <w:jc w:val="center"/>
                  </w:pPr>
                  <w:r>
                    <w:t>III类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338" w:type="pct"/>
                  <w:vMerge w:val="continue"/>
                  <w:shd w:val="clear" w:color="auto" w:fill="auto"/>
                  <w:vAlign w:val="center"/>
                </w:tcPr>
                <w:p>
                  <w:pPr>
                    <w:jc w:val="center"/>
                  </w:pPr>
                </w:p>
              </w:tc>
              <w:tc>
                <w:tcPr>
                  <w:tcW w:w="1725" w:type="pct"/>
                  <w:vMerge w:val="continue"/>
                  <w:shd w:val="clear" w:color="auto" w:fill="auto"/>
                  <w:vAlign w:val="center"/>
                </w:tcPr>
                <w:p>
                  <w:pPr>
                    <w:jc w:val="center"/>
                  </w:pPr>
                </w:p>
              </w:tc>
              <w:tc>
                <w:tcPr>
                  <w:tcW w:w="786" w:type="pct"/>
                  <w:shd w:val="clear" w:color="auto" w:fill="auto"/>
                  <w:vAlign w:val="center"/>
                </w:tcPr>
                <w:p>
                  <w:pPr>
                    <w:jc w:val="center"/>
                  </w:pPr>
                  <w:r>
                    <w:rPr>
                      <w:rFonts w:hint="eastAsia"/>
                    </w:rPr>
                    <w:t>象骨港</w:t>
                  </w:r>
                </w:p>
              </w:tc>
              <w:tc>
                <w:tcPr>
                  <w:tcW w:w="1620" w:type="pct"/>
                  <w:vMerge w:val="continue"/>
                  <w:shd w:val="clear" w:color="auto" w:fill="auto"/>
                  <w:vAlign w:val="center"/>
                </w:tcPr>
                <w:p>
                  <w:pPr>
                    <w:jc w:val="center"/>
                  </w:pPr>
                </w:p>
              </w:tc>
              <w:tc>
                <w:tcPr>
                  <w:tcW w:w="530" w:type="pct"/>
                  <w:vMerge w:val="continue"/>
                  <w:shd w:val="clear" w:color="auto" w:fill="auto"/>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338" w:type="pct"/>
                  <w:vMerge w:val="continue"/>
                  <w:shd w:val="clear" w:color="auto" w:fill="auto"/>
                  <w:vAlign w:val="center"/>
                </w:tcPr>
                <w:p>
                  <w:pPr>
                    <w:jc w:val="center"/>
                  </w:pPr>
                </w:p>
              </w:tc>
              <w:tc>
                <w:tcPr>
                  <w:tcW w:w="1725" w:type="pct"/>
                  <w:vMerge w:val="continue"/>
                  <w:shd w:val="clear" w:color="auto" w:fill="auto"/>
                  <w:vAlign w:val="center"/>
                </w:tcPr>
                <w:p>
                  <w:pPr>
                    <w:jc w:val="center"/>
                  </w:pPr>
                </w:p>
              </w:tc>
              <w:tc>
                <w:tcPr>
                  <w:tcW w:w="786" w:type="pct"/>
                  <w:shd w:val="clear" w:color="auto" w:fill="auto"/>
                  <w:vAlign w:val="center"/>
                </w:tcPr>
                <w:p>
                  <w:pPr>
                    <w:jc w:val="center"/>
                  </w:pPr>
                  <w:r>
                    <w:rPr>
                      <w:rFonts w:hint="eastAsia"/>
                    </w:rPr>
                    <w:t>芭蕉湖</w:t>
                  </w:r>
                </w:p>
              </w:tc>
              <w:tc>
                <w:tcPr>
                  <w:tcW w:w="1620" w:type="pct"/>
                  <w:vMerge w:val="continue"/>
                  <w:shd w:val="clear" w:color="auto" w:fill="auto"/>
                  <w:vAlign w:val="center"/>
                </w:tcPr>
                <w:p>
                  <w:pPr>
                    <w:jc w:val="center"/>
                  </w:pPr>
                </w:p>
              </w:tc>
              <w:tc>
                <w:tcPr>
                  <w:tcW w:w="530" w:type="pct"/>
                  <w:vMerge w:val="continue"/>
                  <w:shd w:val="clear" w:color="auto" w:fill="auto"/>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8" w:type="pct"/>
                  <w:vAlign w:val="center"/>
                </w:tcPr>
                <w:p>
                  <w:pPr>
                    <w:jc w:val="center"/>
                  </w:pPr>
                  <w:r>
                    <w:t>2</w:t>
                  </w:r>
                </w:p>
              </w:tc>
              <w:tc>
                <w:tcPr>
                  <w:tcW w:w="1725" w:type="pct"/>
                  <w:vAlign w:val="center"/>
                </w:tcPr>
                <w:p>
                  <w:pPr>
                    <w:jc w:val="center"/>
                  </w:pPr>
                  <w:r>
                    <w:t>环境空气质量功能区</w:t>
                  </w:r>
                </w:p>
              </w:tc>
              <w:tc>
                <w:tcPr>
                  <w:tcW w:w="2936" w:type="pct"/>
                  <w:gridSpan w:val="3"/>
                  <w:vAlign w:val="center"/>
                </w:tcPr>
                <w:p>
                  <w:pPr>
                    <w:jc w:val="center"/>
                  </w:pPr>
                  <w:r>
                    <w:t>二类区，环境空气质量执行《环境空气质量标准》</w:t>
                  </w:r>
                </w:p>
                <w:p>
                  <w:pPr>
                    <w:jc w:val="center"/>
                  </w:pPr>
                  <w:r>
                    <w:t>（GB3095-</w:t>
                  </w:r>
                  <w:r>
                    <w:rPr>
                      <w:rFonts w:hint="eastAsia"/>
                    </w:rPr>
                    <w:t>2012</w:t>
                  </w:r>
                  <w:r>
                    <w:t>）中的二级标准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38" w:type="pct"/>
                  <w:vAlign w:val="center"/>
                </w:tcPr>
                <w:p>
                  <w:pPr>
                    <w:jc w:val="center"/>
                  </w:pPr>
                  <w:r>
                    <w:t>3</w:t>
                  </w:r>
                </w:p>
              </w:tc>
              <w:tc>
                <w:tcPr>
                  <w:tcW w:w="1725" w:type="pct"/>
                  <w:vAlign w:val="center"/>
                </w:tcPr>
                <w:p>
                  <w:pPr>
                    <w:jc w:val="center"/>
                  </w:pPr>
                  <w:r>
                    <w:t>声环境功能区</w:t>
                  </w:r>
                </w:p>
              </w:tc>
              <w:tc>
                <w:tcPr>
                  <w:tcW w:w="2936" w:type="pct"/>
                  <w:gridSpan w:val="3"/>
                  <w:vAlign w:val="center"/>
                </w:tcPr>
                <w:p>
                  <w:pPr>
                    <w:jc w:val="center"/>
                  </w:pPr>
                  <w:r>
                    <w:rPr>
                      <w:rFonts w:hint="eastAsia"/>
                    </w:rPr>
                    <w:t>项目区域</w:t>
                  </w:r>
                  <w:r>
                    <w:t>执行《声环境质量标准》（GB3096-2008）</w:t>
                  </w:r>
                  <w:r>
                    <w:rPr>
                      <w:rFonts w:hint="eastAsia"/>
                    </w:rPr>
                    <w:t>2、4a类</w:t>
                  </w:r>
                  <w:r>
                    <w:t>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338" w:type="pct"/>
                  <w:vAlign w:val="center"/>
                </w:tcPr>
                <w:p>
                  <w:pPr>
                    <w:jc w:val="center"/>
                  </w:pPr>
                  <w:r>
                    <w:t>4</w:t>
                  </w:r>
                </w:p>
              </w:tc>
              <w:tc>
                <w:tcPr>
                  <w:tcW w:w="1725" w:type="pct"/>
                  <w:vAlign w:val="center"/>
                </w:tcPr>
                <w:p>
                  <w:pPr>
                    <w:jc w:val="center"/>
                  </w:pPr>
                  <w:r>
                    <w:t>是否基本农田保护区</w:t>
                  </w:r>
                </w:p>
              </w:tc>
              <w:tc>
                <w:tcPr>
                  <w:tcW w:w="2936" w:type="pct"/>
                  <w:gridSpan w:val="3"/>
                  <w:vAlign w:val="center"/>
                </w:tcPr>
                <w:p>
                  <w:pPr>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338" w:type="pct"/>
                  <w:vAlign w:val="center"/>
                </w:tcPr>
                <w:p>
                  <w:pPr>
                    <w:jc w:val="center"/>
                  </w:pPr>
                  <w:r>
                    <w:t>5</w:t>
                  </w:r>
                </w:p>
              </w:tc>
              <w:tc>
                <w:tcPr>
                  <w:tcW w:w="1725" w:type="pct"/>
                  <w:vAlign w:val="center"/>
                </w:tcPr>
                <w:p>
                  <w:pPr>
                    <w:jc w:val="center"/>
                  </w:pPr>
                  <w:r>
                    <w:t>是否森林公园</w:t>
                  </w:r>
                </w:p>
              </w:tc>
              <w:tc>
                <w:tcPr>
                  <w:tcW w:w="2936" w:type="pct"/>
                  <w:gridSpan w:val="3"/>
                  <w:vAlign w:val="center"/>
                </w:tcPr>
                <w:p>
                  <w:pPr>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38" w:type="pct"/>
                  <w:vAlign w:val="center"/>
                </w:tcPr>
                <w:p>
                  <w:pPr>
                    <w:jc w:val="center"/>
                  </w:pPr>
                  <w:r>
                    <w:t>6</w:t>
                  </w:r>
                </w:p>
              </w:tc>
              <w:tc>
                <w:tcPr>
                  <w:tcW w:w="1725" w:type="pct"/>
                  <w:vAlign w:val="center"/>
                </w:tcPr>
                <w:p>
                  <w:pPr>
                    <w:jc w:val="center"/>
                  </w:pPr>
                  <w:r>
                    <w:t>是否生态功能保护区</w:t>
                  </w:r>
                </w:p>
              </w:tc>
              <w:tc>
                <w:tcPr>
                  <w:tcW w:w="2936" w:type="pct"/>
                  <w:gridSpan w:val="3"/>
                  <w:vAlign w:val="center"/>
                </w:tcPr>
                <w:p>
                  <w:pPr>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338" w:type="pct"/>
                  <w:vAlign w:val="center"/>
                </w:tcPr>
                <w:p>
                  <w:pPr>
                    <w:jc w:val="center"/>
                  </w:pPr>
                  <w:r>
                    <w:t>7</w:t>
                  </w:r>
                </w:p>
              </w:tc>
              <w:tc>
                <w:tcPr>
                  <w:tcW w:w="1725" w:type="pct"/>
                  <w:vAlign w:val="center"/>
                </w:tcPr>
                <w:p>
                  <w:pPr>
                    <w:jc w:val="center"/>
                  </w:pPr>
                  <w:r>
                    <w:t>是否水土流失重点防治区</w:t>
                  </w:r>
                </w:p>
              </w:tc>
              <w:tc>
                <w:tcPr>
                  <w:tcW w:w="2936" w:type="pct"/>
                  <w:gridSpan w:val="3"/>
                  <w:vAlign w:val="center"/>
                </w:tcPr>
                <w:p>
                  <w:pPr>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338" w:type="pct"/>
                  <w:vAlign w:val="center"/>
                </w:tcPr>
                <w:p>
                  <w:pPr>
                    <w:jc w:val="center"/>
                  </w:pPr>
                  <w:r>
                    <w:t>8</w:t>
                  </w:r>
                </w:p>
              </w:tc>
              <w:tc>
                <w:tcPr>
                  <w:tcW w:w="1725" w:type="pct"/>
                  <w:vAlign w:val="center"/>
                </w:tcPr>
                <w:p>
                  <w:pPr>
                    <w:jc w:val="center"/>
                  </w:pPr>
                  <w:r>
                    <w:t>是否人口密集区</w:t>
                  </w:r>
                </w:p>
              </w:tc>
              <w:tc>
                <w:tcPr>
                  <w:tcW w:w="2936" w:type="pct"/>
                  <w:gridSpan w:val="3"/>
                  <w:vAlign w:val="center"/>
                </w:tcPr>
                <w:p>
                  <w:pPr>
                    <w:jc w:val="center"/>
                  </w:pPr>
                  <w:r>
                    <w:rPr>
                      <w:rFonts w:hint="eastAsia"/>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338" w:type="pct"/>
                  <w:vAlign w:val="center"/>
                </w:tcPr>
                <w:p>
                  <w:pPr>
                    <w:jc w:val="center"/>
                  </w:pPr>
                  <w:r>
                    <w:t>9</w:t>
                  </w:r>
                </w:p>
              </w:tc>
              <w:tc>
                <w:tcPr>
                  <w:tcW w:w="1725" w:type="pct"/>
                  <w:vAlign w:val="center"/>
                </w:tcPr>
                <w:p>
                  <w:pPr>
                    <w:jc w:val="center"/>
                  </w:pPr>
                  <w:r>
                    <w:t>是否重点文物保护单位</w:t>
                  </w:r>
                </w:p>
              </w:tc>
              <w:tc>
                <w:tcPr>
                  <w:tcW w:w="2936" w:type="pct"/>
                  <w:gridSpan w:val="3"/>
                  <w:vAlign w:val="center"/>
                </w:tcPr>
                <w:p>
                  <w:pPr>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338" w:type="pct"/>
                  <w:vAlign w:val="center"/>
                </w:tcPr>
                <w:p>
                  <w:pPr>
                    <w:jc w:val="center"/>
                  </w:pPr>
                  <w:r>
                    <w:t>10</w:t>
                  </w:r>
                </w:p>
              </w:tc>
              <w:tc>
                <w:tcPr>
                  <w:tcW w:w="1725" w:type="pct"/>
                  <w:vAlign w:val="center"/>
                </w:tcPr>
                <w:p>
                  <w:pPr>
                    <w:jc w:val="center"/>
                  </w:pPr>
                  <w:r>
                    <w:t>是否三河、三湖、两控区</w:t>
                  </w:r>
                </w:p>
              </w:tc>
              <w:tc>
                <w:tcPr>
                  <w:tcW w:w="2936" w:type="pct"/>
                  <w:gridSpan w:val="3"/>
                  <w:vAlign w:val="center"/>
                </w:tcPr>
                <w:p>
                  <w:pPr>
                    <w:jc w:val="center"/>
                  </w:pPr>
                  <w:r>
                    <w:t>是两控区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338" w:type="pct"/>
                  <w:vAlign w:val="center"/>
                </w:tcPr>
                <w:p>
                  <w:pPr>
                    <w:jc w:val="center"/>
                  </w:pPr>
                  <w:r>
                    <w:t>11</w:t>
                  </w:r>
                </w:p>
              </w:tc>
              <w:tc>
                <w:tcPr>
                  <w:tcW w:w="1725" w:type="pct"/>
                  <w:vAlign w:val="center"/>
                </w:tcPr>
                <w:p>
                  <w:pPr>
                    <w:jc w:val="center"/>
                  </w:pPr>
                  <w:r>
                    <w:t>是否水库库区</w:t>
                  </w:r>
                </w:p>
              </w:tc>
              <w:tc>
                <w:tcPr>
                  <w:tcW w:w="2936" w:type="pct"/>
                  <w:gridSpan w:val="3"/>
                  <w:vAlign w:val="center"/>
                </w:tcPr>
                <w:p>
                  <w:pPr>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338" w:type="pct"/>
                  <w:vAlign w:val="center"/>
                </w:tcPr>
                <w:p>
                  <w:pPr>
                    <w:jc w:val="center"/>
                  </w:pPr>
                  <w:r>
                    <w:t>12</w:t>
                  </w:r>
                </w:p>
              </w:tc>
              <w:tc>
                <w:tcPr>
                  <w:tcW w:w="1725" w:type="pct"/>
                  <w:vAlign w:val="center"/>
                </w:tcPr>
                <w:p>
                  <w:pPr>
                    <w:jc w:val="center"/>
                  </w:pPr>
                  <w:r>
                    <w:t>是否污水处理厂集水范围</w:t>
                  </w:r>
                </w:p>
              </w:tc>
              <w:tc>
                <w:tcPr>
                  <w:tcW w:w="2936" w:type="pct"/>
                  <w:gridSpan w:val="3"/>
                  <w:vAlign w:val="center"/>
                </w:tcPr>
                <w:p>
                  <w:pPr>
                    <w:jc w:val="center"/>
                  </w:pPr>
                  <w:r>
                    <w:rPr>
                      <w:rFonts w:hint="eastAsia"/>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338" w:type="pct"/>
                  <w:vAlign w:val="center"/>
                </w:tcPr>
                <w:p>
                  <w:pPr>
                    <w:jc w:val="center"/>
                  </w:pPr>
                  <w:r>
                    <w:t>13</w:t>
                  </w:r>
                </w:p>
              </w:tc>
              <w:tc>
                <w:tcPr>
                  <w:tcW w:w="1725" w:type="pct"/>
                  <w:vAlign w:val="center"/>
                </w:tcPr>
                <w:p>
                  <w:pPr>
                    <w:jc w:val="center"/>
                  </w:pPr>
                  <w:r>
                    <w:t>是否属于生态敏感与脆弱区</w:t>
                  </w:r>
                </w:p>
              </w:tc>
              <w:tc>
                <w:tcPr>
                  <w:tcW w:w="2936" w:type="pct"/>
                  <w:gridSpan w:val="3"/>
                  <w:vAlign w:val="center"/>
                </w:tcPr>
                <w:p>
                  <w:pPr>
                    <w:jc w:val="center"/>
                  </w:pPr>
                  <w:r>
                    <w:t>否</w:t>
                  </w:r>
                </w:p>
              </w:tc>
            </w:tr>
          </w:tbl>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r>
        <w:br w:type="page"/>
      </w:r>
    </w:p>
    <w:p>
      <w:pPr>
        <w:adjustRightInd w:val="0"/>
        <w:snapToGrid w:val="0"/>
        <w:outlineLvl w:val="0"/>
        <w:rPr>
          <w:b/>
          <w:sz w:val="32"/>
          <w:szCs w:val="32"/>
        </w:rPr>
      </w:pPr>
      <w:bookmarkStart w:id="67" w:name="_Toc11588"/>
      <w:r>
        <w:rPr>
          <w:rFonts w:hint="eastAsia"/>
          <w:b/>
          <w:sz w:val="32"/>
          <w:szCs w:val="32"/>
        </w:rPr>
        <w:t>三、</w:t>
      </w:r>
      <w:r>
        <w:rPr>
          <w:b/>
          <w:sz w:val="32"/>
          <w:szCs w:val="32"/>
        </w:rPr>
        <w:t>环境质量状况</w:t>
      </w:r>
      <w:bookmarkEnd w:id="67"/>
    </w:p>
    <w:tbl>
      <w:tblPr>
        <w:tblStyle w:val="20"/>
        <w:tblW w:w="850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642" w:hRule="atLeast"/>
          <w:jc w:val="center"/>
        </w:trPr>
        <w:tc>
          <w:tcPr>
            <w:tcW w:w="8505" w:type="dxa"/>
          </w:tcPr>
          <w:p>
            <w:pPr>
              <w:spacing w:line="348" w:lineRule="auto"/>
              <w:rPr>
                <w:b/>
                <w:sz w:val="24"/>
              </w:rPr>
            </w:pPr>
            <w:r>
              <w:rPr>
                <w:b/>
                <w:sz w:val="24"/>
              </w:rPr>
              <w:t>建设项目所在地区域环境质量现状及主要环境问题（环境空气、地面水、地下水、声环境、生态环境）：</w:t>
            </w:r>
          </w:p>
          <w:p>
            <w:pPr>
              <w:spacing w:line="348" w:lineRule="auto"/>
              <w:ind w:right="105" w:rightChars="50"/>
              <w:rPr>
                <w:b/>
                <w:sz w:val="24"/>
              </w:rPr>
            </w:pPr>
            <w:r>
              <w:rPr>
                <w:b/>
                <w:sz w:val="24"/>
              </w:rPr>
              <w:t>一、环境空气质量状况</w:t>
            </w:r>
          </w:p>
          <w:p>
            <w:pPr>
              <w:spacing w:line="360" w:lineRule="auto"/>
              <w:ind w:firstLine="480" w:firstLineChars="200"/>
              <w:jc w:val="left"/>
              <w:rPr>
                <w:sz w:val="24"/>
                <w:szCs w:val="24"/>
                <w:u w:val="single"/>
              </w:rPr>
            </w:pPr>
            <w:r>
              <w:rPr>
                <w:rFonts w:hint="eastAsia"/>
                <w:sz w:val="24"/>
                <w:szCs w:val="24"/>
                <w:u w:val="single"/>
              </w:rPr>
              <w:t>（1）达标区判定</w:t>
            </w:r>
          </w:p>
          <w:p>
            <w:pPr>
              <w:spacing w:line="360" w:lineRule="auto"/>
              <w:ind w:firstLine="480" w:firstLineChars="200"/>
              <w:jc w:val="left"/>
              <w:rPr>
                <w:sz w:val="24"/>
                <w:szCs w:val="24"/>
                <w:u w:val="single"/>
              </w:rPr>
            </w:pPr>
            <w:r>
              <w:rPr>
                <w:sz w:val="24"/>
                <w:szCs w:val="24"/>
                <w:u w:val="single"/>
              </w:rPr>
              <w:t>根据《环境影响评价技术导则大气环境》（HJ2.2-2018）中要求，项目所在区域达标判定，优先采用国家或地方生态环境主管部门公开发布的评价基准年环境质量公告或环境质量报告中的数据或结论。据岳阳市2019年环境空气质量月报（1月-12月）统计城陵矶常规监测点的大气监测数据，具体达标判定监测数据及评价结果见下表3-1。</w:t>
            </w:r>
          </w:p>
          <w:p>
            <w:pPr>
              <w:pStyle w:val="38"/>
              <w:spacing w:line="240" w:lineRule="auto"/>
              <w:ind w:firstLine="0" w:firstLineChars="0"/>
              <w:jc w:val="center"/>
              <w:rPr>
                <w:rFonts w:ascii="Times New Roman" w:hAnsi="Times New Roman"/>
                <w:sz w:val="21"/>
                <w:szCs w:val="21"/>
                <w:u w:val="single"/>
              </w:rPr>
            </w:pPr>
            <w:r>
              <w:rPr>
                <w:rFonts w:ascii="Times New Roman" w:hAnsi="Times New Roman"/>
                <w:b/>
                <w:sz w:val="21"/>
                <w:szCs w:val="21"/>
                <w:u w:val="single"/>
              </w:rPr>
              <w:t>表3-1   2019年岳阳市环境空气质量状况</w:t>
            </w:r>
          </w:p>
          <w:tbl>
            <w:tblPr>
              <w:tblStyle w:val="20"/>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443"/>
              <w:gridCol w:w="1038"/>
              <w:gridCol w:w="1014"/>
              <w:gridCol w:w="1067"/>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93" w:type="dxa"/>
                  <w:tcBorders>
                    <w:tl2br w:val="nil"/>
                    <w:tr2bl w:val="nil"/>
                  </w:tcBorders>
                  <w:shd w:val="clear" w:color="auto" w:fill="auto"/>
                  <w:vAlign w:val="center"/>
                </w:tcPr>
                <w:p>
                  <w:pPr>
                    <w:jc w:val="center"/>
                    <w:rPr>
                      <w:b/>
                      <w:szCs w:val="21"/>
                      <w:u w:val="single"/>
                    </w:rPr>
                  </w:pPr>
                  <w:r>
                    <w:rPr>
                      <w:b/>
                      <w:szCs w:val="21"/>
                      <w:u w:val="single"/>
                    </w:rPr>
                    <w:t>评价因子</w:t>
                  </w:r>
                </w:p>
              </w:tc>
              <w:tc>
                <w:tcPr>
                  <w:tcW w:w="2443" w:type="dxa"/>
                  <w:tcBorders>
                    <w:tl2br w:val="nil"/>
                    <w:tr2bl w:val="nil"/>
                  </w:tcBorders>
                  <w:shd w:val="clear" w:color="auto" w:fill="auto"/>
                  <w:vAlign w:val="center"/>
                </w:tcPr>
                <w:p>
                  <w:pPr>
                    <w:jc w:val="center"/>
                    <w:rPr>
                      <w:b/>
                      <w:szCs w:val="21"/>
                      <w:u w:val="single"/>
                    </w:rPr>
                  </w:pPr>
                  <w:r>
                    <w:rPr>
                      <w:b/>
                      <w:szCs w:val="21"/>
                      <w:u w:val="single"/>
                    </w:rPr>
                    <w:t>平均时段</w:t>
                  </w:r>
                </w:p>
              </w:tc>
              <w:tc>
                <w:tcPr>
                  <w:tcW w:w="1038" w:type="dxa"/>
                  <w:tcBorders>
                    <w:tl2br w:val="nil"/>
                    <w:tr2bl w:val="nil"/>
                  </w:tcBorders>
                  <w:shd w:val="clear" w:color="auto" w:fill="auto"/>
                  <w:vAlign w:val="center"/>
                </w:tcPr>
                <w:p>
                  <w:pPr>
                    <w:jc w:val="center"/>
                    <w:rPr>
                      <w:b/>
                      <w:szCs w:val="21"/>
                      <w:u w:val="single"/>
                    </w:rPr>
                  </w:pPr>
                  <w:r>
                    <w:rPr>
                      <w:b/>
                      <w:szCs w:val="21"/>
                      <w:u w:val="single"/>
                    </w:rPr>
                    <w:t>现状浓度</w:t>
                  </w:r>
                </w:p>
              </w:tc>
              <w:tc>
                <w:tcPr>
                  <w:tcW w:w="1014" w:type="dxa"/>
                  <w:tcBorders>
                    <w:tl2br w:val="nil"/>
                    <w:tr2bl w:val="nil"/>
                  </w:tcBorders>
                  <w:shd w:val="clear" w:color="auto" w:fill="auto"/>
                  <w:vAlign w:val="center"/>
                </w:tcPr>
                <w:p>
                  <w:pPr>
                    <w:jc w:val="center"/>
                    <w:rPr>
                      <w:b/>
                      <w:szCs w:val="21"/>
                      <w:u w:val="single"/>
                    </w:rPr>
                  </w:pPr>
                  <w:r>
                    <w:rPr>
                      <w:b/>
                      <w:szCs w:val="21"/>
                      <w:u w:val="single"/>
                    </w:rPr>
                    <w:t>标准限值</w:t>
                  </w:r>
                </w:p>
              </w:tc>
              <w:tc>
                <w:tcPr>
                  <w:tcW w:w="1067" w:type="dxa"/>
                  <w:tcBorders>
                    <w:tl2br w:val="nil"/>
                    <w:tr2bl w:val="nil"/>
                  </w:tcBorders>
                  <w:shd w:val="clear" w:color="auto" w:fill="auto"/>
                  <w:vAlign w:val="center"/>
                </w:tcPr>
                <w:p>
                  <w:pPr>
                    <w:jc w:val="center"/>
                    <w:rPr>
                      <w:b/>
                      <w:szCs w:val="21"/>
                      <w:u w:val="single"/>
                    </w:rPr>
                  </w:pPr>
                  <w:r>
                    <w:rPr>
                      <w:b/>
                      <w:szCs w:val="21"/>
                      <w:u w:val="single"/>
                    </w:rPr>
                    <w:t>占标率（%）</w:t>
                  </w:r>
                </w:p>
              </w:tc>
              <w:tc>
                <w:tcPr>
                  <w:tcW w:w="1127" w:type="dxa"/>
                  <w:tcBorders>
                    <w:tl2br w:val="nil"/>
                    <w:tr2bl w:val="nil"/>
                  </w:tcBorders>
                  <w:shd w:val="clear" w:color="auto" w:fill="auto"/>
                  <w:vAlign w:val="center"/>
                </w:tcPr>
                <w:p>
                  <w:pPr>
                    <w:jc w:val="center"/>
                    <w:rPr>
                      <w:b/>
                      <w:szCs w:val="21"/>
                      <w:u w:val="single"/>
                    </w:rPr>
                  </w:pPr>
                  <w:r>
                    <w:rPr>
                      <w:b/>
                      <w:szCs w:val="21"/>
                      <w:u w:val="singl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93" w:type="dxa"/>
                  <w:tcBorders>
                    <w:tl2br w:val="nil"/>
                    <w:tr2bl w:val="nil"/>
                  </w:tcBorders>
                  <w:shd w:val="clear" w:color="auto" w:fill="auto"/>
                  <w:vAlign w:val="center"/>
                </w:tcPr>
                <w:p>
                  <w:pPr>
                    <w:jc w:val="center"/>
                    <w:rPr>
                      <w:szCs w:val="21"/>
                      <w:u w:val="single"/>
                    </w:rPr>
                  </w:pPr>
                  <w:r>
                    <w:rPr>
                      <w:bCs/>
                      <w:snapToGrid w:val="0"/>
                      <w:kern w:val="0"/>
                      <w:szCs w:val="21"/>
                      <w:u w:val="single"/>
                    </w:rPr>
                    <w:t>SO</w:t>
                  </w:r>
                  <w:r>
                    <w:rPr>
                      <w:bCs/>
                      <w:snapToGrid w:val="0"/>
                      <w:kern w:val="0"/>
                      <w:szCs w:val="21"/>
                      <w:u w:val="single"/>
                      <w:vertAlign w:val="subscript"/>
                    </w:rPr>
                    <w:t>2</w:t>
                  </w:r>
                  <w:r>
                    <w:rPr>
                      <w:bCs/>
                      <w:snapToGrid w:val="0"/>
                      <w:kern w:val="0"/>
                      <w:szCs w:val="21"/>
                      <w:u w:val="single"/>
                    </w:rPr>
                    <w:t>（μg/m</w:t>
                  </w:r>
                  <w:r>
                    <w:rPr>
                      <w:bCs/>
                      <w:snapToGrid w:val="0"/>
                      <w:kern w:val="0"/>
                      <w:szCs w:val="21"/>
                      <w:u w:val="single"/>
                      <w:vertAlign w:val="superscript"/>
                    </w:rPr>
                    <w:t>3</w:t>
                  </w:r>
                  <w:r>
                    <w:rPr>
                      <w:bCs/>
                      <w:snapToGrid w:val="0"/>
                      <w:kern w:val="0"/>
                      <w:szCs w:val="21"/>
                      <w:u w:val="single"/>
                    </w:rPr>
                    <w:t>）</w:t>
                  </w:r>
                </w:p>
              </w:tc>
              <w:tc>
                <w:tcPr>
                  <w:tcW w:w="2443" w:type="dxa"/>
                  <w:tcBorders>
                    <w:tl2br w:val="nil"/>
                    <w:tr2bl w:val="nil"/>
                  </w:tcBorders>
                  <w:shd w:val="clear" w:color="auto" w:fill="auto"/>
                  <w:vAlign w:val="center"/>
                </w:tcPr>
                <w:p>
                  <w:pPr>
                    <w:jc w:val="center"/>
                    <w:rPr>
                      <w:szCs w:val="21"/>
                      <w:u w:val="single"/>
                    </w:rPr>
                  </w:pPr>
                  <w:r>
                    <w:rPr>
                      <w:szCs w:val="21"/>
                      <w:u w:val="single"/>
                    </w:rPr>
                    <w:t>年平均浓度</w:t>
                  </w:r>
                </w:p>
              </w:tc>
              <w:tc>
                <w:tcPr>
                  <w:tcW w:w="1038" w:type="dxa"/>
                  <w:tcBorders>
                    <w:tl2br w:val="nil"/>
                    <w:tr2bl w:val="nil"/>
                  </w:tcBorders>
                  <w:shd w:val="clear" w:color="auto" w:fill="auto"/>
                  <w:vAlign w:val="center"/>
                </w:tcPr>
                <w:p>
                  <w:pPr>
                    <w:jc w:val="center"/>
                    <w:rPr>
                      <w:szCs w:val="21"/>
                      <w:u w:val="single"/>
                    </w:rPr>
                  </w:pPr>
                  <w:r>
                    <w:rPr>
                      <w:szCs w:val="21"/>
                      <w:u w:val="single"/>
                    </w:rPr>
                    <w:t>6</w:t>
                  </w:r>
                </w:p>
              </w:tc>
              <w:tc>
                <w:tcPr>
                  <w:tcW w:w="1014" w:type="dxa"/>
                  <w:tcBorders>
                    <w:tl2br w:val="nil"/>
                    <w:tr2bl w:val="nil"/>
                  </w:tcBorders>
                  <w:shd w:val="clear" w:color="auto" w:fill="auto"/>
                  <w:vAlign w:val="center"/>
                </w:tcPr>
                <w:p>
                  <w:pPr>
                    <w:jc w:val="center"/>
                    <w:rPr>
                      <w:szCs w:val="21"/>
                      <w:u w:val="single"/>
                    </w:rPr>
                  </w:pPr>
                  <w:r>
                    <w:rPr>
                      <w:szCs w:val="21"/>
                      <w:u w:val="single"/>
                    </w:rPr>
                    <w:t>60</w:t>
                  </w:r>
                </w:p>
              </w:tc>
              <w:tc>
                <w:tcPr>
                  <w:tcW w:w="1067" w:type="dxa"/>
                  <w:tcBorders>
                    <w:tl2br w:val="nil"/>
                    <w:tr2bl w:val="nil"/>
                  </w:tcBorders>
                  <w:shd w:val="clear" w:color="auto" w:fill="auto"/>
                  <w:vAlign w:val="center"/>
                </w:tcPr>
                <w:p>
                  <w:pPr>
                    <w:widowControl/>
                    <w:jc w:val="center"/>
                    <w:textAlignment w:val="center"/>
                    <w:rPr>
                      <w:szCs w:val="21"/>
                      <w:u w:val="single"/>
                    </w:rPr>
                  </w:pPr>
                  <w:r>
                    <w:rPr>
                      <w:kern w:val="0"/>
                      <w:szCs w:val="21"/>
                      <w:u w:val="single"/>
                    </w:rPr>
                    <w:t>10.00%</w:t>
                  </w:r>
                </w:p>
              </w:tc>
              <w:tc>
                <w:tcPr>
                  <w:tcW w:w="1127" w:type="dxa"/>
                  <w:tcBorders>
                    <w:tl2br w:val="nil"/>
                    <w:tr2bl w:val="nil"/>
                  </w:tcBorders>
                  <w:shd w:val="clear" w:color="auto" w:fill="auto"/>
                  <w:vAlign w:val="center"/>
                </w:tcPr>
                <w:p>
                  <w:pPr>
                    <w:jc w:val="center"/>
                    <w:rPr>
                      <w:szCs w:val="21"/>
                      <w:u w:val="single"/>
                    </w:rPr>
                  </w:pPr>
                  <w:r>
                    <w:rPr>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93" w:type="dxa"/>
                  <w:tcBorders>
                    <w:tl2br w:val="nil"/>
                    <w:tr2bl w:val="nil"/>
                  </w:tcBorders>
                  <w:shd w:val="clear" w:color="auto" w:fill="auto"/>
                  <w:vAlign w:val="center"/>
                </w:tcPr>
                <w:p>
                  <w:pPr>
                    <w:jc w:val="center"/>
                    <w:rPr>
                      <w:szCs w:val="21"/>
                      <w:u w:val="single"/>
                    </w:rPr>
                  </w:pPr>
                  <w:r>
                    <w:rPr>
                      <w:bCs/>
                      <w:snapToGrid w:val="0"/>
                      <w:kern w:val="0"/>
                      <w:szCs w:val="21"/>
                      <w:u w:val="single"/>
                    </w:rPr>
                    <w:t>NO</w:t>
                  </w:r>
                  <w:r>
                    <w:rPr>
                      <w:bCs/>
                      <w:snapToGrid w:val="0"/>
                      <w:kern w:val="0"/>
                      <w:szCs w:val="21"/>
                      <w:u w:val="single"/>
                      <w:vertAlign w:val="subscript"/>
                    </w:rPr>
                    <w:t>2</w:t>
                  </w:r>
                  <w:r>
                    <w:rPr>
                      <w:bCs/>
                      <w:snapToGrid w:val="0"/>
                      <w:kern w:val="0"/>
                      <w:szCs w:val="21"/>
                      <w:u w:val="single"/>
                    </w:rPr>
                    <w:t>（μg/m</w:t>
                  </w:r>
                  <w:r>
                    <w:rPr>
                      <w:bCs/>
                      <w:snapToGrid w:val="0"/>
                      <w:kern w:val="0"/>
                      <w:szCs w:val="21"/>
                      <w:u w:val="single"/>
                      <w:vertAlign w:val="superscript"/>
                    </w:rPr>
                    <w:t>3</w:t>
                  </w:r>
                  <w:r>
                    <w:rPr>
                      <w:bCs/>
                      <w:snapToGrid w:val="0"/>
                      <w:kern w:val="0"/>
                      <w:szCs w:val="21"/>
                      <w:u w:val="single"/>
                    </w:rPr>
                    <w:t>）</w:t>
                  </w:r>
                </w:p>
              </w:tc>
              <w:tc>
                <w:tcPr>
                  <w:tcW w:w="2443" w:type="dxa"/>
                  <w:tcBorders>
                    <w:tl2br w:val="nil"/>
                    <w:tr2bl w:val="nil"/>
                  </w:tcBorders>
                  <w:shd w:val="clear" w:color="auto" w:fill="auto"/>
                  <w:vAlign w:val="center"/>
                </w:tcPr>
                <w:p>
                  <w:pPr>
                    <w:jc w:val="center"/>
                    <w:rPr>
                      <w:szCs w:val="21"/>
                      <w:u w:val="single"/>
                    </w:rPr>
                  </w:pPr>
                  <w:r>
                    <w:rPr>
                      <w:szCs w:val="21"/>
                      <w:u w:val="single"/>
                    </w:rPr>
                    <w:t>年平均浓度</w:t>
                  </w:r>
                </w:p>
              </w:tc>
              <w:tc>
                <w:tcPr>
                  <w:tcW w:w="1038" w:type="dxa"/>
                  <w:tcBorders>
                    <w:tl2br w:val="nil"/>
                    <w:tr2bl w:val="nil"/>
                  </w:tcBorders>
                  <w:shd w:val="clear" w:color="auto" w:fill="auto"/>
                  <w:vAlign w:val="center"/>
                </w:tcPr>
                <w:p>
                  <w:pPr>
                    <w:jc w:val="center"/>
                    <w:rPr>
                      <w:szCs w:val="21"/>
                      <w:u w:val="single"/>
                    </w:rPr>
                  </w:pPr>
                  <w:r>
                    <w:rPr>
                      <w:szCs w:val="21"/>
                      <w:u w:val="single"/>
                    </w:rPr>
                    <w:t>34</w:t>
                  </w:r>
                </w:p>
              </w:tc>
              <w:tc>
                <w:tcPr>
                  <w:tcW w:w="1014" w:type="dxa"/>
                  <w:tcBorders>
                    <w:tl2br w:val="nil"/>
                    <w:tr2bl w:val="nil"/>
                  </w:tcBorders>
                  <w:shd w:val="clear" w:color="auto" w:fill="auto"/>
                  <w:vAlign w:val="center"/>
                </w:tcPr>
                <w:p>
                  <w:pPr>
                    <w:jc w:val="center"/>
                    <w:rPr>
                      <w:szCs w:val="21"/>
                      <w:u w:val="single"/>
                    </w:rPr>
                  </w:pPr>
                  <w:r>
                    <w:rPr>
                      <w:szCs w:val="21"/>
                      <w:u w:val="single"/>
                    </w:rPr>
                    <w:t>40</w:t>
                  </w:r>
                </w:p>
              </w:tc>
              <w:tc>
                <w:tcPr>
                  <w:tcW w:w="1067" w:type="dxa"/>
                  <w:tcBorders>
                    <w:tl2br w:val="nil"/>
                    <w:tr2bl w:val="nil"/>
                  </w:tcBorders>
                  <w:shd w:val="clear" w:color="auto" w:fill="auto"/>
                  <w:vAlign w:val="center"/>
                </w:tcPr>
                <w:p>
                  <w:pPr>
                    <w:widowControl/>
                    <w:jc w:val="center"/>
                    <w:textAlignment w:val="center"/>
                    <w:rPr>
                      <w:szCs w:val="21"/>
                      <w:u w:val="single"/>
                    </w:rPr>
                  </w:pPr>
                  <w:r>
                    <w:rPr>
                      <w:kern w:val="0"/>
                      <w:szCs w:val="21"/>
                      <w:u w:val="single"/>
                    </w:rPr>
                    <w:t>85.00%</w:t>
                  </w:r>
                </w:p>
              </w:tc>
              <w:tc>
                <w:tcPr>
                  <w:tcW w:w="1127" w:type="dxa"/>
                  <w:tcBorders>
                    <w:tl2br w:val="nil"/>
                    <w:tr2bl w:val="nil"/>
                  </w:tcBorders>
                  <w:shd w:val="clear" w:color="auto" w:fill="auto"/>
                  <w:vAlign w:val="center"/>
                </w:tcPr>
                <w:p>
                  <w:pPr>
                    <w:jc w:val="center"/>
                    <w:rPr>
                      <w:szCs w:val="21"/>
                      <w:u w:val="single"/>
                    </w:rPr>
                  </w:pPr>
                  <w:r>
                    <w:rPr>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93" w:type="dxa"/>
                  <w:tcBorders>
                    <w:tl2br w:val="nil"/>
                    <w:tr2bl w:val="nil"/>
                  </w:tcBorders>
                  <w:shd w:val="clear" w:color="auto" w:fill="auto"/>
                  <w:vAlign w:val="center"/>
                </w:tcPr>
                <w:p>
                  <w:pPr>
                    <w:jc w:val="center"/>
                    <w:rPr>
                      <w:szCs w:val="21"/>
                      <w:u w:val="single"/>
                    </w:rPr>
                  </w:pPr>
                  <w:r>
                    <w:rPr>
                      <w:bCs/>
                      <w:snapToGrid w:val="0"/>
                      <w:kern w:val="0"/>
                      <w:szCs w:val="21"/>
                      <w:u w:val="single"/>
                    </w:rPr>
                    <w:t>PM</w:t>
                  </w:r>
                  <w:r>
                    <w:rPr>
                      <w:bCs/>
                      <w:snapToGrid w:val="0"/>
                      <w:kern w:val="0"/>
                      <w:szCs w:val="21"/>
                      <w:u w:val="single"/>
                      <w:vertAlign w:val="subscript"/>
                    </w:rPr>
                    <w:t>10</w:t>
                  </w:r>
                  <w:r>
                    <w:rPr>
                      <w:bCs/>
                      <w:snapToGrid w:val="0"/>
                      <w:kern w:val="0"/>
                      <w:szCs w:val="21"/>
                      <w:u w:val="single"/>
                    </w:rPr>
                    <w:t>（μg/m</w:t>
                  </w:r>
                  <w:r>
                    <w:rPr>
                      <w:bCs/>
                      <w:snapToGrid w:val="0"/>
                      <w:kern w:val="0"/>
                      <w:szCs w:val="21"/>
                      <w:u w:val="single"/>
                      <w:vertAlign w:val="superscript"/>
                    </w:rPr>
                    <w:t>3</w:t>
                  </w:r>
                  <w:r>
                    <w:rPr>
                      <w:bCs/>
                      <w:snapToGrid w:val="0"/>
                      <w:kern w:val="0"/>
                      <w:szCs w:val="21"/>
                      <w:u w:val="single"/>
                    </w:rPr>
                    <w:t>）</w:t>
                  </w:r>
                </w:p>
              </w:tc>
              <w:tc>
                <w:tcPr>
                  <w:tcW w:w="2443" w:type="dxa"/>
                  <w:tcBorders>
                    <w:tl2br w:val="nil"/>
                    <w:tr2bl w:val="nil"/>
                  </w:tcBorders>
                  <w:shd w:val="clear" w:color="auto" w:fill="auto"/>
                  <w:vAlign w:val="center"/>
                </w:tcPr>
                <w:p>
                  <w:pPr>
                    <w:jc w:val="center"/>
                    <w:rPr>
                      <w:szCs w:val="21"/>
                      <w:u w:val="single"/>
                    </w:rPr>
                  </w:pPr>
                  <w:r>
                    <w:rPr>
                      <w:szCs w:val="21"/>
                      <w:u w:val="single"/>
                    </w:rPr>
                    <w:t>年平均浓度</w:t>
                  </w:r>
                </w:p>
              </w:tc>
              <w:tc>
                <w:tcPr>
                  <w:tcW w:w="1038" w:type="dxa"/>
                  <w:tcBorders>
                    <w:tl2br w:val="nil"/>
                    <w:tr2bl w:val="nil"/>
                  </w:tcBorders>
                  <w:shd w:val="clear" w:color="auto" w:fill="auto"/>
                  <w:vAlign w:val="center"/>
                </w:tcPr>
                <w:p>
                  <w:pPr>
                    <w:jc w:val="center"/>
                    <w:rPr>
                      <w:szCs w:val="21"/>
                      <w:u w:val="single"/>
                    </w:rPr>
                  </w:pPr>
                  <w:r>
                    <w:rPr>
                      <w:szCs w:val="21"/>
                      <w:u w:val="single"/>
                    </w:rPr>
                    <w:t>77</w:t>
                  </w:r>
                </w:p>
              </w:tc>
              <w:tc>
                <w:tcPr>
                  <w:tcW w:w="1014" w:type="dxa"/>
                  <w:tcBorders>
                    <w:tl2br w:val="nil"/>
                    <w:tr2bl w:val="nil"/>
                  </w:tcBorders>
                  <w:shd w:val="clear" w:color="auto" w:fill="auto"/>
                  <w:vAlign w:val="center"/>
                </w:tcPr>
                <w:p>
                  <w:pPr>
                    <w:jc w:val="center"/>
                    <w:rPr>
                      <w:szCs w:val="21"/>
                      <w:u w:val="single"/>
                    </w:rPr>
                  </w:pPr>
                  <w:r>
                    <w:rPr>
                      <w:szCs w:val="21"/>
                      <w:u w:val="single"/>
                    </w:rPr>
                    <w:t>70</w:t>
                  </w:r>
                </w:p>
              </w:tc>
              <w:tc>
                <w:tcPr>
                  <w:tcW w:w="1067" w:type="dxa"/>
                  <w:tcBorders>
                    <w:tl2br w:val="nil"/>
                    <w:tr2bl w:val="nil"/>
                  </w:tcBorders>
                  <w:shd w:val="clear" w:color="auto" w:fill="auto"/>
                  <w:vAlign w:val="center"/>
                </w:tcPr>
                <w:p>
                  <w:pPr>
                    <w:widowControl/>
                    <w:jc w:val="center"/>
                    <w:textAlignment w:val="center"/>
                    <w:rPr>
                      <w:szCs w:val="21"/>
                      <w:u w:val="single"/>
                    </w:rPr>
                  </w:pPr>
                  <w:r>
                    <w:rPr>
                      <w:kern w:val="0"/>
                      <w:szCs w:val="21"/>
                      <w:u w:val="single"/>
                    </w:rPr>
                    <w:t>110.00%</w:t>
                  </w:r>
                </w:p>
              </w:tc>
              <w:tc>
                <w:tcPr>
                  <w:tcW w:w="1127" w:type="dxa"/>
                  <w:tcBorders>
                    <w:tl2br w:val="nil"/>
                    <w:tr2bl w:val="nil"/>
                  </w:tcBorders>
                  <w:shd w:val="clear" w:color="auto" w:fill="auto"/>
                  <w:vAlign w:val="center"/>
                </w:tcPr>
                <w:p>
                  <w:pPr>
                    <w:jc w:val="center"/>
                    <w:rPr>
                      <w:szCs w:val="21"/>
                      <w:u w:val="single"/>
                    </w:rPr>
                  </w:pPr>
                  <w:r>
                    <w:rPr>
                      <w:szCs w:val="21"/>
                      <w:u w:val="singl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93" w:type="dxa"/>
                  <w:tcBorders>
                    <w:tl2br w:val="nil"/>
                    <w:tr2bl w:val="nil"/>
                  </w:tcBorders>
                  <w:shd w:val="clear" w:color="auto" w:fill="auto"/>
                  <w:vAlign w:val="center"/>
                </w:tcPr>
                <w:p>
                  <w:pPr>
                    <w:jc w:val="center"/>
                    <w:rPr>
                      <w:szCs w:val="21"/>
                      <w:u w:val="single"/>
                    </w:rPr>
                  </w:pPr>
                  <w:r>
                    <w:rPr>
                      <w:bCs/>
                      <w:snapToGrid w:val="0"/>
                      <w:kern w:val="0"/>
                      <w:szCs w:val="21"/>
                      <w:u w:val="single"/>
                    </w:rPr>
                    <w:t>PM</w:t>
                  </w:r>
                  <w:r>
                    <w:rPr>
                      <w:bCs/>
                      <w:snapToGrid w:val="0"/>
                      <w:kern w:val="0"/>
                      <w:szCs w:val="21"/>
                      <w:u w:val="single"/>
                      <w:vertAlign w:val="subscript"/>
                    </w:rPr>
                    <w:t>2.5</w:t>
                  </w:r>
                  <w:r>
                    <w:rPr>
                      <w:bCs/>
                      <w:snapToGrid w:val="0"/>
                      <w:kern w:val="0"/>
                      <w:szCs w:val="21"/>
                      <w:u w:val="single"/>
                    </w:rPr>
                    <w:t>（μg/m</w:t>
                  </w:r>
                  <w:r>
                    <w:rPr>
                      <w:bCs/>
                      <w:snapToGrid w:val="0"/>
                      <w:kern w:val="0"/>
                      <w:szCs w:val="21"/>
                      <w:u w:val="single"/>
                      <w:vertAlign w:val="superscript"/>
                    </w:rPr>
                    <w:t>3</w:t>
                  </w:r>
                  <w:r>
                    <w:rPr>
                      <w:bCs/>
                      <w:snapToGrid w:val="0"/>
                      <w:kern w:val="0"/>
                      <w:szCs w:val="21"/>
                      <w:u w:val="single"/>
                    </w:rPr>
                    <w:t>）</w:t>
                  </w:r>
                </w:p>
              </w:tc>
              <w:tc>
                <w:tcPr>
                  <w:tcW w:w="2443" w:type="dxa"/>
                  <w:tcBorders>
                    <w:tl2br w:val="nil"/>
                    <w:tr2bl w:val="nil"/>
                  </w:tcBorders>
                  <w:shd w:val="clear" w:color="auto" w:fill="auto"/>
                  <w:vAlign w:val="center"/>
                </w:tcPr>
                <w:p>
                  <w:pPr>
                    <w:jc w:val="center"/>
                    <w:rPr>
                      <w:szCs w:val="21"/>
                      <w:u w:val="single"/>
                    </w:rPr>
                  </w:pPr>
                  <w:r>
                    <w:rPr>
                      <w:szCs w:val="21"/>
                      <w:u w:val="single"/>
                    </w:rPr>
                    <w:t>年平均浓度</w:t>
                  </w:r>
                </w:p>
              </w:tc>
              <w:tc>
                <w:tcPr>
                  <w:tcW w:w="1038" w:type="dxa"/>
                  <w:tcBorders>
                    <w:tl2br w:val="nil"/>
                    <w:tr2bl w:val="nil"/>
                  </w:tcBorders>
                  <w:shd w:val="clear" w:color="auto" w:fill="auto"/>
                  <w:vAlign w:val="center"/>
                </w:tcPr>
                <w:p>
                  <w:pPr>
                    <w:jc w:val="center"/>
                    <w:rPr>
                      <w:szCs w:val="21"/>
                      <w:u w:val="single"/>
                    </w:rPr>
                  </w:pPr>
                  <w:r>
                    <w:rPr>
                      <w:szCs w:val="21"/>
                      <w:u w:val="single"/>
                    </w:rPr>
                    <w:t>44</w:t>
                  </w:r>
                </w:p>
              </w:tc>
              <w:tc>
                <w:tcPr>
                  <w:tcW w:w="1014" w:type="dxa"/>
                  <w:tcBorders>
                    <w:tl2br w:val="nil"/>
                    <w:tr2bl w:val="nil"/>
                  </w:tcBorders>
                  <w:shd w:val="clear" w:color="auto" w:fill="auto"/>
                  <w:vAlign w:val="center"/>
                </w:tcPr>
                <w:p>
                  <w:pPr>
                    <w:jc w:val="center"/>
                    <w:rPr>
                      <w:szCs w:val="21"/>
                      <w:u w:val="single"/>
                    </w:rPr>
                  </w:pPr>
                  <w:r>
                    <w:rPr>
                      <w:szCs w:val="21"/>
                      <w:u w:val="single"/>
                    </w:rPr>
                    <w:t>35</w:t>
                  </w:r>
                </w:p>
              </w:tc>
              <w:tc>
                <w:tcPr>
                  <w:tcW w:w="1067" w:type="dxa"/>
                  <w:tcBorders>
                    <w:tl2br w:val="nil"/>
                    <w:tr2bl w:val="nil"/>
                  </w:tcBorders>
                  <w:shd w:val="clear" w:color="auto" w:fill="auto"/>
                  <w:vAlign w:val="center"/>
                </w:tcPr>
                <w:p>
                  <w:pPr>
                    <w:widowControl/>
                    <w:jc w:val="center"/>
                    <w:textAlignment w:val="center"/>
                    <w:rPr>
                      <w:szCs w:val="21"/>
                      <w:u w:val="single"/>
                    </w:rPr>
                  </w:pPr>
                  <w:r>
                    <w:rPr>
                      <w:kern w:val="0"/>
                      <w:szCs w:val="21"/>
                      <w:u w:val="single"/>
                    </w:rPr>
                    <w:t>125.71%</w:t>
                  </w:r>
                </w:p>
              </w:tc>
              <w:tc>
                <w:tcPr>
                  <w:tcW w:w="1127" w:type="dxa"/>
                  <w:tcBorders>
                    <w:tl2br w:val="nil"/>
                    <w:tr2bl w:val="nil"/>
                  </w:tcBorders>
                  <w:shd w:val="clear" w:color="auto" w:fill="auto"/>
                  <w:vAlign w:val="center"/>
                </w:tcPr>
                <w:p>
                  <w:pPr>
                    <w:jc w:val="center"/>
                    <w:rPr>
                      <w:szCs w:val="21"/>
                      <w:u w:val="single"/>
                    </w:rPr>
                  </w:pPr>
                  <w:r>
                    <w:rPr>
                      <w:szCs w:val="21"/>
                      <w:u w:val="singl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93" w:type="dxa"/>
                  <w:tcBorders>
                    <w:tl2br w:val="nil"/>
                    <w:tr2bl w:val="nil"/>
                  </w:tcBorders>
                  <w:shd w:val="clear" w:color="auto" w:fill="auto"/>
                  <w:vAlign w:val="center"/>
                </w:tcPr>
                <w:p>
                  <w:pPr>
                    <w:jc w:val="center"/>
                    <w:rPr>
                      <w:szCs w:val="21"/>
                      <w:u w:val="single"/>
                    </w:rPr>
                  </w:pPr>
                  <w:r>
                    <w:rPr>
                      <w:bCs/>
                      <w:snapToGrid w:val="0"/>
                      <w:kern w:val="0"/>
                      <w:szCs w:val="21"/>
                      <w:u w:val="single"/>
                    </w:rPr>
                    <w:t>CO（mg/m</w:t>
                  </w:r>
                  <w:r>
                    <w:rPr>
                      <w:bCs/>
                      <w:snapToGrid w:val="0"/>
                      <w:kern w:val="0"/>
                      <w:szCs w:val="21"/>
                      <w:u w:val="single"/>
                      <w:vertAlign w:val="superscript"/>
                    </w:rPr>
                    <w:t>3</w:t>
                  </w:r>
                  <w:r>
                    <w:rPr>
                      <w:bCs/>
                      <w:snapToGrid w:val="0"/>
                      <w:kern w:val="0"/>
                      <w:szCs w:val="21"/>
                      <w:u w:val="single"/>
                    </w:rPr>
                    <w:t>）</w:t>
                  </w:r>
                </w:p>
              </w:tc>
              <w:tc>
                <w:tcPr>
                  <w:tcW w:w="2443" w:type="dxa"/>
                  <w:tcBorders>
                    <w:tl2br w:val="nil"/>
                    <w:tr2bl w:val="nil"/>
                  </w:tcBorders>
                  <w:shd w:val="clear" w:color="auto" w:fill="auto"/>
                  <w:vAlign w:val="center"/>
                </w:tcPr>
                <w:p>
                  <w:pPr>
                    <w:jc w:val="center"/>
                    <w:rPr>
                      <w:szCs w:val="21"/>
                      <w:u w:val="single"/>
                    </w:rPr>
                  </w:pPr>
                  <w:r>
                    <w:rPr>
                      <w:szCs w:val="21"/>
                      <w:u w:val="single"/>
                    </w:rPr>
                    <w:t>百分位数日平均质量浓度</w:t>
                  </w:r>
                </w:p>
              </w:tc>
              <w:tc>
                <w:tcPr>
                  <w:tcW w:w="1038" w:type="dxa"/>
                  <w:tcBorders>
                    <w:tl2br w:val="nil"/>
                    <w:tr2bl w:val="nil"/>
                  </w:tcBorders>
                  <w:shd w:val="clear" w:color="auto" w:fill="auto"/>
                  <w:vAlign w:val="center"/>
                </w:tcPr>
                <w:p>
                  <w:pPr>
                    <w:jc w:val="center"/>
                    <w:rPr>
                      <w:szCs w:val="21"/>
                      <w:u w:val="single"/>
                    </w:rPr>
                  </w:pPr>
                  <w:r>
                    <w:rPr>
                      <w:szCs w:val="21"/>
                      <w:u w:val="single"/>
                    </w:rPr>
                    <w:t>1.6</w:t>
                  </w:r>
                </w:p>
              </w:tc>
              <w:tc>
                <w:tcPr>
                  <w:tcW w:w="1014" w:type="dxa"/>
                  <w:tcBorders>
                    <w:tl2br w:val="nil"/>
                    <w:tr2bl w:val="nil"/>
                  </w:tcBorders>
                  <w:shd w:val="clear" w:color="auto" w:fill="auto"/>
                  <w:vAlign w:val="center"/>
                </w:tcPr>
                <w:p>
                  <w:pPr>
                    <w:jc w:val="center"/>
                    <w:rPr>
                      <w:szCs w:val="21"/>
                      <w:u w:val="single"/>
                    </w:rPr>
                  </w:pPr>
                  <w:r>
                    <w:rPr>
                      <w:szCs w:val="21"/>
                      <w:u w:val="single"/>
                    </w:rPr>
                    <w:t>4</w:t>
                  </w:r>
                </w:p>
              </w:tc>
              <w:tc>
                <w:tcPr>
                  <w:tcW w:w="1067" w:type="dxa"/>
                  <w:tcBorders>
                    <w:tl2br w:val="nil"/>
                    <w:tr2bl w:val="nil"/>
                  </w:tcBorders>
                  <w:shd w:val="clear" w:color="auto" w:fill="auto"/>
                  <w:vAlign w:val="center"/>
                </w:tcPr>
                <w:p>
                  <w:pPr>
                    <w:widowControl/>
                    <w:jc w:val="center"/>
                    <w:textAlignment w:val="center"/>
                    <w:rPr>
                      <w:szCs w:val="21"/>
                      <w:u w:val="single"/>
                    </w:rPr>
                  </w:pPr>
                  <w:r>
                    <w:rPr>
                      <w:kern w:val="0"/>
                      <w:szCs w:val="21"/>
                      <w:u w:val="single"/>
                    </w:rPr>
                    <w:t>40.00%</w:t>
                  </w:r>
                </w:p>
              </w:tc>
              <w:tc>
                <w:tcPr>
                  <w:tcW w:w="1127" w:type="dxa"/>
                  <w:tcBorders>
                    <w:tl2br w:val="nil"/>
                    <w:tr2bl w:val="nil"/>
                  </w:tcBorders>
                  <w:shd w:val="clear" w:color="auto" w:fill="auto"/>
                  <w:vAlign w:val="center"/>
                </w:tcPr>
                <w:p>
                  <w:pPr>
                    <w:jc w:val="center"/>
                    <w:rPr>
                      <w:szCs w:val="21"/>
                      <w:u w:val="single"/>
                    </w:rPr>
                  </w:pPr>
                  <w:r>
                    <w:rPr>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93" w:type="dxa"/>
                  <w:tcBorders>
                    <w:tl2br w:val="nil"/>
                    <w:tr2bl w:val="nil"/>
                  </w:tcBorders>
                  <w:shd w:val="clear" w:color="auto" w:fill="auto"/>
                  <w:vAlign w:val="center"/>
                </w:tcPr>
                <w:p>
                  <w:pPr>
                    <w:jc w:val="center"/>
                    <w:rPr>
                      <w:szCs w:val="21"/>
                      <w:u w:val="single"/>
                    </w:rPr>
                  </w:pPr>
                  <w:r>
                    <w:rPr>
                      <w:bCs/>
                      <w:snapToGrid w:val="0"/>
                      <w:kern w:val="0"/>
                      <w:szCs w:val="21"/>
                      <w:u w:val="single"/>
                    </w:rPr>
                    <w:t>O</w:t>
                  </w:r>
                  <w:r>
                    <w:rPr>
                      <w:bCs/>
                      <w:snapToGrid w:val="0"/>
                      <w:kern w:val="0"/>
                      <w:szCs w:val="21"/>
                      <w:u w:val="single"/>
                      <w:vertAlign w:val="subscript"/>
                    </w:rPr>
                    <w:t>3</w:t>
                  </w:r>
                  <w:r>
                    <w:rPr>
                      <w:bCs/>
                      <w:snapToGrid w:val="0"/>
                      <w:kern w:val="0"/>
                      <w:szCs w:val="21"/>
                      <w:u w:val="single"/>
                    </w:rPr>
                    <w:t>（μg/m</w:t>
                  </w:r>
                  <w:r>
                    <w:rPr>
                      <w:bCs/>
                      <w:snapToGrid w:val="0"/>
                      <w:kern w:val="0"/>
                      <w:szCs w:val="21"/>
                      <w:u w:val="single"/>
                      <w:vertAlign w:val="superscript"/>
                    </w:rPr>
                    <w:t>3</w:t>
                  </w:r>
                  <w:r>
                    <w:rPr>
                      <w:bCs/>
                      <w:snapToGrid w:val="0"/>
                      <w:kern w:val="0"/>
                      <w:szCs w:val="21"/>
                      <w:u w:val="single"/>
                    </w:rPr>
                    <w:t>）</w:t>
                  </w:r>
                </w:p>
              </w:tc>
              <w:tc>
                <w:tcPr>
                  <w:tcW w:w="2443" w:type="dxa"/>
                  <w:tcBorders>
                    <w:tl2br w:val="nil"/>
                    <w:tr2bl w:val="nil"/>
                  </w:tcBorders>
                  <w:shd w:val="clear" w:color="auto" w:fill="auto"/>
                  <w:vAlign w:val="center"/>
                </w:tcPr>
                <w:p>
                  <w:pPr>
                    <w:jc w:val="center"/>
                    <w:rPr>
                      <w:szCs w:val="21"/>
                      <w:u w:val="single"/>
                    </w:rPr>
                  </w:pPr>
                  <w:r>
                    <w:rPr>
                      <w:szCs w:val="21"/>
                      <w:u w:val="single"/>
                    </w:rPr>
                    <w:t>百分位数8h平均质量浓度</w:t>
                  </w:r>
                </w:p>
              </w:tc>
              <w:tc>
                <w:tcPr>
                  <w:tcW w:w="1038" w:type="dxa"/>
                  <w:tcBorders>
                    <w:tl2br w:val="nil"/>
                    <w:tr2bl w:val="nil"/>
                  </w:tcBorders>
                  <w:shd w:val="clear" w:color="auto" w:fill="auto"/>
                  <w:vAlign w:val="center"/>
                </w:tcPr>
                <w:p>
                  <w:pPr>
                    <w:jc w:val="center"/>
                    <w:rPr>
                      <w:szCs w:val="21"/>
                      <w:u w:val="single"/>
                    </w:rPr>
                  </w:pPr>
                  <w:r>
                    <w:rPr>
                      <w:szCs w:val="21"/>
                      <w:u w:val="single"/>
                    </w:rPr>
                    <w:t>157</w:t>
                  </w:r>
                </w:p>
              </w:tc>
              <w:tc>
                <w:tcPr>
                  <w:tcW w:w="1014" w:type="dxa"/>
                  <w:tcBorders>
                    <w:tl2br w:val="nil"/>
                    <w:tr2bl w:val="nil"/>
                  </w:tcBorders>
                  <w:shd w:val="clear" w:color="auto" w:fill="auto"/>
                  <w:vAlign w:val="center"/>
                </w:tcPr>
                <w:p>
                  <w:pPr>
                    <w:jc w:val="center"/>
                    <w:rPr>
                      <w:szCs w:val="21"/>
                      <w:u w:val="single"/>
                    </w:rPr>
                  </w:pPr>
                  <w:r>
                    <w:rPr>
                      <w:szCs w:val="21"/>
                      <w:u w:val="single"/>
                    </w:rPr>
                    <w:t>160</w:t>
                  </w:r>
                </w:p>
              </w:tc>
              <w:tc>
                <w:tcPr>
                  <w:tcW w:w="1067" w:type="dxa"/>
                  <w:tcBorders>
                    <w:tl2br w:val="nil"/>
                    <w:tr2bl w:val="nil"/>
                  </w:tcBorders>
                  <w:shd w:val="clear" w:color="auto" w:fill="auto"/>
                  <w:vAlign w:val="center"/>
                </w:tcPr>
                <w:p>
                  <w:pPr>
                    <w:widowControl/>
                    <w:jc w:val="center"/>
                    <w:textAlignment w:val="center"/>
                    <w:rPr>
                      <w:szCs w:val="21"/>
                      <w:u w:val="single"/>
                    </w:rPr>
                  </w:pPr>
                  <w:r>
                    <w:rPr>
                      <w:kern w:val="0"/>
                      <w:szCs w:val="21"/>
                      <w:u w:val="single"/>
                    </w:rPr>
                    <w:t>98.13%</w:t>
                  </w:r>
                </w:p>
              </w:tc>
              <w:tc>
                <w:tcPr>
                  <w:tcW w:w="1127" w:type="dxa"/>
                  <w:tcBorders>
                    <w:tl2br w:val="nil"/>
                    <w:tr2bl w:val="nil"/>
                  </w:tcBorders>
                  <w:shd w:val="clear" w:color="auto" w:fill="auto"/>
                  <w:vAlign w:val="center"/>
                </w:tcPr>
                <w:p>
                  <w:pPr>
                    <w:jc w:val="center"/>
                    <w:rPr>
                      <w:szCs w:val="21"/>
                      <w:u w:val="single"/>
                    </w:rPr>
                  </w:pPr>
                  <w:r>
                    <w:rPr>
                      <w:szCs w:val="21"/>
                      <w:u w:val="single"/>
                    </w:rPr>
                    <w:t>达标</w:t>
                  </w:r>
                </w:p>
              </w:tc>
            </w:tr>
          </w:tbl>
          <w:p>
            <w:pPr>
              <w:widowControl/>
              <w:spacing w:line="360" w:lineRule="auto"/>
              <w:ind w:firstLine="480" w:firstLineChars="200"/>
              <w:jc w:val="left"/>
              <w:rPr>
                <w:sz w:val="24"/>
                <w:szCs w:val="24"/>
                <w:u w:val="single"/>
              </w:rPr>
            </w:pPr>
            <w:r>
              <w:rPr>
                <w:sz w:val="24"/>
                <w:szCs w:val="24"/>
              </w:rPr>
              <w:t>根据上表可知，本项目所在区域为环境空气质量不达标区，不达标因子为PM</w:t>
            </w:r>
            <w:r>
              <w:rPr>
                <w:sz w:val="24"/>
                <w:szCs w:val="24"/>
                <w:vertAlign w:val="subscript"/>
              </w:rPr>
              <w:t>10</w:t>
            </w:r>
            <w:r>
              <w:rPr>
                <w:sz w:val="24"/>
                <w:szCs w:val="24"/>
              </w:rPr>
              <w:t>和PM</w:t>
            </w:r>
            <w:r>
              <w:rPr>
                <w:sz w:val="24"/>
                <w:szCs w:val="24"/>
                <w:vertAlign w:val="subscript"/>
              </w:rPr>
              <w:t>2.5</w:t>
            </w:r>
            <w:r>
              <w:rPr>
                <w:sz w:val="24"/>
                <w:szCs w:val="24"/>
              </w:rPr>
              <w:t>。</w:t>
            </w:r>
            <w:r>
              <w:rPr>
                <w:sz w:val="24"/>
                <w:szCs w:val="24"/>
                <w:u w:val="single"/>
              </w:rPr>
              <w:t>根据《湖南省污染防治攻坚战三年行动计划（2018—2020）年》以及</w:t>
            </w:r>
            <w:r>
              <w:rPr>
                <w:rFonts w:hint="eastAsia"/>
                <w:sz w:val="24"/>
                <w:szCs w:val="24"/>
                <w:u w:val="single"/>
                <w:lang w:val="en-US" w:eastAsia="zh-CN"/>
              </w:rPr>
              <w:t>岳阳市生态环境保护委员会关于印发《岳阳市环境空气质量限期达标规划（2020-2026）》的通知（岳生环委发【2020】10号）</w:t>
            </w:r>
            <w:r>
              <w:rPr>
                <w:sz w:val="24"/>
                <w:szCs w:val="24"/>
                <w:u w:val="single"/>
              </w:rPr>
              <w:t>可知，</w:t>
            </w:r>
            <w:r>
              <w:rPr>
                <w:rFonts w:hint="eastAsia"/>
                <w:sz w:val="24"/>
                <w:szCs w:val="24"/>
                <w:u w:val="single"/>
              </w:rPr>
              <w:t>作为空气质量未达标城市，需编制环境空气质量限期达标规划，在2026年底前实现空气质量6项主要污染物全部达标。</w:t>
            </w:r>
            <w:r>
              <w:rPr>
                <w:rFonts w:hint="eastAsia"/>
                <w:sz w:val="24"/>
                <w:szCs w:val="24"/>
                <w:u w:val="single"/>
                <w:lang w:val="en-US" w:eastAsia="zh-CN"/>
              </w:rPr>
              <w:t>规划中说明，现有大气污染防治正在进行中，其中大气环境综合治理以及能力建设的不断增强，空气质量总体在逐步提升，但颗粒物污染、二氧化氮污染以及臭氧污染仍存在相应的问题，因此针对空气质量达标制定了总体策略，策略共分为两个阶段，第一阶段为2021年~2023年减排措施，第二阶段为2024年~2026年减排措施，</w:t>
            </w:r>
            <w:r>
              <w:rPr>
                <w:sz w:val="24"/>
                <w:szCs w:val="24"/>
                <w:u w:val="single"/>
              </w:rPr>
              <w:t>随着</w:t>
            </w:r>
            <w:r>
              <w:rPr>
                <w:rFonts w:hint="eastAsia"/>
                <w:sz w:val="24"/>
                <w:szCs w:val="24"/>
                <w:u w:val="single"/>
              </w:rPr>
              <w:t>限期达标规划</w:t>
            </w:r>
            <w:r>
              <w:rPr>
                <w:sz w:val="24"/>
                <w:szCs w:val="24"/>
                <w:u w:val="single"/>
              </w:rPr>
              <w:t>行动的开展，当地政府加大环境治理力度，项目所在地区环境空气质量将得到持续改善。</w:t>
            </w:r>
          </w:p>
          <w:p>
            <w:pPr>
              <w:spacing w:line="360" w:lineRule="auto"/>
              <w:ind w:firstLine="480" w:firstLineChars="200"/>
              <w:rPr>
                <w:bCs/>
                <w:sz w:val="24"/>
                <w:szCs w:val="24"/>
              </w:rPr>
            </w:pPr>
            <w:r>
              <w:rPr>
                <w:rFonts w:hint="eastAsia"/>
                <w:bCs/>
                <w:sz w:val="24"/>
                <w:szCs w:val="24"/>
              </w:rPr>
              <w:t>（2）</w:t>
            </w:r>
            <w:r>
              <w:rPr>
                <w:rFonts w:eastAsiaTheme="minorEastAsia"/>
                <w:sz w:val="24"/>
              </w:rPr>
              <w:t>特征污染物环境空气质量</w:t>
            </w:r>
            <w:r>
              <w:rPr>
                <w:rFonts w:hint="eastAsia"/>
                <w:bCs/>
                <w:sz w:val="24"/>
                <w:szCs w:val="24"/>
              </w:rPr>
              <w:t>现状评价</w:t>
            </w:r>
          </w:p>
          <w:p>
            <w:pPr>
              <w:spacing w:line="360" w:lineRule="auto"/>
              <w:ind w:firstLine="480" w:firstLineChars="200"/>
              <w:rPr>
                <w:bCs/>
                <w:sz w:val="24"/>
                <w:szCs w:val="24"/>
              </w:rPr>
            </w:pPr>
            <w:r>
              <w:rPr>
                <w:rFonts w:hint="eastAsia"/>
                <w:bCs/>
                <w:sz w:val="24"/>
                <w:szCs w:val="24"/>
              </w:rPr>
              <w:t>本评价收集了《岳阳</w:t>
            </w:r>
            <w:r>
              <w:rPr>
                <w:sz w:val="24"/>
              </w:rPr>
              <w:t>华星锦业汽车销售服务有限公司奔驰4S店项目</w:t>
            </w:r>
            <w:r>
              <w:rPr>
                <w:rFonts w:hint="eastAsia"/>
                <w:sz w:val="24"/>
              </w:rPr>
              <w:t>环境影响报告表</w:t>
            </w:r>
            <w:r>
              <w:rPr>
                <w:rFonts w:hint="eastAsia"/>
                <w:bCs/>
                <w:sz w:val="24"/>
                <w:szCs w:val="24"/>
              </w:rPr>
              <w:t>》中湖南昌源环境科技有限公司于</w:t>
            </w:r>
            <w:r>
              <w:rPr>
                <w:bCs/>
                <w:sz w:val="24"/>
                <w:szCs w:val="24"/>
              </w:rPr>
              <w:t>20</w:t>
            </w:r>
            <w:r>
              <w:rPr>
                <w:rFonts w:hint="eastAsia"/>
                <w:bCs/>
                <w:sz w:val="24"/>
                <w:szCs w:val="24"/>
              </w:rPr>
              <w:t>20年8月对项目周边的甲苯、二甲苯、</w:t>
            </w:r>
            <w:r>
              <w:rPr>
                <w:bCs/>
                <w:sz w:val="24"/>
                <w:szCs w:val="24"/>
              </w:rPr>
              <w:t>TVOC</w:t>
            </w:r>
            <w:r>
              <w:rPr>
                <w:rFonts w:hint="eastAsia"/>
                <w:bCs/>
                <w:sz w:val="24"/>
                <w:szCs w:val="24"/>
              </w:rPr>
              <w:t>监测数据，两个监测点分别位于项目西北350</w:t>
            </w:r>
            <w:r>
              <w:rPr>
                <w:bCs/>
                <w:sz w:val="24"/>
                <w:szCs w:val="24"/>
              </w:rPr>
              <w:t>m</w:t>
            </w:r>
            <w:r>
              <w:rPr>
                <w:rFonts w:hint="eastAsia"/>
                <w:bCs/>
                <w:sz w:val="24"/>
                <w:szCs w:val="24"/>
              </w:rPr>
              <w:t>和4</w:t>
            </w:r>
            <w:r>
              <w:rPr>
                <w:rFonts w:hint="eastAsia"/>
                <w:bCs/>
                <w:sz w:val="24"/>
                <w:szCs w:val="24"/>
                <w:lang w:val="en-US" w:eastAsia="zh-CN"/>
              </w:rPr>
              <w:t>2</w:t>
            </w:r>
            <w:bookmarkStart w:id="88" w:name="_GoBack"/>
            <w:bookmarkEnd w:id="88"/>
            <w:r>
              <w:rPr>
                <w:rFonts w:hint="eastAsia"/>
                <w:bCs/>
                <w:sz w:val="24"/>
                <w:szCs w:val="24"/>
                <w:lang w:val="en-US" w:eastAsia="zh-CN"/>
              </w:rPr>
              <w:t>1</w:t>
            </w:r>
            <w:r>
              <w:rPr>
                <w:bCs/>
                <w:sz w:val="24"/>
                <w:szCs w:val="24"/>
              </w:rPr>
              <w:t>m</w:t>
            </w:r>
            <w:r>
              <w:rPr>
                <w:rFonts w:hint="eastAsia"/>
                <w:bCs/>
                <w:sz w:val="24"/>
                <w:szCs w:val="24"/>
              </w:rPr>
              <w:t>，监测结果见下表。</w:t>
            </w:r>
          </w:p>
          <w:p>
            <w:pPr>
              <w:adjustRightInd w:val="0"/>
              <w:snapToGrid w:val="0"/>
              <w:ind w:firstLine="422" w:firstLineChars="200"/>
              <w:jc w:val="center"/>
            </w:pPr>
            <w:r>
              <w:rPr>
                <w:b/>
                <w:szCs w:val="21"/>
              </w:rPr>
              <w:t>表3-2其他污染物补充监测点位基本信息表</w:t>
            </w:r>
          </w:p>
          <w:tbl>
            <w:tblPr>
              <w:tblStyle w:val="21"/>
              <w:tblW w:w="83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87"/>
              <w:gridCol w:w="1187"/>
              <w:gridCol w:w="1187"/>
              <w:gridCol w:w="1188"/>
              <w:gridCol w:w="1188"/>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l2br w:val="nil"/>
                    <w:tr2bl w:val="nil"/>
                  </w:tcBorders>
                  <w:vAlign w:val="center"/>
                </w:tcPr>
                <w:p>
                  <w:pPr>
                    <w:adjustRightInd w:val="0"/>
                    <w:snapToGrid w:val="0"/>
                    <w:jc w:val="center"/>
                    <w:rPr>
                      <w:b/>
                      <w:szCs w:val="21"/>
                    </w:rPr>
                  </w:pPr>
                  <w:r>
                    <w:rPr>
                      <w:b/>
                      <w:szCs w:val="21"/>
                    </w:rPr>
                    <w:t>监测点位名称</w:t>
                  </w:r>
                </w:p>
              </w:tc>
              <w:tc>
                <w:tcPr>
                  <w:tcW w:w="2374" w:type="dxa"/>
                  <w:gridSpan w:val="2"/>
                  <w:tcBorders>
                    <w:tl2br w:val="nil"/>
                    <w:tr2bl w:val="nil"/>
                  </w:tcBorders>
                  <w:vAlign w:val="center"/>
                </w:tcPr>
                <w:p>
                  <w:pPr>
                    <w:adjustRightInd w:val="0"/>
                    <w:snapToGrid w:val="0"/>
                    <w:jc w:val="center"/>
                    <w:rPr>
                      <w:b/>
                      <w:szCs w:val="21"/>
                    </w:rPr>
                  </w:pPr>
                  <w:r>
                    <w:rPr>
                      <w:b/>
                      <w:szCs w:val="21"/>
                    </w:rPr>
                    <w:t>监测点坐标/m</w:t>
                  </w:r>
                </w:p>
              </w:tc>
              <w:tc>
                <w:tcPr>
                  <w:tcW w:w="1187" w:type="dxa"/>
                  <w:vMerge w:val="restart"/>
                  <w:tcBorders>
                    <w:tl2br w:val="nil"/>
                    <w:tr2bl w:val="nil"/>
                  </w:tcBorders>
                  <w:vAlign w:val="center"/>
                </w:tcPr>
                <w:p>
                  <w:pPr>
                    <w:adjustRightInd w:val="0"/>
                    <w:snapToGrid w:val="0"/>
                    <w:jc w:val="center"/>
                    <w:rPr>
                      <w:b/>
                      <w:szCs w:val="21"/>
                    </w:rPr>
                  </w:pPr>
                  <w:r>
                    <w:rPr>
                      <w:b/>
                      <w:szCs w:val="21"/>
                    </w:rPr>
                    <w:t>监测因子</w:t>
                  </w:r>
                </w:p>
              </w:tc>
              <w:tc>
                <w:tcPr>
                  <w:tcW w:w="1188" w:type="dxa"/>
                  <w:vMerge w:val="restart"/>
                  <w:tcBorders>
                    <w:tl2br w:val="nil"/>
                    <w:tr2bl w:val="nil"/>
                  </w:tcBorders>
                  <w:vAlign w:val="center"/>
                </w:tcPr>
                <w:p>
                  <w:pPr>
                    <w:adjustRightInd w:val="0"/>
                    <w:snapToGrid w:val="0"/>
                    <w:jc w:val="center"/>
                    <w:rPr>
                      <w:b/>
                      <w:szCs w:val="21"/>
                    </w:rPr>
                  </w:pPr>
                  <w:r>
                    <w:rPr>
                      <w:b/>
                      <w:szCs w:val="21"/>
                    </w:rPr>
                    <w:t>监测时段</w:t>
                  </w:r>
                </w:p>
              </w:tc>
              <w:tc>
                <w:tcPr>
                  <w:tcW w:w="1188" w:type="dxa"/>
                  <w:vMerge w:val="restart"/>
                  <w:tcBorders>
                    <w:tl2br w:val="nil"/>
                    <w:tr2bl w:val="nil"/>
                  </w:tcBorders>
                  <w:vAlign w:val="center"/>
                </w:tcPr>
                <w:p>
                  <w:pPr>
                    <w:adjustRightInd w:val="0"/>
                    <w:snapToGrid w:val="0"/>
                    <w:jc w:val="center"/>
                    <w:rPr>
                      <w:b/>
                      <w:szCs w:val="21"/>
                    </w:rPr>
                  </w:pPr>
                  <w:r>
                    <w:rPr>
                      <w:b/>
                      <w:szCs w:val="21"/>
                    </w:rPr>
                    <w:t>相对厂址方位</w:t>
                  </w:r>
                </w:p>
              </w:tc>
              <w:tc>
                <w:tcPr>
                  <w:tcW w:w="1188" w:type="dxa"/>
                  <w:vMerge w:val="restart"/>
                  <w:tcBorders>
                    <w:tl2br w:val="nil"/>
                    <w:tr2bl w:val="nil"/>
                  </w:tcBorders>
                  <w:vAlign w:val="center"/>
                </w:tcPr>
                <w:p>
                  <w:pPr>
                    <w:adjustRightInd w:val="0"/>
                    <w:snapToGrid w:val="0"/>
                    <w:jc w:val="center"/>
                    <w:rPr>
                      <w:b/>
                      <w:szCs w:val="21"/>
                    </w:rPr>
                  </w:pPr>
                  <w:r>
                    <w:rPr>
                      <w:b/>
                      <w:szCs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Merge w:val="continue"/>
                  <w:tcBorders>
                    <w:tl2br w:val="nil"/>
                    <w:tr2bl w:val="nil"/>
                  </w:tcBorders>
                  <w:vAlign w:val="center"/>
                </w:tcPr>
                <w:p>
                  <w:pPr>
                    <w:adjustRightInd w:val="0"/>
                    <w:snapToGrid w:val="0"/>
                    <w:jc w:val="center"/>
                    <w:rPr>
                      <w:b/>
                      <w:szCs w:val="21"/>
                    </w:rPr>
                  </w:pPr>
                </w:p>
              </w:tc>
              <w:tc>
                <w:tcPr>
                  <w:tcW w:w="1187" w:type="dxa"/>
                  <w:tcBorders>
                    <w:tl2br w:val="nil"/>
                    <w:tr2bl w:val="nil"/>
                  </w:tcBorders>
                  <w:vAlign w:val="center"/>
                </w:tcPr>
                <w:p>
                  <w:pPr>
                    <w:adjustRightInd w:val="0"/>
                    <w:snapToGrid w:val="0"/>
                    <w:jc w:val="center"/>
                    <w:rPr>
                      <w:b/>
                      <w:szCs w:val="21"/>
                    </w:rPr>
                  </w:pPr>
                  <w:r>
                    <w:rPr>
                      <w:b/>
                      <w:szCs w:val="21"/>
                    </w:rPr>
                    <w:t>X</w:t>
                  </w:r>
                </w:p>
              </w:tc>
              <w:tc>
                <w:tcPr>
                  <w:tcW w:w="1187" w:type="dxa"/>
                  <w:tcBorders>
                    <w:tl2br w:val="nil"/>
                    <w:tr2bl w:val="nil"/>
                  </w:tcBorders>
                  <w:vAlign w:val="center"/>
                </w:tcPr>
                <w:p>
                  <w:pPr>
                    <w:adjustRightInd w:val="0"/>
                    <w:snapToGrid w:val="0"/>
                    <w:jc w:val="center"/>
                    <w:rPr>
                      <w:b/>
                      <w:szCs w:val="21"/>
                    </w:rPr>
                  </w:pPr>
                  <w:r>
                    <w:rPr>
                      <w:b/>
                      <w:szCs w:val="21"/>
                    </w:rPr>
                    <w:t>Y</w:t>
                  </w:r>
                </w:p>
              </w:tc>
              <w:tc>
                <w:tcPr>
                  <w:tcW w:w="1187" w:type="dxa"/>
                  <w:vMerge w:val="continue"/>
                  <w:tcBorders>
                    <w:tl2br w:val="nil"/>
                    <w:tr2bl w:val="nil"/>
                  </w:tcBorders>
                  <w:vAlign w:val="center"/>
                </w:tcPr>
                <w:p>
                  <w:pPr>
                    <w:adjustRightInd w:val="0"/>
                    <w:snapToGrid w:val="0"/>
                    <w:jc w:val="center"/>
                    <w:rPr>
                      <w:b/>
                      <w:szCs w:val="21"/>
                    </w:rPr>
                  </w:pPr>
                </w:p>
              </w:tc>
              <w:tc>
                <w:tcPr>
                  <w:tcW w:w="1188" w:type="dxa"/>
                  <w:vMerge w:val="continue"/>
                  <w:tcBorders>
                    <w:tl2br w:val="nil"/>
                    <w:tr2bl w:val="nil"/>
                  </w:tcBorders>
                  <w:vAlign w:val="center"/>
                </w:tcPr>
                <w:p>
                  <w:pPr>
                    <w:adjustRightInd w:val="0"/>
                    <w:snapToGrid w:val="0"/>
                    <w:jc w:val="center"/>
                    <w:rPr>
                      <w:b/>
                      <w:szCs w:val="21"/>
                    </w:rPr>
                  </w:pPr>
                </w:p>
              </w:tc>
              <w:tc>
                <w:tcPr>
                  <w:tcW w:w="1188" w:type="dxa"/>
                  <w:vMerge w:val="continue"/>
                  <w:tcBorders>
                    <w:tl2br w:val="nil"/>
                    <w:tr2bl w:val="nil"/>
                  </w:tcBorders>
                  <w:vAlign w:val="center"/>
                </w:tcPr>
                <w:p>
                  <w:pPr>
                    <w:adjustRightInd w:val="0"/>
                    <w:snapToGrid w:val="0"/>
                    <w:jc w:val="center"/>
                    <w:rPr>
                      <w:b/>
                      <w:szCs w:val="21"/>
                    </w:rPr>
                  </w:pPr>
                </w:p>
              </w:tc>
              <w:tc>
                <w:tcPr>
                  <w:tcW w:w="1188" w:type="dxa"/>
                  <w:vMerge w:val="continue"/>
                  <w:tcBorders>
                    <w:tl2br w:val="nil"/>
                    <w:tr2bl w:val="nil"/>
                  </w:tcBorders>
                  <w:vAlign w:val="center"/>
                </w:tcPr>
                <w:p>
                  <w:pPr>
                    <w:adjustRightInd w:val="0"/>
                    <w:snapToGrid w:val="0"/>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7" w:type="dxa"/>
                  <w:tcBorders>
                    <w:tl2br w:val="nil"/>
                    <w:tr2bl w:val="nil"/>
                  </w:tcBorders>
                  <w:vAlign w:val="center"/>
                </w:tcPr>
                <w:p>
                  <w:pPr>
                    <w:adjustRightInd w:val="0"/>
                    <w:snapToGrid w:val="0"/>
                    <w:jc w:val="center"/>
                    <w:rPr>
                      <w:bCs/>
                      <w:szCs w:val="21"/>
                    </w:rPr>
                  </w:pPr>
                  <w:r>
                    <w:rPr>
                      <w:szCs w:val="21"/>
                    </w:rPr>
                    <w:t>华星锦业汽车销售服务有限公司奔驰4S店</w:t>
                  </w:r>
                  <w:r>
                    <w:rPr>
                      <w:bCs/>
                      <w:szCs w:val="21"/>
                    </w:rPr>
                    <w:t>（G1）</w:t>
                  </w:r>
                </w:p>
              </w:tc>
              <w:tc>
                <w:tcPr>
                  <w:tcW w:w="1187" w:type="dxa"/>
                  <w:tcBorders>
                    <w:tl2br w:val="nil"/>
                    <w:tr2bl w:val="nil"/>
                  </w:tcBorders>
                  <w:vAlign w:val="center"/>
                </w:tcPr>
                <w:p>
                  <w:pPr>
                    <w:adjustRightInd w:val="0"/>
                    <w:snapToGrid w:val="0"/>
                    <w:jc w:val="center"/>
                    <w:rPr>
                      <w:bCs/>
                      <w:szCs w:val="21"/>
                    </w:rPr>
                  </w:pPr>
                  <w:r>
                    <w:rPr>
                      <w:bCs/>
                      <w:szCs w:val="21"/>
                    </w:rPr>
                    <w:t>-45</w:t>
                  </w:r>
                </w:p>
              </w:tc>
              <w:tc>
                <w:tcPr>
                  <w:tcW w:w="1187" w:type="dxa"/>
                  <w:tcBorders>
                    <w:tl2br w:val="nil"/>
                    <w:tr2bl w:val="nil"/>
                  </w:tcBorders>
                  <w:vAlign w:val="center"/>
                </w:tcPr>
                <w:p>
                  <w:pPr>
                    <w:adjustRightInd w:val="0"/>
                    <w:snapToGrid w:val="0"/>
                    <w:jc w:val="center"/>
                    <w:rPr>
                      <w:bCs/>
                      <w:szCs w:val="21"/>
                    </w:rPr>
                  </w:pPr>
                  <w:r>
                    <w:rPr>
                      <w:bCs/>
                      <w:szCs w:val="21"/>
                    </w:rPr>
                    <w:t>0</w:t>
                  </w:r>
                </w:p>
              </w:tc>
              <w:tc>
                <w:tcPr>
                  <w:tcW w:w="1187" w:type="dxa"/>
                  <w:vMerge w:val="restart"/>
                  <w:tcBorders>
                    <w:tl2br w:val="nil"/>
                    <w:tr2bl w:val="nil"/>
                  </w:tcBorders>
                  <w:vAlign w:val="center"/>
                </w:tcPr>
                <w:p>
                  <w:pPr>
                    <w:adjustRightInd w:val="0"/>
                    <w:snapToGrid w:val="0"/>
                    <w:jc w:val="center"/>
                    <w:rPr>
                      <w:bCs/>
                      <w:szCs w:val="21"/>
                    </w:rPr>
                  </w:pPr>
                  <w:r>
                    <w:rPr>
                      <w:bCs/>
                      <w:szCs w:val="21"/>
                    </w:rPr>
                    <w:t>甲苯、二甲苯、TVOC</w:t>
                  </w:r>
                </w:p>
              </w:tc>
              <w:tc>
                <w:tcPr>
                  <w:tcW w:w="1188" w:type="dxa"/>
                  <w:vMerge w:val="restart"/>
                  <w:tcBorders>
                    <w:tl2br w:val="nil"/>
                    <w:tr2bl w:val="nil"/>
                  </w:tcBorders>
                  <w:vAlign w:val="center"/>
                </w:tcPr>
                <w:p>
                  <w:pPr>
                    <w:adjustRightInd w:val="0"/>
                    <w:snapToGrid w:val="0"/>
                    <w:jc w:val="center"/>
                    <w:rPr>
                      <w:bCs/>
                      <w:szCs w:val="21"/>
                    </w:rPr>
                  </w:pPr>
                  <w:r>
                    <w:rPr>
                      <w:bCs/>
                      <w:szCs w:val="21"/>
                    </w:rPr>
                    <w:t>2020年8月03日至8月09日</w:t>
                  </w:r>
                </w:p>
              </w:tc>
              <w:tc>
                <w:tcPr>
                  <w:tcW w:w="1188" w:type="dxa"/>
                  <w:tcBorders>
                    <w:tl2br w:val="nil"/>
                    <w:tr2bl w:val="nil"/>
                  </w:tcBorders>
                  <w:vAlign w:val="center"/>
                </w:tcPr>
                <w:p>
                  <w:pPr>
                    <w:adjustRightInd w:val="0"/>
                    <w:snapToGrid w:val="0"/>
                    <w:jc w:val="center"/>
                    <w:rPr>
                      <w:bCs/>
                      <w:szCs w:val="21"/>
                    </w:rPr>
                  </w:pPr>
                  <w:r>
                    <w:rPr>
                      <w:bCs/>
                      <w:szCs w:val="21"/>
                    </w:rPr>
                    <w:t>西侧</w:t>
                  </w:r>
                </w:p>
              </w:tc>
              <w:tc>
                <w:tcPr>
                  <w:tcW w:w="1188" w:type="dxa"/>
                  <w:tcBorders>
                    <w:tl2br w:val="nil"/>
                    <w:tr2bl w:val="nil"/>
                  </w:tcBorders>
                  <w:vAlign w:val="center"/>
                </w:tcPr>
                <w:p>
                  <w:pPr>
                    <w:adjustRightInd w:val="0"/>
                    <w:snapToGrid w:val="0"/>
                    <w:jc w:val="center"/>
                    <w:rPr>
                      <w:bCs/>
                      <w:szCs w:val="21"/>
                    </w:rPr>
                  </w:pPr>
                  <w:r>
                    <w:rPr>
                      <w:rFonts w:hint="eastAsia"/>
                      <w:bCs/>
                      <w:szCs w:val="21"/>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87" w:type="dxa"/>
                  <w:tcBorders>
                    <w:tl2br w:val="nil"/>
                    <w:tr2bl w:val="nil"/>
                  </w:tcBorders>
                  <w:vAlign w:val="center"/>
                </w:tcPr>
                <w:p>
                  <w:pPr>
                    <w:adjustRightInd w:val="0"/>
                    <w:snapToGrid w:val="0"/>
                    <w:jc w:val="center"/>
                    <w:rPr>
                      <w:bCs/>
                      <w:szCs w:val="21"/>
                    </w:rPr>
                  </w:pPr>
                  <w:r>
                    <w:rPr>
                      <w:szCs w:val="21"/>
                    </w:rPr>
                    <w:t>华星锦业汽车销售服务有限公司奔驰4S店</w:t>
                  </w:r>
                  <w:r>
                    <w:rPr>
                      <w:bCs/>
                      <w:szCs w:val="21"/>
                    </w:rPr>
                    <w:t>下风向（G2）</w:t>
                  </w:r>
                </w:p>
              </w:tc>
              <w:tc>
                <w:tcPr>
                  <w:tcW w:w="1187" w:type="dxa"/>
                  <w:tcBorders>
                    <w:tl2br w:val="nil"/>
                    <w:tr2bl w:val="nil"/>
                  </w:tcBorders>
                  <w:vAlign w:val="center"/>
                </w:tcPr>
                <w:p>
                  <w:pPr>
                    <w:adjustRightInd w:val="0"/>
                    <w:snapToGrid w:val="0"/>
                    <w:jc w:val="center"/>
                    <w:rPr>
                      <w:bCs/>
                      <w:szCs w:val="21"/>
                    </w:rPr>
                  </w:pPr>
                  <w:r>
                    <w:rPr>
                      <w:bCs/>
                      <w:szCs w:val="21"/>
                    </w:rPr>
                    <w:t>-127</w:t>
                  </w:r>
                </w:p>
              </w:tc>
              <w:tc>
                <w:tcPr>
                  <w:tcW w:w="1187" w:type="dxa"/>
                  <w:tcBorders>
                    <w:tl2br w:val="nil"/>
                    <w:tr2bl w:val="nil"/>
                  </w:tcBorders>
                  <w:vAlign w:val="center"/>
                </w:tcPr>
                <w:p>
                  <w:pPr>
                    <w:adjustRightInd w:val="0"/>
                    <w:snapToGrid w:val="0"/>
                    <w:jc w:val="center"/>
                    <w:rPr>
                      <w:bCs/>
                      <w:szCs w:val="21"/>
                    </w:rPr>
                  </w:pPr>
                  <w:r>
                    <w:rPr>
                      <w:bCs/>
                      <w:szCs w:val="21"/>
                    </w:rPr>
                    <w:t>-165</w:t>
                  </w:r>
                </w:p>
              </w:tc>
              <w:tc>
                <w:tcPr>
                  <w:tcW w:w="1187" w:type="dxa"/>
                  <w:vMerge w:val="continue"/>
                  <w:tcBorders>
                    <w:tl2br w:val="nil"/>
                    <w:tr2bl w:val="nil"/>
                  </w:tcBorders>
                  <w:vAlign w:val="center"/>
                </w:tcPr>
                <w:p>
                  <w:pPr>
                    <w:adjustRightInd w:val="0"/>
                    <w:snapToGrid w:val="0"/>
                    <w:jc w:val="center"/>
                    <w:rPr>
                      <w:b/>
                      <w:szCs w:val="21"/>
                    </w:rPr>
                  </w:pPr>
                </w:p>
              </w:tc>
              <w:tc>
                <w:tcPr>
                  <w:tcW w:w="1188" w:type="dxa"/>
                  <w:vMerge w:val="continue"/>
                  <w:tcBorders>
                    <w:tl2br w:val="nil"/>
                    <w:tr2bl w:val="nil"/>
                  </w:tcBorders>
                  <w:vAlign w:val="center"/>
                </w:tcPr>
                <w:p>
                  <w:pPr>
                    <w:adjustRightInd w:val="0"/>
                    <w:snapToGrid w:val="0"/>
                    <w:jc w:val="center"/>
                    <w:rPr>
                      <w:bCs/>
                      <w:szCs w:val="21"/>
                    </w:rPr>
                  </w:pPr>
                </w:p>
              </w:tc>
              <w:tc>
                <w:tcPr>
                  <w:tcW w:w="1188" w:type="dxa"/>
                  <w:tcBorders>
                    <w:tl2br w:val="nil"/>
                    <w:tr2bl w:val="nil"/>
                  </w:tcBorders>
                  <w:vAlign w:val="center"/>
                </w:tcPr>
                <w:p>
                  <w:pPr>
                    <w:adjustRightInd w:val="0"/>
                    <w:snapToGrid w:val="0"/>
                    <w:jc w:val="center"/>
                    <w:rPr>
                      <w:bCs/>
                      <w:szCs w:val="21"/>
                    </w:rPr>
                  </w:pPr>
                  <w:r>
                    <w:rPr>
                      <w:bCs/>
                      <w:szCs w:val="21"/>
                    </w:rPr>
                    <w:t>西南侧</w:t>
                  </w:r>
                </w:p>
              </w:tc>
              <w:tc>
                <w:tcPr>
                  <w:tcW w:w="1188" w:type="dxa"/>
                  <w:tcBorders>
                    <w:tl2br w:val="nil"/>
                    <w:tr2bl w:val="nil"/>
                  </w:tcBorders>
                  <w:vAlign w:val="center"/>
                </w:tcPr>
                <w:p>
                  <w:pPr>
                    <w:adjustRightInd w:val="0"/>
                    <w:snapToGrid w:val="0"/>
                    <w:jc w:val="center"/>
                    <w:rPr>
                      <w:bCs/>
                      <w:szCs w:val="21"/>
                    </w:rPr>
                  </w:pPr>
                  <w:r>
                    <w:rPr>
                      <w:rFonts w:hint="eastAsia"/>
                      <w:bCs/>
                      <w:szCs w:val="21"/>
                    </w:rPr>
                    <w:t>421</w:t>
                  </w:r>
                </w:p>
              </w:tc>
            </w:tr>
          </w:tbl>
          <w:p>
            <w:pPr>
              <w:adjustRightInd w:val="0"/>
              <w:snapToGrid w:val="0"/>
              <w:ind w:firstLine="422" w:firstLineChars="200"/>
              <w:jc w:val="center"/>
            </w:pPr>
            <w:r>
              <w:rPr>
                <w:b/>
                <w:szCs w:val="21"/>
              </w:rPr>
              <w:t>表3-3其他污染物环境质量现状监测结果表</w:t>
            </w:r>
          </w:p>
          <w:tbl>
            <w:tblPr>
              <w:tblStyle w:val="21"/>
              <w:tblW w:w="83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30"/>
              <w:gridCol w:w="584"/>
              <w:gridCol w:w="985"/>
              <w:gridCol w:w="831"/>
              <w:gridCol w:w="831"/>
              <w:gridCol w:w="831"/>
              <w:gridCol w:w="831"/>
              <w:gridCol w:w="832"/>
              <w:gridCol w:w="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5" w:type="dxa"/>
                  <w:vMerge w:val="restart"/>
                  <w:tcBorders>
                    <w:tl2br w:val="nil"/>
                    <w:tr2bl w:val="nil"/>
                  </w:tcBorders>
                  <w:vAlign w:val="center"/>
                </w:tcPr>
                <w:p>
                  <w:pPr>
                    <w:pStyle w:val="2"/>
                    <w:spacing w:after="0"/>
                    <w:jc w:val="center"/>
                    <w:rPr>
                      <w:b/>
                      <w:bCs/>
                      <w:szCs w:val="21"/>
                    </w:rPr>
                  </w:pPr>
                  <w:r>
                    <w:rPr>
                      <w:b/>
                      <w:bCs/>
                      <w:szCs w:val="21"/>
                    </w:rPr>
                    <w:t>监测点位</w:t>
                  </w:r>
                </w:p>
              </w:tc>
              <w:tc>
                <w:tcPr>
                  <w:tcW w:w="1214" w:type="dxa"/>
                  <w:gridSpan w:val="2"/>
                  <w:tcBorders>
                    <w:tl2br w:val="nil"/>
                    <w:tr2bl w:val="nil"/>
                  </w:tcBorders>
                  <w:vAlign w:val="center"/>
                </w:tcPr>
                <w:p>
                  <w:pPr>
                    <w:jc w:val="center"/>
                    <w:rPr>
                      <w:b/>
                      <w:bCs/>
                      <w:szCs w:val="21"/>
                    </w:rPr>
                  </w:pPr>
                  <w:r>
                    <w:rPr>
                      <w:b/>
                      <w:bCs/>
                      <w:szCs w:val="21"/>
                    </w:rPr>
                    <w:t>监测点坐标/m</w:t>
                  </w:r>
                </w:p>
              </w:tc>
              <w:tc>
                <w:tcPr>
                  <w:tcW w:w="985" w:type="dxa"/>
                  <w:vMerge w:val="restart"/>
                  <w:tcBorders>
                    <w:tl2br w:val="nil"/>
                    <w:tr2bl w:val="nil"/>
                  </w:tcBorders>
                  <w:vAlign w:val="center"/>
                </w:tcPr>
                <w:p>
                  <w:pPr>
                    <w:pStyle w:val="2"/>
                    <w:spacing w:after="0"/>
                    <w:jc w:val="center"/>
                    <w:rPr>
                      <w:b/>
                      <w:bCs/>
                      <w:szCs w:val="21"/>
                    </w:rPr>
                  </w:pPr>
                  <w:r>
                    <w:rPr>
                      <w:b/>
                      <w:bCs/>
                      <w:szCs w:val="21"/>
                    </w:rPr>
                    <w:t>污染物</w:t>
                  </w:r>
                </w:p>
              </w:tc>
              <w:tc>
                <w:tcPr>
                  <w:tcW w:w="831" w:type="dxa"/>
                  <w:vMerge w:val="restart"/>
                  <w:tcBorders>
                    <w:tl2br w:val="nil"/>
                    <w:tr2bl w:val="nil"/>
                  </w:tcBorders>
                  <w:vAlign w:val="center"/>
                </w:tcPr>
                <w:p>
                  <w:pPr>
                    <w:pStyle w:val="2"/>
                    <w:spacing w:after="0"/>
                    <w:jc w:val="center"/>
                    <w:rPr>
                      <w:b/>
                      <w:bCs/>
                      <w:szCs w:val="21"/>
                    </w:rPr>
                  </w:pPr>
                  <w:r>
                    <w:rPr>
                      <w:b/>
                      <w:bCs/>
                      <w:szCs w:val="21"/>
                    </w:rPr>
                    <w:t>平均时间</w:t>
                  </w:r>
                </w:p>
              </w:tc>
              <w:tc>
                <w:tcPr>
                  <w:tcW w:w="831" w:type="dxa"/>
                  <w:vMerge w:val="restart"/>
                  <w:tcBorders>
                    <w:tl2br w:val="nil"/>
                    <w:tr2bl w:val="nil"/>
                  </w:tcBorders>
                  <w:vAlign w:val="center"/>
                </w:tcPr>
                <w:p>
                  <w:pPr>
                    <w:pStyle w:val="2"/>
                    <w:spacing w:after="0"/>
                    <w:jc w:val="center"/>
                    <w:rPr>
                      <w:b/>
                      <w:bCs/>
                      <w:szCs w:val="21"/>
                    </w:rPr>
                  </w:pPr>
                  <w:r>
                    <w:rPr>
                      <w:b/>
                      <w:bCs/>
                      <w:szCs w:val="21"/>
                    </w:rPr>
                    <w:t>评价标准/（ug/m</w:t>
                  </w:r>
                  <w:r>
                    <w:rPr>
                      <w:b/>
                      <w:bCs/>
                      <w:szCs w:val="21"/>
                      <w:vertAlign w:val="superscript"/>
                    </w:rPr>
                    <w:t>3</w:t>
                  </w:r>
                  <w:r>
                    <w:rPr>
                      <w:b/>
                      <w:bCs/>
                      <w:szCs w:val="21"/>
                    </w:rPr>
                    <w:t>）</w:t>
                  </w:r>
                </w:p>
              </w:tc>
              <w:tc>
                <w:tcPr>
                  <w:tcW w:w="831" w:type="dxa"/>
                  <w:vMerge w:val="restart"/>
                  <w:tcBorders>
                    <w:tl2br w:val="nil"/>
                    <w:tr2bl w:val="nil"/>
                  </w:tcBorders>
                  <w:vAlign w:val="center"/>
                </w:tcPr>
                <w:p>
                  <w:pPr>
                    <w:pStyle w:val="2"/>
                    <w:spacing w:after="0"/>
                    <w:jc w:val="center"/>
                    <w:rPr>
                      <w:b/>
                      <w:bCs/>
                      <w:szCs w:val="21"/>
                    </w:rPr>
                  </w:pPr>
                  <w:r>
                    <w:rPr>
                      <w:b/>
                      <w:bCs/>
                      <w:szCs w:val="21"/>
                    </w:rPr>
                    <w:t>监测浓度范围/（ug/m</w:t>
                  </w:r>
                  <w:r>
                    <w:rPr>
                      <w:b/>
                      <w:bCs/>
                      <w:szCs w:val="21"/>
                      <w:vertAlign w:val="superscript"/>
                    </w:rPr>
                    <w:t>3</w:t>
                  </w:r>
                  <w:r>
                    <w:rPr>
                      <w:b/>
                      <w:bCs/>
                      <w:szCs w:val="21"/>
                    </w:rPr>
                    <w:t>）</w:t>
                  </w:r>
                </w:p>
              </w:tc>
              <w:tc>
                <w:tcPr>
                  <w:tcW w:w="831" w:type="dxa"/>
                  <w:vMerge w:val="restart"/>
                  <w:tcBorders>
                    <w:tl2br w:val="nil"/>
                    <w:tr2bl w:val="nil"/>
                  </w:tcBorders>
                  <w:vAlign w:val="center"/>
                </w:tcPr>
                <w:p>
                  <w:pPr>
                    <w:pStyle w:val="2"/>
                    <w:spacing w:after="0"/>
                    <w:jc w:val="center"/>
                    <w:rPr>
                      <w:b/>
                      <w:bCs/>
                      <w:szCs w:val="21"/>
                    </w:rPr>
                  </w:pPr>
                  <w:r>
                    <w:rPr>
                      <w:b/>
                      <w:bCs/>
                      <w:szCs w:val="21"/>
                    </w:rPr>
                    <w:t>最大浓度占标率/%</w:t>
                  </w:r>
                </w:p>
              </w:tc>
              <w:tc>
                <w:tcPr>
                  <w:tcW w:w="832" w:type="dxa"/>
                  <w:vMerge w:val="restart"/>
                  <w:tcBorders>
                    <w:tl2br w:val="nil"/>
                    <w:tr2bl w:val="nil"/>
                  </w:tcBorders>
                  <w:vAlign w:val="center"/>
                </w:tcPr>
                <w:p>
                  <w:pPr>
                    <w:pStyle w:val="2"/>
                    <w:spacing w:after="0"/>
                    <w:jc w:val="center"/>
                    <w:rPr>
                      <w:b/>
                      <w:bCs/>
                      <w:szCs w:val="21"/>
                    </w:rPr>
                  </w:pPr>
                  <w:r>
                    <w:rPr>
                      <w:b/>
                      <w:bCs/>
                      <w:szCs w:val="21"/>
                    </w:rPr>
                    <w:t>超标率/%</w:t>
                  </w:r>
                </w:p>
              </w:tc>
              <w:tc>
                <w:tcPr>
                  <w:tcW w:w="832" w:type="dxa"/>
                  <w:vMerge w:val="restart"/>
                  <w:tcBorders>
                    <w:tl2br w:val="nil"/>
                    <w:tr2bl w:val="nil"/>
                  </w:tcBorders>
                  <w:vAlign w:val="center"/>
                </w:tcPr>
                <w:p>
                  <w:pPr>
                    <w:pStyle w:val="2"/>
                    <w:spacing w:after="0"/>
                    <w:jc w:val="center"/>
                    <w:rPr>
                      <w:b/>
                      <w:bCs/>
                      <w:szCs w:val="21"/>
                    </w:rPr>
                  </w:pPr>
                  <w:r>
                    <w:rPr>
                      <w:b/>
                      <w:bCs/>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5" w:type="dxa"/>
                  <w:vMerge w:val="continue"/>
                  <w:tcBorders>
                    <w:tl2br w:val="nil"/>
                    <w:tr2bl w:val="nil"/>
                  </w:tcBorders>
                  <w:vAlign w:val="center"/>
                </w:tcPr>
                <w:p>
                  <w:pPr>
                    <w:pStyle w:val="2"/>
                    <w:spacing w:after="0"/>
                    <w:jc w:val="center"/>
                    <w:rPr>
                      <w:b/>
                      <w:bCs/>
                      <w:szCs w:val="21"/>
                    </w:rPr>
                  </w:pPr>
                </w:p>
              </w:tc>
              <w:tc>
                <w:tcPr>
                  <w:tcW w:w="630" w:type="dxa"/>
                  <w:tcBorders>
                    <w:tl2br w:val="nil"/>
                    <w:tr2bl w:val="nil"/>
                  </w:tcBorders>
                  <w:vAlign w:val="center"/>
                </w:tcPr>
                <w:p>
                  <w:pPr>
                    <w:jc w:val="center"/>
                    <w:rPr>
                      <w:b/>
                      <w:bCs/>
                      <w:szCs w:val="21"/>
                    </w:rPr>
                  </w:pPr>
                  <w:r>
                    <w:rPr>
                      <w:b/>
                      <w:bCs/>
                      <w:szCs w:val="21"/>
                    </w:rPr>
                    <w:t>X</w:t>
                  </w:r>
                </w:p>
              </w:tc>
              <w:tc>
                <w:tcPr>
                  <w:tcW w:w="584" w:type="dxa"/>
                  <w:tcBorders>
                    <w:tl2br w:val="nil"/>
                    <w:tr2bl w:val="nil"/>
                  </w:tcBorders>
                  <w:vAlign w:val="center"/>
                </w:tcPr>
                <w:p>
                  <w:pPr>
                    <w:jc w:val="center"/>
                    <w:rPr>
                      <w:b/>
                      <w:bCs/>
                      <w:szCs w:val="21"/>
                    </w:rPr>
                  </w:pPr>
                  <w:r>
                    <w:rPr>
                      <w:b/>
                      <w:bCs/>
                      <w:szCs w:val="21"/>
                    </w:rPr>
                    <w:t>Y</w:t>
                  </w:r>
                </w:p>
              </w:tc>
              <w:tc>
                <w:tcPr>
                  <w:tcW w:w="985" w:type="dxa"/>
                  <w:vMerge w:val="continue"/>
                  <w:tcBorders>
                    <w:tl2br w:val="nil"/>
                    <w:tr2bl w:val="nil"/>
                  </w:tcBorders>
                  <w:vAlign w:val="center"/>
                </w:tcPr>
                <w:p>
                  <w:pPr>
                    <w:pStyle w:val="2"/>
                    <w:spacing w:after="0"/>
                    <w:jc w:val="center"/>
                    <w:rPr>
                      <w:b/>
                      <w:bCs/>
                      <w:szCs w:val="21"/>
                    </w:rPr>
                  </w:pPr>
                </w:p>
              </w:tc>
              <w:tc>
                <w:tcPr>
                  <w:tcW w:w="831" w:type="dxa"/>
                  <w:vMerge w:val="continue"/>
                  <w:tcBorders>
                    <w:tl2br w:val="nil"/>
                    <w:tr2bl w:val="nil"/>
                  </w:tcBorders>
                  <w:vAlign w:val="center"/>
                </w:tcPr>
                <w:p>
                  <w:pPr>
                    <w:pStyle w:val="2"/>
                    <w:spacing w:after="0"/>
                    <w:jc w:val="center"/>
                    <w:rPr>
                      <w:b/>
                      <w:bCs/>
                      <w:szCs w:val="21"/>
                    </w:rPr>
                  </w:pPr>
                </w:p>
              </w:tc>
              <w:tc>
                <w:tcPr>
                  <w:tcW w:w="831" w:type="dxa"/>
                  <w:vMerge w:val="continue"/>
                  <w:tcBorders>
                    <w:tl2br w:val="nil"/>
                    <w:tr2bl w:val="nil"/>
                  </w:tcBorders>
                  <w:vAlign w:val="center"/>
                </w:tcPr>
                <w:p>
                  <w:pPr>
                    <w:pStyle w:val="2"/>
                    <w:spacing w:after="0"/>
                    <w:jc w:val="center"/>
                    <w:rPr>
                      <w:b/>
                      <w:bCs/>
                      <w:szCs w:val="21"/>
                    </w:rPr>
                  </w:pPr>
                </w:p>
              </w:tc>
              <w:tc>
                <w:tcPr>
                  <w:tcW w:w="831" w:type="dxa"/>
                  <w:vMerge w:val="continue"/>
                  <w:tcBorders>
                    <w:tl2br w:val="nil"/>
                    <w:tr2bl w:val="nil"/>
                  </w:tcBorders>
                  <w:vAlign w:val="center"/>
                </w:tcPr>
                <w:p>
                  <w:pPr>
                    <w:pStyle w:val="2"/>
                    <w:spacing w:after="0"/>
                    <w:jc w:val="center"/>
                    <w:rPr>
                      <w:b/>
                      <w:bCs/>
                      <w:szCs w:val="21"/>
                    </w:rPr>
                  </w:pPr>
                </w:p>
              </w:tc>
              <w:tc>
                <w:tcPr>
                  <w:tcW w:w="831" w:type="dxa"/>
                  <w:vMerge w:val="continue"/>
                  <w:tcBorders>
                    <w:tl2br w:val="nil"/>
                    <w:tr2bl w:val="nil"/>
                  </w:tcBorders>
                  <w:vAlign w:val="center"/>
                </w:tcPr>
                <w:p>
                  <w:pPr>
                    <w:pStyle w:val="2"/>
                    <w:spacing w:after="0"/>
                    <w:jc w:val="center"/>
                    <w:rPr>
                      <w:b/>
                      <w:bCs/>
                      <w:szCs w:val="21"/>
                    </w:rPr>
                  </w:pPr>
                </w:p>
              </w:tc>
              <w:tc>
                <w:tcPr>
                  <w:tcW w:w="832" w:type="dxa"/>
                  <w:vMerge w:val="continue"/>
                  <w:tcBorders>
                    <w:tl2br w:val="nil"/>
                    <w:tr2bl w:val="nil"/>
                  </w:tcBorders>
                  <w:vAlign w:val="center"/>
                </w:tcPr>
                <w:p>
                  <w:pPr>
                    <w:pStyle w:val="2"/>
                    <w:spacing w:after="0"/>
                    <w:jc w:val="center"/>
                    <w:rPr>
                      <w:b/>
                      <w:bCs/>
                      <w:szCs w:val="21"/>
                    </w:rPr>
                  </w:pPr>
                </w:p>
              </w:tc>
              <w:tc>
                <w:tcPr>
                  <w:tcW w:w="832" w:type="dxa"/>
                  <w:vMerge w:val="continue"/>
                  <w:tcBorders>
                    <w:tl2br w:val="nil"/>
                    <w:tr2bl w:val="nil"/>
                  </w:tcBorders>
                  <w:vAlign w:val="center"/>
                </w:tcPr>
                <w:p>
                  <w:pPr>
                    <w:pStyle w:val="2"/>
                    <w:spacing w:after="0"/>
                    <w:jc w:val="center"/>
                    <w:rPr>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5" w:type="dxa"/>
                  <w:vMerge w:val="restart"/>
                  <w:tcBorders>
                    <w:tl2br w:val="nil"/>
                    <w:tr2bl w:val="nil"/>
                  </w:tcBorders>
                  <w:vAlign w:val="center"/>
                </w:tcPr>
                <w:p>
                  <w:pPr>
                    <w:jc w:val="center"/>
                    <w:rPr>
                      <w:bCs/>
                      <w:szCs w:val="21"/>
                    </w:rPr>
                  </w:pPr>
                  <w:r>
                    <w:rPr>
                      <w:szCs w:val="21"/>
                    </w:rPr>
                    <w:t>华星锦业汽车销售服务有限公司奔驰4S店</w:t>
                  </w:r>
                  <w:r>
                    <w:rPr>
                      <w:bCs/>
                      <w:szCs w:val="21"/>
                    </w:rPr>
                    <w:t>（G1）</w:t>
                  </w:r>
                </w:p>
              </w:tc>
              <w:tc>
                <w:tcPr>
                  <w:tcW w:w="630" w:type="dxa"/>
                  <w:vMerge w:val="restart"/>
                  <w:tcBorders>
                    <w:tl2br w:val="nil"/>
                    <w:tr2bl w:val="nil"/>
                  </w:tcBorders>
                  <w:vAlign w:val="center"/>
                </w:tcPr>
                <w:p>
                  <w:pPr>
                    <w:jc w:val="center"/>
                    <w:rPr>
                      <w:bCs/>
                      <w:szCs w:val="21"/>
                    </w:rPr>
                  </w:pPr>
                  <w:r>
                    <w:rPr>
                      <w:bCs/>
                      <w:szCs w:val="21"/>
                    </w:rPr>
                    <w:t>-45</w:t>
                  </w:r>
                </w:p>
              </w:tc>
              <w:tc>
                <w:tcPr>
                  <w:tcW w:w="584" w:type="dxa"/>
                  <w:vMerge w:val="restart"/>
                  <w:tcBorders>
                    <w:tl2br w:val="nil"/>
                    <w:tr2bl w:val="nil"/>
                  </w:tcBorders>
                  <w:vAlign w:val="center"/>
                </w:tcPr>
                <w:p>
                  <w:pPr>
                    <w:jc w:val="center"/>
                    <w:rPr>
                      <w:bCs/>
                      <w:szCs w:val="21"/>
                    </w:rPr>
                  </w:pPr>
                  <w:r>
                    <w:rPr>
                      <w:bCs/>
                      <w:szCs w:val="21"/>
                    </w:rPr>
                    <w:t>0</w:t>
                  </w:r>
                </w:p>
              </w:tc>
              <w:tc>
                <w:tcPr>
                  <w:tcW w:w="985" w:type="dxa"/>
                  <w:tcBorders>
                    <w:tl2br w:val="nil"/>
                    <w:tr2bl w:val="nil"/>
                  </w:tcBorders>
                  <w:vAlign w:val="center"/>
                </w:tcPr>
                <w:p>
                  <w:pPr>
                    <w:pStyle w:val="2"/>
                    <w:spacing w:after="0"/>
                    <w:jc w:val="center"/>
                    <w:rPr>
                      <w:bCs/>
                      <w:szCs w:val="21"/>
                    </w:rPr>
                  </w:pPr>
                  <w:r>
                    <w:rPr>
                      <w:bCs/>
                      <w:szCs w:val="21"/>
                    </w:rPr>
                    <w:t>甲苯</w:t>
                  </w:r>
                </w:p>
              </w:tc>
              <w:tc>
                <w:tcPr>
                  <w:tcW w:w="831" w:type="dxa"/>
                  <w:tcBorders>
                    <w:tl2br w:val="nil"/>
                    <w:tr2bl w:val="nil"/>
                  </w:tcBorders>
                  <w:vAlign w:val="center"/>
                </w:tcPr>
                <w:p>
                  <w:pPr>
                    <w:pStyle w:val="2"/>
                    <w:spacing w:after="0"/>
                    <w:jc w:val="center"/>
                    <w:rPr>
                      <w:bCs/>
                      <w:szCs w:val="21"/>
                    </w:rPr>
                  </w:pPr>
                  <w:r>
                    <w:rPr>
                      <w:bCs/>
                      <w:szCs w:val="21"/>
                    </w:rPr>
                    <w:t>1h</w:t>
                  </w:r>
                </w:p>
              </w:tc>
              <w:tc>
                <w:tcPr>
                  <w:tcW w:w="831" w:type="dxa"/>
                  <w:tcBorders>
                    <w:tl2br w:val="nil"/>
                    <w:tr2bl w:val="nil"/>
                  </w:tcBorders>
                  <w:vAlign w:val="center"/>
                </w:tcPr>
                <w:p>
                  <w:pPr>
                    <w:pStyle w:val="2"/>
                    <w:spacing w:after="0"/>
                    <w:jc w:val="center"/>
                    <w:rPr>
                      <w:bCs/>
                      <w:szCs w:val="21"/>
                    </w:rPr>
                  </w:pPr>
                  <w:r>
                    <w:rPr>
                      <w:bCs/>
                      <w:szCs w:val="21"/>
                    </w:rPr>
                    <w:t>200</w:t>
                  </w:r>
                </w:p>
              </w:tc>
              <w:tc>
                <w:tcPr>
                  <w:tcW w:w="831" w:type="dxa"/>
                  <w:tcBorders>
                    <w:tl2br w:val="nil"/>
                    <w:tr2bl w:val="nil"/>
                  </w:tcBorders>
                  <w:vAlign w:val="center"/>
                </w:tcPr>
                <w:p>
                  <w:pPr>
                    <w:jc w:val="center"/>
                    <w:rPr>
                      <w:bCs/>
                      <w:szCs w:val="21"/>
                    </w:rPr>
                  </w:pPr>
                  <w:r>
                    <w:rPr>
                      <w:bCs/>
                      <w:kern w:val="0"/>
                      <w:szCs w:val="21"/>
                    </w:rPr>
                    <w:t>ND</w:t>
                  </w:r>
                  <w:r>
                    <w:rPr>
                      <w:bCs/>
                      <w:kern w:val="0"/>
                      <w:szCs w:val="21"/>
                      <w:vertAlign w:val="superscript"/>
                    </w:rPr>
                    <w:t>[1]</w:t>
                  </w:r>
                  <w:r>
                    <w:rPr>
                      <w:bCs/>
                      <w:kern w:val="0"/>
                      <w:szCs w:val="21"/>
                    </w:rPr>
                    <w:t>~40</w:t>
                  </w:r>
                </w:p>
              </w:tc>
              <w:tc>
                <w:tcPr>
                  <w:tcW w:w="831" w:type="dxa"/>
                  <w:tcBorders>
                    <w:tl2br w:val="nil"/>
                    <w:tr2bl w:val="nil"/>
                  </w:tcBorders>
                  <w:vAlign w:val="center"/>
                </w:tcPr>
                <w:p>
                  <w:pPr>
                    <w:pStyle w:val="2"/>
                    <w:spacing w:after="0"/>
                    <w:jc w:val="center"/>
                    <w:rPr>
                      <w:bCs/>
                      <w:szCs w:val="21"/>
                    </w:rPr>
                  </w:pPr>
                  <w:r>
                    <w:rPr>
                      <w:bCs/>
                      <w:szCs w:val="21"/>
                    </w:rPr>
                    <w:t>20</w:t>
                  </w:r>
                </w:p>
              </w:tc>
              <w:tc>
                <w:tcPr>
                  <w:tcW w:w="832" w:type="dxa"/>
                  <w:tcBorders>
                    <w:tl2br w:val="nil"/>
                    <w:tr2bl w:val="nil"/>
                  </w:tcBorders>
                  <w:vAlign w:val="center"/>
                </w:tcPr>
                <w:p>
                  <w:pPr>
                    <w:pStyle w:val="2"/>
                    <w:spacing w:after="0"/>
                    <w:jc w:val="center"/>
                    <w:rPr>
                      <w:bCs/>
                      <w:szCs w:val="21"/>
                    </w:rPr>
                  </w:pPr>
                  <w:r>
                    <w:rPr>
                      <w:bCs/>
                      <w:szCs w:val="21"/>
                    </w:rPr>
                    <w:t>0</w:t>
                  </w:r>
                </w:p>
              </w:tc>
              <w:tc>
                <w:tcPr>
                  <w:tcW w:w="832" w:type="dxa"/>
                  <w:tcBorders>
                    <w:tl2br w:val="nil"/>
                    <w:tr2bl w:val="nil"/>
                  </w:tcBorders>
                  <w:vAlign w:val="center"/>
                </w:tcPr>
                <w:p>
                  <w:pPr>
                    <w:jc w:val="center"/>
                    <w:rPr>
                      <w:bCs/>
                      <w:szCs w:val="21"/>
                    </w:rPr>
                  </w:pPr>
                  <w:r>
                    <w:rPr>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5" w:type="dxa"/>
                  <w:vMerge w:val="continue"/>
                  <w:tcBorders>
                    <w:tl2br w:val="nil"/>
                    <w:tr2bl w:val="nil"/>
                  </w:tcBorders>
                  <w:vAlign w:val="center"/>
                </w:tcPr>
                <w:p>
                  <w:pPr>
                    <w:pStyle w:val="2"/>
                    <w:spacing w:after="0"/>
                    <w:jc w:val="center"/>
                    <w:rPr>
                      <w:bCs/>
                    </w:rPr>
                  </w:pPr>
                </w:p>
              </w:tc>
              <w:tc>
                <w:tcPr>
                  <w:tcW w:w="630" w:type="dxa"/>
                  <w:vMerge w:val="continue"/>
                  <w:tcBorders>
                    <w:tl2br w:val="nil"/>
                    <w:tr2bl w:val="nil"/>
                  </w:tcBorders>
                  <w:vAlign w:val="center"/>
                </w:tcPr>
                <w:p>
                  <w:pPr>
                    <w:pStyle w:val="2"/>
                    <w:spacing w:after="0"/>
                    <w:jc w:val="center"/>
                    <w:rPr>
                      <w:bCs/>
                    </w:rPr>
                  </w:pPr>
                </w:p>
              </w:tc>
              <w:tc>
                <w:tcPr>
                  <w:tcW w:w="584" w:type="dxa"/>
                  <w:vMerge w:val="continue"/>
                  <w:tcBorders>
                    <w:tl2br w:val="nil"/>
                    <w:tr2bl w:val="nil"/>
                  </w:tcBorders>
                  <w:vAlign w:val="center"/>
                </w:tcPr>
                <w:p>
                  <w:pPr>
                    <w:pStyle w:val="2"/>
                    <w:spacing w:after="0"/>
                    <w:jc w:val="center"/>
                    <w:rPr>
                      <w:bCs/>
                    </w:rPr>
                  </w:pPr>
                </w:p>
              </w:tc>
              <w:tc>
                <w:tcPr>
                  <w:tcW w:w="985" w:type="dxa"/>
                  <w:tcBorders>
                    <w:tl2br w:val="nil"/>
                    <w:tr2bl w:val="nil"/>
                  </w:tcBorders>
                  <w:vAlign w:val="center"/>
                </w:tcPr>
                <w:p>
                  <w:pPr>
                    <w:pStyle w:val="2"/>
                    <w:spacing w:after="0"/>
                    <w:jc w:val="center"/>
                    <w:rPr>
                      <w:bCs/>
                      <w:szCs w:val="21"/>
                    </w:rPr>
                  </w:pPr>
                  <w:r>
                    <w:rPr>
                      <w:bCs/>
                      <w:szCs w:val="21"/>
                    </w:rPr>
                    <w:t>二甲苯</w:t>
                  </w:r>
                </w:p>
              </w:tc>
              <w:tc>
                <w:tcPr>
                  <w:tcW w:w="831" w:type="dxa"/>
                  <w:tcBorders>
                    <w:tl2br w:val="nil"/>
                    <w:tr2bl w:val="nil"/>
                  </w:tcBorders>
                  <w:vAlign w:val="center"/>
                </w:tcPr>
                <w:p>
                  <w:pPr>
                    <w:pStyle w:val="2"/>
                    <w:spacing w:after="0"/>
                    <w:jc w:val="center"/>
                    <w:rPr>
                      <w:bCs/>
                      <w:szCs w:val="21"/>
                    </w:rPr>
                  </w:pPr>
                  <w:r>
                    <w:rPr>
                      <w:bCs/>
                      <w:szCs w:val="21"/>
                    </w:rPr>
                    <w:t>1h</w:t>
                  </w:r>
                </w:p>
              </w:tc>
              <w:tc>
                <w:tcPr>
                  <w:tcW w:w="831" w:type="dxa"/>
                  <w:tcBorders>
                    <w:tl2br w:val="nil"/>
                    <w:tr2bl w:val="nil"/>
                  </w:tcBorders>
                  <w:vAlign w:val="center"/>
                </w:tcPr>
                <w:p>
                  <w:pPr>
                    <w:pStyle w:val="2"/>
                    <w:spacing w:after="0"/>
                    <w:jc w:val="center"/>
                    <w:rPr>
                      <w:bCs/>
                      <w:szCs w:val="21"/>
                    </w:rPr>
                  </w:pPr>
                  <w:r>
                    <w:rPr>
                      <w:bCs/>
                      <w:szCs w:val="21"/>
                    </w:rPr>
                    <w:t>200</w:t>
                  </w:r>
                </w:p>
              </w:tc>
              <w:tc>
                <w:tcPr>
                  <w:tcW w:w="831" w:type="dxa"/>
                  <w:tcBorders>
                    <w:tl2br w:val="nil"/>
                    <w:tr2bl w:val="nil"/>
                  </w:tcBorders>
                  <w:vAlign w:val="center"/>
                </w:tcPr>
                <w:p>
                  <w:pPr>
                    <w:jc w:val="center"/>
                    <w:rPr>
                      <w:bCs/>
                      <w:szCs w:val="21"/>
                    </w:rPr>
                  </w:pPr>
                  <w:r>
                    <w:rPr>
                      <w:bCs/>
                      <w:kern w:val="0"/>
                      <w:szCs w:val="21"/>
                    </w:rPr>
                    <w:t>ND</w:t>
                  </w:r>
                  <w:r>
                    <w:rPr>
                      <w:bCs/>
                      <w:kern w:val="0"/>
                      <w:szCs w:val="21"/>
                      <w:vertAlign w:val="superscript"/>
                    </w:rPr>
                    <w:t>[2]</w:t>
                  </w:r>
                  <w:r>
                    <w:rPr>
                      <w:bCs/>
                      <w:kern w:val="0"/>
                      <w:szCs w:val="21"/>
                    </w:rPr>
                    <w:t>~93</w:t>
                  </w:r>
                </w:p>
              </w:tc>
              <w:tc>
                <w:tcPr>
                  <w:tcW w:w="831" w:type="dxa"/>
                  <w:tcBorders>
                    <w:tl2br w:val="nil"/>
                    <w:tr2bl w:val="nil"/>
                  </w:tcBorders>
                  <w:vAlign w:val="center"/>
                </w:tcPr>
                <w:p>
                  <w:pPr>
                    <w:pStyle w:val="2"/>
                    <w:spacing w:after="0"/>
                    <w:jc w:val="center"/>
                    <w:rPr>
                      <w:bCs/>
                      <w:szCs w:val="21"/>
                    </w:rPr>
                  </w:pPr>
                  <w:r>
                    <w:rPr>
                      <w:bCs/>
                      <w:szCs w:val="21"/>
                    </w:rPr>
                    <w:t>46.5</w:t>
                  </w:r>
                </w:p>
              </w:tc>
              <w:tc>
                <w:tcPr>
                  <w:tcW w:w="832" w:type="dxa"/>
                  <w:tcBorders>
                    <w:tl2br w:val="nil"/>
                    <w:tr2bl w:val="nil"/>
                  </w:tcBorders>
                  <w:vAlign w:val="center"/>
                </w:tcPr>
                <w:p>
                  <w:pPr>
                    <w:pStyle w:val="2"/>
                    <w:spacing w:after="0"/>
                    <w:jc w:val="center"/>
                    <w:rPr>
                      <w:bCs/>
                      <w:szCs w:val="21"/>
                    </w:rPr>
                  </w:pPr>
                  <w:r>
                    <w:rPr>
                      <w:bCs/>
                      <w:szCs w:val="21"/>
                    </w:rPr>
                    <w:t>0</w:t>
                  </w:r>
                </w:p>
              </w:tc>
              <w:tc>
                <w:tcPr>
                  <w:tcW w:w="832" w:type="dxa"/>
                  <w:tcBorders>
                    <w:tl2br w:val="nil"/>
                    <w:tr2bl w:val="nil"/>
                  </w:tcBorders>
                  <w:vAlign w:val="center"/>
                </w:tcPr>
                <w:p>
                  <w:pPr>
                    <w:jc w:val="center"/>
                    <w:rPr>
                      <w:bCs/>
                      <w:szCs w:val="21"/>
                    </w:rPr>
                  </w:pPr>
                  <w:r>
                    <w:rPr>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5" w:type="dxa"/>
                  <w:vMerge w:val="continue"/>
                  <w:tcBorders>
                    <w:tl2br w:val="nil"/>
                    <w:tr2bl w:val="nil"/>
                  </w:tcBorders>
                  <w:vAlign w:val="center"/>
                </w:tcPr>
                <w:p>
                  <w:pPr>
                    <w:pStyle w:val="2"/>
                    <w:spacing w:after="0"/>
                    <w:jc w:val="center"/>
                    <w:rPr>
                      <w:bCs/>
                      <w:szCs w:val="21"/>
                    </w:rPr>
                  </w:pPr>
                </w:p>
              </w:tc>
              <w:tc>
                <w:tcPr>
                  <w:tcW w:w="630" w:type="dxa"/>
                  <w:vMerge w:val="continue"/>
                  <w:tcBorders>
                    <w:tl2br w:val="nil"/>
                    <w:tr2bl w:val="nil"/>
                  </w:tcBorders>
                  <w:vAlign w:val="center"/>
                </w:tcPr>
                <w:p>
                  <w:pPr>
                    <w:pStyle w:val="2"/>
                    <w:spacing w:after="0"/>
                    <w:jc w:val="center"/>
                    <w:rPr>
                      <w:bCs/>
                      <w:szCs w:val="21"/>
                    </w:rPr>
                  </w:pPr>
                </w:p>
              </w:tc>
              <w:tc>
                <w:tcPr>
                  <w:tcW w:w="584" w:type="dxa"/>
                  <w:vMerge w:val="continue"/>
                  <w:tcBorders>
                    <w:tl2br w:val="nil"/>
                    <w:tr2bl w:val="nil"/>
                  </w:tcBorders>
                  <w:vAlign w:val="center"/>
                </w:tcPr>
                <w:p>
                  <w:pPr>
                    <w:pStyle w:val="2"/>
                    <w:spacing w:after="0"/>
                    <w:jc w:val="center"/>
                    <w:rPr>
                      <w:bCs/>
                      <w:szCs w:val="21"/>
                    </w:rPr>
                  </w:pPr>
                </w:p>
              </w:tc>
              <w:tc>
                <w:tcPr>
                  <w:tcW w:w="985" w:type="dxa"/>
                  <w:tcBorders>
                    <w:tl2br w:val="nil"/>
                    <w:tr2bl w:val="nil"/>
                  </w:tcBorders>
                  <w:vAlign w:val="center"/>
                </w:tcPr>
                <w:p>
                  <w:pPr>
                    <w:pStyle w:val="2"/>
                    <w:spacing w:after="0"/>
                    <w:jc w:val="center"/>
                    <w:rPr>
                      <w:bCs/>
                      <w:szCs w:val="21"/>
                    </w:rPr>
                  </w:pPr>
                  <w:r>
                    <w:rPr>
                      <w:bCs/>
                      <w:szCs w:val="21"/>
                    </w:rPr>
                    <w:t>TVOC</w:t>
                  </w:r>
                </w:p>
              </w:tc>
              <w:tc>
                <w:tcPr>
                  <w:tcW w:w="831" w:type="dxa"/>
                  <w:tcBorders>
                    <w:tl2br w:val="nil"/>
                    <w:tr2bl w:val="nil"/>
                  </w:tcBorders>
                  <w:vAlign w:val="center"/>
                </w:tcPr>
                <w:p>
                  <w:pPr>
                    <w:pStyle w:val="2"/>
                    <w:spacing w:after="0"/>
                    <w:jc w:val="center"/>
                    <w:rPr>
                      <w:bCs/>
                      <w:szCs w:val="21"/>
                    </w:rPr>
                  </w:pPr>
                  <w:r>
                    <w:rPr>
                      <w:bCs/>
                      <w:szCs w:val="21"/>
                    </w:rPr>
                    <w:t>8h</w:t>
                  </w:r>
                </w:p>
              </w:tc>
              <w:tc>
                <w:tcPr>
                  <w:tcW w:w="831" w:type="dxa"/>
                  <w:tcBorders>
                    <w:tl2br w:val="nil"/>
                    <w:tr2bl w:val="nil"/>
                  </w:tcBorders>
                  <w:vAlign w:val="center"/>
                </w:tcPr>
                <w:p>
                  <w:pPr>
                    <w:pStyle w:val="2"/>
                    <w:spacing w:after="0"/>
                    <w:jc w:val="center"/>
                    <w:rPr>
                      <w:bCs/>
                      <w:szCs w:val="21"/>
                    </w:rPr>
                  </w:pPr>
                  <w:r>
                    <w:rPr>
                      <w:bCs/>
                      <w:szCs w:val="21"/>
                    </w:rPr>
                    <w:t>800</w:t>
                  </w:r>
                </w:p>
              </w:tc>
              <w:tc>
                <w:tcPr>
                  <w:tcW w:w="831" w:type="dxa"/>
                  <w:tcBorders>
                    <w:tl2br w:val="nil"/>
                    <w:tr2bl w:val="nil"/>
                  </w:tcBorders>
                  <w:vAlign w:val="center"/>
                </w:tcPr>
                <w:p>
                  <w:pPr>
                    <w:jc w:val="center"/>
                    <w:rPr>
                      <w:bCs/>
                      <w:szCs w:val="21"/>
                    </w:rPr>
                  </w:pPr>
                  <w:r>
                    <w:rPr>
                      <w:bCs/>
                      <w:szCs w:val="21"/>
                    </w:rPr>
                    <w:t>1.6</w:t>
                  </w:r>
                  <w:r>
                    <w:rPr>
                      <w:bCs/>
                      <w:kern w:val="0"/>
                      <w:szCs w:val="21"/>
                    </w:rPr>
                    <w:t>~</w:t>
                  </w:r>
                  <w:r>
                    <w:rPr>
                      <w:bCs/>
                      <w:szCs w:val="21"/>
                    </w:rPr>
                    <w:t>8.4</w:t>
                  </w:r>
                </w:p>
              </w:tc>
              <w:tc>
                <w:tcPr>
                  <w:tcW w:w="831" w:type="dxa"/>
                  <w:tcBorders>
                    <w:tl2br w:val="nil"/>
                    <w:tr2bl w:val="nil"/>
                  </w:tcBorders>
                  <w:vAlign w:val="center"/>
                </w:tcPr>
                <w:p>
                  <w:pPr>
                    <w:pStyle w:val="2"/>
                    <w:spacing w:after="0"/>
                    <w:jc w:val="center"/>
                    <w:rPr>
                      <w:bCs/>
                      <w:szCs w:val="21"/>
                    </w:rPr>
                  </w:pPr>
                  <w:r>
                    <w:rPr>
                      <w:bCs/>
                      <w:szCs w:val="21"/>
                    </w:rPr>
                    <w:t>1.05</w:t>
                  </w:r>
                </w:p>
              </w:tc>
              <w:tc>
                <w:tcPr>
                  <w:tcW w:w="832" w:type="dxa"/>
                  <w:tcBorders>
                    <w:tl2br w:val="nil"/>
                    <w:tr2bl w:val="nil"/>
                  </w:tcBorders>
                  <w:vAlign w:val="center"/>
                </w:tcPr>
                <w:p>
                  <w:pPr>
                    <w:pStyle w:val="2"/>
                    <w:spacing w:after="0"/>
                    <w:jc w:val="center"/>
                    <w:rPr>
                      <w:bCs/>
                      <w:szCs w:val="21"/>
                    </w:rPr>
                  </w:pPr>
                  <w:r>
                    <w:rPr>
                      <w:bCs/>
                      <w:szCs w:val="21"/>
                    </w:rPr>
                    <w:t>0</w:t>
                  </w:r>
                </w:p>
              </w:tc>
              <w:tc>
                <w:tcPr>
                  <w:tcW w:w="832" w:type="dxa"/>
                  <w:tcBorders>
                    <w:tl2br w:val="nil"/>
                    <w:tr2bl w:val="nil"/>
                  </w:tcBorders>
                  <w:vAlign w:val="center"/>
                </w:tcPr>
                <w:p>
                  <w:pPr>
                    <w:jc w:val="center"/>
                    <w:rPr>
                      <w:bCs/>
                      <w:szCs w:val="21"/>
                    </w:rPr>
                  </w:pPr>
                  <w:r>
                    <w:rPr>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5" w:type="dxa"/>
                  <w:vMerge w:val="restart"/>
                  <w:tcBorders>
                    <w:tl2br w:val="nil"/>
                    <w:tr2bl w:val="nil"/>
                  </w:tcBorders>
                  <w:vAlign w:val="center"/>
                </w:tcPr>
                <w:p>
                  <w:pPr>
                    <w:jc w:val="center"/>
                    <w:rPr>
                      <w:bCs/>
                      <w:szCs w:val="21"/>
                    </w:rPr>
                  </w:pPr>
                  <w:r>
                    <w:rPr>
                      <w:szCs w:val="21"/>
                    </w:rPr>
                    <w:t>华星锦业汽车销售服务有限公司奔驰4S店</w:t>
                  </w:r>
                  <w:r>
                    <w:rPr>
                      <w:bCs/>
                      <w:szCs w:val="21"/>
                    </w:rPr>
                    <w:t>下风向（G2）</w:t>
                  </w:r>
                </w:p>
              </w:tc>
              <w:tc>
                <w:tcPr>
                  <w:tcW w:w="630" w:type="dxa"/>
                  <w:vMerge w:val="restart"/>
                  <w:tcBorders>
                    <w:tl2br w:val="nil"/>
                    <w:tr2bl w:val="nil"/>
                  </w:tcBorders>
                  <w:vAlign w:val="center"/>
                </w:tcPr>
                <w:p>
                  <w:pPr>
                    <w:jc w:val="center"/>
                    <w:rPr>
                      <w:bCs/>
                      <w:szCs w:val="21"/>
                    </w:rPr>
                  </w:pPr>
                  <w:r>
                    <w:rPr>
                      <w:bCs/>
                      <w:szCs w:val="21"/>
                    </w:rPr>
                    <w:t>-127</w:t>
                  </w:r>
                </w:p>
              </w:tc>
              <w:tc>
                <w:tcPr>
                  <w:tcW w:w="584" w:type="dxa"/>
                  <w:vMerge w:val="restart"/>
                  <w:tcBorders>
                    <w:tl2br w:val="nil"/>
                    <w:tr2bl w:val="nil"/>
                  </w:tcBorders>
                  <w:vAlign w:val="center"/>
                </w:tcPr>
                <w:p>
                  <w:pPr>
                    <w:jc w:val="center"/>
                    <w:rPr>
                      <w:bCs/>
                      <w:szCs w:val="21"/>
                    </w:rPr>
                  </w:pPr>
                  <w:r>
                    <w:rPr>
                      <w:bCs/>
                      <w:szCs w:val="21"/>
                    </w:rPr>
                    <w:t>-165</w:t>
                  </w:r>
                </w:p>
              </w:tc>
              <w:tc>
                <w:tcPr>
                  <w:tcW w:w="985" w:type="dxa"/>
                  <w:tcBorders>
                    <w:tl2br w:val="nil"/>
                    <w:tr2bl w:val="nil"/>
                  </w:tcBorders>
                  <w:vAlign w:val="center"/>
                </w:tcPr>
                <w:p>
                  <w:pPr>
                    <w:pStyle w:val="2"/>
                    <w:spacing w:after="0"/>
                    <w:jc w:val="center"/>
                    <w:rPr>
                      <w:bCs/>
                      <w:szCs w:val="21"/>
                    </w:rPr>
                  </w:pPr>
                  <w:r>
                    <w:rPr>
                      <w:bCs/>
                      <w:szCs w:val="21"/>
                    </w:rPr>
                    <w:t>甲苯</w:t>
                  </w:r>
                </w:p>
              </w:tc>
              <w:tc>
                <w:tcPr>
                  <w:tcW w:w="831" w:type="dxa"/>
                  <w:tcBorders>
                    <w:tl2br w:val="nil"/>
                    <w:tr2bl w:val="nil"/>
                  </w:tcBorders>
                  <w:vAlign w:val="center"/>
                </w:tcPr>
                <w:p>
                  <w:pPr>
                    <w:pStyle w:val="2"/>
                    <w:spacing w:after="0"/>
                    <w:jc w:val="center"/>
                    <w:rPr>
                      <w:bCs/>
                      <w:szCs w:val="21"/>
                    </w:rPr>
                  </w:pPr>
                  <w:r>
                    <w:rPr>
                      <w:bCs/>
                      <w:szCs w:val="21"/>
                    </w:rPr>
                    <w:t>1h</w:t>
                  </w:r>
                </w:p>
              </w:tc>
              <w:tc>
                <w:tcPr>
                  <w:tcW w:w="831" w:type="dxa"/>
                  <w:tcBorders>
                    <w:tl2br w:val="nil"/>
                    <w:tr2bl w:val="nil"/>
                  </w:tcBorders>
                  <w:vAlign w:val="center"/>
                </w:tcPr>
                <w:p>
                  <w:pPr>
                    <w:pStyle w:val="2"/>
                    <w:spacing w:after="0"/>
                    <w:jc w:val="center"/>
                    <w:rPr>
                      <w:bCs/>
                      <w:szCs w:val="21"/>
                    </w:rPr>
                  </w:pPr>
                  <w:r>
                    <w:rPr>
                      <w:bCs/>
                      <w:szCs w:val="21"/>
                    </w:rPr>
                    <w:t>200</w:t>
                  </w:r>
                </w:p>
              </w:tc>
              <w:tc>
                <w:tcPr>
                  <w:tcW w:w="831" w:type="dxa"/>
                  <w:tcBorders>
                    <w:tl2br w:val="nil"/>
                    <w:tr2bl w:val="nil"/>
                  </w:tcBorders>
                  <w:vAlign w:val="center"/>
                </w:tcPr>
                <w:p>
                  <w:pPr>
                    <w:jc w:val="center"/>
                    <w:rPr>
                      <w:bCs/>
                      <w:szCs w:val="21"/>
                    </w:rPr>
                  </w:pPr>
                  <w:r>
                    <w:rPr>
                      <w:bCs/>
                      <w:kern w:val="0"/>
                      <w:szCs w:val="21"/>
                    </w:rPr>
                    <w:t>ND</w:t>
                  </w:r>
                  <w:r>
                    <w:rPr>
                      <w:bCs/>
                      <w:kern w:val="0"/>
                      <w:szCs w:val="21"/>
                      <w:vertAlign w:val="superscript"/>
                    </w:rPr>
                    <w:t>[1]</w:t>
                  </w:r>
                  <w:r>
                    <w:rPr>
                      <w:bCs/>
                      <w:kern w:val="0"/>
                      <w:szCs w:val="21"/>
                    </w:rPr>
                    <w:t>~35</w:t>
                  </w:r>
                </w:p>
              </w:tc>
              <w:tc>
                <w:tcPr>
                  <w:tcW w:w="831" w:type="dxa"/>
                  <w:tcBorders>
                    <w:tl2br w:val="nil"/>
                    <w:tr2bl w:val="nil"/>
                  </w:tcBorders>
                  <w:vAlign w:val="center"/>
                </w:tcPr>
                <w:p>
                  <w:pPr>
                    <w:pStyle w:val="2"/>
                    <w:spacing w:after="0"/>
                    <w:jc w:val="center"/>
                    <w:rPr>
                      <w:bCs/>
                      <w:szCs w:val="21"/>
                    </w:rPr>
                  </w:pPr>
                  <w:r>
                    <w:rPr>
                      <w:bCs/>
                      <w:szCs w:val="21"/>
                    </w:rPr>
                    <w:t>17.5</w:t>
                  </w:r>
                </w:p>
              </w:tc>
              <w:tc>
                <w:tcPr>
                  <w:tcW w:w="832" w:type="dxa"/>
                  <w:tcBorders>
                    <w:tl2br w:val="nil"/>
                    <w:tr2bl w:val="nil"/>
                  </w:tcBorders>
                  <w:vAlign w:val="center"/>
                </w:tcPr>
                <w:p>
                  <w:pPr>
                    <w:pStyle w:val="2"/>
                    <w:spacing w:after="0"/>
                    <w:jc w:val="center"/>
                    <w:rPr>
                      <w:bCs/>
                      <w:szCs w:val="21"/>
                    </w:rPr>
                  </w:pPr>
                  <w:r>
                    <w:rPr>
                      <w:bCs/>
                      <w:szCs w:val="21"/>
                    </w:rPr>
                    <w:t>0</w:t>
                  </w:r>
                </w:p>
              </w:tc>
              <w:tc>
                <w:tcPr>
                  <w:tcW w:w="832" w:type="dxa"/>
                  <w:tcBorders>
                    <w:tl2br w:val="nil"/>
                    <w:tr2bl w:val="nil"/>
                  </w:tcBorders>
                  <w:vAlign w:val="center"/>
                </w:tcPr>
                <w:p>
                  <w:pPr>
                    <w:jc w:val="center"/>
                    <w:rPr>
                      <w:bCs/>
                      <w:szCs w:val="21"/>
                    </w:rPr>
                  </w:pPr>
                  <w:r>
                    <w:rPr>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5" w:type="dxa"/>
                  <w:vMerge w:val="continue"/>
                  <w:tcBorders>
                    <w:tl2br w:val="nil"/>
                    <w:tr2bl w:val="nil"/>
                  </w:tcBorders>
                  <w:vAlign w:val="center"/>
                </w:tcPr>
                <w:p>
                  <w:pPr>
                    <w:pStyle w:val="2"/>
                    <w:spacing w:after="0"/>
                    <w:jc w:val="center"/>
                    <w:rPr>
                      <w:bCs/>
                    </w:rPr>
                  </w:pPr>
                </w:p>
              </w:tc>
              <w:tc>
                <w:tcPr>
                  <w:tcW w:w="630" w:type="dxa"/>
                  <w:vMerge w:val="continue"/>
                  <w:tcBorders>
                    <w:tl2br w:val="nil"/>
                    <w:tr2bl w:val="nil"/>
                  </w:tcBorders>
                  <w:vAlign w:val="center"/>
                </w:tcPr>
                <w:p>
                  <w:pPr>
                    <w:pStyle w:val="2"/>
                    <w:spacing w:after="0"/>
                    <w:jc w:val="center"/>
                    <w:rPr>
                      <w:bCs/>
                    </w:rPr>
                  </w:pPr>
                </w:p>
              </w:tc>
              <w:tc>
                <w:tcPr>
                  <w:tcW w:w="584" w:type="dxa"/>
                  <w:vMerge w:val="continue"/>
                  <w:tcBorders>
                    <w:tl2br w:val="nil"/>
                    <w:tr2bl w:val="nil"/>
                  </w:tcBorders>
                  <w:vAlign w:val="center"/>
                </w:tcPr>
                <w:p>
                  <w:pPr>
                    <w:pStyle w:val="2"/>
                    <w:spacing w:after="0"/>
                    <w:jc w:val="center"/>
                    <w:rPr>
                      <w:bCs/>
                    </w:rPr>
                  </w:pPr>
                </w:p>
              </w:tc>
              <w:tc>
                <w:tcPr>
                  <w:tcW w:w="985" w:type="dxa"/>
                  <w:tcBorders>
                    <w:tl2br w:val="nil"/>
                    <w:tr2bl w:val="nil"/>
                  </w:tcBorders>
                  <w:vAlign w:val="center"/>
                </w:tcPr>
                <w:p>
                  <w:pPr>
                    <w:pStyle w:val="2"/>
                    <w:spacing w:after="0"/>
                    <w:jc w:val="center"/>
                    <w:rPr>
                      <w:bCs/>
                      <w:szCs w:val="21"/>
                    </w:rPr>
                  </w:pPr>
                  <w:r>
                    <w:rPr>
                      <w:bCs/>
                      <w:szCs w:val="21"/>
                    </w:rPr>
                    <w:t>二甲苯</w:t>
                  </w:r>
                </w:p>
              </w:tc>
              <w:tc>
                <w:tcPr>
                  <w:tcW w:w="831" w:type="dxa"/>
                  <w:tcBorders>
                    <w:tl2br w:val="nil"/>
                    <w:tr2bl w:val="nil"/>
                  </w:tcBorders>
                  <w:vAlign w:val="center"/>
                </w:tcPr>
                <w:p>
                  <w:pPr>
                    <w:pStyle w:val="2"/>
                    <w:spacing w:after="0"/>
                    <w:jc w:val="center"/>
                    <w:rPr>
                      <w:bCs/>
                      <w:szCs w:val="21"/>
                    </w:rPr>
                  </w:pPr>
                  <w:r>
                    <w:rPr>
                      <w:bCs/>
                      <w:szCs w:val="21"/>
                    </w:rPr>
                    <w:t>1h</w:t>
                  </w:r>
                </w:p>
              </w:tc>
              <w:tc>
                <w:tcPr>
                  <w:tcW w:w="831" w:type="dxa"/>
                  <w:tcBorders>
                    <w:tl2br w:val="nil"/>
                    <w:tr2bl w:val="nil"/>
                  </w:tcBorders>
                  <w:vAlign w:val="center"/>
                </w:tcPr>
                <w:p>
                  <w:pPr>
                    <w:pStyle w:val="2"/>
                    <w:spacing w:after="0"/>
                    <w:jc w:val="center"/>
                    <w:rPr>
                      <w:bCs/>
                      <w:szCs w:val="21"/>
                    </w:rPr>
                  </w:pPr>
                  <w:r>
                    <w:rPr>
                      <w:bCs/>
                      <w:szCs w:val="21"/>
                    </w:rPr>
                    <w:t>200</w:t>
                  </w:r>
                </w:p>
              </w:tc>
              <w:tc>
                <w:tcPr>
                  <w:tcW w:w="831" w:type="dxa"/>
                  <w:tcBorders>
                    <w:tl2br w:val="nil"/>
                    <w:tr2bl w:val="nil"/>
                  </w:tcBorders>
                  <w:vAlign w:val="center"/>
                </w:tcPr>
                <w:p>
                  <w:pPr>
                    <w:jc w:val="center"/>
                    <w:rPr>
                      <w:bCs/>
                      <w:szCs w:val="21"/>
                    </w:rPr>
                  </w:pPr>
                  <w:r>
                    <w:rPr>
                      <w:bCs/>
                      <w:kern w:val="0"/>
                      <w:szCs w:val="21"/>
                    </w:rPr>
                    <w:t>ND</w:t>
                  </w:r>
                  <w:r>
                    <w:rPr>
                      <w:bCs/>
                      <w:kern w:val="0"/>
                      <w:szCs w:val="21"/>
                      <w:vertAlign w:val="superscript"/>
                    </w:rPr>
                    <w:t>[2]</w:t>
                  </w:r>
                  <w:r>
                    <w:rPr>
                      <w:bCs/>
                      <w:kern w:val="0"/>
                      <w:szCs w:val="21"/>
                    </w:rPr>
                    <w:t>~120</w:t>
                  </w:r>
                </w:p>
              </w:tc>
              <w:tc>
                <w:tcPr>
                  <w:tcW w:w="831" w:type="dxa"/>
                  <w:tcBorders>
                    <w:tl2br w:val="nil"/>
                    <w:tr2bl w:val="nil"/>
                  </w:tcBorders>
                  <w:vAlign w:val="center"/>
                </w:tcPr>
                <w:p>
                  <w:pPr>
                    <w:pStyle w:val="2"/>
                    <w:spacing w:after="0"/>
                    <w:jc w:val="center"/>
                    <w:rPr>
                      <w:bCs/>
                      <w:szCs w:val="21"/>
                    </w:rPr>
                  </w:pPr>
                  <w:r>
                    <w:rPr>
                      <w:bCs/>
                      <w:szCs w:val="21"/>
                    </w:rPr>
                    <w:t>60</w:t>
                  </w:r>
                </w:p>
              </w:tc>
              <w:tc>
                <w:tcPr>
                  <w:tcW w:w="832" w:type="dxa"/>
                  <w:tcBorders>
                    <w:tl2br w:val="nil"/>
                    <w:tr2bl w:val="nil"/>
                  </w:tcBorders>
                  <w:vAlign w:val="center"/>
                </w:tcPr>
                <w:p>
                  <w:pPr>
                    <w:pStyle w:val="2"/>
                    <w:spacing w:after="0"/>
                    <w:jc w:val="center"/>
                    <w:rPr>
                      <w:bCs/>
                      <w:szCs w:val="21"/>
                    </w:rPr>
                  </w:pPr>
                  <w:r>
                    <w:rPr>
                      <w:bCs/>
                      <w:szCs w:val="21"/>
                    </w:rPr>
                    <w:t>0</w:t>
                  </w:r>
                </w:p>
              </w:tc>
              <w:tc>
                <w:tcPr>
                  <w:tcW w:w="832" w:type="dxa"/>
                  <w:tcBorders>
                    <w:tl2br w:val="nil"/>
                    <w:tr2bl w:val="nil"/>
                  </w:tcBorders>
                  <w:vAlign w:val="center"/>
                </w:tcPr>
                <w:p>
                  <w:pPr>
                    <w:jc w:val="center"/>
                    <w:rPr>
                      <w:bCs/>
                      <w:szCs w:val="21"/>
                    </w:rPr>
                  </w:pPr>
                  <w:r>
                    <w:rPr>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25" w:type="dxa"/>
                  <w:vMerge w:val="continue"/>
                  <w:tcBorders>
                    <w:tl2br w:val="nil"/>
                    <w:tr2bl w:val="nil"/>
                  </w:tcBorders>
                  <w:vAlign w:val="center"/>
                </w:tcPr>
                <w:p>
                  <w:pPr>
                    <w:pStyle w:val="2"/>
                    <w:spacing w:after="0"/>
                    <w:jc w:val="center"/>
                    <w:rPr>
                      <w:bCs/>
                      <w:szCs w:val="21"/>
                    </w:rPr>
                  </w:pPr>
                </w:p>
              </w:tc>
              <w:tc>
                <w:tcPr>
                  <w:tcW w:w="630" w:type="dxa"/>
                  <w:vMerge w:val="continue"/>
                  <w:tcBorders>
                    <w:tl2br w:val="nil"/>
                    <w:tr2bl w:val="nil"/>
                  </w:tcBorders>
                  <w:vAlign w:val="center"/>
                </w:tcPr>
                <w:p>
                  <w:pPr>
                    <w:pStyle w:val="2"/>
                    <w:spacing w:after="0"/>
                    <w:jc w:val="center"/>
                    <w:rPr>
                      <w:bCs/>
                      <w:szCs w:val="21"/>
                    </w:rPr>
                  </w:pPr>
                </w:p>
              </w:tc>
              <w:tc>
                <w:tcPr>
                  <w:tcW w:w="584" w:type="dxa"/>
                  <w:vMerge w:val="continue"/>
                  <w:tcBorders>
                    <w:tl2br w:val="nil"/>
                    <w:tr2bl w:val="nil"/>
                  </w:tcBorders>
                  <w:vAlign w:val="center"/>
                </w:tcPr>
                <w:p>
                  <w:pPr>
                    <w:pStyle w:val="2"/>
                    <w:spacing w:after="0"/>
                    <w:jc w:val="center"/>
                    <w:rPr>
                      <w:bCs/>
                      <w:szCs w:val="21"/>
                    </w:rPr>
                  </w:pPr>
                </w:p>
              </w:tc>
              <w:tc>
                <w:tcPr>
                  <w:tcW w:w="985" w:type="dxa"/>
                  <w:tcBorders>
                    <w:tl2br w:val="nil"/>
                    <w:tr2bl w:val="nil"/>
                  </w:tcBorders>
                  <w:vAlign w:val="center"/>
                </w:tcPr>
                <w:p>
                  <w:pPr>
                    <w:pStyle w:val="2"/>
                    <w:spacing w:after="0"/>
                    <w:jc w:val="center"/>
                    <w:rPr>
                      <w:bCs/>
                      <w:szCs w:val="21"/>
                    </w:rPr>
                  </w:pPr>
                  <w:r>
                    <w:rPr>
                      <w:bCs/>
                      <w:szCs w:val="21"/>
                    </w:rPr>
                    <w:t>TVOC</w:t>
                  </w:r>
                </w:p>
              </w:tc>
              <w:tc>
                <w:tcPr>
                  <w:tcW w:w="831" w:type="dxa"/>
                  <w:tcBorders>
                    <w:tl2br w:val="nil"/>
                    <w:tr2bl w:val="nil"/>
                  </w:tcBorders>
                  <w:vAlign w:val="center"/>
                </w:tcPr>
                <w:p>
                  <w:pPr>
                    <w:pStyle w:val="2"/>
                    <w:spacing w:after="0"/>
                    <w:jc w:val="center"/>
                    <w:rPr>
                      <w:bCs/>
                      <w:szCs w:val="21"/>
                    </w:rPr>
                  </w:pPr>
                  <w:r>
                    <w:rPr>
                      <w:bCs/>
                      <w:szCs w:val="21"/>
                    </w:rPr>
                    <w:t>8h</w:t>
                  </w:r>
                </w:p>
              </w:tc>
              <w:tc>
                <w:tcPr>
                  <w:tcW w:w="831" w:type="dxa"/>
                  <w:tcBorders>
                    <w:tl2br w:val="nil"/>
                    <w:tr2bl w:val="nil"/>
                  </w:tcBorders>
                  <w:vAlign w:val="center"/>
                </w:tcPr>
                <w:p>
                  <w:pPr>
                    <w:pStyle w:val="2"/>
                    <w:spacing w:after="0"/>
                    <w:jc w:val="center"/>
                    <w:rPr>
                      <w:bCs/>
                      <w:szCs w:val="21"/>
                    </w:rPr>
                  </w:pPr>
                  <w:r>
                    <w:rPr>
                      <w:bCs/>
                      <w:szCs w:val="21"/>
                    </w:rPr>
                    <w:t>800</w:t>
                  </w:r>
                </w:p>
              </w:tc>
              <w:tc>
                <w:tcPr>
                  <w:tcW w:w="831" w:type="dxa"/>
                  <w:tcBorders>
                    <w:tl2br w:val="nil"/>
                    <w:tr2bl w:val="nil"/>
                  </w:tcBorders>
                  <w:vAlign w:val="center"/>
                </w:tcPr>
                <w:p>
                  <w:pPr>
                    <w:jc w:val="center"/>
                    <w:rPr>
                      <w:bCs/>
                      <w:szCs w:val="21"/>
                    </w:rPr>
                  </w:pPr>
                  <w:r>
                    <w:rPr>
                      <w:bCs/>
                      <w:szCs w:val="21"/>
                    </w:rPr>
                    <w:t>1.4</w:t>
                  </w:r>
                  <w:r>
                    <w:rPr>
                      <w:bCs/>
                      <w:kern w:val="0"/>
                      <w:szCs w:val="21"/>
                    </w:rPr>
                    <w:t>~</w:t>
                  </w:r>
                  <w:r>
                    <w:rPr>
                      <w:bCs/>
                      <w:szCs w:val="21"/>
                    </w:rPr>
                    <w:t>9.1</w:t>
                  </w:r>
                </w:p>
              </w:tc>
              <w:tc>
                <w:tcPr>
                  <w:tcW w:w="831" w:type="dxa"/>
                  <w:tcBorders>
                    <w:tl2br w:val="nil"/>
                    <w:tr2bl w:val="nil"/>
                  </w:tcBorders>
                  <w:vAlign w:val="center"/>
                </w:tcPr>
                <w:p>
                  <w:pPr>
                    <w:pStyle w:val="2"/>
                    <w:spacing w:after="0"/>
                    <w:jc w:val="center"/>
                    <w:rPr>
                      <w:bCs/>
                      <w:szCs w:val="21"/>
                    </w:rPr>
                  </w:pPr>
                  <w:r>
                    <w:rPr>
                      <w:bCs/>
                      <w:szCs w:val="21"/>
                    </w:rPr>
                    <w:t>1.14</w:t>
                  </w:r>
                </w:p>
              </w:tc>
              <w:tc>
                <w:tcPr>
                  <w:tcW w:w="832" w:type="dxa"/>
                  <w:tcBorders>
                    <w:tl2br w:val="nil"/>
                    <w:tr2bl w:val="nil"/>
                  </w:tcBorders>
                  <w:vAlign w:val="center"/>
                </w:tcPr>
                <w:p>
                  <w:pPr>
                    <w:pStyle w:val="2"/>
                    <w:spacing w:after="0"/>
                    <w:jc w:val="center"/>
                    <w:rPr>
                      <w:bCs/>
                      <w:szCs w:val="21"/>
                    </w:rPr>
                  </w:pPr>
                  <w:r>
                    <w:rPr>
                      <w:bCs/>
                      <w:szCs w:val="21"/>
                    </w:rPr>
                    <w:t>0</w:t>
                  </w:r>
                </w:p>
              </w:tc>
              <w:tc>
                <w:tcPr>
                  <w:tcW w:w="832" w:type="dxa"/>
                  <w:tcBorders>
                    <w:tl2br w:val="nil"/>
                    <w:tr2bl w:val="nil"/>
                  </w:tcBorders>
                  <w:vAlign w:val="center"/>
                </w:tcPr>
                <w:p>
                  <w:pPr>
                    <w:pStyle w:val="2"/>
                    <w:spacing w:after="0"/>
                    <w:jc w:val="center"/>
                    <w:rPr>
                      <w:bCs/>
                      <w:szCs w:val="21"/>
                    </w:rPr>
                  </w:pPr>
                  <w:r>
                    <w:rPr>
                      <w:bCs/>
                      <w:szCs w:val="21"/>
                    </w:rPr>
                    <w:t>达标</w:t>
                  </w:r>
                </w:p>
              </w:tc>
            </w:tr>
          </w:tbl>
          <w:p>
            <w:pPr>
              <w:spacing w:line="360" w:lineRule="auto"/>
              <w:ind w:firstLine="480" w:firstLineChars="200"/>
              <w:rPr>
                <w:sz w:val="24"/>
                <w:szCs w:val="24"/>
              </w:rPr>
            </w:pPr>
            <w:r>
              <w:rPr>
                <w:rFonts w:hint="eastAsia"/>
                <w:sz w:val="24"/>
                <w:szCs w:val="24"/>
              </w:rPr>
              <w:t>由上表的监测结果可知，项目区域</w:t>
            </w:r>
            <w:r>
              <w:rPr>
                <w:sz w:val="24"/>
                <w:szCs w:val="24"/>
              </w:rPr>
              <w:t>甲苯、二甲苯、TVOC</w:t>
            </w:r>
            <w:r>
              <w:rPr>
                <w:rFonts w:hint="eastAsia"/>
                <w:sz w:val="24"/>
                <w:szCs w:val="24"/>
              </w:rPr>
              <w:t>满足《环境影响评价技术导则大气环境》（</w:t>
            </w:r>
            <w:r>
              <w:rPr>
                <w:sz w:val="24"/>
                <w:szCs w:val="24"/>
              </w:rPr>
              <w:t>HJ2.2-2018</w:t>
            </w:r>
            <w:r>
              <w:rPr>
                <w:rFonts w:hint="eastAsia"/>
                <w:sz w:val="24"/>
                <w:szCs w:val="24"/>
              </w:rPr>
              <w:t>）附录</w:t>
            </w:r>
            <w:r>
              <w:rPr>
                <w:sz w:val="24"/>
                <w:szCs w:val="24"/>
              </w:rPr>
              <w:t xml:space="preserve"> D </w:t>
            </w:r>
            <w:r>
              <w:rPr>
                <w:rFonts w:hint="eastAsia"/>
                <w:sz w:val="24"/>
                <w:szCs w:val="24"/>
              </w:rPr>
              <w:t>中的浓度限值。</w:t>
            </w:r>
          </w:p>
          <w:p>
            <w:pPr>
              <w:spacing w:line="348" w:lineRule="auto"/>
              <w:ind w:right="105" w:rightChars="50"/>
              <w:rPr>
                <w:b/>
                <w:sz w:val="24"/>
              </w:rPr>
            </w:pPr>
            <w:r>
              <w:rPr>
                <w:b/>
                <w:sz w:val="24"/>
              </w:rPr>
              <w:t>二、地表水环</w:t>
            </w:r>
            <w:r>
              <w:rPr>
                <w:rFonts w:hint="eastAsia"/>
                <w:b/>
                <w:sz w:val="24"/>
              </w:rPr>
              <w:t>境</w:t>
            </w:r>
          </w:p>
          <w:p>
            <w:pPr>
              <w:widowControl/>
              <w:autoSpaceDN w:val="0"/>
              <w:spacing w:line="360" w:lineRule="auto"/>
              <w:ind w:firstLine="480" w:firstLineChars="200"/>
              <w:jc w:val="left"/>
              <w:rPr>
                <w:sz w:val="24"/>
                <w:szCs w:val="24"/>
              </w:rPr>
            </w:pPr>
            <w:r>
              <w:rPr>
                <w:sz w:val="24"/>
                <w:szCs w:val="24"/>
              </w:rPr>
              <w:t>本项目地表水评价等级为三级B，本项目废水经湖南城陵矶新港区污水处理厂处理达标后排入象骨港河，最终汇入长江（岳阳城陵矶段）。</w:t>
            </w:r>
          </w:p>
          <w:p>
            <w:pPr>
              <w:widowControl/>
              <w:autoSpaceDN w:val="0"/>
              <w:spacing w:line="360" w:lineRule="auto"/>
              <w:ind w:firstLine="480" w:firstLineChars="200"/>
              <w:jc w:val="left"/>
              <w:rPr>
                <w:sz w:val="24"/>
                <w:szCs w:val="24"/>
              </w:rPr>
            </w:pPr>
            <w:r>
              <w:rPr>
                <w:sz w:val="24"/>
                <w:szCs w:val="24"/>
              </w:rPr>
              <w:t>为了解项目所在区域地表水环境质量现状，本项目引用《复星合力年产500万吨高延性冷轧带肋钢筋新材料及钢筋焊接网项目》（2019年5月13日）中对象骨港现状监测数据；引用《道道全粮油岳阳有限公司年产6万吨大豆原油及罐区扩容8800立方米扩建项目》（2018年6月8日）中对长江的监测数据；岳阳市环境监测站2019年全年芭蕉湖监测断面的月均监测数据。</w:t>
            </w:r>
          </w:p>
          <w:p>
            <w:pPr>
              <w:widowControl/>
              <w:autoSpaceDN w:val="0"/>
              <w:spacing w:line="360" w:lineRule="auto"/>
              <w:ind w:firstLine="480" w:firstLineChars="200"/>
              <w:jc w:val="left"/>
              <w:rPr>
                <w:sz w:val="24"/>
                <w:szCs w:val="24"/>
              </w:rPr>
            </w:pPr>
            <w:r>
              <w:rPr>
                <w:sz w:val="24"/>
                <w:szCs w:val="24"/>
              </w:rPr>
              <w:t>（1）监测断面</w:t>
            </w:r>
          </w:p>
          <w:p>
            <w:pPr>
              <w:widowControl/>
              <w:autoSpaceDN w:val="0"/>
              <w:spacing w:line="360" w:lineRule="auto"/>
              <w:ind w:firstLine="480" w:firstLineChars="200"/>
              <w:jc w:val="left"/>
              <w:rPr>
                <w:sz w:val="24"/>
                <w:szCs w:val="24"/>
              </w:rPr>
            </w:pPr>
            <w:r>
              <w:rPr>
                <w:sz w:val="24"/>
                <w:szCs w:val="24"/>
              </w:rPr>
              <w:t>W1：象骨港，象骨港排渍站上游200m；</w:t>
            </w:r>
          </w:p>
          <w:p>
            <w:pPr>
              <w:widowControl/>
              <w:autoSpaceDN w:val="0"/>
              <w:spacing w:line="360" w:lineRule="auto"/>
              <w:ind w:firstLine="480" w:firstLineChars="200"/>
              <w:jc w:val="left"/>
              <w:rPr>
                <w:sz w:val="24"/>
                <w:szCs w:val="24"/>
              </w:rPr>
            </w:pPr>
            <w:r>
              <w:rPr>
                <w:sz w:val="24"/>
                <w:szCs w:val="24"/>
              </w:rPr>
              <w:t>W2：长江，象骨港排渍站入长江口上游500m；</w:t>
            </w:r>
          </w:p>
          <w:p>
            <w:pPr>
              <w:widowControl/>
              <w:autoSpaceDN w:val="0"/>
              <w:spacing w:line="360" w:lineRule="auto"/>
              <w:ind w:firstLine="480" w:firstLineChars="200"/>
              <w:jc w:val="left"/>
              <w:rPr>
                <w:sz w:val="24"/>
                <w:szCs w:val="24"/>
              </w:rPr>
            </w:pPr>
            <w:r>
              <w:rPr>
                <w:sz w:val="24"/>
                <w:szCs w:val="24"/>
              </w:rPr>
              <w:t>W3：长江，象骨港排渍站入长江口下游1000m。</w:t>
            </w:r>
          </w:p>
          <w:p>
            <w:pPr>
              <w:widowControl/>
              <w:autoSpaceDN w:val="0"/>
              <w:spacing w:line="360" w:lineRule="auto"/>
              <w:ind w:firstLine="480" w:firstLineChars="200"/>
              <w:jc w:val="left"/>
              <w:rPr>
                <w:sz w:val="24"/>
                <w:szCs w:val="24"/>
              </w:rPr>
            </w:pPr>
            <w:r>
              <w:rPr>
                <w:sz w:val="24"/>
                <w:szCs w:val="24"/>
              </w:rPr>
              <w:t>W4：长江，象骨港排渍站入长江口下游3000m</w:t>
            </w:r>
          </w:p>
          <w:p>
            <w:pPr>
              <w:widowControl/>
              <w:autoSpaceDN w:val="0"/>
              <w:spacing w:line="360" w:lineRule="auto"/>
              <w:ind w:firstLine="480" w:firstLineChars="200"/>
              <w:jc w:val="left"/>
              <w:rPr>
                <w:sz w:val="24"/>
                <w:szCs w:val="24"/>
              </w:rPr>
            </w:pPr>
            <w:r>
              <w:rPr>
                <w:sz w:val="24"/>
                <w:szCs w:val="24"/>
              </w:rPr>
              <w:t>（2）监测因子</w:t>
            </w:r>
          </w:p>
          <w:p>
            <w:pPr>
              <w:pStyle w:val="2"/>
              <w:spacing w:after="0" w:line="360" w:lineRule="auto"/>
              <w:ind w:firstLine="480" w:firstLineChars="200"/>
              <w:jc w:val="left"/>
              <w:rPr>
                <w:sz w:val="24"/>
                <w:szCs w:val="24"/>
              </w:rPr>
            </w:pPr>
            <w:r>
              <w:rPr>
                <w:sz w:val="24"/>
                <w:szCs w:val="24"/>
              </w:rPr>
              <w:t>长江监测断面、象骨港监测断面监测因子：pH、CODcr、BOD</w:t>
            </w:r>
            <w:r>
              <w:rPr>
                <w:sz w:val="24"/>
                <w:szCs w:val="24"/>
                <w:vertAlign w:val="subscript"/>
              </w:rPr>
              <w:t>5</w:t>
            </w:r>
            <w:r>
              <w:rPr>
                <w:sz w:val="24"/>
                <w:szCs w:val="24"/>
              </w:rPr>
              <w:t>、总磷、氨氮、石油类；</w:t>
            </w:r>
          </w:p>
          <w:p>
            <w:pPr>
              <w:topLinePunct/>
              <w:spacing w:line="360" w:lineRule="auto"/>
              <w:ind w:firstLine="480" w:firstLineChars="200"/>
              <w:jc w:val="left"/>
              <w:rPr>
                <w:sz w:val="24"/>
                <w:szCs w:val="24"/>
              </w:rPr>
            </w:pPr>
            <w:r>
              <w:rPr>
                <w:sz w:val="24"/>
                <w:szCs w:val="24"/>
              </w:rPr>
              <w:t>芭蕉湖监测断面监测因子：pH、CODcr、BOD</w:t>
            </w:r>
            <w:r>
              <w:rPr>
                <w:sz w:val="24"/>
                <w:szCs w:val="24"/>
                <w:vertAlign w:val="subscript"/>
              </w:rPr>
              <w:t>5</w:t>
            </w:r>
            <w:r>
              <w:rPr>
                <w:sz w:val="24"/>
                <w:szCs w:val="24"/>
              </w:rPr>
              <w:t>、总磷、氨氮、石油类。</w:t>
            </w:r>
          </w:p>
          <w:p>
            <w:pPr>
              <w:topLinePunct/>
              <w:spacing w:line="360" w:lineRule="auto"/>
              <w:ind w:firstLine="480" w:firstLineChars="200"/>
              <w:jc w:val="left"/>
              <w:rPr>
                <w:sz w:val="24"/>
                <w:szCs w:val="24"/>
              </w:rPr>
            </w:pPr>
            <w:r>
              <w:rPr>
                <w:sz w:val="24"/>
                <w:szCs w:val="24"/>
              </w:rPr>
              <w:t>（3）监测点位监测时间和频率</w:t>
            </w:r>
          </w:p>
          <w:p>
            <w:pPr>
              <w:topLinePunct/>
              <w:spacing w:line="360" w:lineRule="auto"/>
              <w:ind w:firstLine="480" w:firstLineChars="200"/>
              <w:jc w:val="left"/>
              <w:rPr>
                <w:sz w:val="24"/>
                <w:szCs w:val="24"/>
              </w:rPr>
            </w:pPr>
            <w:r>
              <w:rPr>
                <w:sz w:val="24"/>
                <w:szCs w:val="24"/>
              </w:rPr>
              <w:t>长江：2018年4月18~20日，连续监测3天，每天监测1次；</w:t>
            </w:r>
          </w:p>
          <w:p>
            <w:pPr>
              <w:topLinePunct/>
              <w:spacing w:line="360" w:lineRule="auto"/>
              <w:ind w:firstLine="480" w:firstLineChars="200"/>
              <w:jc w:val="left"/>
              <w:rPr>
                <w:sz w:val="24"/>
                <w:szCs w:val="24"/>
              </w:rPr>
            </w:pPr>
            <w:r>
              <w:rPr>
                <w:sz w:val="24"/>
                <w:szCs w:val="24"/>
              </w:rPr>
              <w:t>象骨港：2019年2月23～25日和2月27～3月1日，连续监测3天，每天监测一次。</w:t>
            </w:r>
          </w:p>
          <w:p>
            <w:pPr>
              <w:topLinePunct/>
              <w:spacing w:line="360" w:lineRule="auto"/>
              <w:ind w:firstLine="480" w:firstLineChars="200"/>
              <w:jc w:val="left"/>
              <w:rPr>
                <w:sz w:val="24"/>
                <w:szCs w:val="24"/>
              </w:rPr>
            </w:pPr>
            <w:r>
              <w:rPr>
                <w:sz w:val="24"/>
                <w:szCs w:val="24"/>
              </w:rPr>
              <w:t>芭蕉湖：2019年1月~12月。</w:t>
            </w:r>
          </w:p>
          <w:p>
            <w:pPr>
              <w:topLinePunct/>
              <w:jc w:val="center"/>
              <w:rPr>
                <w:b/>
                <w:bCs/>
              </w:rPr>
            </w:pPr>
            <w:r>
              <w:rPr>
                <w:b/>
                <w:bCs/>
                <w:szCs w:val="21"/>
              </w:rPr>
              <w:t>表3-4  监测布点及监测结果</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79"/>
              <w:gridCol w:w="1213"/>
              <w:gridCol w:w="1214"/>
              <w:gridCol w:w="1132"/>
              <w:gridCol w:w="873"/>
              <w:gridCol w:w="859"/>
              <w:gridCol w:w="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jc w:val="center"/>
                    <w:rPr>
                      <w:b/>
                      <w:bCs/>
                      <w:sz w:val="18"/>
                      <w:szCs w:val="18"/>
                    </w:rPr>
                  </w:pPr>
                  <w:r>
                    <w:rPr>
                      <w:b/>
                      <w:bCs/>
                      <w:sz w:val="18"/>
                      <w:szCs w:val="18"/>
                    </w:rPr>
                    <w:t>项目</w:t>
                  </w:r>
                </w:p>
              </w:tc>
              <w:tc>
                <w:tcPr>
                  <w:tcW w:w="1179" w:type="dxa"/>
                  <w:tcBorders>
                    <w:tl2br w:val="nil"/>
                    <w:tr2bl w:val="nil"/>
                  </w:tcBorders>
                  <w:vAlign w:val="center"/>
                </w:tcPr>
                <w:p>
                  <w:pPr>
                    <w:jc w:val="center"/>
                    <w:rPr>
                      <w:b/>
                      <w:bCs/>
                      <w:sz w:val="18"/>
                      <w:szCs w:val="18"/>
                    </w:rPr>
                  </w:pPr>
                  <w:r>
                    <w:rPr>
                      <w:b/>
                      <w:bCs/>
                      <w:sz w:val="18"/>
                      <w:szCs w:val="18"/>
                    </w:rPr>
                    <w:t>W1</w:t>
                  </w:r>
                </w:p>
              </w:tc>
              <w:tc>
                <w:tcPr>
                  <w:tcW w:w="1213" w:type="dxa"/>
                  <w:tcBorders>
                    <w:tl2br w:val="nil"/>
                    <w:tr2bl w:val="nil"/>
                  </w:tcBorders>
                  <w:vAlign w:val="center"/>
                </w:tcPr>
                <w:p>
                  <w:pPr>
                    <w:jc w:val="center"/>
                    <w:rPr>
                      <w:b/>
                      <w:bCs/>
                      <w:sz w:val="18"/>
                      <w:szCs w:val="18"/>
                    </w:rPr>
                  </w:pPr>
                  <w:r>
                    <w:rPr>
                      <w:b/>
                      <w:bCs/>
                      <w:sz w:val="18"/>
                      <w:szCs w:val="18"/>
                    </w:rPr>
                    <w:t>W2</w:t>
                  </w:r>
                </w:p>
              </w:tc>
              <w:tc>
                <w:tcPr>
                  <w:tcW w:w="1214" w:type="dxa"/>
                  <w:tcBorders>
                    <w:tl2br w:val="nil"/>
                    <w:tr2bl w:val="nil"/>
                  </w:tcBorders>
                  <w:vAlign w:val="center"/>
                </w:tcPr>
                <w:p>
                  <w:pPr>
                    <w:jc w:val="center"/>
                    <w:rPr>
                      <w:b/>
                      <w:bCs/>
                      <w:sz w:val="18"/>
                      <w:szCs w:val="18"/>
                    </w:rPr>
                  </w:pPr>
                  <w:r>
                    <w:rPr>
                      <w:b/>
                      <w:bCs/>
                      <w:sz w:val="18"/>
                      <w:szCs w:val="18"/>
                    </w:rPr>
                    <w:t>W3</w:t>
                  </w:r>
                </w:p>
              </w:tc>
              <w:tc>
                <w:tcPr>
                  <w:tcW w:w="1132" w:type="dxa"/>
                  <w:tcBorders>
                    <w:tl2br w:val="nil"/>
                    <w:tr2bl w:val="nil"/>
                  </w:tcBorders>
                  <w:vAlign w:val="center"/>
                </w:tcPr>
                <w:p>
                  <w:pPr>
                    <w:jc w:val="center"/>
                    <w:rPr>
                      <w:b/>
                      <w:bCs/>
                      <w:sz w:val="18"/>
                      <w:szCs w:val="18"/>
                    </w:rPr>
                  </w:pPr>
                  <w:r>
                    <w:rPr>
                      <w:b/>
                      <w:bCs/>
                      <w:sz w:val="18"/>
                      <w:szCs w:val="18"/>
                    </w:rPr>
                    <w:t>W4</w:t>
                  </w:r>
                </w:p>
              </w:tc>
              <w:tc>
                <w:tcPr>
                  <w:tcW w:w="873" w:type="dxa"/>
                  <w:tcBorders>
                    <w:tl2br w:val="nil"/>
                    <w:tr2bl w:val="nil"/>
                  </w:tcBorders>
                  <w:vAlign w:val="center"/>
                </w:tcPr>
                <w:p>
                  <w:pPr>
                    <w:jc w:val="center"/>
                    <w:rPr>
                      <w:b/>
                      <w:bCs/>
                      <w:sz w:val="18"/>
                      <w:szCs w:val="18"/>
                    </w:rPr>
                  </w:pPr>
                  <w:r>
                    <w:rPr>
                      <w:b/>
                      <w:bCs/>
                      <w:sz w:val="18"/>
                      <w:szCs w:val="18"/>
                    </w:rPr>
                    <w:t>标准值</w:t>
                  </w:r>
                </w:p>
              </w:tc>
              <w:tc>
                <w:tcPr>
                  <w:tcW w:w="859" w:type="dxa"/>
                  <w:tcBorders>
                    <w:tl2br w:val="nil"/>
                    <w:tr2bl w:val="nil"/>
                  </w:tcBorders>
                  <w:vAlign w:val="center"/>
                </w:tcPr>
                <w:p>
                  <w:pPr>
                    <w:jc w:val="center"/>
                    <w:rPr>
                      <w:b/>
                      <w:bCs/>
                      <w:sz w:val="18"/>
                      <w:szCs w:val="18"/>
                    </w:rPr>
                  </w:pPr>
                  <w:r>
                    <w:rPr>
                      <w:b/>
                      <w:bCs/>
                      <w:sz w:val="18"/>
                      <w:szCs w:val="18"/>
                    </w:rPr>
                    <w:t>最大占标率</w:t>
                  </w:r>
                </w:p>
              </w:tc>
              <w:tc>
                <w:tcPr>
                  <w:tcW w:w="950" w:type="dxa"/>
                  <w:tcBorders>
                    <w:tl2br w:val="nil"/>
                    <w:tr2bl w:val="nil"/>
                  </w:tcBorders>
                  <w:vAlign w:val="center"/>
                </w:tcPr>
                <w:p>
                  <w:pPr>
                    <w:jc w:val="center"/>
                    <w:rPr>
                      <w:b/>
                      <w:bCs/>
                      <w:sz w:val="18"/>
                      <w:szCs w:val="18"/>
                    </w:rPr>
                  </w:pPr>
                  <w:r>
                    <w:rPr>
                      <w:b/>
                      <w:bCs/>
                      <w:sz w:val="18"/>
                      <w:szCs w:val="18"/>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widowControl/>
                    <w:jc w:val="center"/>
                    <w:rPr>
                      <w:b/>
                      <w:bCs/>
                      <w:sz w:val="18"/>
                      <w:szCs w:val="18"/>
                    </w:rPr>
                  </w:pPr>
                  <w:r>
                    <w:rPr>
                      <w:sz w:val="18"/>
                      <w:szCs w:val="18"/>
                    </w:rPr>
                    <w:t>pH</w:t>
                  </w:r>
                </w:p>
              </w:tc>
              <w:tc>
                <w:tcPr>
                  <w:tcW w:w="1179" w:type="dxa"/>
                  <w:tcBorders>
                    <w:tl2br w:val="nil"/>
                    <w:tr2bl w:val="nil"/>
                  </w:tcBorders>
                  <w:vAlign w:val="center"/>
                </w:tcPr>
                <w:p>
                  <w:pPr>
                    <w:jc w:val="center"/>
                    <w:rPr>
                      <w:sz w:val="18"/>
                      <w:szCs w:val="18"/>
                    </w:rPr>
                  </w:pPr>
                  <w:r>
                    <w:rPr>
                      <w:sz w:val="18"/>
                      <w:szCs w:val="18"/>
                    </w:rPr>
                    <w:t>7.90-7.97</w:t>
                  </w:r>
                </w:p>
              </w:tc>
              <w:tc>
                <w:tcPr>
                  <w:tcW w:w="1213" w:type="dxa"/>
                  <w:tcBorders>
                    <w:tl2br w:val="nil"/>
                    <w:tr2bl w:val="nil"/>
                  </w:tcBorders>
                  <w:vAlign w:val="center"/>
                </w:tcPr>
                <w:p>
                  <w:pPr>
                    <w:jc w:val="center"/>
                    <w:rPr>
                      <w:sz w:val="18"/>
                      <w:szCs w:val="18"/>
                    </w:rPr>
                  </w:pPr>
                  <w:r>
                    <w:rPr>
                      <w:sz w:val="18"/>
                      <w:szCs w:val="18"/>
                    </w:rPr>
                    <w:t>7.10-7.20</w:t>
                  </w:r>
                </w:p>
              </w:tc>
              <w:tc>
                <w:tcPr>
                  <w:tcW w:w="1214" w:type="dxa"/>
                  <w:tcBorders>
                    <w:tl2br w:val="nil"/>
                    <w:tr2bl w:val="nil"/>
                  </w:tcBorders>
                  <w:vAlign w:val="center"/>
                </w:tcPr>
                <w:p>
                  <w:pPr>
                    <w:jc w:val="center"/>
                    <w:rPr>
                      <w:sz w:val="18"/>
                      <w:szCs w:val="18"/>
                    </w:rPr>
                  </w:pPr>
                  <w:r>
                    <w:rPr>
                      <w:sz w:val="18"/>
                      <w:szCs w:val="18"/>
                    </w:rPr>
                    <w:t>7.30-7.40</w:t>
                  </w:r>
                </w:p>
              </w:tc>
              <w:tc>
                <w:tcPr>
                  <w:tcW w:w="1132" w:type="dxa"/>
                  <w:tcBorders>
                    <w:tl2br w:val="nil"/>
                    <w:tr2bl w:val="nil"/>
                  </w:tcBorders>
                  <w:vAlign w:val="center"/>
                </w:tcPr>
                <w:p>
                  <w:pPr>
                    <w:jc w:val="center"/>
                    <w:rPr>
                      <w:sz w:val="18"/>
                      <w:szCs w:val="18"/>
                    </w:rPr>
                  </w:pPr>
                  <w:r>
                    <w:rPr>
                      <w:sz w:val="18"/>
                      <w:szCs w:val="18"/>
                    </w:rPr>
                    <w:t>7.31-7.41</w:t>
                  </w:r>
                </w:p>
              </w:tc>
              <w:tc>
                <w:tcPr>
                  <w:tcW w:w="873" w:type="dxa"/>
                  <w:tcBorders>
                    <w:tl2br w:val="nil"/>
                    <w:tr2bl w:val="nil"/>
                  </w:tcBorders>
                  <w:vAlign w:val="center"/>
                </w:tcPr>
                <w:p>
                  <w:pPr>
                    <w:jc w:val="center"/>
                    <w:rPr>
                      <w:sz w:val="18"/>
                      <w:szCs w:val="18"/>
                    </w:rPr>
                  </w:pPr>
                  <w:r>
                    <w:rPr>
                      <w:sz w:val="18"/>
                      <w:szCs w:val="18"/>
                    </w:rPr>
                    <w:t>6-9</w:t>
                  </w:r>
                </w:p>
              </w:tc>
              <w:tc>
                <w:tcPr>
                  <w:tcW w:w="859" w:type="dxa"/>
                  <w:tcBorders>
                    <w:tl2br w:val="nil"/>
                    <w:tr2bl w:val="nil"/>
                  </w:tcBorders>
                  <w:vAlign w:val="center"/>
                </w:tcPr>
                <w:p>
                  <w:pPr>
                    <w:jc w:val="center"/>
                    <w:rPr>
                      <w:sz w:val="18"/>
                      <w:szCs w:val="18"/>
                    </w:rPr>
                  </w:pPr>
                  <w:r>
                    <w:rPr>
                      <w:sz w:val="18"/>
                      <w:szCs w:val="18"/>
                    </w:rPr>
                    <w:t>/</w:t>
                  </w:r>
                </w:p>
              </w:tc>
              <w:tc>
                <w:tcPr>
                  <w:tcW w:w="950" w:type="dxa"/>
                  <w:tcBorders>
                    <w:tl2br w:val="nil"/>
                    <w:tr2bl w:val="nil"/>
                  </w:tcBorders>
                  <w:vAlign w:val="center"/>
                </w:tcPr>
                <w:p>
                  <w:pPr>
                    <w:jc w:val="center"/>
                    <w:rPr>
                      <w:sz w:val="18"/>
                      <w:szCs w:val="18"/>
                    </w:rPr>
                  </w:pPr>
                  <w:r>
                    <w:rPr>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widowControl/>
                    <w:jc w:val="center"/>
                    <w:rPr>
                      <w:b/>
                      <w:bCs/>
                      <w:sz w:val="18"/>
                      <w:szCs w:val="18"/>
                    </w:rPr>
                  </w:pPr>
                  <w:r>
                    <w:rPr>
                      <w:sz w:val="18"/>
                      <w:szCs w:val="18"/>
                    </w:rPr>
                    <w:t>COD</w:t>
                  </w:r>
                  <w:r>
                    <w:rPr>
                      <w:sz w:val="18"/>
                      <w:szCs w:val="18"/>
                      <w:vertAlign w:val="subscript"/>
                    </w:rPr>
                    <w:t>Cr</w:t>
                  </w:r>
                </w:p>
              </w:tc>
              <w:tc>
                <w:tcPr>
                  <w:tcW w:w="1179" w:type="dxa"/>
                  <w:tcBorders>
                    <w:tl2br w:val="nil"/>
                    <w:tr2bl w:val="nil"/>
                  </w:tcBorders>
                  <w:vAlign w:val="center"/>
                </w:tcPr>
                <w:p>
                  <w:pPr>
                    <w:jc w:val="center"/>
                    <w:rPr>
                      <w:sz w:val="18"/>
                      <w:szCs w:val="18"/>
                    </w:rPr>
                  </w:pPr>
                  <w:r>
                    <w:rPr>
                      <w:sz w:val="18"/>
                      <w:szCs w:val="18"/>
                    </w:rPr>
                    <w:t>7-10</w:t>
                  </w:r>
                </w:p>
              </w:tc>
              <w:tc>
                <w:tcPr>
                  <w:tcW w:w="1213" w:type="dxa"/>
                  <w:tcBorders>
                    <w:tl2br w:val="nil"/>
                    <w:tr2bl w:val="nil"/>
                  </w:tcBorders>
                  <w:vAlign w:val="center"/>
                </w:tcPr>
                <w:p>
                  <w:pPr>
                    <w:jc w:val="center"/>
                    <w:rPr>
                      <w:sz w:val="18"/>
                      <w:szCs w:val="18"/>
                    </w:rPr>
                  </w:pPr>
                  <w:r>
                    <w:rPr>
                      <w:sz w:val="18"/>
                      <w:szCs w:val="18"/>
                    </w:rPr>
                    <w:t>3-7</w:t>
                  </w:r>
                </w:p>
              </w:tc>
              <w:tc>
                <w:tcPr>
                  <w:tcW w:w="1214" w:type="dxa"/>
                  <w:tcBorders>
                    <w:tl2br w:val="nil"/>
                    <w:tr2bl w:val="nil"/>
                  </w:tcBorders>
                  <w:vAlign w:val="center"/>
                </w:tcPr>
                <w:p>
                  <w:pPr>
                    <w:jc w:val="center"/>
                    <w:rPr>
                      <w:sz w:val="18"/>
                      <w:szCs w:val="18"/>
                    </w:rPr>
                  </w:pPr>
                  <w:r>
                    <w:rPr>
                      <w:sz w:val="18"/>
                      <w:szCs w:val="18"/>
                    </w:rPr>
                    <w:t>3-7</w:t>
                  </w:r>
                </w:p>
              </w:tc>
              <w:tc>
                <w:tcPr>
                  <w:tcW w:w="1132" w:type="dxa"/>
                  <w:tcBorders>
                    <w:tl2br w:val="nil"/>
                    <w:tr2bl w:val="nil"/>
                  </w:tcBorders>
                  <w:vAlign w:val="center"/>
                </w:tcPr>
                <w:p>
                  <w:pPr>
                    <w:jc w:val="center"/>
                    <w:rPr>
                      <w:sz w:val="18"/>
                      <w:szCs w:val="18"/>
                    </w:rPr>
                  </w:pPr>
                  <w:r>
                    <w:rPr>
                      <w:sz w:val="18"/>
                      <w:szCs w:val="18"/>
                    </w:rPr>
                    <w:t>10-15</w:t>
                  </w:r>
                </w:p>
              </w:tc>
              <w:tc>
                <w:tcPr>
                  <w:tcW w:w="873" w:type="dxa"/>
                  <w:tcBorders>
                    <w:tl2br w:val="nil"/>
                    <w:tr2bl w:val="nil"/>
                  </w:tcBorders>
                  <w:vAlign w:val="center"/>
                </w:tcPr>
                <w:p>
                  <w:pPr>
                    <w:jc w:val="center"/>
                    <w:rPr>
                      <w:sz w:val="18"/>
                      <w:szCs w:val="18"/>
                    </w:rPr>
                  </w:pPr>
                  <w:r>
                    <w:rPr>
                      <w:sz w:val="18"/>
                      <w:szCs w:val="18"/>
                    </w:rPr>
                    <w:t>≤20</w:t>
                  </w:r>
                </w:p>
              </w:tc>
              <w:tc>
                <w:tcPr>
                  <w:tcW w:w="859" w:type="dxa"/>
                  <w:tcBorders>
                    <w:tl2br w:val="nil"/>
                    <w:tr2bl w:val="nil"/>
                  </w:tcBorders>
                  <w:vAlign w:val="center"/>
                </w:tcPr>
                <w:p>
                  <w:pPr>
                    <w:widowControl/>
                    <w:jc w:val="center"/>
                    <w:textAlignment w:val="center"/>
                    <w:rPr>
                      <w:sz w:val="18"/>
                      <w:szCs w:val="18"/>
                    </w:rPr>
                  </w:pPr>
                  <w:r>
                    <w:rPr>
                      <w:kern w:val="0"/>
                      <w:sz w:val="18"/>
                      <w:szCs w:val="18"/>
                    </w:rPr>
                    <w:t>75.00%</w:t>
                  </w:r>
                </w:p>
              </w:tc>
              <w:tc>
                <w:tcPr>
                  <w:tcW w:w="950" w:type="dxa"/>
                  <w:tcBorders>
                    <w:tl2br w:val="nil"/>
                    <w:tr2bl w:val="nil"/>
                  </w:tcBorders>
                  <w:vAlign w:val="center"/>
                </w:tcPr>
                <w:p>
                  <w:pPr>
                    <w:jc w:val="center"/>
                    <w:rPr>
                      <w:sz w:val="18"/>
                      <w:szCs w:val="18"/>
                    </w:rPr>
                  </w:pPr>
                  <w:r>
                    <w:rPr>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widowControl/>
                    <w:jc w:val="center"/>
                    <w:rPr>
                      <w:sz w:val="18"/>
                      <w:szCs w:val="18"/>
                    </w:rPr>
                  </w:pPr>
                  <w:r>
                    <w:rPr>
                      <w:sz w:val="18"/>
                      <w:szCs w:val="18"/>
                    </w:rPr>
                    <w:t>氨氮</w:t>
                  </w:r>
                </w:p>
              </w:tc>
              <w:tc>
                <w:tcPr>
                  <w:tcW w:w="1179" w:type="dxa"/>
                  <w:tcBorders>
                    <w:tl2br w:val="nil"/>
                    <w:tr2bl w:val="nil"/>
                  </w:tcBorders>
                  <w:vAlign w:val="center"/>
                </w:tcPr>
                <w:p>
                  <w:pPr>
                    <w:jc w:val="center"/>
                    <w:rPr>
                      <w:sz w:val="18"/>
                      <w:szCs w:val="18"/>
                    </w:rPr>
                  </w:pPr>
                  <w:r>
                    <w:rPr>
                      <w:sz w:val="18"/>
                      <w:szCs w:val="18"/>
                    </w:rPr>
                    <w:t>0.530-0.608</w:t>
                  </w:r>
                </w:p>
              </w:tc>
              <w:tc>
                <w:tcPr>
                  <w:tcW w:w="1213" w:type="dxa"/>
                  <w:tcBorders>
                    <w:tl2br w:val="nil"/>
                    <w:tr2bl w:val="nil"/>
                  </w:tcBorders>
                  <w:vAlign w:val="center"/>
                </w:tcPr>
                <w:p>
                  <w:pPr>
                    <w:jc w:val="center"/>
                    <w:rPr>
                      <w:sz w:val="18"/>
                      <w:szCs w:val="18"/>
                    </w:rPr>
                  </w:pPr>
                  <w:r>
                    <w:rPr>
                      <w:sz w:val="18"/>
                      <w:szCs w:val="18"/>
                    </w:rPr>
                    <w:t>0.530-0.608</w:t>
                  </w:r>
                </w:p>
              </w:tc>
              <w:tc>
                <w:tcPr>
                  <w:tcW w:w="1214" w:type="dxa"/>
                  <w:tcBorders>
                    <w:tl2br w:val="nil"/>
                    <w:tr2bl w:val="nil"/>
                  </w:tcBorders>
                  <w:vAlign w:val="center"/>
                </w:tcPr>
                <w:p>
                  <w:pPr>
                    <w:jc w:val="center"/>
                    <w:rPr>
                      <w:sz w:val="18"/>
                      <w:szCs w:val="18"/>
                    </w:rPr>
                  </w:pPr>
                  <w:r>
                    <w:rPr>
                      <w:sz w:val="18"/>
                      <w:szCs w:val="18"/>
                    </w:rPr>
                    <w:t>0.648</w:t>
                  </w:r>
                </w:p>
              </w:tc>
              <w:tc>
                <w:tcPr>
                  <w:tcW w:w="1132" w:type="dxa"/>
                  <w:tcBorders>
                    <w:tl2br w:val="nil"/>
                    <w:tr2bl w:val="nil"/>
                  </w:tcBorders>
                  <w:vAlign w:val="center"/>
                </w:tcPr>
                <w:p>
                  <w:pPr>
                    <w:jc w:val="center"/>
                    <w:rPr>
                      <w:sz w:val="18"/>
                      <w:szCs w:val="18"/>
                    </w:rPr>
                  </w:pPr>
                  <w:r>
                    <w:rPr>
                      <w:sz w:val="18"/>
                      <w:szCs w:val="18"/>
                    </w:rPr>
                    <w:t>0.530-0.607</w:t>
                  </w:r>
                </w:p>
              </w:tc>
              <w:tc>
                <w:tcPr>
                  <w:tcW w:w="873" w:type="dxa"/>
                  <w:tcBorders>
                    <w:tl2br w:val="nil"/>
                    <w:tr2bl w:val="nil"/>
                  </w:tcBorders>
                  <w:vAlign w:val="center"/>
                </w:tcPr>
                <w:p>
                  <w:pPr>
                    <w:jc w:val="center"/>
                    <w:rPr>
                      <w:sz w:val="18"/>
                      <w:szCs w:val="18"/>
                    </w:rPr>
                  </w:pPr>
                  <w:r>
                    <w:rPr>
                      <w:sz w:val="18"/>
                      <w:szCs w:val="18"/>
                    </w:rPr>
                    <w:t>≤1.0</w:t>
                  </w:r>
                </w:p>
              </w:tc>
              <w:tc>
                <w:tcPr>
                  <w:tcW w:w="859" w:type="dxa"/>
                  <w:tcBorders>
                    <w:tl2br w:val="nil"/>
                    <w:tr2bl w:val="nil"/>
                  </w:tcBorders>
                  <w:vAlign w:val="center"/>
                </w:tcPr>
                <w:p>
                  <w:pPr>
                    <w:widowControl/>
                    <w:jc w:val="center"/>
                    <w:textAlignment w:val="center"/>
                    <w:rPr>
                      <w:sz w:val="18"/>
                      <w:szCs w:val="18"/>
                    </w:rPr>
                  </w:pPr>
                  <w:r>
                    <w:rPr>
                      <w:kern w:val="0"/>
                      <w:sz w:val="18"/>
                      <w:szCs w:val="18"/>
                    </w:rPr>
                    <w:t>60.80%</w:t>
                  </w:r>
                </w:p>
              </w:tc>
              <w:tc>
                <w:tcPr>
                  <w:tcW w:w="950" w:type="dxa"/>
                  <w:tcBorders>
                    <w:tl2br w:val="nil"/>
                    <w:tr2bl w:val="nil"/>
                  </w:tcBorders>
                  <w:vAlign w:val="center"/>
                </w:tcPr>
                <w:p>
                  <w:pPr>
                    <w:jc w:val="center"/>
                    <w:rPr>
                      <w:sz w:val="18"/>
                      <w:szCs w:val="18"/>
                    </w:rPr>
                  </w:pPr>
                  <w:r>
                    <w:rPr>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widowControl/>
                    <w:jc w:val="center"/>
                    <w:rPr>
                      <w:b/>
                      <w:bCs/>
                      <w:sz w:val="18"/>
                      <w:szCs w:val="18"/>
                    </w:rPr>
                  </w:pPr>
                  <w:r>
                    <w:rPr>
                      <w:sz w:val="18"/>
                      <w:szCs w:val="18"/>
                    </w:rPr>
                    <w:t>BOD</w:t>
                  </w:r>
                  <w:r>
                    <w:rPr>
                      <w:sz w:val="18"/>
                      <w:szCs w:val="18"/>
                      <w:vertAlign w:val="subscript"/>
                    </w:rPr>
                    <w:t>5</w:t>
                  </w:r>
                </w:p>
              </w:tc>
              <w:tc>
                <w:tcPr>
                  <w:tcW w:w="1179" w:type="dxa"/>
                  <w:tcBorders>
                    <w:tl2br w:val="nil"/>
                    <w:tr2bl w:val="nil"/>
                  </w:tcBorders>
                  <w:vAlign w:val="center"/>
                </w:tcPr>
                <w:p>
                  <w:pPr>
                    <w:jc w:val="center"/>
                    <w:rPr>
                      <w:sz w:val="18"/>
                      <w:szCs w:val="18"/>
                    </w:rPr>
                  </w:pPr>
                  <w:r>
                    <w:rPr>
                      <w:sz w:val="18"/>
                      <w:szCs w:val="18"/>
                    </w:rPr>
                    <w:t>3.4-3.9</w:t>
                  </w:r>
                </w:p>
              </w:tc>
              <w:tc>
                <w:tcPr>
                  <w:tcW w:w="1213" w:type="dxa"/>
                  <w:tcBorders>
                    <w:tl2br w:val="nil"/>
                    <w:tr2bl w:val="nil"/>
                  </w:tcBorders>
                  <w:vAlign w:val="center"/>
                </w:tcPr>
                <w:p>
                  <w:pPr>
                    <w:jc w:val="center"/>
                    <w:rPr>
                      <w:sz w:val="18"/>
                      <w:szCs w:val="18"/>
                    </w:rPr>
                  </w:pPr>
                  <w:r>
                    <w:rPr>
                      <w:sz w:val="18"/>
                      <w:szCs w:val="18"/>
                    </w:rPr>
                    <w:t>1.0-1.5</w:t>
                  </w:r>
                </w:p>
              </w:tc>
              <w:tc>
                <w:tcPr>
                  <w:tcW w:w="1214" w:type="dxa"/>
                  <w:tcBorders>
                    <w:tl2br w:val="nil"/>
                    <w:tr2bl w:val="nil"/>
                  </w:tcBorders>
                  <w:vAlign w:val="center"/>
                </w:tcPr>
                <w:p>
                  <w:pPr>
                    <w:jc w:val="center"/>
                    <w:rPr>
                      <w:sz w:val="18"/>
                      <w:szCs w:val="18"/>
                    </w:rPr>
                  </w:pPr>
                  <w:r>
                    <w:rPr>
                      <w:sz w:val="18"/>
                      <w:szCs w:val="18"/>
                    </w:rPr>
                    <w:t>0.7-1.4</w:t>
                  </w:r>
                </w:p>
              </w:tc>
              <w:tc>
                <w:tcPr>
                  <w:tcW w:w="1132" w:type="dxa"/>
                  <w:tcBorders>
                    <w:tl2br w:val="nil"/>
                    <w:tr2bl w:val="nil"/>
                  </w:tcBorders>
                  <w:vAlign w:val="center"/>
                </w:tcPr>
                <w:p>
                  <w:pPr>
                    <w:jc w:val="center"/>
                    <w:rPr>
                      <w:sz w:val="18"/>
                      <w:szCs w:val="18"/>
                    </w:rPr>
                  </w:pPr>
                  <w:r>
                    <w:rPr>
                      <w:sz w:val="18"/>
                      <w:szCs w:val="18"/>
                    </w:rPr>
                    <w:t>3.0-3.6</w:t>
                  </w:r>
                </w:p>
              </w:tc>
              <w:tc>
                <w:tcPr>
                  <w:tcW w:w="873" w:type="dxa"/>
                  <w:tcBorders>
                    <w:tl2br w:val="nil"/>
                    <w:tr2bl w:val="nil"/>
                  </w:tcBorders>
                  <w:vAlign w:val="center"/>
                </w:tcPr>
                <w:p>
                  <w:pPr>
                    <w:jc w:val="center"/>
                    <w:rPr>
                      <w:sz w:val="18"/>
                      <w:szCs w:val="18"/>
                    </w:rPr>
                  </w:pPr>
                  <w:r>
                    <w:rPr>
                      <w:sz w:val="18"/>
                      <w:szCs w:val="18"/>
                    </w:rPr>
                    <w:t>≤4.0</w:t>
                  </w:r>
                </w:p>
              </w:tc>
              <w:tc>
                <w:tcPr>
                  <w:tcW w:w="859" w:type="dxa"/>
                  <w:tcBorders>
                    <w:tl2br w:val="nil"/>
                    <w:tr2bl w:val="nil"/>
                  </w:tcBorders>
                  <w:vAlign w:val="center"/>
                </w:tcPr>
                <w:p>
                  <w:pPr>
                    <w:widowControl/>
                    <w:jc w:val="center"/>
                    <w:textAlignment w:val="center"/>
                    <w:rPr>
                      <w:sz w:val="18"/>
                      <w:szCs w:val="18"/>
                    </w:rPr>
                  </w:pPr>
                  <w:r>
                    <w:rPr>
                      <w:kern w:val="0"/>
                      <w:sz w:val="18"/>
                      <w:szCs w:val="18"/>
                    </w:rPr>
                    <w:t>97.50%</w:t>
                  </w:r>
                </w:p>
              </w:tc>
              <w:tc>
                <w:tcPr>
                  <w:tcW w:w="950" w:type="dxa"/>
                  <w:tcBorders>
                    <w:tl2br w:val="nil"/>
                    <w:tr2bl w:val="nil"/>
                  </w:tcBorders>
                  <w:vAlign w:val="center"/>
                </w:tcPr>
                <w:p>
                  <w:pPr>
                    <w:jc w:val="center"/>
                    <w:rPr>
                      <w:sz w:val="18"/>
                      <w:szCs w:val="18"/>
                    </w:rPr>
                  </w:pPr>
                  <w:r>
                    <w:rPr>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widowControl/>
                    <w:jc w:val="center"/>
                    <w:rPr>
                      <w:b/>
                      <w:bCs/>
                      <w:sz w:val="18"/>
                      <w:szCs w:val="18"/>
                    </w:rPr>
                  </w:pPr>
                  <w:r>
                    <w:rPr>
                      <w:sz w:val="18"/>
                      <w:szCs w:val="18"/>
                    </w:rPr>
                    <w:t>TP</w:t>
                  </w:r>
                </w:p>
              </w:tc>
              <w:tc>
                <w:tcPr>
                  <w:tcW w:w="1179" w:type="dxa"/>
                  <w:tcBorders>
                    <w:tl2br w:val="nil"/>
                    <w:tr2bl w:val="nil"/>
                  </w:tcBorders>
                  <w:vAlign w:val="center"/>
                </w:tcPr>
                <w:p>
                  <w:pPr>
                    <w:jc w:val="center"/>
                    <w:rPr>
                      <w:sz w:val="18"/>
                      <w:szCs w:val="18"/>
                    </w:rPr>
                  </w:pPr>
                  <w:r>
                    <w:rPr>
                      <w:sz w:val="18"/>
                      <w:szCs w:val="18"/>
                    </w:rPr>
                    <w:t>0.14-0.19</w:t>
                  </w:r>
                </w:p>
              </w:tc>
              <w:tc>
                <w:tcPr>
                  <w:tcW w:w="1213" w:type="dxa"/>
                  <w:tcBorders>
                    <w:tl2br w:val="nil"/>
                    <w:tr2bl w:val="nil"/>
                  </w:tcBorders>
                  <w:vAlign w:val="center"/>
                </w:tcPr>
                <w:p>
                  <w:pPr>
                    <w:jc w:val="center"/>
                    <w:rPr>
                      <w:sz w:val="18"/>
                      <w:szCs w:val="18"/>
                    </w:rPr>
                  </w:pPr>
                  <w:r>
                    <w:rPr>
                      <w:sz w:val="18"/>
                      <w:szCs w:val="18"/>
                    </w:rPr>
                    <w:t>0.10-0.15</w:t>
                  </w:r>
                </w:p>
              </w:tc>
              <w:tc>
                <w:tcPr>
                  <w:tcW w:w="1214" w:type="dxa"/>
                  <w:tcBorders>
                    <w:tl2br w:val="nil"/>
                    <w:tr2bl w:val="nil"/>
                  </w:tcBorders>
                  <w:vAlign w:val="center"/>
                </w:tcPr>
                <w:p>
                  <w:pPr>
                    <w:jc w:val="center"/>
                    <w:rPr>
                      <w:sz w:val="18"/>
                      <w:szCs w:val="18"/>
                    </w:rPr>
                  </w:pPr>
                  <w:r>
                    <w:rPr>
                      <w:sz w:val="18"/>
                      <w:szCs w:val="18"/>
                    </w:rPr>
                    <w:t>0.14-0.19</w:t>
                  </w:r>
                </w:p>
              </w:tc>
              <w:tc>
                <w:tcPr>
                  <w:tcW w:w="1132" w:type="dxa"/>
                  <w:tcBorders>
                    <w:tl2br w:val="nil"/>
                    <w:tr2bl w:val="nil"/>
                  </w:tcBorders>
                  <w:vAlign w:val="center"/>
                </w:tcPr>
                <w:p>
                  <w:pPr>
                    <w:jc w:val="center"/>
                    <w:rPr>
                      <w:sz w:val="18"/>
                      <w:szCs w:val="18"/>
                    </w:rPr>
                  </w:pPr>
                  <w:r>
                    <w:rPr>
                      <w:sz w:val="18"/>
                      <w:szCs w:val="18"/>
                    </w:rPr>
                    <w:t>0.10-0.15</w:t>
                  </w:r>
                </w:p>
              </w:tc>
              <w:tc>
                <w:tcPr>
                  <w:tcW w:w="873" w:type="dxa"/>
                  <w:tcBorders>
                    <w:tl2br w:val="nil"/>
                    <w:tr2bl w:val="nil"/>
                  </w:tcBorders>
                  <w:vAlign w:val="center"/>
                </w:tcPr>
                <w:p>
                  <w:pPr>
                    <w:jc w:val="center"/>
                    <w:rPr>
                      <w:sz w:val="18"/>
                      <w:szCs w:val="18"/>
                    </w:rPr>
                  </w:pPr>
                  <w:r>
                    <w:rPr>
                      <w:sz w:val="18"/>
                      <w:szCs w:val="18"/>
                    </w:rPr>
                    <w:t>≤0.2</w:t>
                  </w:r>
                </w:p>
              </w:tc>
              <w:tc>
                <w:tcPr>
                  <w:tcW w:w="859" w:type="dxa"/>
                  <w:tcBorders>
                    <w:tl2br w:val="nil"/>
                    <w:tr2bl w:val="nil"/>
                  </w:tcBorders>
                  <w:vAlign w:val="center"/>
                </w:tcPr>
                <w:p>
                  <w:pPr>
                    <w:widowControl/>
                    <w:jc w:val="center"/>
                    <w:textAlignment w:val="center"/>
                    <w:rPr>
                      <w:sz w:val="18"/>
                      <w:szCs w:val="18"/>
                    </w:rPr>
                  </w:pPr>
                  <w:r>
                    <w:rPr>
                      <w:kern w:val="0"/>
                      <w:sz w:val="18"/>
                      <w:szCs w:val="18"/>
                    </w:rPr>
                    <w:t>95.00%</w:t>
                  </w:r>
                </w:p>
              </w:tc>
              <w:tc>
                <w:tcPr>
                  <w:tcW w:w="950" w:type="dxa"/>
                  <w:tcBorders>
                    <w:tl2br w:val="nil"/>
                    <w:tr2bl w:val="nil"/>
                  </w:tcBorders>
                  <w:vAlign w:val="center"/>
                </w:tcPr>
                <w:p>
                  <w:pPr>
                    <w:jc w:val="center"/>
                    <w:rPr>
                      <w:sz w:val="18"/>
                      <w:szCs w:val="18"/>
                    </w:rPr>
                  </w:pPr>
                  <w:r>
                    <w:rPr>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trPr>
              <w:tc>
                <w:tcPr>
                  <w:tcW w:w="862" w:type="dxa"/>
                  <w:tcBorders>
                    <w:tl2br w:val="nil"/>
                    <w:tr2bl w:val="nil"/>
                  </w:tcBorders>
                  <w:vAlign w:val="center"/>
                </w:tcPr>
                <w:p>
                  <w:pPr>
                    <w:widowControl/>
                    <w:jc w:val="center"/>
                    <w:rPr>
                      <w:b/>
                      <w:bCs/>
                      <w:sz w:val="18"/>
                      <w:szCs w:val="18"/>
                    </w:rPr>
                  </w:pPr>
                  <w:r>
                    <w:rPr>
                      <w:sz w:val="18"/>
                      <w:szCs w:val="18"/>
                    </w:rPr>
                    <w:t>石油类</w:t>
                  </w:r>
                </w:p>
              </w:tc>
              <w:tc>
                <w:tcPr>
                  <w:tcW w:w="1179" w:type="dxa"/>
                  <w:tcBorders>
                    <w:tl2br w:val="nil"/>
                    <w:tr2bl w:val="nil"/>
                  </w:tcBorders>
                  <w:vAlign w:val="center"/>
                </w:tcPr>
                <w:p>
                  <w:pPr>
                    <w:jc w:val="center"/>
                    <w:rPr>
                      <w:sz w:val="18"/>
                      <w:szCs w:val="18"/>
                    </w:rPr>
                  </w:pPr>
                  <w:r>
                    <w:rPr>
                      <w:sz w:val="18"/>
                      <w:szCs w:val="18"/>
                    </w:rPr>
                    <w:t>0.01-0.04</w:t>
                  </w:r>
                </w:p>
              </w:tc>
              <w:tc>
                <w:tcPr>
                  <w:tcW w:w="1213" w:type="dxa"/>
                  <w:tcBorders>
                    <w:tl2br w:val="nil"/>
                    <w:tr2bl w:val="nil"/>
                  </w:tcBorders>
                  <w:vAlign w:val="center"/>
                </w:tcPr>
                <w:p>
                  <w:pPr>
                    <w:jc w:val="center"/>
                    <w:rPr>
                      <w:sz w:val="18"/>
                      <w:szCs w:val="18"/>
                    </w:rPr>
                  </w:pPr>
                  <w:r>
                    <w:rPr>
                      <w:sz w:val="18"/>
                      <w:szCs w:val="18"/>
                    </w:rPr>
                    <w:t>0.01-0.04</w:t>
                  </w:r>
                </w:p>
              </w:tc>
              <w:tc>
                <w:tcPr>
                  <w:tcW w:w="1214" w:type="dxa"/>
                  <w:tcBorders>
                    <w:tl2br w:val="nil"/>
                    <w:tr2bl w:val="nil"/>
                  </w:tcBorders>
                  <w:vAlign w:val="center"/>
                </w:tcPr>
                <w:p>
                  <w:pPr>
                    <w:jc w:val="center"/>
                    <w:rPr>
                      <w:sz w:val="18"/>
                      <w:szCs w:val="18"/>
                    </w:rPr>
                  </w:pPr>
                  <w:r>
                    <w:rPr>
                      <w:sz w:val="18"/>
                      <w:szCs w:val="18"/>
                    </w:rPr>
                    <w:t>0.01-0.04</w:t>
                  </w:r>
                </w:p>
              </w:tc>
              <w:tc>
                <w:tcPr>
                  <w:tcW w:w="1132" w:type="dxa"/>
                  <w:tcBorders>
                    <w:tl2br w:val="nil"/>
                    <w:tr2bl w:val="nil"/>
                  </w:tcBorders>
                  <w:vAlign w:val="center"/>
                </w:tcPr>
                <w:p>
                  <w:pPr>
                    <w:jc w:val="center"/>
                    <w:rPr>
                      <w:sz w:val="18"/>
                      <w:szCs w:val="18"/>
                    </w:rPr>
                  </w:pPr>
                  <w:r>
                    <w:rPr>
                      <w:sz w:val="18"/>
                      <w:szCs w:val="18"/>
                    </w:rPr>
                    <w:t>0.01-0.04</w:t>
                  </w:r>
                </w:p>
              </w:tc>
              <w:tc>
                <w:tcPr>
                  <w:tcW w:w="873" w:type="dxa"/>
                  <w:tcBorders>
                    <w:tl2br w:val="nil"/>
                    <w:tr2bl w:val="nil"/>
                  </w:tcBorders>
                  <w:vAlign w:val="center"/>
                </w:tcPr>
                <w:p>
                  <w:pPr>
                    <w:jc w:val="center"/>
                    <w:rPr>
                      <w:sz w:val="18"/>
                      <w:szCs w:val="18"/>
                    </w:rPr>
                  </w:pPr>
                  <w:r>
                    <w:rPr>
                      <w:sz w:val="18"/>
                      <w:szCs w:val="18"/>
                    </w:rPr>
                    <w:t>≤0.05</w:t>
                  </w:r>
                </w:p>
              </w:tc>
              <w:tc>
                <w:tcPr>
                  <w:tcW w:w="859" w:type="dxa"/>
                  <w:tcBorders>
                    <w:tl2br w:val="nil"/>
                    <w:tr2bl w:val="nil"/>
                  </w:tcBorders>
                  <w:vAlign w:val="center"/>
                </w:tcPr>
                <w:p>
                  <w:pPr>
                    <w:widowControl/>
                    <w:jc w:val="center"/>
                    <w:textAlignment w:val="center"/>
                    <w:rPr>
                      <w:sz w:val="18"/>
                      <w:szCs w:val="18"/>
                    </w:rPr>
                  </w:pPr>
                  <w:r>
                    <w:rPr>
                      <w:kern w:val="0"/>
                      <w:sz w:val="18"/>
                      <w:szCs w:val="18"/>
                    </w:rPr>
                    <w:t>80.00%</w:t>
                  </w:r>
                </w:p>
              </w:tc>
              <w:tc>
                <w:tcPr>
                  <w:tcW w:w="950" w:type="dxa"/>
                  <w:tcBorders>
                    <w:tl2br w:val="nil"/>
                    <w:tr2bl w:val="nil"/>
                  </w:tcBorders>
                  <w:vAlign w:val="center"/>
                </w:tcPr>
                <w:p>
                  <w:pPr>
                    <w:jc w:val="center"/>
                    <w:rPr>
                      <w:sz w:val="18"/>
                      <w:szCs w:val="18"/>
                    </w:rPr>
                  </w:pPr>
                  <w:r>
                    <w:rPr>
                      <w:sz w:val="18"/>
                      <w:szCs w:val="18"/>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2" w:type="dxa"/>
                  <w:tcBorders>
                    <w:tl2br w:val="nil"/>
                    <w:tr2bl w:val="nil"/>
                  </w:tcBorders>
                  <w:vAlign w:val="center"/>
                </w:tcPr>
                <w:p>
                  <w:pPr>
                    <w:widowControl/>
                    <w:jc w:val="center"/>
                    <w:rPr>
                      <w:sz w:val="18"/>
                      <w:szCs w:val="18"/>
                    </w:rPr>
                  </w:pPr>
                  <w:r>
                    <w:rPr>
                      <w:sz w:val="18"/>
                      <w:szCs w:val="18"/>
                    </w:rPr>
                    <w:t>总氮</w:t>
                  </w:r>
                </w:p>
              </w:tc>
              <w:tc>
                <w:tcPr>
                  <w:tcW w:w="1179" w:type="dxa"/>
                  <w:tcBorders>
                    <w:tl2br w:val="nil"/>
                    <w:tr2bl w:val="nil"/>
                  </w:tcBorders>
                  <w:vAlign w:val="center"/>
                </w:tcPr>
                <w:p>
                  <w:pPr>
                    <w:jc w:val="center"/>
                    <w:rPr>
                      <w:sz w:val="18"/>
                      <w:szCs w:val="18"/>
                    </w:rPr>
                  </w:pPr>
                  <w:r>
                    <w:rPr>
                      <w:sz w:val="18"/>
                      <w:szCs w:val="18"/>
                    </w:rPr>
                    <w:t>0.891-0.971</w:t>
                  </w:r>
                </w:p>
              </w:tc>
              <w:tc>
                <w:tcPr>
                  <w:tcW w:w="1213" w:type="dxa"/>
                  <w:tcBorders>
                    <w:tl2br w:val="nil"/>
                    <w:tr2bl w:val="nil"/>
                  </w:tcBorders>
                  <w:vAlign w:val="center"/>
                </w:tcPr>
                <w:p>
                  <w:pPr>
                    <w:jc w:val="center"/>
                    <w:rPr>
                      <w:sz w:val="18"/>
                      <w:szCs w:val="18"/>
                    </w:rPr>
                  </w:pPr>
                  <w:r>
                    <w:rPr>
                      <w:sz w:val="18"/>
                      <w:szCs w:val="18"/>
                    </w:rPr>
                    <w:t>0.891-0.971</w:t>
                  </w:r>
                </w:p>
              </w:tc>
              <w:tc>
                <w:tcPr>
                  <w:tcW w:w="1214" w:type="dxa"/>
                  <w:tcBorders>
                    <w:tl2br w:val="nil"/>
                    <w:tr2bl w:val="nil"/>
                  </w:tcBorders>
                  <w:vAlign w:val="center"/>
                </w:tcPr>
                <w:p>
                  <w:pPr>
                    <w:jc w:val="center"/>
                    <w:rPr>
                      <w:sz w:val="18"/>
                      <w:szCs w:val="18"/>
                    </w:rPr>
                  </w:pPr>
                  <w:r>
                    <w:rPr>
                      <w:sz w:val="18"/>
                      <w:szCs w:val="18"/>
                    </w:rPr>
                    <w:t>0.890-0.970</w:t>
                  </w:r>
                </w:p>
              </w:tc>
              <w:tc>
                <w:tcPr>
                  <w:tcW w:w="1132" w:type="dxa"/>
                  <w:tcBorders>
                    <w:tl2br w:val="nil"/>
                    <w:tr2bl w:val="nil"/>
                  </w:tcBorders>
                  <w:vAlign w:val="center"/>
                </w:tcPr>
                <w:p>
                  <w:pPr>
                    <w:jc w:val="center"/>
                    <w:rPr>
                      <w:sz w:val="18"/>
                      <w:szCs w:val="18"/>
                    </w:rPr>
                  </w:pPr>
                  <w:r>
                    <w:rPr>
                      <w:sz w:val="18"/>
                      <w:szCs w:val="18"/>
                    </w:rPr>
                    <w:t>0.891-0.971</w:t>
                  </w:r>
                </w:p>
              </w:tc>
              <w:tc>
                <w:tcPr>
                  <w:tcW w:w="873" w:type="dxa"/>
                  <w:tcBorders>
                    <w:tl2br w:val="nil"/>
                    <w:tr2bl w:val="nil"/>
                  </w:tcBorders>
                  <w:vAlign w:val="center"/>
                </w:tcPr>
                <w:p>
                  <w:pPr>
                    <w:jc w:val="center"/>
                    <w:rPr>
                      <w:sz w:val="18"/>
                      <w:szCs w:val="18"/>
                    </w:rPr>
                  </w:pPr>
                  <w:r>
                    <w:rPr>
                      <w:sz w:val="18"/>
                      <w:szCs w:val="18"/>
                    </w:rPr>
                    <w:t>≤1</w:t>
                  </w:r>
                </w:p>
              </w:tc>
              <w:tc>
                <w:tcPr>
                  <w:tcW w:w="859" w:type="dxa"/>
                  <w:tcBorders>
                    <w:tl2br w:val="nil"/>
                    <w:tr2bl w:val="nil"/>
                  </w:tcBorders>
                  <w:vAlign w:val="center"/>
                </w:tcPr>
                <w:p>
                  <w:pPr>
                    <w:widowControl/>
                    <w:jc w:val="center"/>
                    <w:textAlignment w:val="center"/>
                    <w:rPr>
                      <w:sz w:val="18"/>
                      <w:szCs w:val="18"/>
                    </w:rPr>
                  </w:pPr>
                  <w:r>
                    <w:rPr>
                      <w:kern w:val="0"/>
                      <w:sz w:val="18"/>
                      <w:szCs w:val="18"/>
                    </w:rPr>
                    <w:t>97.10%</w:t>
                  </w:r>
                </w:p>
              </w:tc>
              <w:tc>
                <w:tcPr>
                  <w:tcW w:w="950" w:type="dxa"/>
                  <w:tcBorders>
                    <w:tl2br w:val="nil"/>
                    <w:tr2bl w:val="nil"/>
                  </w:tcBorders>
                  <w:vAlign w:val="center"/>
                </w:tcPr>
                <w:p>
                  <w:pPr>
                    <w:jc w:val="center"/>
                    <w:rPr>
                      <w:sz w:val="18"/>
                      <w:szCs w:val="18"/>
                    </w:rPr>
                  </w:pPr>
                  <w:r>
                    <w:rPr>
                      <w:sz w:val="18"/>
                      <w:szCs w:val="18"/>
                    </w:rPr>
                    <w:t>是</w:t>
                  </w:r>
                </w:p>
              </w:tc>
            </w:tr>
          </w:tbl>
          <w:p>
            <w:pPr>
              <w:widowControl/>
              <w:jc w:val="center"/>
              <w:rPr>
                <w:b/>
                <w:kern w:val="0"/>
                <w:szCs w:val="21"/>
              </w:rPr>
            </w:pPr>
            <w:r>
              <w:rPr>
                <w:b/>
                <w:kern w:val="0"/>
                <w:szCs w:val="21"/>
              </w:rPr>
              <w:t>表3-5  2019年芭蕉湖水质现状监测及评价结果表  单位：pH无量纲 其余mg/L</w:t>
            </w:r>
          </w:p>
          <w:tbl>
            <w:tblPr>
              <w:tblStyle w:val="20"/>
              <w:tblW w:w="828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1035"/>
              <w:gridCol w:w="1036"/>
              <w:gridCol w:w="1035"/>
              <w:gridCol w:w="1035"/>
              <w:gridCol w:w="1036"/>
              <w:gridCol w:w="1035"/>
              <w:gridCol w:w="10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36"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断面</w:t>
                  </w:r>
                </w:p>
              </w:tc>
              <w:tc>
                <w:tcPr>
                  <w:tcW w:w="1035"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月</w:t>
                  </w:r>
                </w:p>
              </w:tc>
              <w:tc>
                <w:tcPr>
                  <w:tcW w:w="1036"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pH</w:t>
                  </w:r>
                </w:p>
              </w:tc>
              <w:tc>
                <w:tcPr>
                  <w:tcW w:w="1035"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CODcr</w:t>
                  </w:r>
                </w:p>
              </w:tc>
              <w:tc>
                <w:tcPr>
                  <w:tcW w:w="1035"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BOD</w:t>
                  </w:r>
                  <w:r>
                    <w:rPr>
                      <w:b/>
                      <w:bCs/>
                      <w:kern w:val="0"/>
                      <w:szCs w:val="21"/>
                      <w:vertAlign w:val="subscript"/>
                    </w:rPr>
                    <w:t>5</w:t>
                  </w:r>
                </w:p>
              </w:tc>
              <w:tc>
                <w:tcPr>
                  <w:tcW w:w="1036"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氨氮</w:t>
                  </w:r>
                </w:p>
              </w:tc>
              <w:tc>
                <w:tcPr>
                  <w:tcW w:w="1035"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总磷</w:t>
                  </w:r>
                </w:p>
              </w:tc>
              <w:tc>
                <w:tcPr>
                  <w:tcW w:w="1034" w:type="dxa"/>
                  <w:tcBorders>
                    <w:tl2br w:val="nil"/>
                    <w:tr2bl w:val="nil"/>
                  </w:tcBorders>
                  <w:tcMar>
                    <w:top w:w="15" w:type="dxa"/>
                    <w:left w:w="15" w:type="dxa"/>
                    <w:right w:w="15" w:type="dxa"/>
                  </w:tcMar>
                  <w:vAlign w:val="center"/>
                </w:tcPr>
                <w:p>
                  <w:pPr>
                    <w:widowControl/>
                    <w:jc w:val="center"/>
                    <w:textAlignment w:val="center"/>
                    <w:rPr>
                      <w:b/>
                      <w:bCs/>
                      <w:szCs w:val="21"/>
                    </w:rPr>
                  </w:pPr>
                  <w:r>
                    <w:rPr>
                      <w:b/>
                      <w:bCs/>
                      <w:kern w:val="0"/>
                      <w:szCs w:val="21"/>
                    </w:rPr>
                    <w:t>石油类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01月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7.74</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18</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b/>
                      <w:bCs/>
                      <w:kern w:val="0"/>
                      <w:szCs w:val="21"/>
                    </w:rPr>
                    <w:t>5.3</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0.97</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b/>
                      <w:bCs/>
                      <w:kern w:val="0"/>
                      <w:szCs w:val="21"/>
                    </w:rPr>
                    <w:t>0.07</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02月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7.32</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11</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1.1</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0.44</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0.03</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03月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6.85</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15</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2.6</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0.28</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0.04</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04月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6.94</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11</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1.1</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0.41</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0.04</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05月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6.79</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8</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1.6</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0.39</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0.04</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06月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6.83</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18</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2.5</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0.10</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0.05</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07月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7.01</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19</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b/>
                      <w:bCs/>
                      <w:kern w:val="0"/>
                      <w:szCs w:val="21"/>
                    </w:rPr>
                    <w:t>5.0</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0.38</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0.05</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08月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6.94</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19</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b/>
                      <w:bCs/>
                      <w:kern w:val="0"/>
                      <w:szCs w:val="21"/>
                    </w:rPr>
                    <w:t>4.7</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0.08</w:t>
                  </w:r>
                </w:p>
              </w:tc>
              <w:tc>
                <w:tcPr>
                  <w:tcW w:w="1035" w:type="dxa"/>
                  <w:tcBorders>
                    <w:tl2br w:val="nil"/>
                    <w:tr2bl w:val="nil"/>
                  </w:tcBorders>
                  <w:tcMar>
                    <w:top w:w="15" w:type="dxa"/>
                    <w:left w:w="15" w:type="dxa"/>
                    <w:right w:w="15" w:type="dxa"/>
                  </w:tcMar>
                  <w:vAlign w:val="center"/>
                </w:tcPr>
                <w:p>
                  <w:pPr>
                    <w:widowControl/>
                    <w:jc w:val="center"/>
                    <w:textAlignment w:val="center"/>
                    <w:rPr>
                      <w:b/>
                      <w:bCs/>
                      <w:kern w:val="0"/>
                      <w:szCs w:val="21"/>
                    </w:rPr>
                  </w:pPr>
                  <w:r>
                    <w:rPr>
                      <w:b/>
                      <w:bCs/>
                      <w:kern w:val="0"/>
                      <w:szCs w:val="21"/>
                    </w:rPr>
                    <w:t>0.07</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09月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6.92</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14</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1.6</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0.27</w:t>
                  </w:r>
                </w:p>
              </w:tc>
              <w:tc>
                <w:tcPr>
                  <w:tcW w:w="1035" w:type="dxa"/>
                  <w:tcBorders>
                    <w:tl2br w:val="nil"/>
                    <w:tr2bl w:val="nil"/>
                  </w:tcBorders>
                  <w:tcMar>
                    <w:top w:w="15" w:type="dxa"/>
                    <w:left w:w="15" w:type="dxa"/>
                    <w:right w:w="15" w:type="dxa"/>
                  </w:tcMar>
                  <w:vAlign w:val="center"/>
                </w:tcPr>
                <w:p>
                  <w:pPr>
                    <w:widowControl/>
                    <w:jc w:val="center"/>
                    <w:textAlignment w:val="center"/>
                    <w:rPr>
                      <w:b/>
                      <w:bCs/>
                      <w:kern w:val="0"/>
                      <w:szCs w:val="21"/>
                    </w:rPr>
                  </w:pPr>
                  <w:r>
                    <w:rPr>
                      <w:b/>
                      <w:bCs/>
                      <w:kern w:val="0"/>
                      <w:szCs w:val="21"/>
                    </w:rPr>
                    <w:t>0.06</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10月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7.16</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17</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1.5</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0.22</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0.05</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11月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7.17</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19</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2.1</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0.04</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0.05</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36"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芭蕉湖</w:t>
                  </w:r>
                </w:p>
              </w:tc>
              <w:tc>
                <w:tcPr>
                  <w:tcW w:w="1035" w:type="dxa"/>
                  <w:tcBorders>
                    <w:tl2br w:val="nil"/>
                    <w:tr2bl w:val="nil"/>
                  </w:tcBorders>
                  <w:tcMar>
                    <w:top w:w="15" w:type="dxa"/>
                    <w:left w:w="15" w:type="dxa"/>
                    <w:right w:w="15" w:type="dxa"/>
                  </w:tcMar>
                  <w:vAlign w:val="center"/>
                </w:tcPr>
                <w:p>
                  <w:pPr>
                    <w:widowControl/>
                    <w:jc w:val="center"/>
                    <w:textAlignment w:val="center"/>
                    <w:rPr>
                      <w:szCs w:val="21"/>
                    </w:rPr>
                  </w:pPr>
                  <w:r>
                    <w:rPr>
                      <w:kern w:val="0"/>
                      <w:szCs w:val="21"/>
                    </w:rPr>
                    <w:t>12月</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7.11</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16</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3.9</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0.18</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0.03</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071" w:type="dxa"/>
                  <w:gridSpan w:val="2"/>
                  <w:tcBorders>
                    <w:tl2br w:val="nil"/>
                    <w:tr2bl w:val="nil"/>
                  </w:tcBorders>
                  <w:tcMar>
                    <w:top w:w="15" w:type="dxa"/>
                    <w:left w:w="15" w:type="dxa"/>
                    <w:right w:w="15" w:type="dxa"/>
                  </w:tcMar>
                  <w:vAlign w:val="center"/>
                </w:tcPr>
                <w:p>
                  <w:pPr>
                    <w:widowControl/>
                    <w:jc w:val="center"/>
                    <w:textAlignment w:val="center"/>
                    <w:rPr>
                      <w:kern w:val="0"/>
                      <w:szCs w:val="21"/>
                    </w:rPr>
                  </w:pPr>
                  <w:r>
                    <w:rPr>
                      <w:b/>
                      <w:bCs/>
                      <w:kern w:val="0"/>
                      <w:szCs w:val="21"/>
                    </w:rPr>
                    <w:t>标准值</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6~9</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≤20</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≤4</w:t>
                  </w:r>
                </w:p>
              </w:tc>
              <w:tc>
                <w:tcPr>
                  <w:tcW w:w="1036"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≤1.0</w:t>
                  </w:r>
                </w:p>
              </w:tc>
              <w:tc>
                <w:tcPr>
                  <w:tcW w:w="1035"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≤0.05</w:t>
                  </w:r>
                </w:p>
              </w:tc>
              <w:tc>
                <w:tcPr>
                  <w:tcW w:w="1034" w:type="dxa"/>
                  <w:tcBorders>
                    <w:tl2br w:val="nil"/>
                    <w:tr2bl w:val="nil"/>
                  </w:tcBorders>
                  <w:tcMar>
                    <w:top w:w="15" w:type="dxa"/>
                    <w:left w:w="15" w:type="dxa"/>
                    <w:right w:w="15" w:type="dxa"/>
                  </w:tcMar>
                  <w:vAlign w:val="center"/>
                </w:tcPr>
                <w:p>
                  <w:pPr>
                    <w:widowControl/>
                    <w:jc w:val="center"/>
                    <w:textAlignment w:val="center"/>
                    <w:rPr>
                      <w:kern w:val="0"/>
                      <w:szCs w:val="21"/>
                    </w:rPr>
                  </w:pPr>
                  <w:r>
                    <w:rPr>
                      <w:kern w:val="0"/>
                      <w:szCs w:val="21"/>
                    </w:rPr>
                    <w:t>≤0.05L</w:t>
                  </w:r>
                </w:p>
              </w:tc>
            </w:tr>
          </w:tbl>
          <w:p>
            <w:pPr>
              <w:spacing w:line="360" w:lineRule="auto"/>
              <w:ind w:firstLine="480" w:firstLineChars="200"/>
              <w:rPr>
                <w:sz w:val="24"/>
              </w:rPr>
            </w:pPr>
            <w:r>
              <w:rPr>
                <w:sz w:val="24"/>
                <w:szCs w:val="22"/>
              </w:rPr>
              <w:t>由上表可知，长江监测断面和象骨港监测断面均可以达到《地表水环境质量标准》(GB3838-2002)中的Ⅲ类水质要求，芭蕉湖监测断面除BOD</w:t>
            </w:r>
            <w:r>
              <w:rPr>
                <w:sz w:val="24"/>
                <w:szCs w:val="22"/>
                <w:vertAlign w:val="subscript"/>
              </w:rPr>
              <w:t>5</w:t>
            </w:r>
            <w:r>
              <w:rPr>
                <w:sz w:val="24"/>
                <w:szCs w:val="22"/>
              </w:rPr>
              <w:t>、总磷外均可达到Ⅲ类水质要求，根据初步调查超标主要由于截污工程不够完善，周边农村生活污水直接排入芭蕉湖导致，随着芭蕉湖周边的截污工程持续开展，其水质有望得到进一步改善。</w:t>
            </w:r>
          </w:p>
          <w:p>
            <w:pPr>
              <w:spacing w:line="420" w:lineRule="exact"/>
              <w:ind w:right="105" w:rightChars="50"/>
              <w:rPr>
                <w:b/>
                <w:sz w:val="24"/>
              </w:rPr>
            </w:pPr>
            <w:r>
              <w:rPr>
                <w:b/>
                <w:sz w:val="24"/>
                <w:szCs w:val="24"/>
              </w:rPr>
              <w:t>三、</w:t>
            </w:r>
            <w:r>
              <w:rPr>
                <w:b/>
                <w:sz w:val="24"/>
              </w:rPr>
              <w:t>环境噪声</w:t>
            </w:r>
          </w:p>
          <w:p>
            <w:pPr>
              <w:spacing w:line="360" w:lineRule="auto"/>
              <w:ind w:firstLine="480" w:firstLineChars="200"/>
              <w:rPr>
                <w:sz w:val="24"/>
              </w:rPr>
            </w:pPr>
            <w:r>
              <w:rPr>
                <w:sz w:val="24"/>
              </w:rPr>
              <w:t>为了解</w:t>
            </w:r>
            <w:r>
              <w:rPr>
                <w:rFonts w:hint="eastAsia"/>
                <w:sz w:val="24"/>
              </w:rPr>
              <w:t>本项目正常营运的情况下各设备噪声对周边环境的影响，特委托湖南博测检测技术有限公司</w:t>
            </w:r>
            <w:r>
              <w:rPr>
                <w:sz w:val="24"/>
              </w:rPr>
              <w:t>于20</w:t>
            </w:r>
            <w:r>
              <w:rPr>
                <w:rFonts w:hint="eastAsia"/>
                <w:sz w:val="24"/>
              </w:rPr>
              <w:t>20</w:t>
            </w:r>
            <w:r>
              <w:rPr>
                <w:sz w:val="24"/>
              </w:rPr>
              <w:t>年</w:t>
            </w:r>
            <w:r>
              <w:rPr>
                <w:rFonts w:hint="eastAsia"/>
                <w:sz w:val="24"/>
              </w:rPr>
              <w:t>11</w:t>
            </w:r>
            <w:r>
              <w:rPr>
                <w:sz w:val="24"/>
              </w:rPr>
              <w:t>月</w:t>
            </w:r>
            <w:r>
              <w:rPr>
                <w:rFonts w:hint="eastAsia"/>
                <w:sz w:val="24"/>
              </w:rPr>
              <w:t>12-13</w:t>
            </w:r>
            <w:r>
              <w:rPr>
                <w:sz w:val="24"/>
              </w:rPr>
              <w:t>日</w:t>
            </w:r>
            <w:r>
              <w:rPr>
                <w:rFonts w:hint="eastAsia"/>
                <w:sz w:val="24"/>
              </w:rPr>
              <w:t>在项目正常运行的情况下在</w:t>
            </w:r>
            <w:r>
              <w:rPr>
                <w:sz w:val="24"/>
              </w:rPr>
              <w:t>厂区四</w:t>
            </w:r>
            <w:r>
              <w:rPr>
                <w:rFonts w:hint="eastAsia"/>
                <w:sz w:val="24"/>
              </w:rPr>
              <w:t>周</w:t>
            </w:r>
            <w:r>
              <w:rPr>
                <w:sz w:val="24"/>
              </w:rPr>
              <w:t>界各布设1个点，共设4个点进行了监测，监测结果见下表3-</w:t>
            </w:r>
            <w:r>
              <w:rPr>
                <w:rFonts w:hint="eastAsia"/>
                <w:sz w:val="24"/>
              </w:rPr>
              <w:t>4</w:t>
            </w:r>
            <w:r>
              <w:rPr>
                <w:sz w:val="24"/>
              </w:rPr>
              <w:t>：</w:t>
            </w:r>
          </w:p>
          <w:p>
            <w:pPr>
              <w:ind w:firstLine="422" w:firstLineChars="200"/>
              <w:jc w:val="center"/>
              <w:rPr>
                <w:b/>
                <w:szCs w:val="21"/>
              </w:rPr>
            </w:pPr>
            <w:r>
              <w:rPr>
                <w:rFonts w:hint="eastAsia"/>
                <w:b/>
                <w:szCs w:val="21"/>
              </w:rPr>
              <w:t>表3-4    环境噪声质量现状表      单位：dB(A)</w:t>
            </w:r>
          </w:p>
          <w:tbl>
            <w:tblPr>
              <w:tblStyle w:val="20"/>
              <w:tblW w:w="82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1570"/>
              <w:gridCol w:w="1794"/>
              <w:gridCol w:w="2019"/>
              <w:gridCol w:w="2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 w:hRule="atLeast"/>
              </w:trPr>
              <w:tc>
                <w:tcPr>
                  <w:tcW w:w="865" w:type="dxa"/>
                  <w:vMerge w:val="restart"/>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编号</w:t>
                  </w:r>
                </w:p>
              </w:tc>
              <w:tc>
                <w:tcPr>
                  <w:tcW w:w="1570" w:type="dxa"/>
                  <w:vMerge w:val="restart"/>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监测点位名称</w:t>
                  </w:r>
                </w:p>
              </w:tc>
              <w:tc>
                <w:tcPr>
                  <w:tcW w:w="1794" w:type="dxa"/>
                  <w:vMerge w:val="restart"/>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监测时间</w:t>
                  </w:r>
                </w:p>
              </w:tc>
              <w:tc>
                <w:tcPr>
                  <w:tcW w:w="4038" w:type="dxa"/>
                  <w:gridSpan w:val="2"/>
                  <w:tcBorders>
                    <w:top w:val="single" w:color="auto" w:sz="12" w:space="0"/>
                    <w:left w:val="single" w:color="auto" w:sz="6" w:space="0"/>
                    <w:bottom w:val="single" w:color="auto" w:sz="6" w:space="0"/>
                    <w:right w:val="single" w:color="auto" w:sz="12" w:space="0"/>
                  </w:tcBorders>
                  <w:vAlign w:val="center"/>
                </w:tcPr>
                <w:p>
                  <w:pPr>
                    <w:jc w:val="center"/>
                  </w:pPr>
                  <w:r>
                    <w:rPr>
                      <w:rFonts w:hint="eastAsia"/>
                    </w:rPr>
                    <w:t>等效声级</w:t>
                  </w:r>
                  <w:r>
                    <w:t>Le [dB(A)]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86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pPr>
                </w:p>
              </w:tc>
              <w:tc>
                <w:tcPr>
                  <w:tcW w:w="1570"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pPr>
                </w:p>
              </w:tc>
              <w:tc>
                <w:tcPr>
                  <w:tcW w:w="1794"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pPr>
                </w:p>
              </w:tc>
              <w:tc>
                <w:tcPr>
                  <w:tcW w:w="2019"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昼间</w:t>
                  </w:r>
                </w:p>
              </w:tc>
              <w:tc>
                <w:tcPr>
                  <w:tcW w:w="2019" w:type="dxa"/>
                  <w:tcBorders>
                    <w:top w:val="single" w:color="auto" w:sz="6" w:space="0"/>
                    <w:left w:val="single" w:color="auto" w:sz="6" w:space="0"/>
                    <w:bottom w:val="single" w:color="auto" w:sz="6" w:space="0"/>
                    <w:right w:val="single" w:color="auto" w:sz="12" w:space="0"/>
                  </w:tcBorders>
                  <w:vAlign w:val="center"/>
                </w:tcPr>
                <w:p>
                  <w:pPr>
                    <w:jc w:val="center"/>
                  </w:pPr>
                  <w:r>
                    <w:rPr>
                      <w:rFonts w:hint="eastAsia"/>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restart"/>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N1</w:t>
                  </w:r>
                </w:p>
              </w:tc>
              <w:tc>
                <w:tcPr>
                  <w:tcW w:w="1570" w:type="dxa"/>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厂界东</w:t>
                  </w: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2020/11/12</w:t>
                  </w:r>
                </w:p>
              </w:tc>
              <w:tc>
                <w:tcPr>
                  <w:tcW w:w="2019"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49</w:t>
                  </w:r>
                </w:p>
              </w:tc>
              <w:tc>
                <w:tcPr>
                  <w:tcW w:w="2019" w:type="dxa"/>
                  <w:tcBorders>
                    <w:top w:val="single" w:color="auto" w:sz="6" w:space="0"/>
                    <w:left w:val="single" w:color="auto" w:sz="6" w:space="0"/>
                    <w:bottom w:val="single" w:color="auto" w:sz="6" w:space="0"/>
                    <w:right w:val="single" w:color="auto" w:sz="12" w:space="0"/>
                  </w:tcBorders>
                  <w:vAlign w:val="center"/>
                </w:tcPr>
                <w:p>
                  <w:pPr>
                    <w:jc w:val="center"/>
                    <w:rPr>
                      <w:szCs w:val="24"/>
                    </w:rPr>
                  </w:pPr>
                  <w:r>
                    <w:rPr>
                      <w:rFonts w:hint="eastAsia"/>
                      <w:sz w:val="24"/>
                      <w:szCs w:val="24"/>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157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2020/11/13</w:t>
                  </w:r>
                </w:p>
              </w:tc>
              <w:tc>
                <w:tcPr>
                  <w:tcW w:w="2019"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53</w:t>
                  </w:r>
                </w:p>
              </w:tc>
              <w:tc>
                <w:tcPr>
                  <w:tcW w:w="2019" w:type="dxa"/>
                  <w:tcBorders>
                    <w:top w:val="single" w:color="auto" w:sz="6" w:space="0"/>
                    <w:left w:val="single" w:color="auto" w:sz="6" w:space="0"/>
                    <w:bottom w:val="single" w:color="auto" w:sz="6" w:space="0"/>
                    <w:right w:val="single" w:color="auto" w:sz="12" w:space="0"/>
                  </w:tcBorders>
                  <w:vAlign w:val="center"/>
                </w:tcPr>
                <w:p>
                  <w:pPr>
                    <w:jc w:val="center"/>
                    <w:rPr>
                      <w:szCs w:val="24"/>
                    </w:rPr>
                  </w:pPr>
                  <w:r>
                    <w:rPr>
                      <w:rFonts w:hint="eastAsia"/>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restart"/>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N2</w:t>
                  </w:r>
                </w:p>
              </w:tc>
              <w:tc>
                <w:tcPr>
                  <w:tcW w:w="1570" w:type="dxa"/>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厂界南</w:t>
                  </w: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2020/11/12</w:t>
                  </w:r>
                </w:p>
              </w:tc>
              <w:tc>
                <w:tcPr>
                  <w:tcW w:w="201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4"/>
                    </w:rPr>
                  </w:pPr>
                  <w:r>
                    <w:rPr>
                      <w:rFonts w:hint="eastAsia"/>
                      <w:sz w:val="24"/>
                      <w:szCs w:val="24"/>
                    </w:rPr>
                    <w:t>54</w:t>
                  </w:r>
                </w:p>
              </w:tc>
              <w:tc>
                <w:tcPr>
                  <w:tcW w:w="2019" w:type="dxa"/>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4"/>
                    </w:rPr>
                  </w:pPr>
                  <w:r>
                    <w:rPr>
                      <w:rFonts w:hint="eastAsia"/>
                      <w:sz w:val="24"/>
                      <w:szCs w:val="24"/>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157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2020/11/13</w:t>
                  </w:r>
                </w:p>
              </w:tc>
              <w:tc>
                <w:tcPr>
                  <w:tcW w:w="201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4"/>
                    </w:rPr>
                  </w:pPr>
                  <w:r>
                    <w:rPr>
                      <w:rFonts w:hint="eastAsia"/>
                      <w:sz w:val="24"/>
                      <w:szCs w:val="24"/>
                    </w:rPr>
                    <w:t>54</w:t>
                  </w:r>
                </w:p>
              </w:tc>
              <w:tc>
                <w:tcPr>
                  <w:tcW w:w="2019" w:type="dxa"/>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4"/>
                    </w:rPr>
                  </w:pPr>
                  <w:r>
                    <w:rPr>
                      <w:rFonts w:hint="eastAsia"/>
                      <w:sz w:val="24"/>
                      <w:szCs w:val="24"/>
                    </w:rP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restart"/>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N3</w:t>
                  </w:r>
                </w:p>
              </w:tc>
              <w:tc>
                <w:tcPr>
                  <w:tcW w:w="1570" w:type="dxa"/>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厂界西</w:t>
                  </w: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2020/11/12</w:t>
                  </w:r>
                </w:p>
              </w:tc>
              <w:tc>
                <w:tcPr>
                  <w:tcW w:w="201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4"/>
                    </w:rPr>
                  </w:pPr>
                  <w:r>
                    <w:rPr>
                      <w:rFonts w:hint="eastAsia"/>
                      <w:sz w:val="24"/>
                      <w:szCs w:val="24"/>
                    </w:rPr>
                    <w:t>49</w:t>
                  </w:r>
                </w:p>
              </w:tc>
              <w:tc>
                <w:tcPr>
                  <w:tcW w:w="2019" w:type="dxa"/>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4"/>
                    </w:rPr>
                  </w:pPr>
                  <w:r>
                    <w:rPr>
                      <w:rFonts w:hint="eastAsia"/>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157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2020/11/13</w:t>
                  </w:r>
                </w:p>
              </w:tc>
              <w:tc>
                <w:tcPr>
                  <w:tcW w:w="201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4"/>
                    </w:rPr>
                  </w:pPr>
                  <w:r>
                    <w:rPr>
                      <w:rFonts w:hint="eastAsia"/>
                      <w:sz w:val="24"/>
                      <w:szCs w:val="24"/>
                    </w:rPr>
                    <w:t>56</w:t>
                  </w:r>
                </w:p>
              </w:tc>
              <w:tc>
                <w:tcPr>
                  <w:tcW w:w="2019" w:type="dxa"/>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4"/>
                    </w:rPr>
                  </w:pPr>
                  <w:r>
                    <w:rPr>
                      <w:rFonts w:hint="eastAsia"/>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restart"/>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N4</w:t>
                  </w:r>
                </w:p>
              </w:tc>
              <w:tc>
                <w:tcPr>
                  <w:tcW w:w="1570" w:type="dxa"/>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厂界北</w:t>
                  </w: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2020/11/12</w:t>
                  </w:r>
                </w:p>
              </w:tc>
              <w:tc>
                <w:tcPr>
                  <w:tcW w:w="201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4"/>
                    </w:rPr>
                  </w:pPr>
                  <w:r>
                    <w:rPr>
                      <w:rFonts w:hint="eastAsia"/>
                      <w:sz w:val="24"/>
                      <w:szCs w:val="24"/>
                    </w:rPr>
                    <w:t>50</w:t>
                  </w:r>
                </w:p>
              </w:tc>
              <w:tc>
                <w:tcPr>
                  <w:tcW w:w="2019" w:type="dxa"/>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4"/>
                    </w:rPr>
                  </w:pPr>
                  <w:r>
                    <w:rPr>
                      <w:rFonts w:hint="eastAsia"/>
                      <w:sz w:val="24"/>
                      <w:szCs w:val="24"/>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86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157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1794" w:type="dxa"/>
                  <w:tcBorders>
                    <w:top w:val="single" w:color="auto" w:sz="6" w:space="0"/>
                    <w:left w:val="single" w:color="auto" w:sz="6" w:space="0"/>
                    <w:bottom w:val="single" w:color="auto" w:sz="6" w:space="0"/>
                    <w:right w:val="single" w:color="auto" w:sz="6" w:space="0"/>
                  </w:tcBorders>
                  <w:vAlign w:val="center"/>
                </w:tcPr>
                <w:p>
                  <w:pPr>
                    <w:jc w:val="center"/>
                    <w:rPr>
                      <w:szCs w:val="24"/>
                    </w:rPr>
                  </w:pPr>
                  <w:r>
                    <w:rPr>
                      <w:rFonts w:hint="eastAsia"/>
                      <w:sz w:val="24"/>
                      <w:szCs w:val="24"/>
                    </w:rPr>
                    <w:t>2020/11/13</w:t>
                  </w:r>
                </w:p>
              </w:tc>
              <w:tc>
                <w:tcPr>
                  <w:tcW w:w="201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4"/>
                    </w:rPr>
                  </w:pPr>
                  <w:r>
                    <w:rPr>
                      <w:rFonts w:hint="eastAsia"/>
                      <w:sz w:val="24"/>
                      <w:szCs w:val="24"/>
                    </w:rPr>
                    <w:t>52</w:t>
                  </w:r>
                </w:p>
              </w:tc>
              <w:tc>
                <w:tcPr>
                  <w:tcW w:w="2019" w:type="dxa"/>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4"/>
                    </w:rPr>
                  </w:pPr>
                  <w:r>
                    <w:rPr>
                      <w:rFonts w:hint="eastAsia"/>
                      <w:sz w:val="24"/>
                      <w:szCs w:val="24"/>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67" w:type="dxa"/>
                  <w:gridSpan w:val="5"/>
                  <w:tcBorders>
                    <w:top w:val="single" w:color="auto" w:sz="6" w:space="0"/>
                    <w:left w:val="single" w:color="auto" w:sz="12" w:space="0"/>
                    <w:bottom w:val="single" w:color="auto" w:sz="12" w:space="0"/>
                    <w:right w:val="single" w:color="auto" w:sz="12" w:space="0"/>
                  </w:tcBorders>
                  <w:vAlign w:val="center"/>
                </w:tcPr>
                <w:p>
                  <w:pPr>
                    <w:jc w:val="center"/>
                  </w:pPr>
                  <w:r>
                    <w:rPr>
                      <w:rFonts w:hint="eastAsia"/>
                    </w:rPr>
                    <w:t>注：2#、3#和1#监测点均执行（</w:t>
                  </w:r>
                  <w:r>
                    <w:t>GB3096-2008</w:t>
                  </w:r>
                  <w:r>
                    <w:rPr>
                      <w:rFonts w:hint="eastAsia"/>
                    </w:rPr>
                    <w:t>）中的</w:t>
                  </w:r>
                  <w:r>
                    <w:t>2</w:t>
                  </w:r>
                  <w:r>
                    <w:rPr>
                      <w:rFonts w:hint="eastAsia"/>
                    </w:rPr>
                    <w:t>类标准</w:t>
                  </w:r>
                  <w:r>
                    <w:t xml:space="preserve"> [</w:t>
                  </w:r>
                  <w:r>
                    <w:rPr>
                      <w:rFonts w:hint="eastAsia"/>
                    </w:rPr>
                    <w:t>昼间</w:t>
                  </w:r>
                  <w:r>
                    <w:t>60dB(A)</w:t>
                  </w:r>
                  <w:r>
                    <w:rPr>
                      <w:rFonts w:hint="eastAsia"/>
                    </w:rPr>
                    <w:t>，夜间</w:t>
                  </w:r>
                  <w:r>
                    <w:t>50 dB(A)]</w:t>
                  </w:r>
                  <w:r>
                    <w:rPr>
                      <w:rFonts w:hint="eastAsia"/>
                    </w:rPr>
                    <w:t>、1#监测点执行（</w:t>
                  </w:r>
                  <w:r>
                    <w:t>GB3096-2008</w:t>
                  </w:r>
                  <w:r>
                    <w:rPr>
                      <w:rFonts w:hint="eastAsia"/>
                    </w:rPr>
                    <w:t>）中的4a类标准</w:t>
                  </w:r>
                  <w:r>
                    <w:t xml:space="preserve"> [</w:t>
                  </w:r>
                  <w:r>
                    <w:rPr>
                      <w:rFonts w:hint="eastAsia"/>
                    </w:rPr>
                    <w:t>昼间7</w:t>
                  </w:r>
                  <w:r>
                    <w:t>0dB(A)</w:t>
                  </w:r>
                  <w:r>
                    <w:rPr>
                      <w:rFonts w:hint="eastAsia"/>
                    </w:rPr>
                    <w:t>，夜间</w:t>
                  </w:r>
                  <w:r>
                    <w:t>5</w:t>
                  </w:r>
                  <w:r>
                    <w:rPr>
                      <w:rFonts w:hint="eastAsia"/>
                    </w:rPr>
                    <w:t>5</w:t>
                  </w:r>
                  <w:r>
                    <w:t>dB(A)]</w:t>
                  </w:r>
                </w:p>
              </w:tc>
            </w:tr>
          </w:tbl>
          <w:p>
            <w:pPr>
              <w:spacing w:line="360" w:lineRule="auto"/>
              <w:ind w:firstLine="480" w:firstLineChars="200"/>
              <w:rPr>
                <w:sz w:val="24"/>
              </w:rPr>
            </w:pPr>
            <w:r>
              <w:rPr>
                <w:sz w:val="24"/>
              </w:rPr>
              <w:t>结果表明项目所在地昼间噪声值为</w:t>
            </w:r>
            <w:r>
              <w:rPr>
                <w:rFonts w:hint="eastAsia"/>
                <w:sz w:val="24"/>
              </w:rPr>
              <w:t>49</w:t>
            </w:r>
            <w:r>
              <w:rPr>
                <w:sz w:val="24"/>
              </w:rPr>
              <w:t>~</w:t>
            </w:r>
            <w:r>
              <w:rPr>
                <w:rFonts w:hint="eastAsia"/>
                <w:sz w:val="24"/>
              </w:rPr>
              <w:t>54</w:t>
            </w:r>
            <w:r>
              <w:rPr>
                <w:sz w:val="24"/>
              </w:rPr>
              <w:t>dB(A)，夜间噪声值为</w:t>
            </w:r>
            <w:r>
              <w:rPr>
                <w:rFonts w:hint="eastAsia"/>
                <w:sz w:val="24"/>
              </w:rPr>
              <w:t>43</w:t>
            </w:r>
            <w:r>
              <w:rPr>
                <w:sz w:val="24"/>
              </w:rPr>
              <w:t>~</w:t>
            </w:r>
            <w:r>
              <w:rPr>
                <w:rFonts w:hint="eastAsia"/>
                <w:sz w:val="24"/>
              </w:rPr>
              <w:t>47</w:t>
            </w:r>
            <w:r>
              <w:rPr>
                <w:sz w:val="24"/>
              </w:rPr>
              <w:t>dB(A)</w:t>
            </w:r>
            <w:r>
              <w:rPr>
                <w:rFonts w:hint="eastAsia"/>
                <w:sz w:val="24"/>
              </w:rPr>
              <w:t>，项目所在区域</w:t>
            </w:r>
            <w:r>
              <w:rPr>
                <w:sz w:val="24"/>
              </w:rPr>
              <w:t>声环境质量</w:t>
            </w:r>
            <w:r>
              <w:rPr>
                <w:rFonts w:hint="eastAsia"/>
                <w:sz w:val="24"/>
              </w:rPr>
              <w:t>现状东侧临近联港路能满足</w:t>
            </w:r>
            <w:r>
              <w:rPr>
                <w:sz w:val="24"/>
              </w:rPr>
              <w:t>《声环境质量标准》（GB3096-2008）中</w:t>
            </w:r>
            <w:r>
              <w:rPr>
                <w:rFonts w:hint="eastAsia"/>
                <w:sz w:val="24"/>
              </w:rPr>
              <w:t>4a</w:t>
            </w:r>
            <w:r>
              <w:rPr>
                <w:sz w:val="24"/>
              </w:rPr>
              <w:t>类标准</w:t>
            </w:r>
            <w:r>
              <w:rPr>
                <w:rFonts w:hint="eastAsia"/>
                <w:sz w:val="24"/>
              </w:rPr>
              <w:t>、其他各侧能满足2类标准</w:t>
            </w:r>
            <w:r>
              <w:rPr>
                <w:sz w:val="24"/>
              </w:rPr>
              <w:t>要求。</w:t>
            </w:r>
          </w:p>
          <w:p>
            <w:pPr>
              <w:spacing w:line="360" w:lineRule="auto"/>
              <w:ind w:right="105" w:rightChars="50"/>
              <w:rPr>
                <w:b/>
                <w:sz w:val="24"/>
              </w:rPr>
            </w:pPr>
            <w:r>
              <w:rPr>
                <w:rFonts w:hint="eastAsia"/>
                <w:b/>
                <w:sz w:val="24"/>
              </w:rPr>
              <w:t>四</w:t>
            </w:r>
            <w:r>
              <w:rPr>
                <w:b/>
                <w:sz w:val="24"/>
              </w:rPr>
              <w:t>、生态环境质量现状与评价</w:t>
            </w:r>
          </w:p>
          <w:p>
            <w:pPr>
              <w:widowControl/>
              <w:spacing w:line="360" w:lineRule="auto"/>
              <w:ind w:firstLine="480" w:firstLineChars="200"/>
              <w:jc w:val="left"/>
              <w:rPr>
                <w:sz w:val="24"/>
              </w:rPr>
            </w:pPr>
            <w:r>
              <w:rPr>
                <w:sz w:val="24"/>
              </w:rPr>
              <w:t>本项目所在区域为岳阳市城区，市政配套设施完善，区域生态环境为城市生态环境。项目北为东风</w:t>
            </w:r>
            <w:r>
              <w:rPr>
                <w:rFonts w:hint="eastAsia"/>
                <w:sz w:val="24"/>
              </w:rPr>
              <w:t>本田</w:t>
            </w:r>
            <w:r>
              <w:rPr>
                <w:sz w:val="24"/>
              </w:rPr>
              <w:t>汽车4S店、西侧为</w:t>
            </w:r>
            <w:r>
              <w:rPr>
                <w:rFonts w:hint="eastAsia"/>
                <w:sz w:val="24"/>
              </w:rPr>
              <w:t>赵家垅居民区，</w:t>
            </w:r>
            <w:r>
              <w:rPr>
                <w:sz w:val="24"/>
              </w:rPr>
              <w:t>南侧为</w:t>
            </w:r>
            <w:r>
              <w:rPr>
                <w:rFonts w:hint="eastAsia"/>
                <w:sz w:val="24"/>
              </w:rPr>
              <w:t>长城汽车</w:t>
            </w:r>
            <w:r>
              <w:rPr>
                <w:sz w:val="24"/>
              </w:rPr>
              <w:t>4S店，东侧为联港路。生态环境质量一般，各单位和区域主要交通干线的绿化工作基本上按照岳阳市总体规划要求实施，所在区域土地利用率高，植被覆盖率较低。</w:t>
            </w:r>
          </w:p>
          <w:p>
            <w:pPr>
              <w:widowControl/>
              <w:spacing w:line="360" w:lineRule="auto"/>
              <w:ind w:firstLine="480" w:firstLineChars="200"/>
              <w:jc w:val="left"/>
              <w:rPr>
                <w:sz w:val="24"/>
              </w:rPr>
            </w:pPr>
            <w:r>
              <w:rPr>
                <w:sz w:val="24"/>
              </w:rPr>
              <w:t>区域内野生动物为城市主要常见动物。通过走访调查，项目所在区域内没有珍稀植物和古树木。</w:t>
            </w:r>
          </w:p>
          <w:p>
            <w:pPr>
              <w:numPr>
                <w:ilvl w:val="0"/>
                <w:numId w:val="2"/>
              </w:numPr>
              <w:rPr>
                <w:b/>
                <w:sz w:val="24"/>
                <w:szCs w:val="24"/>
                <w:u w:val="single"/>
              </w:rPr>
            </w:pPr>
            <w:r>
              <w:rPr>
                <w:b/>
                <w:sz w:val="24"/>
                <w:szCs w:val="24"/>
                <w:u w:val="single"/>
              </w:rPr>
              <w:t>地下水</w:t>
            </w:r>
          </w:p>
          <w:p>
            <w:pPr>
              <w:spacing w:line="360" w:lineRule="auto"/>
              <w:ind w:firstLine="480" w:firstLineChars="200"/>
              <w:rPr>
                <w:rFonts w:hint="eastAsia"/>
                <w:sz w:val="24"/>
                <w:szCs w:val="22"/>
                <w:u w:val="single"/>
              </w:rPr>
            </w:pPr>
            <w:r>
              <w:rPr>
                <w:sz w:val="24"/>
                <w:szCs w:val="22"/>
                <w:u w:val="single"/>
              </w:rPr>
              <w:t>结合地形、区域地质、水文地质条件等因素</w:t>
            </w:r>
            <w:r>
              <w:rPr>
                <w:rFonts w:hint="eastAsia"/>
                <w:sz w:val="24"/>
                <w:szCs w:val="22"/>
                <w:u w:val="single"/>
              </w:rPr>
              <w:t>，</w:t>
            </w:r>
            <w:r>
              <w:rPr>
                <w:sz w:val="24"/>
                <w:szCs w:val="22"/>
                <w:u w:val="single"/>
              </w:rPr>
              <w:t>确定</w:t>
            </w:r>
            <w:r>
              <w:rPr>
                <w:rFonts w:hint="eastAsia"/>
                <w:sz w:val="24"/>
                <w:szCs w:val="22"/>
                <w:u w:val="single"/>
              </w:rPr>
              <w:t>以项目占地为中心，</w:t>
            </w:r>
            <w:r>
              <w:rPr>
                <w:sz w:val="24"/>
                <w:szCs w:val="22"/>
                <w:u w:val="single"/>
              </w:rPr>
              <w:t>西部以长江河堤为界，东部、南部以地表分水岭为界</w:t>
            </w:r>
            <w:r>
              <w:rPr>
                <w:rFonts w:hint="eastAsia"/>
                <w:sz w:val="24"/>
                <w:szCs w:val="22"/>
                <w:u w:val="single"/>
              </w:rPr>
              <w:t>。</w:t>
            </w:r>
          </w:p>
          <w:p>
            <w:pPr>
              <w:spacing w:line="360" w:lineRule="auto"/>
              <w:ind w:firstLine="480" w:firstLineChars="200"/>
              <w:rPr>
                <w:spacing w:val="4"/>
                <w:sz w:val="24"/>
                <w:szCs w:val="24"/>
                <w:u w:val="single"/>
              </w:rPr>
            </w:pPr>
            <w:r>
              <w:rPr>
                <w:rFonts w:hint="eastAsia"/>
                <w:sz w:val="24"/>
                <w:szCs w:val="22"/>
                <w:u w:val="single"/>
                <w:lang w:val="en-US" w:eastAsia="zh-CN"/>
              </w:rPr>
              <w:t>根据《环境影响评价技术导则 地下水环境》（HJ610-2016）中地下水环境现状调查评价范围参照表，本项目评价等级为三级，调查评价面积为6</w:t>
            </w:r>
            <w:r>
              <w:rPr>
                <w:rFonts w:hint="eastAsia"/>
                <w:sz w:val="24"/>
                <w:szCs w:val="22"/>
                <w:u w:val="single"/>
                <w:vertAlign w:val="baseline"/>
                <w:lang w:val="en-US" w:eastAsia="zh-CN"/>
              </w:rPr>
              <w:t>km</w:t>
            </w:r>
            <w:r>
              <w:rPr>
                <w:rFonts w:hint="eastAsia"/>
                <w:sz w:val="24"/>
                <w:szCs w:val="22"/>
                <w:u w:val="single"/>
                <w:vertAlign w:val="superscript"/>
                <w:lang w:val="en-US" w:eastAsia="zh-CN"/>
              </w:rPr>
              <w:t>2</w:t>
            </w:r>
            <w:r>
              <w:rPr>
                <w:rFonts w:hint="eastAsia"/>
                <w:sz w:val="24"/>
                <w:szCs w:val="22"/>
                <w:u w:val="single"/>
                <w:vertAlign w:val="baseline"/>
                <w:lang w:val="en-US" w:eastAsia="zh-CN"/>
              </w:rPr>
              <w:t>,</w:t>
            </w:r>
            <w:r>
              <w:rPr>
                <w:sz w:val="24"/>
                <w:szCs w:val="24"/>
                <w:u w:val="single"/>
              </w:rPr>
              <w:t>为了解项目所在区域</w:t>
            </w:r>
            <w:r>
              <w:rPr>
                <w:rFonts w:hint="eastAsia"/>
                <w:sz w:val="24"/>
                <w:szCs w:val="24"/>
                <w:u w:val="single"/>
              </w:rPr>
              <w:t>地下水</w:t>
            </w:r>
            <w:r>
              <w:rPr>
                <w:sz w:val="24"/>
                <w:szCs w:val="24"/>
                <w:u w:val="single"/>
              </w:rPr>
              <w:t>环境质量现状，本项目引用</w:t>
            </w:r>
            <w:r>
              <w:rPr>
                <w:rFonts w:hint="eastAsia"/>
                <w:sz w:val="24"/>
                <w:szCs w:val="24"/>
                <w:u w:val="single"/>
              </w:rPr>
              <w:t>《岳阳林纸股份有限公司提质升级综合技改项目（年产70万吨文化纸项目）环境影响报告书》（2020年6月）于2019年2月</w:t>
            </w:r>
            <w:r>
              <w:rPr>
                <w:rFonts w:hint="eastAsia"/>
                <w:spacing w:val="4"/>
                <w:sz w:val="24"/>
                <w:szCs w:val="24"/>
                <w:u w:val="single"/>
              </w:rPr>
              <w:t>19</w:t>
            </w:r>
            <w:r>
              <w:rPr>
                <w:spacing w:val="4"/>
                <w:sz w:val="24"/>
                <w:szCs w:val="24"/>
                <w:u w:val="single"/>
              </w:rPr>
              <w:t>日～</w:t>
            </w:r>
            <w:r>
              <w:rPr>
                <w:rFonts w:hint="eastAsia"/>
                <w:spacing w:val="4"/>
                <w:sz w:val="24"/>
                <w:szCs w:val="24"/>
                <w:u w:val="single"/>
              </w:rPr>
              <w:t>21</w:t>
            </w:r>
            <w:r>
              <w:rPr>
                <w:spacing w:val="4"/>
                <w:sz w:val="24"/>
                <w:szCs w:val="24"/>
                <w:u w:val="single"/>
              </w:rPr>
              <w:t>日</w:t>
            </w:r>
            <w:r>
              <w:rPr>
                <w:rFonts w:hint="eastAsia"/>
                <w:spacing w:val="4"/>
                <w:sz w:val="24"/>
                <w:szCs w:val="24"/>
                <w:u w:val="single"/>
              </w:rPr>
              <w:t>监测数据</w:t>
            </w:r>
            <w:r>
              <w:rPr>
                <w:rFonts w:hint="eastAsia"/>
                <w:spacing w:val="4"/>
                <w:sz w:val="24"/>
                <w:szCs w:val="24"/>
                <w:u w:val="single"/>
                <w:lang w:eastAsia="zh-CN"/>
              </w:rPr>
              <w:t>，</w:t>
            </w:r>
            <w:r>
              <w:rPr>
                <w:rFonts w:hint="eastAsia"/>
                <w:spacing w:val="4"/>
                <w:sz w:val="24"/>
                <w:szCs w:val="24"/>
                <w:u w:val="single"/>
                <w:lang w:val="en-US" w:eastAsia="zh-CN"/>
              </w:rPr>
              <w:t>项目引用三个点位与本厂距离为1.6km、3.5km、4.66km，引用数据合理</w:t>
            </w:r>
            <w:r>
              <w:rPr>
                <w:rFonts w:hint="eastAsia"/>
                <w:spacing w:val="4"/>
                <w:sz w:val="24"/>
                <w:szCs w:val="24"/>
                <w:u w:val="single"/>
              </w:rPr>
              <w:t>。</w:t>
            </w:r>
          </w:p>
          <w:p>
            <w:pPr>
              <w:widowControl/>
              <w:autoSpaceDN w:val="0"/>
              <w:spacing w:line="360" w:lineRule="auto"/>
              <w:ind w:firstLine="480" w:firstLineChars="200"/>
              <w:jc w:val="left"/>
              <w:rPr>
                <w:spacing w:val="4"/>
                <w:sz w:val="24"/>
                <w:szCs w:val="24"/>
              </w:rPr>
            </w:pPr>
            <w:r>
              <w:rPr>
                <w:sz w:val="24"/>
                <w:szCs w:val="24"/>
              </w:rPr>
              <w:t>（1）</w:t>
            </w:r>
            <w:r>
              <w:rPr>
                <w:rFonts w:hint="eastAsia"/>
                <w:sz w:val="24"/>
                <w:szCs w:val="24"/>
              </w:rPr>
              <w:t>监测点位信息：</w:t>
            </w:r>
          </w:p>
          <w:p>
            <w:pPr>
              <w:ind w:firstLine="422" w:firstLineChars="200"/>
              <w:jc w:val="center"/>
              <w:rPr>
                <w:b/>
                <w:bCs/>
                <w:szCs w:val="21"/>
              </w:rPr>
            </w:pPr>
            <w:r>
              <w:rPr>
                <w:b/>
                <w:bCs/>
                <w:szCs w:val="21"/>
              </w:rPr>
              <w:t>表</w:t>
            </w:r>
            <w:r>
              <w:rPr>
                <w:rFonts w:hint="eastAsia"/>
                <w:b/>
                <w:bCs/>
                <w:szCs w:val="21"/>
              </w:rPr>
              <w:t>3-7</w:t>
            </w:r>
            <w:r>
              <w:rPr>
                <w:b/>
                <w:bCs/>
                <w:szCs w:val="21"/>
              </w:rPr>
              <w:t xml:space="preserve">   地下水质量监测布点信息表</w:t>
            </w:r>
          </w:p>
          <w:tbl>
            <w:tblPr>
              <w:tblStyle w:val="20"/>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80"/>
              <w:gridCol w:w="2124"/>
              <w:gridCol w:w="1776"/>
              <w:gridCol w:w="12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 w:type="dxa"/>
                  <w:tcBorders>
                    <w:tl2br w:val="nil"/>
                    <w:tr2bl w:val="nil"/>
                  </w:tcBorders>
                  <w:vAlign w:val="center"/>
                </w:tcPr>
                <w:p>
                  <w:pPr>
                    <w:widowControl/>
                    <w:jc w:val="center"/>
                    <w:rPr>
                      <w:b/>
                      <w:kern w:val="0"/>
                      <w:szCs w:val="21"/>
                    </w:rPr>
                  </w:pPr>
                  <w:r>
                    <w:rPr>
                      <w:b/>
                      <w:kern w:val="0"/>
                      <w:szCs w:val="21"/>
                    </w:rPr>
                    <w:t>点位编号</w:t>
                  </w:r>
                </w:p>
              </w:tc>
              <w:tc>
                <w:tcPr>
                  <w:tcW w:w="2280" w:type="dxa"/>
                  <w:tcBorders>
                    <w:tl2br w:val="nil"/>
                    <w:tr2bl w:val="nil"/>
                  </w:tcBorders>
                  <w:vAlign w:val="center"/>
                </w:tcPr>
                <w:p>
                  <w:pPr>
                    <w:widowControl/>
                    <w:jc w:val="center"/>
                    <w:rPr>
                      <w:b/>
                      <w:kern w:val="0"/>
                      <w:szCs w:val="21"/>
                    </w:rPr>
                  </w:pPr>
                  <w:r>
                    <w:rPr>
                      <w:b/>
                      <w:kern w:val="0"/>
                      <w:szCs w:val="21"/>
                    </w:rPr>
                    <w:t>点位位置</w:t>
                  </w:r>
                </w:p>
              </w:tc>
              <w:tc>
                <w:tcPr>
                  <w:tcW w:w="2124" w:type="dxa"/>
                  <w:tcBorders>
                    <w:tl2br w:val="nil"/>
                    <w:tr2bl w:val="nil"/>
                  </w:tcBorders>
                  <w:vAlign w:val="center"/>
                </w:tcPr>
                <w:p>
                  <w:pPr>
                    <w:widowControl/>
                    <w:jc w:val="center"/>
                    <w:rPr>
                      <w:b/>
                      <w:kern w:val="0"/>
                      <w:szCs w:val="21"/>
                    </w:rPr>
                  </w:pPr>
                  <w:r>
                    <w:rPr>
                      <w:b/>
                      <w:kern w:val="0"/>
                      <w:szCs w:val="21"/>
                    </w:rPr>
                    <w:t>E</w:t>
                  </w:r>
                </w:p>
              </w:tc>
              <w:tc>
                <w:tcPr>
                  <w:tcW w:w="1776" w:type="dxa"/>
                  <w:tcBorders>
                    <w:tl2br w:val="nil"/>
                    <w:tr2bl w:val="nil"/>
                  </w:tcBorders>
                  <w:vAlign w:val="center"/>
                </w:tcPr>
                <w:p>
                  <w:pPr>
                    <w:widowControl/>
                    <w:jc w:val="center"/>
                    <w:rPr>
                      <w:b/>
                      <w:kern w:val="0"/>
                      <w:szCs w:val="21"/>
                    </w:rPr>
                  </w:pPr>
                  <w:r>
                    <w:rPr>
                      <w:b/>
                      <w:kern w:val="0"/>
                      <w:szCs w:val="21"/>
                    </w:rPr>
                    <w:t>N</w:t>
                  </w:r>
                </w:p>
              </w:tc>
              <w:tc>
                <w:tcPr>
                  <w:tcW w:w="1244" w:type="dxa"/>
                  <w:tcBorders>
                    <w:tl2br w:val="nil"/>
                    <w:tr2bl w:val="nil"/>
                  </w:tcBorders>
                  <w:vAlign w:val="center"/>
                </w:tcPr>
                <w:p>
                  <w:pPr>
                    <w:widowControl/>
                    <w:jc w:val="center"/>
                    <w:rPr>
                      <w:b/>
                      <w:kern w:val="0"/>
                      <w:szCs w:val="21"/>
                    </w:rPr>
                  </w:pPr>
                  <w:r>
                    <w:rPr>
                      <w:b/>
                      <w:kern w:val="0"/>
                      <w:szCs w:val="21"/>
                    </w:rPr>
                    <w:t>井深</w:t>
                  </w:r>
                  <w:r>
                    <w:rPr>
                      <w:rFonts w:hint="eastAsia"/>
                      <w:b/>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 w:type="dxa"/>
                  <w:tcBorders>
                    <w:tl2br w:val="nil"/>
                    <w:tr2bl w:val="nil"/>
                  </w:tcBorders>
                  <w:vAlign w:val="center"/>
                </w:tcPr>
                <w:p>
                  <w:pPr>
                    <w:widowControl/>
                    <w:jc w:val="center"/>
                    <w:rPr>
                      <w:kern w:val="0"/>
                      <w:szCs w:val="21"/>
                    </w:rPr>
                  </w:pPr>
                  <w:r>
                    <w:rPr>
                      <w:kern w:val="0"/>
                      <w:szCs w:val="21"/>
                    </w:rPr>
                    <w:t>1#</w:t>
                  </w:r>
                </w:p>
              </w:tc>
              <w:tc>
                <w:tcPr>
                  <w:tcW w:w="2280" w:type="dxa"/>
                  <w:tcBorders>
                    <w:tl2br w:val="nil"/>
                    <w:tr2bl w:val="nil"/>
                  </w:tcBorders>
                  <w:vAlign w:val="center"/>
                </w:tcPr>
                <w:p>
                  <w:pPr>
                    <w:jc w:val="center"/>
                    <w:rPr>
                      <w:szCs w:val="21"/>
                    </w:rPr>
                  </w:pPr>
                  <w:r>
                    <w:rPr>
                      <w:rFonts w:hint="eastAsia"/>
                      <w:szCs w:val="21"/>
                    </w:rPr>
                    <w:t>城陵矶村</w:t>
                  </w:r>
                  <w:r>
                    <w:rPr>
                      <w:szCs w:val="21"/>
                    </w:rPr>
                    <w:t>水井</w:t>
                  </w:r>
                </w:p>
              </w:tc>
              <w:tc>
                <w:tcPr>
                  <w:tcW w:w="2124" w:type="dxa"/>
                  <w:tcBorders>
                    <w:tl2br w:val="nil"/>
                    <w:tr2bl w:val="nil"/>
                  </w:tcBorders>
                  <w:vAlign w:val="center"/>
                </w:tcPr>
                <w:p>
                  <w:pPr>
                    <w:widowControl/>
                    <w:jc w:val="center"/>
                    <w:rPr>
                      <w:kern w:val="0"/>
                      <w:szCs w:val="21"/>
                    </w:rPr>
                  </w:pPr>
                  <w:r>
                    <w:rPr>
                      <w:kern w:val="0"/>
                      <w:szCs w:val="21"/>
                    </w:rPr>
                    <w:t>113</w:t>
                  </w:r>
                  <w:r>
                    <w:rPr>
                      <w:rFonts w:hint="eastAsia"/>
                      <w:kern w:val="0"/>
                      <w:szCs w:val="21"/>
                    </w:rPr>
                    <w:t>.16194773</w:t>
                  </w:r>
                </w:p>
              </w:tc>
              <w:tc>
                <w:tcPr>
                  <w:tcW w:w="1776" w:type="dxa"/>
                  <w:tcBorders>
                    <w:tl2br w:val="nil"/>
                    <w:tr2bl w:val="nil"/>
                  </w:tcBorders>
                  <w:vAlign w:val="center"/>
                </w:tcPr>
                <w:p>
                  <w:pPr>
                    <w:widowControl/>
                    <w:jc w:val="center"/>
                    <w:rPr>
                      <w:kern w:val="0"/>
                      <w:szCs w:val="21"/>
                    </w:rPr>
                  </w:pPr>
                  <w:r>
                    <w:rPr>
                      <w:kern w:val="0"/>
                      <w:szCs w:val="21"/>
                    </w:rPr>
                    <w:t>29</w:t>
                  </w:r>
                  <w:r>
                    <w:rPr>
                      <w:rFonts w:hint="eastAsia"/>
                      <w:kern w:val="0"/>
                      <w:szCs w:val="21"/>
                    </w:rPr>
                    <w:t>.43984032</w:t>
                  </w:r>
                </w:p>
              </w:tc>
              <w:tc>
                <w:tcPr>
                  <w:tcW w:w="1244" w:type="dxa"/>
                  <w:tcBorders>
                    <w:tl2br w:val="nil"/>
                    <w:tr2bl w:val="nil"/>
                  </w:tcBorders>
                  <w:vAlign w:val="center"/>
                </w:tcPr>
                <w:p>
                  <w:pPr>
                    <w:widowControl/>
                    <w:jc w:val="center"/>
                    <w:rPr>
                      <w:kern w:val="0"/>
                      <w:szCs w:val="21"/>
                    </w:rPr>
                  </w:pPr>
                  <w:r>
                    <w:rPr>
                      <w:kern w:val="0"/>
                      <w:szCs w:val="21"/>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 w:type="dxa"/>
                  <w:tcBorders>
                    <w:tl2br w:val="nil"/>
                    <w:tr2bl w:val="nil"/>
                  </w:tcBorders>
                  <w:vAlign w:val="center"/>
                </w:tcPr>
                <w:p>
                  <w:pPr>
                    <w:widowControl/>
                    <w:jc w:val="center"/>
                    <w:rPr>
                      <w:kern w:val="0"/>
                      <w:szCs w:val="21"/>
                    </w:rPr>
                  </w:pPr>
                  <w:r>
                    <w:rPr>
                      <w:kern w:val="0"/>
                      <w:szCs w:val="21"/>
                    </w:rPr>
                    <w:t>2#</w:t>
                  </w:r>
                </w:p>
              </w:tc>
              <w:tc>
                <w:tcPr>
                  <w:tcW w:w="2280" w:type="dxa"/>
                  <w:tcBorders>
                    <w:tl2br w:val="nil"/>
                    <w:tr2bl w:val="nil"/>
                  </w:tcBorders>
                  <w:vAlign w:val="center"/>
                </w:tcPr>
                <w:p>
                  <w:pPr>
                    <w:jc w:val="center"/>
                    <w:rPr>
                      <w:szCs w:val="21"/>
                    </w:rPr>
                  </w:pPr>
                  <w:r>
                    <w:rPr>
                      <w:rFonts w:hint="eastAsia"/>
                      <w:szCs w:val="21"/>
                    </w:rPr>
                    <w:t>永济乡擂鼓台村戴家居民点</w:t>
                  </w:r>
                  <w:r>
                    <w:rPr>
                      <w:szCs w:val="21"/>
                    </w:rPr>
                    <w:t>水井</w:t>
                  </w:r>
                </w:p>
              </w:tc>
              <w:tc>
                <w:tcPr>
                  <w:tcW w:w="2124" w:type="dxa"/>
                  <w:tcBorders>
                    <w:tl2br w:val="nil"/>
                    <w:tr2bl w:val="nil"/>
                  </w:tcBorders>
                  <w:vAlign w:val="center"/>
                </w:tcPr>
                <w:p>
                  <w:pPr>
                    <w:widowControl/>
                    <w:jc w:val="center"/>
                    <w:rPr>
                      <w:kern w:val="0"/>
                      <w:szCs w:val="21"/>
                    </w:rPr>
                  </w:pPr>
                  <w:r>
                    <w:rPr>
                      <w:kern w:val="0"/>
                      <w:szCs w:val="21"/>
                    </w:rPr>
                    <w:t>113</w:t>
                  </w:r>
                  <w:r>
                    <w:rPr>
                      <w:rFonts w:hint="eastAsia"/>
                      <w:kern w:val="0"/>
                      <w:szCs w:val="21"/>
                    </w:rPr>
                    <w:t>.16740870</w:t>
                  </w:r>
                </w:p>
              </w:tc>
              <w:tc>
                <w:tcPr>
                  <w:tcW w:w="1776" w:type="dxa"/>
                  <w:tcBorders>
                    <w:tl2br w:val="nil"/>
                    <w:tr2bl w:val="nil"/>
                  </w:tcBorders>
                  <w:vAlign w:val="center"/>
                </w:tcPr>
                <w:p>
                  <w:pPr>
                    <w:widowControl/>
                    <w:jc w:val="center"/>
                    <w:rPr>
                      <w:kern w:val="0"/>
                      <w:szCs w:val="21"/>
                    </w:rPr>
                  </w:pPr>
                  <w:r>
                    <w:rPr>
                      <w:kern w:val="0"/>
                      <w:szCs w:val="21"/>
                    </w:rPr>
                    <w:t>29</w:t>
                  </w:r>
                  <w:r>
                    <w:rPr>
                      <w:rFonts w:hint="eastAsia"/>
                      <w:kern w:val="0"/>
                      <w:szCs w:val="21"/>
                    </w:rPr>
                    <w:t>.45907176</w:t>
                  </w:r>
                </w:p>
              </w:tc>
              <w:tc>
                <w:tcPr>
                  <w:tcW w:w="1244" w:type="dxa"/>
                  <w:tcBorders>
                    <w:tl2br w:val="nil"/>
                    <w:tr2bl w:val="nil"/>
                  </w:tcBorders>
                  <w:vAlign w:val="center"/>
                </w:tcPr>
                <w:p>
                  <w:pPr>
                    <w:widowControl/>
                    <w:jc w:val="center"/>
                    <w:rPr>
                      <w:kern w:val="0"/>
                      <w:szCs w:val="21"/>
                    </w:rPr>
                  </w:pPr>
                  <w:r>
                    <w:rPr>
                      <w:kern w:val="0"/>
                      <w:szCs w:val="21"/>
                    </w:rPr>
                    <w:t>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8" w:type="dxa"/>
                  <w:tcBorders>
                    <w:tl2br w:val="nil"/>
                    <w:tr2bl w:val="nil"/>
                  </w:tcBorders>
                  <w:vAlign w:val="center"/>
                </w:tcPr>
                <w:p>
                  <w:pPr>
                    <w:widowControl/>
                    <w:jc w:val="center"/>
                    <w:rPr>
                      <w:kern w:val="0"/>
                      <w:szCs w:val="21"/>
                    </w:rPr>
                  </w:pPr>
                  <w:r>
                    <w:rPr>
                      <w:kern w:val="0"/>
                      <w:szCs w:val="21"/>
                    </w:rPr>
                    <w:t>3#</w:t>
                  </w:r>
                </w:p>
              </w:tc>
              <w:tc>
                <w:tcPr>
                  <w:tcW w:w="2280" w:type="dxa"/>
                  <w:tcBorders>
                    <w:tl2br w:val="nil"/>
                    <w:tr2bl w:val="nil"/>
                  </w:tcBorders>
                  <w:vAlign w:val="center"/>
                </w:tcPr>
                <w:p>
                  <w:pPr>
                    <w:jc w:val="center"/>
                    <w:rPr>
                      <w:szCs w:val="21"/>
                    </w:rPr>
                  </w:pPr>
                  <w:r>
                    <w:rPr>
                      <w:rFonts w:hint="eastAsia"/>
                      <w:szCs w:val="21"/>
                    </w:rPr>
                    <w:t>永济乡擂鼓台村陈家居民点</w:t>
                  </w:r>
                  <w:r>
                    <w:rPr>
                      <w:szCs w:val="21"/>
                    </w:rPr>
                    <w:t>水井</w:t>
                  </w:r>
                </w:p>
              </w:tc>
              <w:tc>
                <w:tcPr>
                  <w:tcW w:w="2124" w:type="dxa"/>
                  <w:tcBorders>
                    <w:tl2br w:val="nil"/>
                    <w:tr2bl w:val="nil"/>
                  </w:tcBorders>
                  <w:vAlign w:val="center"/>
                </w:tcPr>
                <w:p>
                  <w:pPr>
                    <w:widowControl/>
                    <w:jc w:val="center"/>
                    <w:rPr>
                      <w:kern w:val="0"/>
                      <w:szCs w:val="21"/>
                    </w:rPr>
                  </w:pPr>
                  <w:r>
                    <w:rPr>
                      <w:kern w:val="0"/>
                      <w:szCs w:val="21"/>
                    </w:rPr>
                    <w:t>113</w:t>
                  </w:r>
                  <w:r>
                    <w:rPr>
                      <w:rFonts w:hint="eastAsia"/>
                      <w:kern w:val="0"/>
                      <w:szCs w:val="21"/>
                    </w:rPr>
                    <w:t>.17317009</w:t>
                  </w:r>
                </w:p>
              </w:tc>
              <w:tc>
                <w:tcPr>
                  <w:tcW w:w="1776" w:type="dxa"/>
                  <w:tcBorders>
                    <w:tl2br w:val="nil"/>
                    <w:tr2bl w:val="nil"/>
                  </w:tcBorders>
                  <w:vAlign w:val="center"/>
                </w:tcPr>
                <w:p>
                  <w:pPr>
                    <w:widowControl/>
                    <w:jc w:val="center"/>
                    <w:rPr>
                      <w:kern w:val="0"/>
                      <w:szCs w:val="21"/>
                    </w:rPr>
                  </w:pPr>
                  <w:r>
                    <w:rPr>
                      <w:kern w:val="0"/>
                      <w:szCs w:val="21"/>
                    </w:rPr>
                    <w:t>29</w:t>
                  </w:r>
                  <w:r>
                    <w:rPr>
                      <w:rFonts w:hint="eastAsia"/>
                      <w:kern w:val="0"/>
                      <w:szCs w:val="21"/>
                    </w:rPr>
                    <w:t>.46531057</w:t>
                  </w:r>
                </w:p>
              </w:tc>
              <w:tc>
                <w:tcPr>
                  <w:tcW w:w="1244" w:type="dxa"/>
                  <w:tcBorders>
                    <w:tl2br w:val="nil"/>
                    <w:tr2bl w:val="nil"/>
                  </w:tcBorders>
                  <w:vAlign w:val="center"/>
                </w:tcPr>
                <w:p>
                  <w:pPr>
                    <w:widowControl/>
                    <w:jc w:val="center"/>
                    <w:rPr>
                      <w:kern w:val="0"/>
                      <w:szCs w:val="21"/>
                    </w:rPr>
                  </w:pPr>
                  <w:r>
                    <w:rPr>
                      <w:kern w:val="0"/>
                      <w:szCs w:val="21"/>
                    </w:rPr>
                    <w:t>6.00</w:t>
                  </w:r>
                </w:p>
              </w:tc>
            </w:tr>
          </w:tbl>
          <w:p>
            <w:pPr>
              <w:widowControl/>
              <w:autoSpaceDN w:val="0"/>
              <w:spacing w:line="360" w:lineRule="auto"/>
              <w:ind w:firstLine="480" w:firstLineChars="200"/>
              <w:jc w:val="left"/>
              <w:rPr>
                <w:sz w:val="24"/>
                <w:szCs w:val="24"/>
              </w:rPr>
            </w:pPr>
            <w:r>
              <w:rPr>
                <w:rFonts w:hint="eastAsia"/>
                <w:sz w:val="24"/>
                <w:szCs w:val="24"/>
              </w:rPr>
              <w:t>（2）监测因子：pH、高锰酸盐指数、氨氮、氯化物、氟化物、总硬度；</w:t>
            </w:r>
          </w:p>
          <w:p>
            <w:pPr>
              <w:topLinePunct/>
              <w:spacing w:line="360" w:lineRule="auto"/>
              <w:ind w:firstLine="480" w:firstLineChars="200"/>
              <w:jc w:val="left"/>
              <w:rPr>
                <w:sz w:val="24"/>
                <w:szCs w:val="24"/>
              </w:rPr>
            </w:pPr>
            <w:r>
              <w:rPr>
                <w:sz w:val="24"/>
                <w:szCs w:val="24"/>
              </w:rPr>
              <w:t>（3）监测点位监测时间和频率</w:t>
            </w:r>
            <w:r>
              <w:rPr>
                <w:rFonts w:hint="eastAsia"/>
                <w:sz w:val="24"/>
                <w:szCs w:val="24"/>
              </w:rPr>
              <w:t>：</w:t>
            </w:r>
          </w:p>
          <w:p>
            <w:pPr>
              <w:topLinePunct/>
              <w:spacing w:line="360" w:lineRule="auto"/>
              <w:ind w:firstLine="480" w:firstLineChars="200"/>
              <w:jc w:val="left"/>
              <w:rPr>
                <w:sz w:val="24"/>
                <w:szCs w:val="24"/>
              </w:rPr>
            </w:pPr>
            <w:r>
              <w:rPr>
                <w:rFonts w:hint="eastAsia"/>
                <w:sz w:val="24"/>
                <w:szCs w:val="24"/>
              </w:rPr>
              <w:t>1#~3#：</w:t>
            </w:r>
            <w:r>
              <w:rPr>
                <w:sz w:val="24"/>
                <w:szCs w:val="24"/>
              </w:rPr>
              <w:t>2019年2月19日～21日</w:t>
            </w:r>
            <w:r>
              <w:rPr>
                <w:rFonts w:hint="eastAsia"/>
                <w:sz w:val="24"/>
                <w:szCs w:val="24"/>
              </w:rPr>
              <w:t>，</w:t>
            </w:r>
            <w:r>
              <w:rPr>
                <w:sz w:val="24"/>
                <w:szCs w:val="24"/>
              </w:rPr>
              <w:t>连续监测3天，每天监测1次</w:t>
            </w:r>
          </w:p>
          <w:p>
            <w:pPr>
              <w:topLinePunct/>
              <w:spacing w:line="360" w:lineRule="auto"/>
              <w:ind w:firstLine="480" w:firstLineChars="200"/>
              <w:jc w:val="left"/>
              <w:rPr>
                <w:sz w:val="24"/>
                <w:szCs w:val="24"/>
              </w:rPr>
            </w:pPr>
            <w:r>
              <w:rPr>
                <w:rFonts w:hint="eastAsia"/>
                <w:sz w:val="24"/>
                <w:szCs w:val="24"/>
              </w:rPr>
              <w:t>（4）</w:t>
            </w:r>
            <w:r>
              <w:rPr>
                <w:sz w:val="24"/>
                <w:szCs w:val="24"/>
              </w:rPr>
              <w:t>项目</w:t>
            </w:r>
            <w:r>
              <w:rPr>
                <w:rFonts w:hint="eastAsia"/>
                <w:sz w:val="24"/>
                <w:szCs w:val="24"/>
              </w:rPr>
              <w:t>区域周边</w:t>
            </w:r>
            <w:r>
              <w:rPr>
                <w:sz w:val="24"/>
                <w:szCs w:val="24"/>
              </w:rPr>
              <w:t>地下水监测结果</w:t>
            </w:r>
            <w:r>
              <w:rPr>
                <w:rFonts w:hint="eastAsia"/>
                <w:sz w:val="24"/>
                <w:szCs w:val="24"/>
              </w:rPr>
              <w:t>分析</w:t>
            </w:r>
            <w:r>
              <w:rPr>
                <w:sz w:val="24"/>
                <w:szCs w:val="24"/>
              </w:rPr>
              <w:t>见下表。</w:t>
            </w:r>
          </w:p>
          <w:p>
            <w:pPr>
              <w:ind w:firstLine="422" w:firstLineChars="200"/>
              <w:jc w:val="center"/>
              <w:rPr>
                <w:b/>
                <w:bCs/>
                <w:szCs w:val="21"/>
              </w:rPr>
            </w:pPr>
            <w:r>
              <w:rPr>
                <w:rFonts w:hint="eastAsia"/>
                <w:b/>
                <w:bCs/>
                <w:szCs w:val="21"/>
              </w:rPr>
              <w:t>表3-8区域地下水</w:t>
            </w:r>
            <w:r>
              <w:rPr>
                <w:b/>
                <w:bCs/>
                <w:szCs w:val="21"/>
              </w:rPr>
              <w:t>水质监测结果一览表</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34"/>
              <w:gridCol w:w="1039"/>
              <w:gridCol w:w="1240"/>
              <w:gridCol w:w="963"/>
              <w:gridCol w:w="1039"/>
              <w:gridCol w:w="1038"/>
              <w:gridCol w:w="1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4" w:type="dxa"/>
                  <w:gridSpan w:val="2"/>
                  <w:tcBorders>
                    <w:tl2br w:val="nil"/>
                    <w:tr2bl w:val="nil"/>
                  </w:tcBorders>
                  <w:vAlign w:val="center"/>
                </w:tcPr>
                <w:p>
                  <w:pPr>
                    <w:jc w:val="right"/>
                    <w:rPr>
                      <w:b/>
                      <w:kern w:val="0"/>
                      <w:szCs w:val="21"/>
                    </w:rPr>
                  </w:pPr>
                  <w:r>
                    <w:rPr>
                      <w:b/>
                      <w:kern w:val="0"/>
                      <w:szCs w:val="21"/>
                    </w:rPr>
                    <w:t>检测</w:t>
                  </w:r>
                  <w:r>
                    <w:rPr>
                      <w:rFonts w:hint="eastAsia"/>
                      <w:b/>
                      <w:kern w:val="0"/>
                      <w:szCs w:val="21"/>
                    </w:rPr>
                    <w:t>因子</w:t>
                  </w:r>
                </w:p>
                <w:p>
                  <w:pPr>
                    <w:rPr>
                      <w:b/>
                      <w:kern w:val="0"/>
                      <w:szCs w:val="21"/>
                    </w:rPr>
                  </w:pPr>
                  <w:r>
                    <w:rPr>
                      <w:rFonts w:hint="eastAsia"/>
                      <w:b/>
                      <w:kern w:val="0"/>
                      <w:szCs w:val="21"/>
                    </w:rPr>
                    <w:t>点位</w:t>
                  </w:r>
                </w:p>
              </w:tc>
              <w:tc>
                <w:tcPr>
                  <w:tcW w:w="1039" w:type="dxa"/>
                  <w:tcBorders>
                    <w:tl2br w:val="nil"/>
                    <w:tr2bl w:val="nil"/>
                  </w:tcBorders>
                  <w:vAlign w:val="center"/>
                </w:tcPr>
                <w:p>
                  <w:pPr>
                    <w:jc w:val="center"/>
                    <w:rPr>
                      <w:b/>
                      <w:kern w:val="0"/>
                      <w:szCs w:val="21"/>
                    </w:rPr>
                  </w:pPr>
                  <w:r>
                    <w:rPr>
                      <w:b/>
                      <w:kern w:val="0"/>
                      <w:szCs w:val="21"/>
                    </w:rPr>
                    <w:t>pH</w:t>
                  </w:r>
                </w:p>
              </w:tc>
              <w:tc>
                <w:tcPr>
                  <w:tcW w:w="1240" w:type="dxa"/>
                  <w:tcBorders>
                    <w:tl2br w:val="nil"/>
                    <w:tr2bl w:val="nil"/>
                  </w:tcBorders>
                  <w:vAlign w:val="center"/>
                </w:tcPr>
                <w:p>
                  <w:pPr>
                    <w:widowControl/>
                    <w:jc w:val="center"/>
                    <w:rPr>
                      <w:b/>
                      <w:kern w:val="0"/>
                      <w:szCs w:val="21"/>
                    </w:rPr>
                  </w:pPr>
                  <w:r>
                    <w:rPr>
                      <w:b/>
                      <w:szCs w:val="21"/>
                    </w:rPr>
                    <w:t>高锰酸盐指数</w:t>
                  </w:r>
                </w:p>
              </w:tc>
              <w:tc>
                <w:tcPr>
                  <w:tcW w:w="963" w:type="dxa"/>
                  <w:tcBorders>
                    <w:tl2br w:val="nil"/>
                    <w:tr2bl w:val="nil"/>
                  </w:tcBorders>
                  <w:vAlign w:val="center"/>
                </w:tcPr>
                <w:p>
                  <w:pPr>
                    <w:widowControl/>
                    <w:jc w:val="center"/>
                    <w:rPr>
                      <w:b/>
                      <w:kern w:val="0"/>
                      <w:szCs w:val="21"/>
                    </w:rPr>
                  </w:pPr>
                  <w:r>
                    <w:rPr>
                      <w:b/>
                      <w:szCs w:val="21"/>
                    </w:rPr>
                    <w:t>氨氮</w:t>
                  </w:r>
                </w:p>
              </w:tc>
              <w:tc>
                <w:tcPr>
                  <w:tcW w:w="1039" w:type="dxa"/>
                  <w:tcBorders>
                    <w:tl2br w:val="nil"/>
                    <w:tr2bl w:val="nil"/>
                  </w:tcBorders>
                  <w:vAlign w:val="center"/>
                </w:tcPr>
                <w:p>
                  <w:pPr>
                    <w:jc w:val="center"/>
                    <w:rPr>
                      <w:b/>
                      <w:kern w:val="0"/>
                      <w:szCs w:val="21"/>
                    </w:rPr>
                  </w:pPr>
                  <w:r>
                    <w:rPr>
                      <w:rFonts w:hint="eastAsia"/>
                      <w:b/>
                      <w:szCs w:val="21"/>
                    </w:rPr>
                    <w:t>氯化物</w:t>
                  </w:r>
                </w:p>
              </w:tc>
              <w:tc>
                <w:tcPr>
                  <w:tcW w:w="1038" w:type="dxa"/>
                  <w:tcBorders>
                    <w:tl2br w:val="nil"/>
                    <w:tr2bl w:val="nil"/>
                  </w:tcBorders>
                  <w:vAlign w:val="center"/>
                </w:tcPr>
                <w:p>
                  <w:pPr>
                    <w:jc w:val="center"/>
                    <w:rPr>
                      <w:b/>
                      <w:kern w:val="0"/>
                      <w:szCs w:val="21"/>
                    </w:rPr>
                  </w:pPr>
                  <w:r>
                    <w:rPr>
                      <w:b/>
                      <w:szCs w:val="21"/>
                    </w:rPr>
                    <w:t>氟化物</w:t>
                  </w:r>
                </w:p>
              </w:tc>
              <w:tc>
                <w:tcPr>
                  <w:tcW w:w="1039" w:type="dxa"/>
                  <w:tcBorders>
                    <w:tl2br w:val="nil"/>
                    <w:tr2bl w:val="nil"/>
                  </w:tcBorders>
                  <w:vAlign w:val="center"/>
                </w:tcPr>
                <w:p>
                  <w:pPr>
                    <w:jc w:val="center"/>
                    <w:rPr>
                      <w:b/>
                      <w:kern w:val="0"/>
                      <w:szCs w:val="21"/>
                    </w:rPr>
                  </w:pPr>
                  <w:r>
                    <w:rPr>
                      <w:b/>
                      <w:szCs w:val="21"/>
                    </w:rPr>
                    <w:t>总硬度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restart"/>
                  <w:tcBorders>
                    <w:tl2br w:val="nil"/>
                    <w:tr2bl w:val="nil"/>
                  </w:tcBorders>
                  <w:vAlign w:val="center"/>
                </w:tcPr>
                <w:p>
                  <w:pPr>
                    <w:jc w:val="center"/>
                    <w:rPr>
                      <w:bCs/>
                      <w:kern w:val="0"/>
                      <w:szCs w:val="21"/>
                    </w:rPr>
                  </w:pPr>
                  <w:r>
                    <w:rPr>
                      <w:bCs/>
                      <w:kern w:val="0"/>
                      <w:szCs w:val="21"/>
                    </w:rPr>
                    <w:t>1#</w:t>
                  </w:r>
                </w:p>
              </w:tc>
              <w:tc>
                <w:tcPr>
                  <w:tcW w:w="1234" w:type="dxa"/>
                  <w:tcBorders>
                    <w:tl2br w:val="nil"/>
                    <w:tr2bl w:val="nil"/>
                  </w:tcBorders>
                  <w:vAlign w:val="center"/>
                </w:tcPr>
                <w:p>
                  <w:pPr>
                    <w:jc w:val="center"/>
                    <w:rPr>
                      <w:bCs/>
                      <w:kern w:val="0"/>
                      <w:szCs w:val="21"/>
                    </w:rPr>
                  </w:pPr>
                  <w:r>
                    <w:rPr>
                      <w:rFonts w:hint="eastAsia"/>
                      <w:bCs/>
                      <w:kern w:val="0"/>
                      <w:szCs w:val="21"/>
                    </w:rPr>
                    <w:t>最小值</w:t>
                  </w:r>
                </w:p>
              </w:tc>
              <w:tc>
                <w:tcPr>
                  <w:tcW w:w="1039" w:type="dxa"/>
                  <w:tcBorders>
                    <w:tl2br w:val="nil"/>
                    <w:tr2bl w:val="nil"/>
                  </w:tcBorders>
                  <w:vAlign w:val="center"/>
                </w:tcPr>
                <w:p>
                  <w:pPr>
                    <w:widowControl/>
                    <w:jc w:val="center"/>
                    <w:rPr>
                      <w:bCs/>
                      <w:szCs w:val="21"/>
                    </w:rPr>
                  </w:pPr>
                  <w:r>
                    <w:rPr>
                      <w:rFonts w:hint="eastAsia"/>
                      <w:bCs/>
                      <w:szCs w:val="21"/>
                    </w:rPr>
                    <w:t>7.36</w:t>
                  </w:r>
                </w:p>
              </w:tc>
              <w:tc>
                <w:tcPr>
                  <w:tcW w:w="1240" w:type="dxa"/>
                  <w:tcBorders>
                    <w:tl2br w:val="nil"/>
                    <w:tr2bl w:val="nil"/>
                  </w:tcBorders>
                  <w:vAlign w:val="center"/>
                </w:tcPr>
                <w:p>
                  <w:pPr>
                    <w:widowControl/>
                    <w:jc w:val="center"/>
                    <w:rPr>
                      <w:bCs/>
                      <w:szCs w:val="21"/>
                    </w:rPr>
                  </w:pPr>
                  <w:r>
                    <w:rPr>
                      <w:rFonts w:hint="eastAsia"/>
                      <w:bCs/>
                      <w:szCs w:val="21"/>
                    </w:rPr>
                    <w:t>0.81</w:t>
                  </w:r>
                </w:p>
              </w:tc>
              <w:tc>
                <w:tcPr>
                  <w:tcW w:w="963" w:type="dxa"/>
                  <w:tcBorders>
                    <w:tl2br w:val="nil"/>
                    <w:tr2bl w:val="nil"/>
                  </w:tcBorders>
                  <w:vAlign w:val="center"/>
                </w:tcPr>
                <w:p>
                  <w:pPr>
                    <w:widowControl/>
                    <w:jc w:val="center"/>
                    <w:rPr>
                      <w:bCs/>
                      <w:szCs w:val="21"/>
                    </w:rPr>
                  </w:pPr>
                  <w:r>
                    <w:rPr>
                      <w:rFonts w:hint="eastAsia"/>
                      <w:bCs/>
                      <w:szCs w:val="21"/>
                    </w:rPr>
                    <w:t>0.169</w:t>
                  </w:r>
                </w:p>
              </w:tc>
              <w:tc>
                <w:tcPr>
                  <w:tcW w:w="1039" w:type="dxa"/>
                  <w:tcBorders>
                    <w:tl2br w:val="nil"/>
                    <w:tr2bl w:val="nil"/>
                  </w:tcBorders>
                  <w:vAlign w:val="center"/>
                </w:tcPr>
                <w:p>
                  <w:pPr>
                    <w:widowControl/>
                    <w:jc w:val="center"/>
                    <w:rPr>
                      <w:bCs/>
                      <w:szCs w:val="21"/>
                    </w:rPr>
                  </w:pPr>
                  <w:r>
                    <w:rPr>
                      <w:rFonts w:hint="eastAsia"/>
                      <w:bCs/>
                      <w:szCs w:val="21"/>
                    </w:rPr>
                    <w:t>11.4</w:t>
                  </w:r>
                </w:p>
              </w:tc>
              <w:tc>
                <w:tcPr>
                  <w:tcW w:w="1038" w:type="dxa"/>
                  <w:tcBorders>
                    <w:tl2br w:val="nil"/>
                    <w:tr2bl w:val="nil"/>
                  </w:tcBorders>
                  <w:vAlign w:val="center"/>
                </w:tcPr>
                <w:p>
                  <w:pPr>
                    <w:widowControl/>
                    <w:jc w:val="center"/>
                    <w:rPr>
                      <w:bCs/>
                      <w:szCs w:val="21"/>
                    </w:rPr>
                  </w:pPr>
                  <w:r>
                    <w:rPr>
                      <w:rFonts w:hint="eastAsia"/>
                      <w:bCs/>
                      <w:szCs w:val="21"/>
                    </w:rPr>
                    <w:t>0.45</w:t>
                  </w:r>
                </w:p>
              </w:tc>
              <w:tc>
                <w:tcPr>
                  <w:tcW w:w="1039" w:type="dxa"/>
                  <w:tcBorders>
                    <w:tl2br w:val="nil"/>
                    <w:tr2bl w:val="nil"/>
                  </w:tcBorders>
                  <w:vAlign w:val="center"/>
                </w:tcPr>
                <w:p>
                  <w:pPr>
                    <w:widowControl/>
                    <w:jc w:val="center"/>
                    <w:rPr>
                      <w:bCs/>
                      <w:szCs w:val="21"/>
                    </w:rPr>
                  </w:pPr>
                  <w:r>
                    <w:rPr>
                      <w:rFonts w:hint="eastAsia"/>
                      <w:bCs/>
                      <w:szCs w:val="21"/>
                    </w:rPr>
                    <w:t>198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continue"/>
                  <w:tcBorders>
                    <w:tl2br w:val="nil"/>
                    <w:tr2bl w:val="nil"/>
                  </w:tcBorders>
                  <w:vAlign w:val="center"/>
                </w:tcPr>
                <w:p>
                  <w:pPr>
                    <w:jc w:val="center"/>
                    <w:rPr>
                      <w:bCs/>
                      <w:kern w:val="0"/>
                      <w:szCs w:val="21"/>
                    </w:rPr>
                  </w:pPr>
                </w:p>
              </w:tc>
              <w:tc>
                <w:tcPr>
                  <w:tcW w:w="1234" w:type="dxa"/>
                  <w:tcBorders>
                    <w:tl2br w:val="nil"/>
                    <w:tr2bl w:val="nil"/>
                  </w:tcBorders>
                  <w:vAlign w:val="center"/>
                </w:tcPr>
                <w:p>
                  <w:pPr>
                    <w:jc w:val="center"/>
                    <w:rPr>
                      <w:bCs/>
                      <w:kern w:val="0"/>
                      <w:szCs w:val="21"/>
                    </w:rPr>
                  </w:pPr>
                  <w:r>
                    <w:rPr>
                      <w:rFonts w:hint="eastAsia"/>
                      <w:bCs/>
                      <w:kern w:val="0"/>
                      <w:szCs w:val="21"/>
                    </w:rPr>
                    <w:t>最大值</w:t>
                  </w:r>
                </w:p>
              </w:tc>
              <w:tc>
                <w:tcPr>
                  <w:tcW w:w="1039" w:type="dxa"/>
                  <w:tcBorders>
                    <w:tl2br w:val="nil"/>
                    <w:tr2bl w:val="nil"/>
                  </w:tcBorders>
                  <w:vAlign w:val="center"/>
                </w:tcPr>
                <w:p>
                  <w:pPr>
                    <w:widowControl/>
                    <w:jc w:val="center"/>
                    <w:rPr>
                      <w:bCs/>
                      <w:szCs w:val="21"/>
                    </w:rPr>
                  </w:pPr>
                  <w:r>
                    <w:rPr>
                      <w:rFonts w:hint="eastAsia"/>
                      <w:bCs/>
                      <w:szCs w:val="21"/>
                    </w:rPr>
                    <w:t>7.42</w:t>
                  </w:r>
                </w:p>
              </w:tc>
              <w:tc>
                <w:tcPr>
                  <w:tcW w:w="1240" w:type="dxa"/>
                  <w:tcBorders>
                    <w:tl2br w:val="nil"/>
                    <w:tr2bl w:val="nil"/>
                  </w:tcBorders>
                  <w:vAlign w:val="center"/>
                </w:tcPr>
                <w:p>
                  <w:pPr>
                    <w:widowControl/>
                    <w:jc w:val="center"/>
                    <w:rPr>
                      <w:bCs/>
                      <w:szCs w:val="21"/>
                    </w:rPr>
                  </w:pPr>
                  <w:r>
                    <w:rPr>
                      <w:rFonts w:hint="eastAsia"/>
                      <w:bCs/>
                      <w:szCs w:val="21"/>
                    </w:rPr>
                    <w:t>0.89</w:t>
                  </w:r>
                </w:p>
              </w:tc>
              <w:tc>
                <w:tcPr>
                  <w:tcW w:w="963" w:type="dxa"/>
                  <w:tcBorders>
                    <w:tl2br w:val="nil"/>
                    <w:tr2bl w:val="nil"/>
                  </w:tcBorders>
                  <w:vAlign w:val="center"/>
                </w:tcPr>
                <w:p>
                  <w:pPr>
                    <w:widowControl/>
                    <w:jc w:val="center"/>
                    <w:rPr>
                      <w:bCs/>
                      <w:szCs w:val="21"/>
                    </w:rPr>
                  </w:pPr>
                  <w:r>
                    <w:rPr>
                      <w:rFonts w:hint="eastAsia"/>
                      <w:bCs/>
                      <w:szCs w:val="21"/>
                    </w:rPr>
                    <w:t>0.180</w:t>
                  </w:r>
                </w:p>
              </w:tc>
              <w:tc>
                <w:tcPr>
                  <w:tcW w:w="1039" w:type="dxa"/>
                  <w:tcBorders>
                    <w:tl2br w:val="nil"/>
                    <w:tr2bl w:val="nil"/>
                  </w:tcBorders>
                  <w:vAlign w:val="center"/>
                </w:tcPr>
                <w:p>
                  <w:pPr>
                    <w:widowControl/>
                    <w:jc w:val="center"/>
                    <w:rPr>
                      <w:bCs/>
                      <w:szCs w:val="21"/>
                    </w:rPr>
                  </w:pPr>
                  <w:r>
                    <w:rPr>
                      <w:rFonts w:hint="eastAsia"/>
                      <w:bCs/>
                      <w:szCs w:val="21"/>
                    </w:rPr>
                    <w:t>11.9</w:t>
                  </w:r>
                </w:p>
              </w:tc>
              <w:tc>
                <w:tcPr>
                  <w:tcW w:w="1038" w:type="dxa"/>
                  <w:tcBorders>
                    <w:tl2br w:val="nil"/>
                    <w:tr2bl w:val="nil"/>
                  </w:tcBorders>
                  <w:vAlign w:val="center"/>
                </w:tcPr>
                <w:p>
                  <w:pPr>
                    <w:widowControl/>
                    <w:jc w:val="center"/>
                    <w:rPr>
                      <w:bCs/>
                      <w:szCs w:val="21"/>
                    </w:rPr>
                  </w:pPr>
                  <w:r>
                    <w:rPr>
                      <w:rFonts w:hint="eastAsia"/>
                      <w:bCs/>
                      <w:szCs w:val="21"/>
                    </w:rPr>
                    <w:t>0.50</w:t>
                  </w:r>
                </w:p>
              </w:tc>
              <w:tc>
                <w:tcPr>
                  <w:tcW w:w="1039" w:type="dxa"/>
                  <w:tcBorders>
                    <w:tl2br w:val="nil"/>
                    <w:tr2bl w:val="nil"/>
                  </w:tcBorders>
                  <w:vAlign w:val="center"/>
                </w:tcPr>
                <w:p>
                  <w:pPr>
                    <w:widowControl/>
                    <w:jc w:val="center"/>
                    <w:rPr>
                      <w:bCs/>
                      <w:szCs w:val="21"/>
                    </w:rPr>
                  </w:pPr>
                  <w:r>
                    <w:rPr>
                      <w:rFonts w:hint="eastAsia"/>
                      <w:bCs/>
                      <w:szCs w:val="21"/>
                    </w:rPr>
                    <w:t>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continue"/>
                  <w:tcBorders>
                    <w:tl2br w:val="nil"/>
                    <w:tr2bl w:val="nil"/>
                  </w:tcBorders>
                  <w:vAlign w:val="center"/>
                </w:tcPr>
                <w:p>
                  <w:pPr>
                    <w:jc w:val="center"/>
                    <w:rPr>
                      <w:bCs/>
                      <w:kern w:val="0"/>
                      <w:szCs w:val="21"/>
                    </w:rPr>
                  </w:pPr>
                </w:p>
              </w:tc>
              <w:tc>
                <w:tcPr>
                  <w:tcW w:w="1234" w:type="dxa"/>
                  <w:tcBorders>
                    <w:tl2br w:val="nil"/>
                    <w:tr2bl w:val="nil"/>
                  </w:tcBorders>
                  <w:vAlign w:val="center"/>
                </w:tcPr>
                <w:p>
                  <w:pPr>
                    <w:jc w:val="center"/>
                    <w:rPr>
                      <w:bCs/>
                      <w:kern w:val="0"/>
                      <w:szCs w:val="21"/>
                    </w:rPr>
                  </w:pPr>
                  <w:r>
                    <w:rPr>
                      <w:rFonts w:hint="eastAsia"/>
                      <w:bCs/>
                      <w:kern w:val="0"/>
                      <w:szCs w:val="21"/>
                    </w:rPr>
                    <w:t>平均值</w:t>
                  </w:r>
                </w:p>
              </w:tc>
              <w:tc>
                <w:tcPr>
                  <w:tcW w:w="1039" w:type="dxa"/>
                  <w:tcBorders>
                    <w:tl2br w:val="nil"/>
                    <w:tr2bl w:val="nil"/>
                  </w:tcBorders>
                  <w:vAlign w:val="center"/>
                </w:tcPr>
                <w:p>
                  <w:pPr>
                    <w:widowControl/>
                    <w:jc w:val="center"/>
                    <w:rPr>
                      <w:bCs/>
                      <w:szCs w:val="21"/>
                    </w:rPr>
                  </w:pPr>
                  <w:r>
                    <w:rPr>
                      <w:rFonts w:hint="eastAsia"/>
                      <w:bCs/>
                      <w:szCs w:val="21"/>
                    </w:rPr>
                    <w:t>/</w:t>
                  </w:r>
                </w:p>
              </w:tc>
              <w:tc>
                <w:tcPr>
                  <w:tcW w:w="1240" w:type="dxa"/>
                  <w:tcBorders>
                    <w:tl2br w:val="nil"/>
                    <w:tr2bl w:val="nil"/>
                  </w:tcBorders>
                  <w:vAlign w:val="center"/>
                </w:tcPr>
                <w:p>
                  <w:pPr>
                    <w:widowControl/>
                    <w:jc w:val="center"/>
                    <w:rPr>
                      <w:bCs/>
                      <w:szCs w:val="21"/>
                    </w:rPr>
                  </w:pPr>
                  <w:r>
                    <w:rPr>
                      <w:rFonts w:hint="eastAsia"/>
                      <w:bCs/>
                      <w:szCs w:val="21"/>
                    </w:rPr>
                    <w:t>0.85</w:t>
                  </w:r>
                </w:p>
              </w:tc>
              <w:tc>
                <w:tcPr>
                  <w:tcW w:w="963" w:type="dxa"/>
                  <w:tcBorders>
                    <w:tl2br w:val="nil"/>
                    <w:tr2bl w:val="nil"/>
                  </w:tcBorders>
                  <w:vAlign w:val="center"/>
                </w:tcPr>
                <w:p>
                  <w:pPr>
                    <w:widowControl/>
                    <w:jc w:val="center"/>
                    <w:rPr>
                      <w:bCs/>
                      <w:szCs w:val="21"/>
                    </w:rPr>
                  </w:pPr>
                  <w:r>
                    <w:rPr>
                      <w:rFonts w:hint="eastAsia"/>
                      <w:bCs/>
                      <w:szCs w:val="21"/>
                    </w:rPr>
                    <w:t>0.175</w:t>
                  </w:r>
                </w:p>
              </w:tc>
              <w:tc>
                <w:tcPr>
                  <w:tcW w:w="1039" w:type="dxa"/>
                  <w:tcBorders>
                    <w:tl2br w:val="nil"/>
                    <w:tr2bl w:val="nil"/>
                  </w:tcBorders>
                  <w:vAlign w:val="center"/>
                </w:tcPr>
                <w:p>
                  <w:pPr>
                    <w:widowControl/>
                    <w:jc w:val="center"/>
                    <w:rPr>
                      <w:bCs/>
                      <w:szCs w:val="21"/>
                    </w:rPr>
                  </w:pPr>
                  <w:r>
                    <w:rPr>
                      <w:rFonts w:hint="eastAsia"/>
                      <w:bCs/>
                      <w:szCs w:val="21"/>
                    </w:rPr>
                    <w:t>11.6</w:t>
                  </w:r>
                </w:p>
              </w:tc>
              <w:tc>
                <w:tcPr>
                  <w:tcW w:w="1038" w:type="dxa"/>
                  <w:tcBorders>
                    <w:tl2br w:val="nil"/>
                    <w:tr2bl w:val="nil"/>
                  </w:tcBorders>
                  <w:vAlign w:val="center"/>
                </w:tcPr>
                <w:p>
                  <w:pPr>
                    <w:widowControl/>
                    <w:jc w:val="center"/>
                    <w:rPr>
                      <w:bCs/>
                      <w:szCs w:val="21"/>
                    </w:rPr>
                  </w:pPr>
                  <w:r>
                    <w:rPr>
                      <w:rFonts w:hint="eastAsia"/>
                      <w:bCs/>
                      <w:szCs w:val="21"/>
                    </w:rPr>
                    <w:t>0.47</w:t>
                  </w:r>
                </w:p>
              </w:tc>
              <w:tc>
                <w:tcPr>
                  <w:tcW w:w="1039" w:type="dxa"/>
                  <w:tcBorders>
                    <w:tl2br w:val="nil"/>
                    <w:tr2bl w:val="nil"/>
                  </w:tcBorders>
                  <w:vAlign w:val="center"/>
                </w:tcPr>
                <w:p>
                  <w:pPr>
                    <w:widowControl/>
                    <w:jc w:val="center"/>
                    <w:rPr>
                      <w:bCs/>
                      <w:szCs w:val="21"/>
                    </w:rPr>
                  </w:pPr>
                  <w:r>
                    <w:rPr>
                      <w:rFonts w:hint="eastAsia"/>
                      <w:bCs/>
                      <w:szCs w:val="21"/>
                    </w:rPr>
                    <w:t>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restart"/>
                  <w:tcBorders>
                    <w:tl2br w:val="nil"/>
                    <w:tr2bl w:val="nil"/>
                  </w:tcBorders>
                  <w:vAlign w:val="center"/>
                </w:tcPr>
                <w:p>
                  <w:pPr>
                    <w:jc w:val="center"/>
                    <w:rPr>
                      <w:bCs/>
                      <w:kern w:val="0"/>
                      <w:szCs w:val="21"/>
                    </w:rPr>
                  </w:pPr>
                  <w:r>
                    <w:rPr>
                      <w:rFonts w:hint="eastAsia"/>
                      <w:bCs/>
                      <w:kern w:val="0"/>
                      <w:szCs w:val="21"/>
                    </w:rPr>
                    <w:t>2#</w:t>
                  </w:r>
                </w:p>
              </w:tc>
              <w:tc>
                <w:tcPr>
                  <w:tcW w:w="1234" w:type="dxa"/>
                  <w:tcBorders>
                    <w:tl2br w:val="nil"/>
                    <w:tr2bl w:val="nil"/>
                  </w:tcBorders>
                  <w:vAlign w:val="center"/>
                </w:tcPr>
                <w:p>
                  <w:pPr>
                    <w:jc w:val="center"/>
                    <w:rPr>
                      <w:bCs/>
                      <w:kern w:val="0"/>
                      <w:szCs w:val="21"/>
                    </w:rPr>
                  </w:pPr>
                  <w:r>
                    <w:rPr>
                      <w:rFonts w:hint="eastAsia"/>
                      <w:bCs/>
                      <w:kern w:val="0"/>
                      <w:szCs w:val="21"/>
                    </w:rPr>
                    <w:t>最小值</w:t>
                  </w:r>
                </w:p>
              </w:tc>
              <w:tc>
                <w:tcPr>
                  <w:tcW w:w="1039" w:type="dxa"/>
                  <w:tcBorders>
                    <w:tl2br w:val="nil"/>
                    <w:tr2bl w:val="nil"/>
                  </w:tcBorders>
                  <w:vAlign w:val="center"/>
                </w:tcPr>
                <w:p>
                  <w:pPr>
                    <w:widowControl/>
                    <w:jc w:val="center"/>
                    <w:rPr>
                      <w:bCs/>
                      <w:szCs w:val="21"/>
                    </w:rPr>
                  </w:pPr>
                  <w:r>
                    <w:rPr>
                      <w:rFonts w:hint="eastAsia"/>
                      <w:bCs/>
                      <w:szCs w:val="21"/>
                    </w:rPr>
                    <w:t>7.17</w:t>
                  </w:r>
                </w:p>
              </w:tc>
              <w:tc>
                <w:tcPr>
                  <w:tcW w:w="1240" w:type="dxa"/>
                  <w:tcBorders>
                    <w:tl2br w:val="nil"/>
                    <w:tr2bl w:val="nil"/>
                  </w:tcBorders>
                  <w:vAlign w:val="center"/>
                </w:tcPr>
                <w:p>
                  <w:pPr>
                    <w:widowControl/>
                    <w:jc w:val="center"/>
                    <w:rPr>
                      <w:bCs/>
                      <w:szCs w:val="21"/>
                    </w:rPr>
                  </w:pPr>
                  <w:r>
                    <w:rPr>
                      <w:rFonts w:hint="eastAsia"/>
                      <w:bCs/>
                      <w:szCs w:val="21"/>
                    </w:rPr>
                    <w:t>0.96</w:t>
                  </w:r>
                </w:p>
              </w:tc>
              <w:tc>
                <w:tcPr>
                  <w:tcW w:w="963" w:type="dxa"/>
                  <w:tcBorders>
                    <w:tl2br w:val="nil"/>
                    <w:tr2bl w:val="nil"/>
                  </w:tcBorders>
                  <w:vAlign w:val="center"/>
                </w:tcPr>
                <w:p>
                  <w:pPr>
                    <w:widowControl/>
                    <w:jc w:val="center"/>
                    <w:rPr>
                      <w:bCs/>
                      <w:szCs w:val="21"/>
                    </w:rPr>
                  </w:pPr>
                  <w:r>
                    <w:rPr>
                      <w:rFonts w:hint="eastAsia"/>
                      <w:bCs/>
                      <w:szCs w:val="21"/>
                    </w:rPr>
                    <w:t>0.160</w:t>
                  </w:r>
                </w:p>
              </w:tc>
              <w:tc>
                <w:tcPr>
                  <w:tcW w:w="1039" w:type="dxa"/>
                  <w:tcBorders>
                    <w:tl2br w:val="nil"/>
                    <w:tr2bl w:val="nil"/>
                  </w:tcBorders>
                  <w:vAlign w:val="center"/>
                </w:tcPr>
                <w:p>
                  <w:pPr>
                    <w:widowControl/>
                    <w:jc w:val="center"/>
                    <w:rPr>
                      <w:bCs/>
                      <w:szCs w:val="21"/>
                    </w:rPr>
                  </w:pPr>
                  <w:r>
                    <w:rPr>
                      <w:rFonts w:hint="eastAsia"/>
                      <w:bCs/>
                      <w:szCs w:val="21"/>
                    </w:rPr>
                    <w:t>12.0</w:t>
                  </w:r>
                </w:p>
              </w:tc>
              <w:tc>
                <w:tcPr>
                  <w:tcW w:w="1038" w:type="dxa"/>
                  <w:tcBorders>
                    <w:tl2br w:val="nil"/>
                    <w:tr2bl w:val="nil"/>
                  </w:tcBorders>
                  <w:vAlign w:val="center"/>
                </w:tcPr>
                <w:p>
                  <w:pPr>
                    <w:widowControl/>
                    <w:jc w:val="center"/>
                    <w:rPr>
                      <w:bCs/>
                      <w:szCs w:val="21"/>
                    </w:rPr>
                  </w:pPr>
                  <w:r>
                    <w:rPr>
                      <w:rFonts w:hint="eastAsia"/>
                      <w:bCs/>
                      <w:szCs w:val="21"/>
                    </w:rPr>
                    <w:t>0.25</w:t>
                  </w:r>
                </w:p>
              </w:tc>
              <w:tc>
                <w:tcPr>
                  <w:tcW w:w="1039" w:type="dxa"/>
                  <w:tcBorders>
                    <w:tl2br w:val="nil"/>
                    <w:tr2bl w:val="nil"/>
                  </w:tcBorders>
                  <w:vAlign w:val="center"/>
                </w:tcPr>
                <w:p>
                  <w:pPr>
                    <w:widowControl/>
                    <w:jc w:val="center"/>
                    <w:rPr>
                      <w:bCs/>
                      <w:szCs w:val="21"/>
                    </w:rPr>
                  </w:pPr>
                  <w:r>
                    <w:rPr>
                      <w:rFonts w:hint="eastAsia"/>
                      <w:bCs/>
                      <w:szCs w:val="21"/>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continue"/>
                  <w:tcBorders>
                    <w:tl2br w:val="nil"/>
                    <w:tr2bl w:val="nil"/>
                  </w:tcBorders>
                  <w:vAlign w:val="center"/>
                </w:tcPr>
                <w:p>
                  <w:pPr>
                    <w:jc w:val="center"/>
                    <w:rPr>
                      <w:bCs/>
                      <w:kern w:val="0"/>
                      <w:szCs w:val="21"/>
                    </w:rPr>
                  </w:pPr>
                </w:p>
              </w:tc>
              <w:tc>
                <w:tcPr>
                  <w:tcW w:w="1234" w:type="dxa"/>
                  <w:tcBorders>
                    <w:tl2br w:val="nil"/>
                    <w:tr2bl w:val="nil"/>
                  </w:tcBorders>
                  <w:vAlign w:val="center"/>
                </w:tcPr>
                <w:p>
                  <w:pPr>
                    <w:jc w:val="center"/>
                    <w:rPr>
                      <w:bCs/>
                      <w:kern w:val="0"/>
                      <w:szCs w:val="21"/>
                    </w:rPr>
                  </w:pPr>
                  <w:r>
                    <w:rPr>
                      <w:rFonts w:hint="eastAsia"/>
                      <w:bCs/>
                      <w:kern w:val="0"/>
                      <w:szCs w:val="21"/>
                    </w:rPr>
                    <w:t>最大值</w:t>
                  </w:r>
                </w:p>
              </w:tc>
              <w:tc>
                <w:tcPr>
                  <w:tcW w:w="1039" w:type="dxa"/>
                  <w:tcBorders>
                    <w:tl2br w:val="nil"/>
                    <w:tr2bl w:val="nil"/>
                  </w:tcBorders>
                  <w:vAlign w:val="center"/>
                </w:tcPr>
                <w:p>
                  <w:pPr>
                    <w:widowControl/>
                    <w:jc w:val="center"/>
                    <w:rPr>
                      <w:bCs/>
                      <w:szCs w:val="21"/>
                    </w:rPr>
                  </w:pPr>
                  <w:r>
                    <w:rPr>
                      <w:rFonts w:hint="eastAsia"/>
                      <w:bCs/>
                      <w:szCs w:val="21"/>
                    </w:rPr>
                    <w:t>7.25</w:t>
                  </w:r>
                </w:p>
              </w:tc>
              <w:tc>
                <w:tcPr>
                  <w:tcW w:w="1240" w:type="dxa"/>
                  <w:tcBorders>
                    <w:tl2br w:val="nil"/>
                    <w:tr2bl w:val="nil"/>
                  </w:tcBorders>
                  <w:vAlign w:val="center"/>
                </w:tcPr>
                <w:p>
                  <w:pPr>
                    <w:widowControl/>
                    <w:jc w:val="center"/>
                    <w:rPr>
                      <w:bCs/>
                      <w:szCs w:val="21"/>
                    </w:rPr>
                  </w:pPr>
                  <w:r>
                    <w:rPr>
                      <w:rFonts w:hint="eastAsia"/>
                      <w:bCs/>
                      <w:szCs w:val="21"/>
                    </w:rPr>
                    <w:t>1.00</w:t>
                  </w:r>
                </w:p>
              </w:tc>
              <w:tc>
                <w:tcPr>
                  <w:tcW w:w="963" w:type="dxa"/>
                  <w:tcBorders>
                    <w:tl2br w:val="nil"/>
                    <w:tr2bl w:val="nil"/>
                  </w:tcBorders>
                  <w:vAlign w:val="center"/>
                </w:tcPr>
                <w:p>
                  <w:pPr>
                    <w:widowControl/>
                    <w:jc w:val="center"/>
                    <w:rPr>
                      <w:bCs/>
                      <w:szCs w:val="21"/>
                    </w:rPr>
                  </w:pPr>
                  <w:r>
                    <w:rPr>
                      <w:rFonts w:hint="eastAsia"/>
                      <w:bCs/>
                      <w:szCs w:val="21"/>
                    </w:rPr>
                    <w:t>0.166</w:t>
                  </w:r>
                </w:p>
              </w:tc>
              <w:tc>
                <w:tcPr>
                  <w:tcW w:w="1039" w:type="dxa"/>
                  <w:tcBorders>
                    <w:tl2br w:val="nil"/>
                    <w:tr2bl w:val="nil"/>
                  </w:tcBorders>
                  <w:vAlign w:val="center"/>
                </w:tcPr>
                <w:p>
                  <w:pPr>
                    <w:widowControl/>
                    <w:jc w:val="center"/>
                    <w:rPr>
                      <w:bCs/>
                      <w:szCs w:val="21"/>
                    </w:rPr>
                  </w:pPr>
                  <w:r>
                    <w:rPr>
                      <w:rFonts w:hint="eastAsia"/>
                      <w:bCs/>
                      <w:szCs w:val="21"/>
                    </w:rPr>
                    <w:t>12.5</w:t>
                  </w:r>
                </w:p>
              </w:tc>
              <w:tc>
                <w:tcPr>
                  <w:tcW w:w="1038" w:type="dxa"/>
                  <w:tcBorders>
                    <w:tl2br w:val="nil"/>
                    <w:tr2bl w:val="nil"/>
                  </w:tcBorders>
                  <w:vAlign w:val="center"/>
                </w:tcPr>
                <w:p>
                  <w:pPr>
                    <w:widowControl/>
                    <w:jc w:val="center"/>
                    <w:rPr>
                      <w:bCs/>
                      <w:szCs w:val="21"/>
                    </w:rPr>
                  </w:pPr>
                  <w:r>
                    <w:rPr>
                      <w:rFonts w:hint="eastAsia"/>
                      <w:bCs/>
                      <w:szCs w:val="21"/>
                    </w:rPr>
                    <w:t>0.31</w:t>
                  </w:r>
                </w:p>
              </w:tc>
              <w:tc>
                <w:tcPr>
                  <w:tcW w:w="1039" w:type="dxa"/>
                  <w:tcBorders>
                    <w:tl2br w:val="nil"/>
                    <w:tr2bl w:val="nil"/>
                  </w:tcBorders>
                  <w:vAlign w:val="center"/>
                </w:tcPr>
                <w:p>
                  <w:pPr>
                    <w:widowControl/>
                    <w:jc w:val="center"/>
                    <w:rPr>
                      <w:bCs/>
                      <w:szCs w:val="21"/>
                    </w:rPr>
                  </w:pPr>
                  <w:r>
                    <w:rPr>
                      <w:rFonts w:hint="eastAsia"/>
                      <w:bCs/>
                      <w:szCs w:val="21"/>
                    </w:rPr>
                    <w:t>326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continue"/>
                  <w:tcBorders>
                    <w:tl2br w:val="nil"/>
                    <w:tr2bl w:val="nil"/>
                  </w:tcBorders>
                  <w:vAlign w:val="center"/>
                </w:tcPr>
                <w:p>
                  <w:pPr>
                    <w:jc w:val="center"/>
                    <w:rPr>
                      <w:bCs/>
                      <w:kern w:val="0"/>
                      <w:szCs w:val="21"/>
                    </w:rPr>
                  </w:pPr>
                </w:p>
              </w:tc>
              <w:tc>
                <w:tcPr>
                  <w:tcW w:w="1234" w:type="dxa"/>
                  <w:tcBorders>
                    <w:tl2br w:val="nil"/>
                    <w:tr2bl w:val="nil"/>
                  </w:tcBorders>
                  <w:vAlign w:val="center"/>
                </w:tcPr>
                <w:p>
                  <w:pPr>
                    <w:jc w:val="center"/>
                    <w:rPr>
                      <w:bCs/>
                      <w:kern w:val="0"/>
                      <w:szCs w:val="21"/>
                    </w:rPr>
                  </w:pPr>
                  <w:r>
                    <w:rPr>
                      <w:rFonts w:hint="eastAsia"/>
                      <w:bCs/>
                      <w:kern w:val="0"/>
                      <w:szCs w:val="21"/>
                    </w:rPr>
                    <w:t>平均值</w:t>
                  </w:r>
                </w:p>
              </w:tc>
              <w:tc>
                <w:tcPr>
                  <w:tcW w:w="1039" w:type="dxa"/>
                  <w:tcBorders>
                    <w:tl2br w:val="nil"/>
                    <w:tr2bl w:val="nil"/>
                  </w:tcBorders>
                  <w:vAlign w:val="center"/>
                </w:tcPr>
                <w:p>
                  <w:pPr>
                    <w:widowControl/>
                    <w:jc w:val="center"/>
                    <w:rPr>
                      <w:bCs/>
                      <w:szCs w:val="21"/>
                    </w:rPr>
                  </w:pPr>
                  <w:r>
                    <w:rPr>
                      <w:rFonts w:hint="eastAsia"/>
                      <w:bCs/>
                      <w:szCs w:val="21"/>
                    </w:rPr>
                    <w:t>/</w:t>
                  </w:r>
                </w:p>
              </w:tc>
              <w:tc>
                <w:tcPr>
                  <w:tcW w:w="1240" w:type="dxa"/>
                  <w:tcBorders>
                    <w:tl2br w:val="nil"/>
                    <w:tr2bl w:val="nil"/>
                  </w:tcBorders>
                  <w:vAlign w:val="center"/>
                </w:tcPr>
                <w:p>
                  <w:pPr>
                    <w:widowControl/>
                    <w:jc w:val="center"/>
                    <w:rPr>
                      <w:bCs/>
                      <w:szCs w:val="21"/>
                    </w:rPr>
                  </w:pPr>
                  <w:r>
                    <w:rPr>
                      <w:rFonts w:hint="eastAsia"/>
                      <w:bCs/>
                      <w:szCs w:val="21"/>
                    </w:rPr>
                    <w:t>0.98</w:t>
                  </w:r>
                </w:p>
              </w:tc>
              <w:tc>
                <w:tcPr>
                  <w:tcW w:w="963" w:type="dxa"/>
                  <w:tcBorders>
                    <w:tl2br w:val="nil"/>
                    <w:tr2bl w:val="nil"/>
                  </w:tcBorders>
                  <w:vAlign w:val="center"/>
                </w:tcPr>
                <w:p>
                  <w:pPr>
                    <w:widowControl/>
                    <w:jc w:val="center"/>
                    <w:rPr>
                      <w:bCs/>
                      <w:szCs w:val="21"/>
                    </w:rPr>
                  </w:pPr>
                  <w:r>
                    <w:rPr>
                      <w:rFonts w:hint="eastAsia"/>
                      <w:bCs/>
                      <w:szCs w:val="21"/>
                    </w:rPr>
                    <w:t>0.163</w:t>
                  </w:r>
                </w:p>
              </w:tc>
              <w:tc>
                <w:tcPr>
                  <w:tcW w:w="1039" w:type="dxa"/>
                  <w:tcBorders>
                    <w:tl2br w:val="nil"/>
                    <w:tr2bl w:val="nil"/>
                  </w:tcBorders>
                  <w:vAlign w:val="center"/>
                </w:tcPr>
                <w:p>
                  <w:pPr>
                    <w:widowControl/>
                    <w:jc w:val="center"/>
                    <w:rPr>
                      <w:bCs/>
                      <w:szCs w:val="21"/>
                    </w:rPr>
                  </w:pPr>
                  <w:r>
                    <w:rPr>
                      <w:rFonts w:hint="eastAsia"/>
                      <w:bCs/>
                      <w:szCs w:val="21"/>
                    </w:rPr>
                    <w:t>12.2</w:t>
                  </w:r>
                </w:p>
              </w:tc>
              <w:tc>
                <w:tcPr>
                  <w:tcW w:w="1038" w:type="dxa"/>
                  <w:tcBorders>
                    <w:tl2br w:val="nil"/>
                    <w:tr2bl w:val="nil"/>
                  </w:tcBorders>
                  <w:vAlign w:val="center"/>
                </w:tcPr>
                <w:p>
                  <w:pPr>
                    <w:widowControl/>
                    <w:jc w:val="center"/>
                    <w:rPr>
                      <w:bCs/>
                      <w:szCs w:val="21"/>
                    </w:rPr>
                  </w:pPr>
                  <w:r>
                    <w:rPr>
                      <w:rFonts w:hint="eastAsia"/>
                      <w:bCs/>
                      <w:szCs w:val="21"/>
                    </w:rPr>
                    <w:t>0.28</w:t>
                  </w:r>
                </w:p>
              </w:tc>
              <w:tc>
                <w:tcPr>
                  <w:tcW w:w="1039" w:type="dxa"/>
                  <w:tcBorders>
                    <w:tl2br w:val="nil"/>
                    <w:tr2bl w:val="nil"/>
                  </w:tcBorders>
                  <w:vAlign w:val="center"/>
                </w:tcPr>
                <w:p>
                  <w:pPr>
                    <w:widowControl/>
                    <w:jc w:val="center"/>
                    <w:rPr>
                      <w:bCs/>
                      <w:szCs w:val="21"/>
                    </w:rPr>
                  </w:pPr>
                  <w:r>
                    <w:rPr>
                      <w:rFonts w:hint="eastAsia"/>
                      <w:bCs/>
                      <w:szCs w:val="21"/>
                    </w:rPr>
                    <w:t>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restart"/>
                  <w:tcBorders>
                    <w:tl2br w:val="nil"/>
                    <w:tr2bl w:val="nil"/>
                  </w:tcBorders>
                  <w:vAlign w:val="center"/>
                </w:tcPr>
                <w:p>
                  <w:pPr>
                    <w:jc w:val="center"/>
                    <w:rPr>
                      <w:bCs/>
                      <w:kern w:val="0"/>
                      <w:szCs w:val="21"/>
                    </w:rPr>
                  </w:pPr>
                  <w:r>
                    <w:rPr>
                      <w:rFonts w:hint="eastAsia"/>
                      <w:bCs/>
                      <w:kern w:val="0"/>
                      <w:szCs w:val="21"/>
                    </w:rPr>
                    <w:t>3#</w:t>
                  </w:r>
                </w:p>
              </w:tc>
              <w:tc>
                <w:tcPr>
                  <w:tcW w:w="1234" w:type="dxa"/>
                  <w:tcBorders>
                    <w:tl2br w:val="nil"/>
                    <w:tr2bl w:val="nil"/>
                  </w:tcBorders>
                  <w:vAlign w:val="center"/>
                </w:tcPr>
                <w:p>
                  <w:pPr>
                    <w:jc w:val="center"/>
                    <w:rPr>
                      <w:bCs/>
                      <w:kern w:val="0"/>
                      <w:szCs w:val="21"/>
                    </w:rPr>
                  </w:pPr>
                  <w:r>
                    <w:rPr>
                      <w:rFonts w:hint="eastAsia"/>
                      <w:bCs/>
                      <w:kern w:val="0"/>
                      <w:szCs w:val="21"/>
                    </w:rPr>
                    <w:t>最小值</w:t>
                  </w:r>
                </w:p>
              </w:tc>
              <w:tc>
                <w:tcPr>
                  <w:tcW w:w="1039" w:type="dxa"/>
                  <w:tcBorders>
                    <w:tl2br w:val="nil"/>
                    <w:tr2bl w:val="nil"/>
                  </w:tcBorders>
                  <w:vAlign w:val="center"/>
                </w:tcPr>
                <w:p>
                  <w:pPr>
                    <w:widowControl/>
                    <w:jc w:val="center"/>
                    <w:rPr>
                      <w:bCs/>
                      <w:szCs w:val="21"/>
                    </w:rPr>
                  </w:pPr>
                  <w:r>
                    <w:rPr>
                      <w:rFonts w:hint="eastAsia"/>
                      <w:bCs/>
                      <w:szCs w:val="21"/>
                    </w:rPr>
                    <w:t>7.08</w:t>
                  </w:r>
                </w:p>
              </w:tc>
              <w:tc>
                <w:tcPr>
                  <w:tcW w:w="1240" w:type="dxa"/>
                  <w:tcBorders>
                    <w:tl2br w:val="nil"/>
                    <w:tr2bl w:val="nil"/>
                  </w:tcBorders>
                  <w:vAlign w:val="center"/>
                </w:tcPr>
                <w:p>
                  <w:pPr>
                    <w:widowControl/>
                    <w:jc w:val="center"/>
                    <w:rPr>
                      <w:bCs/>
                      <w:szCs w:val="21"/>
                    </w:rPr>
                  </w:pPr>
                  <w:r>
                    <w:rPr>
                      <w:rFonts w:hint="eastAsia"/>
                      <w:bCs/>
                      <w:szCs w:val="21"/>
                    </w:rPr>
                    <w:t>0.90</w:t>
                  </w:r>
                </w:p>
              </w:tc>
              <w:tc>
                <w:tcPr>
                  <w:tcW w:w="963" w:type="dxa"/>
                  <w:tcBorders>
                    <w:tl2br w:val="nil"/>
                    <w:tr2bl w:val="nil"/>
                  </w:tcBorders>
                  <w:vAlign w:val="center"/>
                </w:tcPr>
                <w:p>
                  <w:pPr>
                    <w:widowControl/>
                    <w:jc w:val="center"/>
                    <w:rPr>
                      <w:bCs/>
                      <w:szCs w:val="21"/>
                    </w:rPr>
                  </w:pPr>
                  <w:r>
                    <w:rPr>
                      <w:rFonts w:hint="eastAsia"/>
                      <w:bCs/>
                      <w:szCs w:val="21"/>
                    </w:rPr>
                    <w:t>0.308</w:t>
                  </w:r>
                </w:p>
              </w:tc>
              <w:tc>
                <w:tcPr>
                  <w:tcW w:w="1039" w:type="dxa"/>
                  <w:tcBorders>
                    <w:tl2br w:val="nil"/>
                    <w:tr2bl w:val="nil"/>
                  </w:tcBorders>
                  <w:vAlign w:val="center"/>
                </w:tcPr>
                <w:p>
                  <w:pPr>
                    <w:widowControl/>
                    <w:jc w:val="center"/>
                    <w:rPr>
                      <w:bCs/>
                      <w:szCs w:val="21"/>
                    </w:rPr>
                  </w:pPr>
                  <w:r>
                    <w:rPr>
                      <w:rFonts w:hint="eastAsia"/>
                      <w:bCs/>
                      <w:szCs w:val="21"/>
                    </w:rPr>
                    <w:t>14.9</w:t>
                  </w:r>
                </w:p>
              </w:tc>
              <w:tc>
                <w:tcPr>
                  <w:tcW w:w="1038" w:type="dxa"/>
                  <w:tcBorders>
                    <w:tl2br w:val="nil"/>
                    <w:tr2bl w:val="nil"/>
                  </w:tcBorders>
                  <w:vAlign w:val="center"/>
                </w:tcPr>
                <w:p>
                  <w:pPr>
                    <w:widowControl/>
                    <w:jc w:val="center"/>
                    <w:rPr>
                      <w:bCs/>
                      <w:szCs w:val="21"/>
                    </w:rPr>
                  </w:pPr>
                  <w:r>
                    <w:rPr>
                      <w:rFonts w:hint="eastAsia"/>
                      <w:bCs/>
                      <w:szCs w:val="21"/>
                    </w:rPr>
                    <w:t>0.30</w:t>
                  </w:r>
                </w:p>
              </w:tc>
              <w:tc>
                <w:tcPr>
                  <w:tcW w:w="1039" w:type="dxa"/>
                  <w:tcBorders>
                    <w:tl2br w:val="nil"/>
                    <w:tr2bl w:val="nil"/>
                  </w:tcBorders>
                  <w:vAlign w:val="center"/>
                </w:tcPr>
                <w:p>
                  <w:pPr>
                    <w:widowControl/>
                    <w:jc w:val="center"/>
                    <w:rPr>
                      <w:bCs/>
                      <w:szCs w:val="21"/>
                    </w:rPr>
                  </w:pPr>
                  <w:r>
                    <w:rPr>
                      <w:rFonts w:hint="eastAsia"/>
                      <w:bCs/>
                      <w:szCs w:val="21"/>
                    </w:rPr>
                    <w:t>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continue"/>
                  <w:tcBorders>
                    <w:tl2br w:val="nil"/>
                    <w:tr2bl w:val="nil"/>
                  </w:tcBorders>
                  <w:vAlign w:val="center"/>
                </w:tcPr>
                <w:p>
                  <w:pPr>
                    <w:jc w:val="center"/>
                    <w:rPr>
                      <w:bCs/>
                      <w:kern w:val="0"/>
                      <w:szCs w:val="21"/>
                    </w:rPr>
                  </w:pPr>
                </w:p>
              </w:tc>
              <w:tc>
                <w:tcPr>
                  <w:tcW w:w="1234" w:type="dxa"/>
                  <w:tcBorders>
                    <w:tl2br w:val="nil"/>
                    <w:tr2bl w:val="nil"/>
                  </w:tcBorders>
                  <w:vAlign w:val="center"/>
                </w:tcPr>
                <w:p>
                  <w:pPr>
                    <w:jc w:val="center"/>
                    <w:rPr>
                      <w:bCs/>
                      <w:kern w:val="0"/>
                      <w:szCs w:val="21"/>
                    </w:rPr>
                  </w:pPr>
                  <w:r>
                    <w:rPr>
                      <w:rFonts w:hint="eastAsia"/>
                      <w:bCs/>
                      <w:kern w:val="0"/>
                      <w:szCs w:val="21"/>
                    </w:rPr>
                    <w:t>最大值</w:t>
                  </w:r>
                </w:p>
              </w:tc>
              <w:tc>
                <w:tcPr>
                  <w:tcW w:w="1039" w:type="dxa"/>
                  <w:tcBorders>
                    <w:tl2br w:val="nil"/>
                    <w:tr2bl w:val="nil"/>
                  </w:tcBorders>
                  <w:vAlign w:val="center"/>
                </w:tcPr>
                <w:p>
                  <w:pPr>
                    <w:widowControl/>
                    <w:jc w:val="center"/>
                    <w:rPr>
                      <w:bCs/>
                      <w:szCs w:val="21"/>
                    </w:rPr>
                  </w:pPr>
                  <w:r>
                    <w:rPr>
                      <w:rFonts w:hint="eastAsia"/>
                      <w:bCs/>
                      <w:szCs w:val="21"/>
                    </w:rPr>
                    <w:t>7.12</w:t>
                  </w:r>
                </w:p>
              </w:tc>
              <w:tc>
                <w:tcPr>
                  <w:tcW w:w="1240" w:type="dxa"/>
                  <w:tcBorders>
                    <w:tl2br w:val="nil"/>
                    <w:tr2bl w:val="nil"/>
                  </w:tcBorders>
                  <w:vAlign w:val="center"/>
                </w:tcPr>
                <w:p>
                  <w:pPr>
                    <w:widowControl/>
                    <w:jc w:val="center"/>
                    <w:rPr>
                      <w:bCs/>
                      <w:szCs w:val="21"/>
                    </w:rPr>
                  </w:pPr>
                  <w:r>
                    <w:rPr>
                      <w:rFonts w:hint="eastAsia"/>
                      <w:bCs/>
                      <w:szCs w:val="21"/>
                    </w:rPr>
                    <w:t>0.93</w:t>
                  </w:r>
                </w:p>
              </w:tc>
              <w:tc>
                <w:tcPr>
                  <w:tcW w:w="963" w:type="dxa"/>
                  <w:tcBorders>
                    <w:tl2br w:val="nil"/>
                    <w:tr2bl w:val="nil"/>
                  </w:tcBorders>
                  <w:vAlign w:val="center"/>
                </w:tcPr>
                <w:p>
                  <w:pPr>
                    <w:widowControl/>
                    <w:jc w:val="center"/>
                    <w:rPr>
                      <w:bCs/>
                      <w:szCs w:val="21"/>
                    </w:rPr>
                  </w:pPr>
                  <w:r>
                    <w:rPr>
                      <w:rFonts w:hint="eastAsia"/>
                      <w:bCs/>
                      <w:szCs w:val="21"/>
                    </w:rPr>
                    <w:t>0.320</w:t>
                  </w:r>
                </w:p>
              </w:tc>
              <w:tc>
                <w:tcPr>
                  <w:tcW w:w="1039" w:type="dxa"/>
                  <w:tcBorders>
                    <w:tl2br w:val="nil"/>
                    <w:tr2bl w:val="nil"/>
                  </w:tcBorders>
                  <w:vAlign w:val="center"/>
                </w:tcPr>
                <w:p>
                  <w:pPr>
                    <w:widowControl/>
                    <w:jc w:val="center"/>
                    <w:rPr>
                      <w:bCs/>
                      <w:szCs w:val="21"/>
                    </w:rPr>
                  </w:pPr>
                  <w:r>
                    <w:rPr>
                      <w:rFonts w:hint="eastAsia"/>
                      <w:bCs/>
                      <w:szCs w:val="21"/>
                    </w:rPr>
                    <w:t>15.2</w:t>
                  </w:r>
                </w:p>
              </w:tc>
              <w:tc>
                <w:tcPr>
                  <w:tcW w:w="1038" w:type="dxa"/>
                  <w:tcBorders>
                    <w:tl2br w:val="nil"/>
                    <w:tr2bl w:val="nil"/>
                  </w:tcBorders>
                  <w:vAlign w:val="center"/>
                </w:tcPr>
                <w:p>
                  <w:pPr>
                    <w:widowControl/>
                    <w:jc w:val="center"/>
                    <w:rPr>
                      <w:bCs/>
                      <w:szCs w:val="21"/>
                    </w:rPr>
                  </w:pPr>
                  <w:r>
                    <w:rPr>
                      <w:rFonts w:hint="eastAsia"/>
                      <w:bCs/>
                      <w:szCs w:val="21"/>
                    </w:rPr>
                    <w:t>0.35</w:t>
                  </w:r>
                </w:p>
              </w:tc>
              <w:tc>
                <w:tcPr>
                  <w:tcW w:w="1039" w:type="dxa"/>
                  <w:tcBorders>
                    <w:tl2br w:val="nil"/>
                    <w:tr2bl w:val="nil"/>
                  </w:tcBorders>
                  <w:vAlign w:val="center"/>
                </w:tcPr>
                <w:p>
                  <w:pPr>
                    <w:widowControl/>
                    <w:jc w:val="center"/>
                    <w:rPr>
                      <w:bCs/>
                      <w:szCs w:val="21"/>
                    </w:rPr>
                  </w:pPr>
                  <w:r>
                    <w:rPr>
                      <w:rFonts w:hint="eastAsia"/>
                      <w:bCs/>
                      <w:szCs w:val="21"/>
                    </w:rPr>
                    <w:t>273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0" w:type="dxa"/>
                  <w:vMerge w:val="continue"/>
                  <w:tcBorders>
                    <w:tl2br w:val="nil"/>
                    <w:tr2bl w:val="nil"/>
                  </w:tcBorders>
                  <w:vAlign w:val="center"/>
                </w:tcPr>
                <w:p>
                  <w:pPr>
                    <w:jc w:val="center"/>
                    <w:rPr>
                      <w:bCs/>
                      <w:kern w:val="0"/>
                      <w:szCs w:val="21"/>
                    </w:rPr>
                  </w:pPr>
                </w:p>
              </w:tc>
              <w:tc>
                <w:tcPr>
                  <w:tcW w:w="1234" w:type="dxa"/>
                  <w:tcBorders>
                    <w:tl2br w:val="nil"/>
                    <w:tr2bl w:val="nil"/>
                  </w:tcBorders>
                  <w:vAlign w:val="center"/>
                </w:tcPr>
                <w:p>
                  <w:pPr>
                    <w:jc w:val="center"/>
                    <w:rPr>
                      <w:bCs/>
                      <w:kern w:val="0"/>
                      <w:szCs w:val="21"/>
                    </w:rPr>
                  </w:pPr>
                  <w:r>
                    <w:rPr>
                      <w:rFonts w:hint="eastAsia"/>
                      <w:bCs/>
                      <w:kern w:val="0"/>
                      <w:szCs w:val="21"/>
                    </w:rPr>
                    <w:t>平均值</w:t>
                  </w:r>
                </w:p>
              </w:tc>
              <w:tc>
                <w:tcPr>
                  <w:tcW w:w="1039" w:type="dxa"/>
                  <w:tcBorders>
                    <w:tl2br w:val="nil"/>
                    <w:tr2bl w:val="nil"/>
                  </w:tcBorders>
                  <w:vAlign w:val="center"/>
                </w:tcPr>
                <w:p>
                  <w:pPr>
                    <w:widowControl/>
                    <w:jc w:val="center"/>
                    <w:rPr>
                      <w:bCs/>
                      <w:szCs w:val="21"/>
                    </w:rPr>
                  </w:pPr>
                  <w:r>
                    <w:rPr>
                      <w:rFonts w:hint="eastAsia"/>
                      <w:bCs/>
                      <w:szCs w:val="21"/>
                    </w:rPr>
                    <w:t>/</w:t>
                  </w:r>
                </w:p>
              </w:tc>
              <w:tc>
                <w:tcPr>
                  <w:tcW w:w="1240" w:type="dxa"/>
                  <w:tcBorders>
                    <w:tl2br w:val="nil"/>
                    <w:tr2bl w:val="nil"/>
                  </w:tcBorders>
                  <w:vAlign w:val="center"/>
                </w:tcPr>
                <w:p>
                  <w:pPr>
                    <w:widowControl/>
                    <w:jc w:val="center"/>
                    <w:rPr>
                      <w:bCs/>
                      <w:szCs w:val="21"/>
                    </w:rPr>
                  </w:pPr>
                  <w:r>
                    <w:rPr>
                      <w:rFonts w:hint="eastAsia"/>
                      <w:bCs/>
                      <w:szCs w:val="21"/>
                    </w:rPr>
                    <w:t>0.92</w:t>
                  </w:r>
                </w:p>
              </w:tc>
              <w:tc>
                <w:tcPr>
                  <w:tcW w:w="963" w:type="dxa"/>
                  <w:tcBorders>
                    <w:tl2br w:val="nil"/>
                    <w:tr2bl w:val="nil"/>
                  </w:tcBorders>
                  <w:vAlign w:val="center"/>
                </w:tcPr>
                <w:p>
                  <w:pPr>
                    <w:widowControl/>
                    <w:jc w:val="center"/>
                    <w:rPr>
                      <w:bCs/>
                      <w:szCs w:val="21"/>
                    </w:rPr>
                  </w:pPr>
                  <w:r>
                    <w:rPr>
                      <w:rFonts w:hint="eastAsia"/>
                      <w:bCs/>
                      <w:szCs w:val="21"/>
                    </w:rPr>
                    <w:t>0.313</w:t>
                  </w:r>
                </w:p>
              </w:tc>
              <w:tc>
                <w:tcPr>
                  <w:tcW w:w="1039" w:type="dxa"/>
                  <w:tcBorders>
                    <w:tl2br w:val="nil"/>
                    <w:tr2bl w:val="nil"/>
                  </w:tcBorders>
                  <w:vAlign w:val="center"/>
                </w:tcPr>
                <w:p>
                  <w:pPr>
                    <w:widowControl/>
                    <w:jc w:val="center"/>
                    <w:rPr>
                      <w:bCs/>
                      <w:szCs w:val="21"/>
                    </w:rPr>
                  </w:pPr>
                  <w:r>
                    <w:rPr>
                      <w:rFonts w:hint="eastAsia"/>
                      <w:bCs/>
                      <w:szCs w:val="21"/>
                    </w:rPr>
                    <w:t>15.1</w:t>
                  </w:r>
                </w:p>
              </w:tc>
              <w:tc>
                <w:tcPr>
                  <w:tcW w:w="1038" w:type="dxa"/>
                  <w:tcBorders>
                    <w:tl2br w:val="nil"/>
                    <w:tr2bl w:val="nil"/>
                  </w:tcBorders>
                  <w:vAlign w:val="center"/>
                </w:tcPr>
                <w:p>
                  <w:pPr>
                    <w:widowControl/>
                    <w:jc w:val="center"/>
                    <w:rPr>
                      <w:bCs/>
                      <w:szCs w:val="21"/>
                    </w:rPr>
                  </w:pPr>
                  <w:r>
                    <w:rPr>
                      <w:rFonts w:hint="eastAsia"/>
                      <w:bCs/>
                      <w:szCs w:val="21"/>
                    </w:rPr>
                    <w:t>0.32</w:t>
                  </w:r>
                </w:p>
              </w:tc>
              <w:tc>
                <w:tcPr>
                  <w:tcW w:w="1039" w:type="dxa"/>
                  <w:tcBorders>
                    <w:tl2br w:val="nil"/>
                    <w:tr2bl w:val="nil"/>
                  </w:tcBorders>
                  <w:vAlign w:val="center"/>
                </w:tcPr>
                <w:p>
                  <w:pPr>
                    <w:widowControl/>
                    <w:jc w:val="center"/>
                    <w:rPr>
                      <w:bCs/>
                      <w:szCs w:val="21"/>
                    </w:rPr>
                  </w:pPr>
                  <w:r>
                    <w:rPr>
                      <w:rFonts w:hint="eastAsia"/>
                      <w:bCs/>
                      <w:szCs w:val="21"/>
                    </w:rPr>
                    <w:t>269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24" w:type="dxa"/>
                  <w:gridSpan w:val="2"/>
                  <w:tcBorders>
                    <w:tl2br w:val="nil"/>
                    <w:tr2bl w:val="nil"/>
                  </w:tcBorders>
                  <w:vAlign w:val="center"/>
                </w:tcPr>
                <w:p>
                  <w:pPr>
                    <w:widowControl/>
                    <w:jc w:val="center"/>
                    <w:rPr>
                      <w:bCs/>
                      <w:kern w:val="0"/>
                      <w:szCs w:val="21"/>
                    </w:rPr>
                  </w:pPr>
                  <w:r>
                    <w:rPr>
                      <w:rFonts w:hint="eastAsia"/>
                      <w:kern w:val="0"/>
                      <w:szCs w:val="21"/>
                    </w:rPr>
                    <w:t>标准值</w:t>
                  </w:r>
                </w:p>
              </w:tc>
              <w:tc>
                <w:tcPr>
                  <w:tcW w:w="1039" w:type="dxa"/>
                  <w:tcBorders>
                    <w:tl2br w:val="nil"/>
                    <w:tr2bl w:val="nil"/>
                  </w:tcBorders>
                  <w:vAlign w:val="center"/>
                </w:tcPr>
                <w:p>
                  <w:pPr>
                    <w:widowControl/>
                    <w:jc w:val="center"/>
                    <w:rPr>
                      <w:bCs/>
                      <w:szCs w:val="21"/>
                    </w:rPr>
                  </w:pPr>
                  <w:r>
                    <w:rPr>
                      <w:rFonts w:hint="eastAsia"/>
                      <w:bCs/>
                      <w:szCs w:val="21"/>
                    </w:rPr>
                    <w:t>6.5~8.5</w:t>
                  </w:r>
                </w:p>
              </w:tc>
              <w:tc>
                <w:tcPr>
                  <w:tcW w:w="1240" w:type="dxa"/>
                  <w:tcBorders>
                    <w:tl2br w:val="nil"/>
                    <w:tr2bl w:val="nil"/>
                  </w:tcBorders>
                  <w:vAlign w:val="center"/>
                </w:tcPr>
                <w:p>
                  <w:pPr>
                    <w:widowControl/>
                    <w:jc w:val="center"/>
                    <w:rPr>
                      <w:bCs/>
                      <w:szCs w:val="21"/>
                    </w:rPr>
                  </w:pPr>
                  <w:r>
                    <w:rPr>
                      <w:kern w:val="0"/>
                      <w:szCs w:val="21"/>
                    </w:rPr>
                    <w:t>≤</w:t>
                  </w:r>
                  <w:r>
                    <w:rPr>
                      <w:rFonts w:hint="eastAsia"/>
                      <w:kern w:val="0"/>
                      <w:szCs w:val="21"/>
                    </w:rPr>
                    <w:t>3.</w:t>
                  </w:r>
                  <w:r>
                    <w:rPr>
                      <w:kern w:val="0"/>
                      <w:szCs w:val="21"/>
                    </w:rPr>
                    <w:t>0</w:t>
                  </w:r>
                </w:p>
              </w:tc>
              <w:tc>
                <w:tcPr>
                  <w:tcW w:w="963" w:type="dxa"/>
                  <w:tcBorders>
                    <w:tl2br w:val="nil"/>
                    <w:tr2bl w:val="nil"/>
                  </w:tcBorders>
                  <w:vAlign w:val="center"/>
                </w:tcPr>
                <w:p>
                  <w:pPr>
                    <w:widowControl/>
                    <w:jc w:val="center"/>
                    <w:rPr>
                      <w:bCs/>
                      <w:szCs w:val="21"/>
                    </w:rPr>
                  </w:pPr>
                  <w:r>
                    <w:rPr>
                      <w:kern w:val="0"/>
                      <w:szCs w:val="21"/>
                    </w:rPr>
                    <w:t>≤</w:t>
                  </w:r>
                  <w:r>
                    <w:rPr>
                      <w:rFonts w:hint="eastAsia"/>
                      <w:kern w:val="0"/>
                      <w:szCs w:val="21"/>
                    </w:rPr>
                    <w:t>0.5</w:t>
                  </w:r>
                </w:p>
              </w:tc>
              <w:tc>
                <w:tcPr>
                  <w:tcW w:w="1039" w:type="dxa"/>
                  <w:tcBorders>
                    <w:tl2br w:val="nil"/>
                    <w:tr2bl w:val="nil"/>
                  </w:tcBorders>
                  <w:vAlign w:val="center"/>
                </w:tcPr>
                <w:p>
                  <w:pPr>
                    <w:widowControl/>
                    <w:jc w:val="center"/>
                    <w:rPr>
                      <w:bCs/>
                      <w:szCs w:val="21"/>
                    </w:rPr>
                  </w:pPr>
                  <w:r>
                    <w:rPr>
                      <w:kern w:val="0"/>
                      <w:szCs w:val="21"/>
                    </w:rPr>
                    <w:t>≤2</w:t>
                  </w:r>
                  <w:r>
                    <w:rPr>
                      <w:rFonts w:hint="eastAsia"/>
                      <w:kern w:val="0"/>
                      <w:szCs w:val="21"/>
                    </w:rPr>
                    <w:t>50</w:t>
                  </w:r>
                </w:p>
              </w:tc>
              <w:tc>
                <w:tcPr>
                  <w:tcW w:w="1038" w:type="dxa"/>
                  <w:tcBorders>
                    <w:tl2br w:val="nil"/>
                    <w:tr2bl w:val="nil"/>
                  </w:tcBorders>
                  <w:vAlign w:val="center"/>
                </w:tcPr>
                <w:p>
                  <w:pPr>
                    <w:widowControl/>
                    <w:jc w:val="center"/>
                    <w:rPr>
                      <w:bCs/>
                      <w:szCs w:val="21"/>
                    </w:rPr>
                  </w:pPr>
                  <w:r>
                    <w:rPr>
                      <w:kern w:val="0"/>
                      <w:szCs w:val="21"/>
                    </w:rPr>
                    <w:t>≤</w:t>
                  </w:r>
                  <w:r>
                    <w:rPr>
                      <w:rFonts w:hint="eastAsia"/>
                      <w:kern w:val="0"/>
                      <w:szCs w:val="21"/>
                    </w:rPr>
                    <w:t>1.0</w:t>
                  </w:r>
                </w:p>
              </w:tc>
              <w:tc>
                <w:tcPr>
                  <w:tcW w:w="1039" w:type="dxa"/>
                  <w:tcBorders>
                    <w:tl2br w:val="nil"/>
                    <w:tr2bl w:val="nil"/>
                  </w:tcBorders>
                  <w:vAlign w:val="center"/>
                </w:tcPr>
                <w:p>
                  <w:pPr>
                    <w:widowControl/>
                    <w:jc w:val="center"/>
                    <w:rPr>
                      <w:bCs/>
                      <w:szCs w:val="21"/>
                    </w:rPr>
                  </w:pPr>
                  <w:r>
                    <w:rPr>
                      <w:kern w:val="0"/>
                      <w:szCs w:val="21"/>
                    </w:rPr>
                    <w:t>≤</w:t>
                  </w:r>
                  <w:r>
                    <w:rPr>
                      <w:rFonts w:hint="eastAsia"/>
                      <w:kern w:val="0"/>
                      <w:szCs w:val="21"/>
                    </w:rPr>
                    <w:t>450</w:t>
                  </w:r>
                </w:p>
              </w:tc>
            </w:tr>
          </w:tbl>
          <w:p>
            <w:pPr>
              <w:topLinePunct/>
              <w:spacing w:line="360" w:lineRule="auto"/>
              <w:ind w:firstLine="480" w:firstLineChars="200"/>
              <w:jc w:val="left"/>
            </w:pPr>
            <w:r>
              <w:rPr>
                <w:sz w:val="24"/>
                <w:szCs w:val="24"/>
              </w:rPr>
              <w:t>通过上表对各监测值评价统计后可知，布点的</w:t>
            </w:r>
            <w:r>
              <w:rPr>
                <w:rFonts w:hint="eastAsia"/>
                <w:sz w:val="24"/>
                <w:szCs w:val="24"/>
              </w:rPr>
              <w:t>3</w:t>
            </w:r>
            <w:r>
              <w:rPr>
                <w:sz w:val="24"/>
                <w:szCs w:val="24"/>
              </w:rPr>
              <w:t>个地下水水质监测点</w:t>
            </w:r>
            <w:r>
              <w:rPr>
                <w:rFonts w:hint="eastAsia"/>
                <w:sz w:val="24"/>
                <w:szCs w:val="24"/>
              </w:rPr>
              <w:t>均</w:t>
            </w:r>
            <w:r>
              <w:rPr>
                <w:sz w:val="24"/>
                <w:szCs w:val="24"/>
              </w:rPr>
              <w:t>达到《地下水质量标准》（GB/T14848-2017）中的III类水质标准要求</w:t>
            </w:r>
            <w:r>
              <w:rPr>
                <w:rFonts w:hint="eastAsia"/>
                <w:sz w:val="24"/>
                <w:szCs w:val="24"/>
              </w:rPr>
              <w:t>。</w:t>
            </w:r>
          </w:p>
          <w:p>
            <w:pPr>
              <w:rPr>
                <w:b/>
                <w:sz w:val="24"/>
                <w:szCs w:val="24"/>
              </w:rPr>
            </w:pPr>
            <w:r>
              <w:rPr>
                <w:b/>
                <w:sz w:val="24"/>
                <w:szCs w:val="24"/>
              </w:rPr>
              <w:t>六、主要环境保护目标（列出名单及保护级别）</w:t>
            </w:r>
          </w:p>
          <w:p>
            <w:pPr>
              <w:spacing w:line="360" w:lineRule="auto"/>
              <w:ind w:firstLine="480" w:firstLineChars="200"/>
              <w:rPr>
                <w:sz w:val="24"/>
              </w:rPr>
            </w:pPr>
            <w:r>
              <w:rPr>
                <w:rFonts w:hint="eastAsia"/>
                <w:sz w:val="24"/>
              </w:rPr>
              <w:t>本项目位于岳阳市临港产业新区城陵矶片区联港路，根据对建设项目周边环境的调查和评价范围，项目周围环境保护敏感目标详见表</w:t>
            </w:r>
            <w:r>
              <w:rPr>
                <w:sz w:val="24"/>
              </w:rPr>
              <w:t>3-</w:t>
            </w:r>
            <w:r>
              <w:rPr>
                <w:rFonts w:hint="eastAsia"/>
                <w:sz w:val="24"/>
              </w:rPr>
              <w:t>9、</w:t>
            </w:r>
            <w:r>
              <w:rPr>
                <w:sz w:val="24"/>
              </w:rPr>
              <w:t>3-</w:t>
            </w:r>
            <w:r>
              <w:rPr>
                <w:rFonts w:hint="eastAsia"/>
                <w:sz w:val="24"/>
              </w:rPr>
              <w:t>10及附图6。</w:t>
            </w:r>
          </w:p>
          <w:p>
            <w:pPr>
              <w:ind w:firstLine="422" w:firstLineChars="200"/>
              <w:jc w:val="center"/>
              <w:rPr>
                <w:b/>
                <w:szCs w:val="21"/>
              </w:rPr>
            </w:pPr>
            <w:r>
              <w:rPr>
                <w:rFonts w:hint="eastAsia"/>
                <w:b/>
                <w:szCs w:val="21"/>
              </w:rPr>
              <w:t>表</w:t>
            </w:r>
            <w:r>
              <w:rPr>
                <w:b/>
                <w:szCs w:val="21"/>
              </w:rPr>
              <w:t>3-</w:t>
            </w:r>
            <w:r>
              <w:rPr>
                <w:rFonts w:hint="eastAsia"/>
                <w:b/>
                <w:szCs w:val="21"/>
              </w:rPr>
              <w:t>9</w:t>
            </w:r>
            <w:r>
              <w:rPr>
                <w:rFonts w:hint="eastAsia"/>
                <w:b/>
                <w:szCs w:val="21"/>
                <w:lang w:val="en-US" w:eastAsia="zh-CN"/>
              </w:rPr>
              <w:t xml:space="preserve"> 主要</w:t>
            </w:r>
            <w:r>
              <w:rPr>
                <w:rFonts w:hint="eastAsia"/>
                <w:b/>
                <w:szCs w:val="21"/>
              </w:rPr>
              <w:t>大气环境保护目标一览表</w:t>
            </w:r>
          </w:p>
          <w:tbl>
            <w:tblPr>
              <w:tblStyle w:val="20"/>
              <w:tblW w:w="828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64"/>
              <w:gridCol w:w="1479"/>
              <w:gridCol w:w="1480"/>
              <w:gridCol w:w="596"/>
              <w:gridCol w:w="883"/>
              <w:gridCol w:w="739"/>
              <w:gridCol w:w="739"/>
              <w:gridCol w:w="9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7" w:hRule="atLeast"/>
              </w:trPr>
              <w:tc>
                <w:tcPr>
                  <w:tcW w:w="1464" w:type="dxa"/>
                  <w:vMerge w:val="restart"/>
                  <w:vAlign w:val="center"/>
                </w:tcPr>
                <w:p>
                  <w:pPr>
                    <w:widowControl/>
                    <w:jc w:val="center"/>
                    <w:textAlignment w:val="center"/>
                    <w:rPr>
                      <w:szCs w:val="21"/>
                    </w:rPr>
                  </w:pPr>
                  <w:r>
                    <w:rPr>
                      <w:rFonts w:hint="eastAsia"/>
                      <w:kern w:val="0"/>
                      <w:szCs w:val="21"/>
                    </w:rPr>
                    <w:t>名称</w:t>
                  </w:r>
                </w:p>
              </w:tc>
              <w:tc>
                <w:tcPr>
                  <w:tcW w:w="2959" w:type="dxa"/>
                  <w:gridSpan w:val="2"/>
                  <w:vAlign w:val="center"/>
                </w:tcPr>
                <w:p>
                  <w:pPr>
                    <w:widowControl/>
                    <w:jc w:val="center"/>
                    <w:textAlignment w:val="center"/>
                    <w:rPr>
                      <w:szCs w:val="21"/>
                    </w:rPr>
                  </w:pPr>
                  <w:r>
                    <w:rPr>
                      <w:rFonts w:hint="eastAsia"/>
                      <w:kern w:val="0"/>
                      <w:szCs w:val="21"/>
                    </w:rPr>
                    <w:t>坐标</w:t>
                  </w:r>
                  <w:r>
                    <w:rPr>
                      <w:kern w:val="0"/>
                      <w:szCs w:val="21"/>
                    </w:rPr>
                    <w:t>/m</w:t>
                  </w:r>
                </w:p>
              </w:tc>
              <w:tc>
                <w:tcPr>
                  <w:tcW w:w="596" w:type="dxa"/>
                  <w:vMerge w:val="restart"/>
                  <w:tcMar>
                    <w:top w:w="15" w:type="dxa"/>
                    <w:left w:w="15" w:type="dxa"/>
                    <w:bottom w:w="15" w:type="dxa"/>
                    <w:right w:w="15" w:type="dxa"/>
                  </w:tcMar>
                  <w:vAlign w:val="center"/>
                </w:tcPr>
                <w:p>
                  <w:pPr>
                    <w:widowControl/>
                    <w:jc w:val="center"/>
                    <w:textAlignment w:val="center"/>
                    <w:rPr>
                      <w:kern w:val="0"/>
                      <w:szCs w:val="21"/>
                    </w:rPr>
                  </w:pPr>
                  <w:r>
                    <w:rPr>
                      <w:rFonts w:hint="eastAsia"/>
                      <w:kern w:val="0"/>
                      <w:szCs w:val="21"/>
                    </w:rPr>
                    <w:t>保护</w:t>
                  </w:r>
                </w:p>
                <w:p>
                  <w:pPr>
                    <w:widowControl/>
                    <w:jc w:val="center"/>
                    <w:textAlignment w:val="center"/>
                    <w:rPr>
                      <w:szCs w:val="21"/>
                    </w:rPr>
                  </w:pPr>
                  <w:r>
                    <w:rPr>
                      <w:rFonts w:hint="eastAsia"/>
                      <w:kern w:val="0"/>
                      <w:szCs w:val="21"/>
                    </w:rPr>
                    <w:t>对象</w:t>
                  </w:r>
                </w:p>
              </w:tc>
              <w:tc>
                <w:tcPr>
                  <w:tcW w:w="883" w:type="dxa"/>
                  <w:vMerge w:val="restart"/>
                  <w:tcMar>
                    <w:top w:w="15" w:type="dxa"/>
                    <w:left w:w="15" w:type="dxa"/>
                    <w:bottom w:w="15" w:type="dxa"/>
                    <w:right w:w="15" w:type="dxa"/>
                  </w:tcMar>
                  <w:vAlign w:val="center"/>
                </w:tcPr>
                <w:p>
                  <w:pPr>
                    <w:widowControl/>
                    <w:jc w:val="center"/>
                    <w:textAlignment w:val="center"/>
                    <w:rPr>
                      <w:kern w:val="0"/>
                      <w:szCs w:val="21"/>
                    </w:rPr>
                  </w:pPr>
                  <w:r>
                    <w:rPr>
                      <w:rFonts w:hint="eastAsia"/>
                      <w:kern w:val="0"/>
                      <w:szCs w:val="21"/>
                    </w:rPr>
                    <w:t>保护</w:t>
                  </w:r>
                </w:p>
                <w:p>
                  <w:pPr>
                    <w:widowControl/>
                    <w:jc w:val="center"/>
                    <w:textAlignment w:val="center"/>
                    <w:rPr>
                      <w:szCs w:val="21"/>
                    </w:rPr>
                  </w:pPr>
                  <w:r>
                    <w:rPr>
                      <w:rFonts w:hint="eastAsia"/>
                      <w:kern w:val="0"/>
                      <w:szCs w:val="21"/>
                    </w:rPr>
                    <w:t>内容</w:t>
                  </w:r>
                </w:p>
              </w:tc>
              <w:tc>
                <w:tcPr>
                  <w:tcW w:w="739" w:type="dxa"/>
                  <w:vMerge w:val="restart"/>
                  <w:tcMar>
                    <w:top w:w="15" w:type="dxa"/>
                    <w:left w:w="15" w:type="dxa"/>
                    <w:bottom w:w="15" w:type="dxa"/>
                    <w:right w:w="15" w:type="dxa"/>
                  </w:tcMar>
                  <w:vAlign w:val="center"/>
                </w:tcPr>
                <w:p>
                  <w:pPr>
                    <w:widowControl/>
                    <w:jc w:val="center"/>
                    <w:textAlignment w:val="center"/>
                    <w:rPr>
                      <w:szCs w:val="21"/>
                    </w:rPr>
                  </w:pPr>
                  <w:r>
                    <w:rPr>
                      <w:rFonts w:hint="eastAsia"/>
                      <w:kern w:val="0"/>
                      <w:szCs w:val="21"/>
                    </w:rPr>
                    <w:t>环境功能区</w:t>
                  </w:r>
                </w:p>
              </w:tc>
              <w:tc>
                <w:tcPr>
                  <w:tcW w:w="739" w:type="dxa"/>
                  <w:vMerge w:val="restart"/>
                  <w:tcMar>
                    <w:top w:w="15" w:type="dxa"/>
                    <w:left w:w="15" w:type="dxa"/>
                    <w:bottom w:w="15" w:type="dxa"/>
                    <w:right w:w="15" w:type="dxa"/>
                  </w:tcMar>
                  <w:vAlign w:val="center"/>
                </w:tcPr>
                <w:p>
                  <w:pPr>
                    <w:widowControl/>
                    <w:jc w:val="center"/>
                    <w:textAlignment w:val="center"/>
                    <w:rPr>
                      <w:szCs w:val="21"/>
                    </w:rPr>
                  </w:pPr>
                  <w:r>
                    <w:rPr>
                      <w:rFonts w:hint="eastAsia"/>
                      <w:kern w:val="0"/>
                      <w:szCs w:val="21"/>
                    </w:rPr>
                    <w:t>相对厂址方位</w:t>
                  </w:r>
                </w:p>
              </w:tc>
              <w:tc>
                <w:tcPr>
                  <w:tcW w:w="900" w:type="dxa"/>
                  <w:vMerge w:val="restart"/>
                  <w:tcMar>
                    <w:top w:w="15" w:type="dxa"/>
                    <w:left w:w="15" w:type="dxa"/>
                    <w:bottom w:w="15" w:type="dxa"/>
                    <w:right w:w="15" w:type="dxa"/>
                  </w:tcMar>
                  <w:vAlign w:val="center"/>
                </w:tcPr>
                <w:p>
                  <w:pPr>
                    <w:widowControl/>
                    <w:jc w:val="center"/>
                    <w:textAlignment w:val="center"/>
                    <w:rPr>
                      <w:szCs w:val="21"/>
                    </w:rPr>
                  </w:pPr>
                  <w:r>
                    <w:rPr>
                      <w:rFonts w:hint="eastAsia"/>
                      <w:kern w:val="0"/>
                      <w:szCs w:val="21"/>
                    </w:rPr>
                    <w:t>相对厂界距离</w:t>
                  </w:r>
                  <w:r>
                    <w:rPr>
                      <w:kern w:val="0"/>
                      <w:szCs w:val="21"/>
                    </w:rPr>
                    <w:t>/m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7" w:hRule="atLeast"/>
              </w:trPr>
              <w:tc>
                <w:tcPr>
                  <w:tcW w:w="1464" w:type="dxa"/>
                  <w:vMerge w:val="continue"/>
                  <w:vAlign w:val="center"/>
                </w:tcPr>
                <w:p>
                  <w:pPr>
                    <w:widowControl/>
                    <w:jc w:val="left"/>
                    <w:rPr>
                      <w:szCs w:val="21"/>
                    </w:rPr>
                  </w:pPr>
                </w:p>
              </w:tc>
              <w:tc>
                <w:tcPr>
                  <w:tcW w:w="1479"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经度</w:t>
                  </w:r>
                </w:p>
              </w:tc>
              <w:tc>
                <w:tcPr>
                  <w:tcW w:w="1480"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纬度</w:t>
                  </w:r>
                </w:p>
              </w:tc>
              <w:tc>
                <w:tcPr>
                  <w:tcW w:w="596" w:type="dxa"/>
                  <w:vMerge w:val="continue"/>
                  <w:vAlign w:val="center"/>
                </w:tcPr>
                <w:p>
                  <w:pPr>
                    <w:widowControl/>
                    <w:jc w:val="left"/>
                    <w:rPr>
                      <w:szCs w:val="21"/>
                    </w:rPr>
                  </w:pPr>
                </w:p>
              </w:tc>
              <w:tc>
                <w:tcPr>
                  <w:tcW w:w="883" w:type="dxa"/>
                  <w:vMerge w:val="continue"/>
                  <w:vAlign w:val="center"/>
                </w:tcPr>
                <w:p>
                  <w:pPr>
                    <w:widowControl/>
                    <w:jc w:val="left"/>
                    <w:rPr>
                      <w:szCs w:val="21"/>
                    </w:rPr>
                  </w:pPr>
                </w:p>
              </w:tc>
              <w:tc>
                <w:tcPr>
                  <w:tcW w:w="739" w:type="dxa"/>
                  <w:vMerge w:val="continue"/>
                  <w:vAlign w:val="center"/>
                </w:tcPr>
                <w:p>
                  <w:pPr>
                    <w:widowControl/>
                    <w:jc w:val="left"/>
                    <w:rPr>
                      <w:szCs w:val="21"/>
                    </w:rPr>
                  </w:pPr>
                </w:p>
              </w:tc>
              <w:tc>
                <w:tcPr>
                  <w:tcW w:w="739" w:type="dxa"/>
                  <w:vMerge w:val="continue"/>
                  <w:vAlign w:val="center"/>
                </w:tcPr>
                <w:p>
                  <w:pPr>
                    <w:widowControl/>
                    <w:jc w:val="left"/>
                    <w:rPr>
                      <w:szCs w:val="21"/>
                    </w:rPr>
                  </w:pPr>
                </w:p>
              </w:tc>
              <w:tc>
                <w:tcPr>
                  <w:tcW w:w="900" w:type="dxa"/>
                  <w:vMerge w:val="continue"/>
                  <w:vAlign w:val="center"/>
                </w:tcPr>
                <w:p>
                  <w:pPr>
                    <w:widowControl/>
                    <w:jc w:val="left"/>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1464"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碧桂园</w:t>
                  </w:r>
                </w:p>
              </w:tc>
              <w:tc>
                <w:tcPr>
                  <w:tcW w:w="1479" w:type="dxa"/>
                  <w:tcMar>
                    <w:top w:w="15" w:type="dxa"/>
                    <w:left w:w="15" w:type="dxa"/>
                    <w:bottom w:w="15" w:type="dxa"/>
                    <w:right w:w="15" w:type="dxa"/>
                  </w:tcMar>
                  <w:vAlign w:val="center"/>
                </w:tcPr>
                <w:p>
                  <w:pPr>
                    <w:widowControl/>
                    <w:jc w:val="center"/>
                    <w:textAlignment w:val="center"/>
                    <w:rPr>
                      <w:kern w:val="0"/>
                      <w:szCs w:val="21"/>
                    </w:rPr>
                  </w:pPr>
                  <w:r>
                    <w:rPr>
                      <w:kern w:val="0"/>
                      <w:szCs w:val="21"/>
                    </w:rPr>
                    <w:t>113°10'9.37"</w:t>
                  </w:r>
                </w:p>
              </w:tc>
              <w:tc>
                <w:tcPr>
                  <w:tcW w:w="1480" w:type="dxa"/>
                  <w:tcMar>
                    <w:top w:w="15" w:type="dxa"/>
                    <w:left w:w="15" w:type="dxa"/>
                    <w:bottom w:w="15" w:type="dxa"/>
                    <w:right w:w="15" w:type="dxa"/>
                  </w:tcMar>
                  <w:vAlign w:val="center"/>
                </w:tcPr>
                <w:p>
                  <w:pPr>
                    <w:widowControl/>
                    <w:jc w:val="center"/>
                    <w:textAlignment w:val="center"/>
                    <w:rPr>
                      <w:kern w:val="0"/>
                      <w:szCs w:val="21"/>
                    </w:rPr>
                  </w:pPr>
                  <w:r>
                    <w:rPr>
                      <w:kern w:val="0"/>
                      <w:szCs w:val="21"/>
                    </w:rPr>
                    <w:t>29°25'20.05"</w:t>
                  </w:r>
                </w:p>
              </w:tc>
              <w:tc>
                <w:tcPr>
                  <w:tcW w:w="596" w:type="dxa"/>
                  <w:vMerge w:val="restart"/>
                  <w:tcMar>
                    <w:top w:w="15" w:type="dxa"/>
                    <w:left w:w="15" w:type="dxa"/>
                    <w:bottom w:w="15" w:type="dxa"/>
                    <w:right w:w="15" w:type="dxa"/>
                  </w:tcMar>
                  <w:vAlign w:val="center"/>
                </w:tcPr>
                <w:p>
                  <w:pPr>
                    <w:widowControl/>
                    <w:jc w:val="center"/>
                    <w:textAlignment w:val="center"/>
                    <w:rPr>
                      <w:szCs w:val="21"/>
                    </w:rPr>
                  </w:pPr>
                  <w:r>
                    <w:rPr>
                      <w:rFonts w:hint="eastAsia"/>
                      <w:kern w:val="0"/>
                      <w:szCs w:val="21"/>
                    </w:rPr>
                    <w:t>居民</w:t>
                  </w:r>
                </w:p>
              </w:tc>
              <w:tc>
                <w:tcPr>
                  <w:tcW w:w="883"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1500户</w:t>
                  </w:r>
                </w:p>
              </w:tc>
              <w:tc>
                <w:tcPr>
                  <w:tcW w:w="739" w:type="dxa"/>
                  <w:vMerge w:val="restart"/>
                  <w:tcMar>
                    <w:top w:w="15" w:type="dxa"/>
                    <w:left w:w="15" w:type="dxa"/>
                    <w:bottom w:w="15" w:type="dxa"/>
                    <w:right w:w="15" w:type="dxa"/>
                  </w:tcMar>
                  <w:vAlign w:val="center"/>
                </w:tcPr>
                <w:p>
                  <w:pPr>
                    <w:widowControl/>
                    <w:jc w:val="center"/>
                    <w:textAlignment w:val="center"/>
                    <w:rPr>
                      <w:szCs w:val="21"/>
                    </w:rPr>
                  </w:pPr>
                  <w:r>
                    <w:rPr>
                      <w:rFonts w:hint="eastAsia"/>
                      <w:kern w:val="0"/>
                      <w:szCs w:val="21"/>
                    </w:rPr>
                    <w:t>《环境空气质量标准》（</w:t>
                  </w:r>
                  <w:r>
                    <w:rPr>
                      <w:kern w:val="0"/>
                      <w:szCs w:val="21"/>
                    </w:rPr>
                    <w:t>GB3095</w:t>
                  </w:r>
                  <w:r>
                    <w:rPr>
                      <w:rFonts w:hint="eastAsia"/>
                      <w:kern w:val="0"/>
                      <w:szCs w:val="21"/>
                    </w:rPr>
                    <w:t>－</w:t>
                  </w:r>
                  <w:r>
                    <w:rPr>
                      <w:kern w:val="0"/>
                      <w:szCs w:val="21"/>
                    </w:rPr>
                    <w:t>2012</w:t>
                  </w:r>
                  <w:r>
                    <w:rPr>
                      <w:rFonts w:hint="eastAsia"/>
                      <w:kern w:val="0"/>
                      <w:szCs w:val="21"/>
                    </w:rPr>
                    <w:t>）中的二级标准</w:t>
                  </w:r>
                </w:p>
              </w:tc>
              <w:tc>
                <w:tcPr>
                  <w:tcW w:w="739"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E</w:t>
                  </w:r>
                </w:p>
              </w:tc>
              <w:tc>
                <w:tcPr>
                  <w:tcW w:w="900"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160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6" w:hRule="atLeast"/>
              </w:trPr>
              <w:tc>
                <w:tcPr>
                  <w:tcW w:w="1464" w:type="dxa"/>
                  <w:vAlign w:val="center"/>
                </w:tcPr>
                <w:p>
                  <w:pPr>
                    <w:widowControl/>
                    <w:jc w:val="center"/>
                    <w:textAlignment w:val="center"/>
                    <w:rPr>
                      <w:kern w:val="0"/>
                      <w:szCs w:val="21"/>
                    </w:rPr>
                  </w:pPr>
                  <w:r>
                    <w:rPr>
                      <w:rFonts w:hint="eastAsia"/>
                      <w:kern w:val="0"/>
                      <w:szCs w:val="21"/>
                    </w:rPr>
                    <w:t>恒泰雅园</w:t>
                  </w:r>
                </w:p>
              </w:tc>
              <w:tc>
                <w:tcPr>
                  <w:tcW w:w="1479" w:type="dxa"/>
                  <w:vAlign w:val="center"/>
                </w:tcPr>
                <w:p>
                  <w:pPr>
                    <w:widowControl/>
                    <w:jc w:val="center"/>
                    <w:textAlignment w:val="center"/>
                    <w:rPr>
                      <w:kern w:val="0"/>
                      <w:szCs w:val="21"/>
                    </w:rPr>
                  </w:pPr>
                  <w:r>
                    <w:rPr>
                      <w:kern w:val="0"/>
                      <w:szCs w:val="21"/>
                    </w:rPr>
                    <w:t>113°10'4.58"</w:t>
                  </w:r>
                </w:p>
              </w:tc>
              <w:tc>
                <w:tcPr>
                  <w:tcW w:w="1480" w:type="dxa"/>
                  <w:vAlign w:val="center"/>
                </w:tcPr>
                <w:p>
                  <w:pPr>
                    <w:widowControl/>
                    <w:jc w:val="center"/>
                    <w:textAlignment w:val="center"/>
                    <w:rPr>
                      <w:kern w:val="0"/>
                      <w:szCs w:val="21"/>
                    </w:rPr>
                  </w:pPr>
                  <w:r>
                    <w:rPr>
                      <w:kern w:val="0"/>
                      <w:szCs w:val="21"/>
                    </w:rPr>
                    <w:t>29°25'46.27"</w:t>
                  </w:r>
                </w:p>
              </w:tc>
              <w:tc>
                <w:tcPr>
                  <w:tcW w:w="596" w:type="dxa"/>
                  <w:vMerge w:val="continue"/>
                  <w:vAlign w:val="center"/>
                </w:tcPr>
                <w:p>
                  <w:pPr>
                    <w:widowControl/>
                    <w:jc w:val="left"/>
                    <w:rPr>
                      <w:szCs w:val="21"/>
                    </w:rPr>
                  </w:pPr>
                </w:p>
              </w:tc>
              <w:tc>
                <w:tcPr>
                  <w:tcW w:w="883" w:type="dxa"/>
                  <w:vAlign w:val="center"/>
                </w:tcPr>
                <w:p>
                  <w:pPr>
                    <w:widowControl/>
                    <w:jc w:val="center"/>
                    <w:textAlignment w:val="center"/>
                    <w:rPr>
                      <w:kern w:val="0"/>
                      <w:szCs w:val="21"/>
                    </w:rPr>
                  </w:pPr>
                  <w:r>
                    <w:rPr>
                      <w:kern w:val="0"/>
                      <w:szCs w:val="21"/>
                    </w:rPr>
                    <w:t>1</w:t>
                  </w:r>
                  <w:r>
                    <w:rPr>
                      <w:rFonts w:hint="eastAsia"/>
                      <w:kern w:val="0"/>
                      <w:szCs w:val="21"/>
                    </w:rPr>
                    <w:t>374户</w:t>
                  </w:r>
                </w:p>
              </w:tc>
              <w:tc>
                <w:tcPr>
                  <w:tcW w:w="739" w:type="dxa"/>
                  <w:vMerge w:val="continue"/>
                  <w:vAlign w:val="center"/>
                </w:tcPr>
                <w:p>
                  <w:pPr>
                    <w:widowControl/>
                    <w:jc w:val="left"/>
                    <w:rPr>
                      <w:szCs w:val="21"/>
                    </w:rPr>
                  </w:pPr>
                </w:p>
              </w:tc>
              <w:tc>
                <w:tcPr>
                  <w:tcW w:w="739" w:type="dxa"/>
                  <w:tcMar>
                    <w:top w:w="15" w:type="dxa"/>
                    <w:left w:w="15" w:type="dxa"/>
                    <w:bottom w:w="15" w:type="dxa"/>
                    <w:right w:w="15" w:type="dxa"/>
                  </w:tcMar>
                  <w:vAlign w:val="center"/>
                </w:tcPr>
                <w:p>
                  <w:pPr>
                    <w:widowControl/>
                    <w:jc w:val="center"/>
                    <w:textAlignment w:val="center"/>
                    <w:rPr>
                      <w:kern w:val="0"/>
                      <w:szCs w:val="21"/>
                    </w:rPr>
                  </w:pPr>
                  <w:r>
                    <w:rPr>
                      <w:kern w:val="0"/>
                      <w:szCs w:val="21"/>
                    </w:rPr>
                    <w:t>N</w:t>
                  </w:r>
                  <w:r>
                    <w:rPr>
                      <w:rFonts w:hint="eastAsia"/>
                      <w:kern w:val="0"/>
                      <w:szCs w:val="21"/>
                    </w:rPr>
                    <w:t>E</w:t>
                  </w:r>
                </w:p>
              </w:tc>
              <w:tc>
                <w:tcPr>
                  <w:tcW w:w="900" w:type="dxa"/>
                  <w:tcMar>
                    <w:top w:w="15" w:type="dxa"/>
                    <w:left w:w="15" w:type="dxa"/>
                    <w:bottom w:w="15" w:type="dxa"/>
                    <w:right w:w="15" w:type="dxa"/>
                  </w:tcMar>
                  <w:vAlign w:val="center"/>
                </w:tcPr>
                <w:p>
                  <w:pPr>
                    <w:widowControl/>
                    <w:jc w:val="center"/>
                    <w:textAlignment w:val="center"/>
                    <w:rPr>
                      <w:kern w:val="0"/>
                      <w:szCs w:val="21"/>
                    </w:rPr>
                  </w:pPr>
                  <w:r>
                    <w:rPr>
                      <w:rFonts w:hint="eastAsia"/>
                      <w:kern w:val="0"/>
                      <w:szCs w:val="21"/>
                    </w:rPr>
                    <w:t>917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464" w:type="dxa"/>
                  <w:vAlign w:val="center"/>
                </w:tcPr>
                <w:p>
                  <w:pPr>
                    <w:widowControl/>
                    <w:jc w:val="center"/>
                    <w:textAlignment w:val="center"/>
                    <w:rPr>
                      <w:szCs w:val="21"/>
                    </w:rPr>
                  </w:pPr>
                  <w:r>
                    <w:rPr>
                      <w:rFonts w:hint="eastAsia"/>
                      <w:kern w:val="0"/>
                      <w:szCs w:val="21"/>
                    </w:rPr>
                    <w:t>小湖湾</w:t>
                  </w:r>
                </w:p>
              </w:tc>
              <w:tc>
                <w:tcPr>
                  <w:tcW w:w="1479" w:type="dxa"/>
                  <w:vAlign w:val="center"/>
                </w:tcPr>
                <w:p>
                  <w:pPr>
                    <w:widowControl/>
                    <w:jc w:val="center"/>
                    <w:textAlignment w:val="center"/>
                    <w:rPr>
                      <w:kern w:val="0"/>
                      <w:szCs w:val="21"/>
                    </w:rPr>
                  </w:pPr>
                  <w:r>
                    <w:rPr>
                      <w:kern w:val="0"/>
                      <w:szCs w:val="21"/>
                    </w:rPr>
                    <w:t>113°10'17.74"</w:t>
                  </w:r>
                </w:p>
              </w:tc>
              <w:tc>
                <w:tcPr>
                  <w:tcW w:w="1480" w:type="dxa"/>
                  <w:vAlign w:val="center"/>
                </w:tcPr>
                <w:p>
                  <w:pPr>
                    <w:widowControl/>
                    <w:jc w:val="center"/>
                    <w:textAlignment w:val="center"/>
                    <w:rPr>
                      <w:kern w:val="0"/>
                      <w:szCs w:val="21"/>
                    </w:rPr>
                  </w:pPr>
                  <w:r>
                    <w:rPr>
                      <w:kern w:val="0"/>
                      <w:szCs w:val="21"/>
                    </w:rPr>
                    <w:t>29°25'7.46"</w:t>
                  </w:r>
                </w:p>
              </w:tc>
              <w:tc>
                <w:tcPr>
                  <w:tcW w:w="596" w:type="dxa"/>
                  <w:vMerge w:val="continue"/>
                  <w:vAlign w:val="center"/>
                </w:tcPr>
                <w:p>
                  <w:pPr>
                    <w:widowControl/>
                    <w:jc w:val="left"/>
                    <w:rPr>
                      <w:szCs w:val="21"/>
                    </w:rPr>
                  </w:pPr>
                </w:p>
              </w:tc>
              <w:tc>
                <w:tcPr>
                  <w:tcW w:w="883" w:type="dxa"/>
                  <w:vAlign w:val="center"/>
                </w:tcPr>
                <w:p>
                  <w:pPr>
                    <w:widowControl/>
                    <w:jc w:val="center"/>
                    <w:textAlignment w:val="center"/>
                    <w:rPr>
                      <w:szCs w:val="21"/>
                    </w:rPr>
                  </w:pPr>
                  <w:r>
                    <w:rPr>
                      <w:rFonts w:hint="eastAsia"/>
                      <w:kern w:val="0"/>
                      <w:szCs w:val="21"/>
                    </w:rPr>
                    <w:t>10</w:t>
                  </w:r>
                  <w:r>
                    <w:rPr>
                      <w:kern w:val="0"/>
                      <w:szCs w:val="21"/>
                    </w:rPr>
                    <w:t>0</w:t>
                  </w:r>
                  <w:r>
                    <w:rPr>
                      <w:rFonts w:hint="eastAsia"/>
                      <w:kern w:val="0"/>
                      <w:szCs w:val="21"/>
                    </w:rPr>
                    <w:t>户</w:t>
                  </w:r>
                </w:p>
              </w:tc>
              <w:tc>
                <w:tcPr>
                  <w:tcW w:w="739" w:type="dxa"/>
                  <w:vMerge w:val="continue"/>
                  <w:vAlign w:val="center"/>
                </w:tcPr>
                <w:p>
                  <w:pPr>
                    <w:widowControl/>
                    <w:jc w:val="left"/>
                    <w:rPr>
                      <w:szCs w:val="21"/>
                    </w:rPr>
                  </w:pPr>
                </w:p>
              </w:tc>
              <w:tc>
                <w:tcPr>
                  <w:tcW w:w="739"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SE</w:t>
                  </w:r>
                </w:p>
              </w:tc>
              <w:tc>
                <w:tcPr>
                  <w:tcW w:w="900"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386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3" w:hRule="atLeast"/>
              </w:trPr>
              <w:tc>
                <w:tcPr>
                  <w:tcW w:w="1464" w:type="dxa"/>
                  <w:vAlign w:val="center"/>
                </w:tcPr>
                <w:p>
                  <w:pPr>
                    <w:widowControl/>
                    <w:jc w:val="center"/>
                    <w:textAlignment w:val="center"/>
                    <w:rPr>
                      <w:kern w:val="0"/>
                      <w:szCs w:val="21"/>
                    </w:rPr>
                  </w:pPr>
                  <w:r>
                    <w:rPr>
                      <w:rFonts w:hint="eastAsia"/>
                      <w:kern w:val="0"/>
                      <w:szCs w:val="21"/>
                    </w:rPr>
                    <w:t>赵家垄</w:t>
                  </w:r>
                  <w:r>
                    <w:rPr>
                      <w:rStyle w:val="25"/>
                      <w:rFonts w:hint="eastAsia"/>
                    </w:rPr>
                    <w:t>（西侧）</w:t>
                  </w:r>
                </w:p>
              </w:tc>
              <w:tc>
                <w:tcPr>
                  <w:tcW w:w="1479" w:type="dxa"/>
                  <w:vAlign w:val="center"/>
                </w:tcPr>
                <w:p>
                  <w:pPr>
                    <w:widowControl/>
                    <w:jc w:val="center"/>
                    <w:textAlignment w:val="center"/>
                    <w:rPr>
                      <w:kern w:val="0"/>
                      <w:szCs w:val="21"/>
                    </w:rPr>
                  </w:pPr>
                  <w:r>
                    <w:rPr>
                      <w:kern w:val="0"/>
                      <w:szCs w:val="21"/>
                    </w:rPr>
                    <w:t>113° 9'55.62"</w:t>
                  </w:r>
                </w:p>
              </w:tc>
              <w:tc>
                <w:tcPr>
                  <w:tcW w:w="1480" w:type="dxa"/>
                  <w:vAlign w:val="center"/>
                </w:tcPr>
                <w:p>
                  <w:pPr>
                    <w:widowControl/>
                    <w:jc w:val="center"/>
                    <w:textAlignment w:val="center"/>
                    <w:rPr>
                      <w:kern w:val="0"/>
                      <w:szCs w:val="21"/>
                    </w:rPr>
                  </w:pPr>
                  <w:r>
                    <w:rPr>
                      <w:kern w:val="0"/>
                      <w:szCs w:val="21"/>
                    </w:rPr>
                    <w:t>29°24'56.37"</w:t>
                  </w:r>
                </w:p>
              </w:tc>
              <w:tc>
                <w:tcPr>
                  <w:tcW w:w="596" w:type="dxa"/>
                  <w:vMerge w:val="continue"/>
                  <w:vAlign w:val="center"/>
                </w:tcPr>
                <w:p>
                  <w:pPr>
                    <w:widowControl/>
                    <w:jc w:val="left"/>
                    <w:rPr>
                      <w:szCs w:val="21"/>
                    </w:rPr>
                  </w:pPr>
                </w:p>
              </w:tc>
              <w:tc>
                <w:tcPr>
                  <w:tcW w:w="883" w:type="dxa"/>
                  <w:vAlign w:val="center"/>
                </w:tcPr>
                <w:p>
                  <w:pPr>
                    <w:widowControl/>
                    <w:jc w:val="center"/>
                    <w:textAlignment w:val="center"/>
                    <w:rPr>
                      <w:szCs w:val="21"/>
                    </w:rPr>
                  </w:pPr>
                  <w:r>
                    <w:rPr>
                      <w:rFonts w:hint="eastAsia"/>
                      <w:kern w:val="0"/>
                      <w:szCs w:val="21"/>
                    </w:rPr>
                    <w:t>150户</w:t>
                  </w:r>
                </w:p>
              </w:tc>
              <w:tc>
                <w:tcPr>
                  <w:tcW w:w="739" w:type="dxa"/>
                  <w:vMerge w:val="continue"/>
                  <w:vAlign w:val="center"/>
                </w:tcPr>
                <w:p>
                  <w:pPr>
                    <w:widowControl/>
                    <w:jc w:val="left"/>
                    <w:rPr>
                      <w:szCs w:val="21"/>
                    </w:rPr>
                  </w:pPr>
                </w:p>
              </w:tc>
              <w:tc>
                <w:tcPr>
                  <w:tcW w:w="739" w:type="dxa"/>
                  <w:tcMar>
                    <w:top w:w="15" w:type="dxa"/>
                    <w:left w:w="15" w:type="dxa"/>
                    <w:bottom w:w="15" w:type="dxa"/>
                    <w:right w:w="15" w:type="dxa"/>
                  </w:tcMar>
                  <w:vAlign w:val="center"/>
                </w:tcPr>
                <w:p>
                  <w:pPr>
                    <w:widowControl/>
                    <w:jc w:val="center"/>
                    <w:textAlignment w:val="center"/>
                    <w:rPr>
                      <w:szCs w:val="21"/>
                    </w:rPr>
                  </w:pPr>
                  <w:r>
                    <w:rPr>
                      <w:kern w:val="0"/>
                      <w:szCs w:val="21"/>
                    </w:rPr>
                    <w:t>W</w:t>
                  </w:r>
                </w:p>
              </w:tc>
              <w:tc>
                <w:tcPr>
                  <w:tcW w:w="900"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1464" w:type="dxa"/>
                  <w:vAlign w:val="center"/>
                </w:tcPr>
                <w:p>
                  <w:pPr>
                    <w:widowControl/>
                    <w:jc w:val="center"/>
                    <w:textAlignment w:val="center"/>
                    <w:rPr>
                      <w:kern w:val="0"/>
                      <w:szCs w:val="21"/>
                    </w:rPr>
                  </w:pPr>
                  <w:r>
                    <w:rPr>
                      <w:rFonts w:hint="eastAsia"/>
                      <w:kern w:val="0"/>
                      <w:szCs w:val="21"/>
                    </w:rPr>
                    <w:t>滨湖村</w:t>
                  </w:r>
                </w:p>
              </w:tc>
              <w:tc>
                <w:tcPr>
                  <w:tcW w:w="1479" w:type="dxa"/>
                  <w:vAlign w:val="center"/>
                </w:tcPr>
                <w:p>
                  <w:pPr>
                    <w:widowControl/>
                    <w:jc w:val="center"/>
                    <w:textAlignment w:val="center"/>
                    <w:rPr>
                      <w:kern w:val="0"/>
                      <w:szCs w:val="21"/>
                    </w:rPr>
                  </w:pPr>
                  <w:r>
                    <w:rPr>
                      <w:kern w:val="0"/>
                      <w:szCs w:val="21"/>
                    </w:rPr>
                    <w:t>113° 9'47.16"</w:t>
                  </w:r>
                </w:p>
              </w:tc>
              <w:tc>
                <w:tcPr>
                  <w:tcW w:w="1480" w:type="dxa"/>
                  <w:vAlign w:val="center"/>
                </w:tcPr>
                <w:p>
                  <w:pPr>
                    <w:widowControl/>
                    <w:jc w:val="center"/>
                    <w:textAlignment w:val="center"/>
                    <w:rPr>
                      <w:kern w:val="0"/>
                      <w:szCs w:val="21"/>
                    </w:rPr>
                  </w:pPr>
                  <w:r>
                    <w:rPr>
                      <w:kern w:val="0"/>
                      <w:szCs w:val="21"/>
                    </w:rPr>
                    <w:t>29°25'26.95"</w:t>
                  </w:r>
                </w:p>
              </w:tc>
              <w:tc>
                <w:tcPr>
                  <w:tcW w:w="596" w:type="dxa"/>
                  <w:vMerge w:val="continue"/>
                  <w:vAlign w:val="center"/>
                </w:tcPr>
                <w:p>
                  <w:pPr>
                    <w:widowControl/>
                    <w:jc w:val="left"/>
                    <w:rPr>
                      <w:szCs w:val="21"/>
                    </w:rPr>
                  </w:pPr>
                </w:p>
              </w:tc>
              <w:tc>
                <w:tcPr>
                  <w:tcW w:w="883" w:type="dxa"/>
                  <w:vAlign w:val="center"/>
                </w:tcPr>
                <w:p>
                  <w:pPr>
                    <w:widowControl/>
                    <w:jc w:val="center"/>
                    <w:textAlignment w:val="center"/>
                    <w:rPr>
                      <w:kern w:val="0"/>
                      <w:szCs w:val="21"/>
                    </w:rPr>
                  </w:pPr>
                  <w:r>
                    <w:rPr>
                      <w:rFonts w:hint="eastAsia"/>
                      <w:kern w:val="0"/>
                      <w:szCs w:val="21"/>
                    </w:rPr>
                    <w:t>300户</w:t>
                  </w:r>
                </w:p>
              </w:tc>
              <w:tc>
                <w:tcPr>
                  <w:tcW w:w="739" w:type="dxa"/>
                  <w:vMerge w:val="continue"/>
                  <w:vAlign w:val="center"/>
                </w:tcPr>
                <w:p>
                  <w:pPr>
                    <w:widowControl/>
                    <w:jc w:val="left"/>
                    <w:rPr>
                      <w:szCs w:val="21"/>
                    </w:rPr>
                  </w:pPr>
                </w:p>
              </w:tc>
              <w:tc>
                <w:tcPr>
                  <w:tcW w:w="739" w:type="dxa"/>
                  <w:tcMar>
                    <w:top w:w="15" w:type="dxa"/>
                    <w:left w:w="15" w:type="dxa"/>
                    <w:bottom w:w="15" w:type="dxa"/>
                    <w:right w:w="15" w:type="dxa"/>
                  </w:tcMar>
                  <w:vAlign w:val="center"/>
                </w:tcPr>
                <w:p>
                  <w:pPr>
                    <w:widowControl/>
                    <w:jc w:val="center"/>
                    <w:textAlignment w:val="center"/>
                    <w:rPr>
                      <w:kern w:val="0"/>
                      <w:szCs w:val="21"/>
                    </w:rPr>
                  </w:pPr>
                  <w:r>
                    <w:rPr>
                      <w:kern w:val="0"/>
                      <w:szCs w:val="21"/>
                    </w:rPr>
                    <w:t>NW</w:t>
                  </w:r>
                </w:p>
              </w:tc>
              <w:tc>
                <w:tcPr>
                  <w:tcW w:w="900" w:type="dxa"/>
                  <w:tcMar>
                    <w:top w:w="15" w:type="dxa"/>
                    <w:left w:w="15" w:type="dxa"/>
                    <w:bottom w:w="15" w:type="dxa"/>
                    <w:right w:w="15" w:type="dxa"/>
                  </w:tcMar>
                  <w:vAlign w:val="center"/>
                </w:tcPr>
                <w:p>
                  <w:pPr>
                    <w:widowControl/>
                    <w:jc w:val="center"/>
                    <w:textAlignment w:val="center"/>
                    <w:rPr>
                      <w:kern w:val="0"/>
                      <w:szCs w:val="21"/>
                    </w:rPr>
                  </w:pPr>
                  <w:r>
                    <w:rPr>
                      <w:rFonts w:hint="eastAsia"/>
                      <w:kern w:val="0"/>
                      <w:szCs w:val="21"/>
                    </w:rPr>
                    <w:t>474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1464" w:type="dxa"/>
                  <w:vAlign w:val="center"/>
                </w:tcPr>
                <w:p>
                  <w:pPr>
                    <w:widowControl/>
                    <w:jc w:val="center"/>
                    <w:textAlignment w:val="center"/>
                    <w:rPr>
                      <w:szCs w:val="21"/>
                    </w:rPr>
                  </w:pPr>
                  <w:r>
                    <w:rPr>
                      <w:rFonts w:hint="eastAsia"/>
                      <w:kern w:val="0"/>
                      <w:szCs w:val="21"/>
                    </w:rPr>
                    <w:t>赵家垄</w:t>
                  </w:r>
                  <w:r>
                    <w:rPr>
                      <w:rStyle w:val="25"/>
                      <w:rFonts w:hint="eastAsia"/>
                    </w:rPr>
                    <w:t>（西南侧）</w:t>
                  </w:r>
                </w:p>
              </w:tc>
              <w:tc>
                <w:tcPr>
                  <w:tcW w:w="1479" w:type="dxa"/>
                  <w:vAlign w:val="center"/>
                </w:tcPr>
                <w:p>
                  <w:pPr>
                    <w:widowControl/>
                    <w:jc w:val="center"/>
                    <w:textAlignment w:val="center"/>
                    <w:rPr>
                      <w:kern w:val="0"/>
                      <w:szCs w:val="21"/>
                    </w:rPr>
                  </w:pPr>
                  <w:r>
                    <w:rPr>
                      <w:kern w:val="0"/>
                      <w:szCs w:val="21"/>
                    </w:rPr>
                    <w:t>113° 9'59.16"</w:t>
                  </w:r>
                </w:p>
              </w:tc>
              <w:tc>
                <w:tcPr>
                  <w:tcW w:w="1480" w:type="dxa"/>
                  <w:vAlign w:val="center"/>
                </w:tcPr>
                <w:p>
                  <w:pPr>
                    <w:widowControl/>
                    <w:jc w:val="center"/>
                    <w:textAlignment w:val="center"/>
                    <w:rPr>
                      <w:kern w:val="0"/>
                      <w:szCs w:val="21"/>
                    </w:rPr>
                  </w:pPr>
                  <w:r>
                    <w:rPr>
                      <w:kern w:val="0"/>
                      <w:szCs w:val="21"/>
                    </w:rPr>
                    <w:t>29°25'18.45"</w:t>
                  </w:r>
                </w:p>
              </w:tc>
              <w:tc>
                <w:tcPr>
                  <w:tcW w:w="596" w:type="dxa"/>
                  <w:vMerge w:val="continue"/>
                  <w:vAlign w:val="center"/>
                </w:tcPr>
                <w:p>
                  <w:pPr>
                    <w:widowControl/>
                    <w:jc w:val="left"/>
                    <w:rPr>
                      <w:szCs w:val="21"/>
                    </w:rPr>
                  </w:pPr>
                </w:p>
              </w:tc>
              <w:tc>
                <w:tcPr>
                  <w:tcW w:w="883" w:type="dxa"/>
                  <w:vAlign w:val="center"/>
                </w:tcPr>
                <w:p>
                  <w:pPr>
                    <w:widowControl/>
                    <w:jc w:val="center"/>
                    <w:textAlignment w:val="center"/>
                    <w:rPr>
                      <w:szCs w:val="21"/>
                    </w:rPr>
                  </w:pPr>
                  <w:r>
                    <w:rPr>
                      <w:rFonts w:hint="eastAsia"/>
                      <w:kern w:val="0"/>
                      <w:szCs w:val="21"/>
                    </w:rPr>
                    <w:t>50户</w:t>
                  </w:r>
                </w:p>
              </w:tc>
              <w:tc>
                <w:tcPr>
                  <w:tcW w:w="739" w:type="dxa"/>
                  <w:vMerge w:val="continue"/>
                  <w:vAlign w:val="center"/>
                </w:tcPr>
                <w:p>
                  <w:pPr>
                    <w:widowControl/>
                    <w:jc w:val="left"/>
                    <w:rPr>
                      <w:szCs w:val="21"/>
                    </w:rPr>
                  </w:pPr>
                </w:p>
              </w:tc>
              <w:tc>
                <w:tcPr>
                  <w:tcW w:w="739" w:type="dxa"/>
                  <w:tcMar>
                    <w:top w:w="15" w:type="dxa"/>
                    <w:left w:w="15" w:type="dxa"/>
                    <w:bottom w:w="15" w:type="dxa"/>
                    <w:right w:w="15" w:type="dxa"/>
                  </w:tcMar>
                  <w:vAlign w:val="center"/>
                </w:tcPr>
                <w:p>
                  <w:pPr>
                    <w:widowControl/>
                    <w:jc w:val="center"/>
                    <w:textAlignment w:val="center"/>
                    <w:rPr>
                      <w:szCs w:val="21"/>
                    </w:rPr>
                  </w:pPr>
                  <w:r>
                    <w:rPr>
                      <w:kern w:val="0"/>
                      <w:szCs w:val="21"/>
                    </w:rPr>
                    <w:t>W</w:t>
                  </w:r>
                  <w:r>
                    <w:rPr>
                      <w:rFonts w:hint="eastAsia"/>
                      <w:kern w:val="0"/>
                      <w:szCs w:val="21"/>
                    </w:rPr>
                    <w:t>N</w:t>
                  </w:r>
                </w:p>
              </w:tc>
              <w:tc>
                <w:tcPr>
                  <w:tcW w:w="900"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536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1464" w:type="dxa"/>
                  <w:vAlign w:val="center"/>
                </w:tcPr>
                <w:p>
                  <w:pPr>
                    <w:widowControl/>
                    <w:jc w:val="center"/>
                    <w:textAlignment w:val="center"/>
                    <w:rPr>
                      <w:kern w:val="0"/>
                      <w:szCs w:val="21"/>
                    </w:rPr>
                  </w:pPr>
                  <w:r>
                    <w:rPr>
                      <w:rFonts w:hint="eastAsia"/>
                      <w:kern w:val="0"/>
                      <w:szCs w:val="21"/>
                    </w:rPr>
                    <w:t>九岭胡家</w:t>
                  </w:r>
                </w:p>
              </w:tc>
              <w:tc>
                <w:tcPr>
                  <w:tcW w:w="1479" w:type="dxa"/>
                  <w:vAlign w:val="center"/>
                </w:tcPr>
                <w:p>
                  <w:pPr>
                    <w:widowControl/>
                    <w:jc w:val="center"/>
                    <w:textAlignment w:val="center"/>
                    <w:rPr>
                      <w:kern w:val="0"/>
                      <w:szCs w:val="21"/>
                    </w:rPr>
                  </w:pPr>
                  <w:r>
                    <w:rPr>
                      <w:kern w:val="0"/>
                      <w:szCs w:val="21"/>
                    </w:rPr>
                    <w:t>113° 9'37.39"</w:t>
                  </w:r>
                </w:p>
              </w:tc>
              <w:tc>
                <w:tcPr>
                  <w:tcW w:w="1480" w:type="dxa"/>
                  <w:vAlign w:val="center"/>
                </w:tcPr>
                <w:p>
                  <w:pPr>
                    <w:widowControl/>
                    <w:jc w:val="center"/>
                    <w:textAlignment w:val="center"/>
                    <w:rPr>
                      <w:kern w:val="0"/>
                      <w:szCs w:val="21"/>
                    </w:rPr>
                  </w:pPr>
                  <w:r>
                    <w:rPr>
                      <w:kern w:val="0"/>
                      <w:szCs w:val="21"/>
                    </w:rPr>
                    <w:t>29°25'19.10"</w:t>
                  </w:r>
                </w:p>
              </w:tc>
              <w:tc>
                <w:tcPr>
                  <w:tcW w:w="596" w:type="dxa"/>
                  <w:vMerge w:val="continue"/>
                  <w:vAlign w:val="center"/>
                </w:tcPr>
                <w:p>
                  <w:pPr>
                    <w:widowControl/>
                    <w:jc w:val="left"/>
                    <w:rPr>
                      <w:szCs w:val="21"/>
                    </w:rPr>
                  </w:pPr>
                </w:p>
              </w:tc>
              <w:tc>
                <w:tcPr>
                  <w:tcW w:w="883" w:type="dxa"/>
                  <w:vAlign w:val="center"/>
                </w:tcPr>
                <w:p>
                  <w:pPr>
                    <w:widowControl/>
                    <w:jc w:val="center"/>
                    <w:textAlignment w:val="center"/>
                    <w:rPr>
                      <w:szCs w:val="21"/>
                    </w:rPr>
                  </w:pPr>
                  <w:r>
                    <w:rPr>
                      <w:rFonts w:hint="eastAsia"/>
                      <w:kern w:val="0"/>
                      <w:szCs w:val="21"/>
                    </w:rPr>
                    <w:t>120户</w:t>
                  </w:r>
                </w:p>
              </w:tc>
              <w:tc>
                <w:tcPr>
                  <w:tcW w:w="739" w:type="dxa"/>
                  <w:vMerge w:val="continue"/>
                  <w:vAlign w:val="center"/>
                </w:tcPr>
                <w:p>
                  <w:pPr>
                    <w:widowControl/>
                    <w:jc w:val="left"/>
                    <w:rPr>
                      <w:szCs w:val="21"/>
                    </w:rPr>
                  </w:pPr>
                </w:p>
              </w:tc>
              <w:tc>
                <w:tcPr>
                  <w:tcW w:w="739" w:type="dxa"/>
                  <w:tcMar>
                    <w:top w:w="15" w:type="dxa"/>
                    <w:left w:w="15" w:type="dxa"/>
                    <w:bottom w:w="15" w:type="dxa"/>
                    <w:right w:w="15" w:type="dxa"/>
                  </w:tcMar>
                  <w:vAlign w:val="center"/>
                </w:tcPr>
                <w:p>
                  <w:pPr>
                    <w:widowControl/>
                    <w:jc w:val="center"/>
                    <w:textAlignment w:val="center"/>
                    <w:rPr>
                      <w:szCs w:val="21"/>
                    </w:rPr>
                  </w:pPr>
                  <w:r>
                    <w:rPr>
                      <w:kern w:val="0"/>
                      <w:szCs w:val="21"/>
                    </w:rPr>
                    <w:t>W</w:t>
                  </w:r>
                </w:p>
              </w:tc>
              <w:tc>
                <w:tcPr>
                  <w:tcW w:w="900" w:type="dxa"/>
                  <w:tcMar>
                    <w:top w:w="15" w:type="dxa"/>
                    <w:left w:w="15" w:type="dxa"/>
                    <w:bottom w:w="15" w:type="dxa"/>
                    <w:right w:w="15" w:type="dxa"/>
                  </w:tcMar>
                  <w:vAlign w:val="center"/>
                </w:tcPr>
                <w:p>
                  <w:pPr>
                    <w:widowControl/>
                    <w:jc w:val="center"/>
                    <w:textAlignment w:val="center"/>
                    <w:rPr>
                      <w:szCs w:val="21"/>
                    </w:rPr>
                  </w:pPr>
                  <w:r>
                    <w:rPr>
                      <w:rFonts w:hint="eastAsia"/>
                      <w:kern w:val="0"/>
                      <w:szCs w:val="21"/>
                    </w:rPr>
                    <w:t>599</w:t>
                  </w:r>
                </w:p>
              </w:tc>
            </w:tr>
          </w:tbl>
          <w:p>
            <w:pPr>
              <w:ind w:firstLine="422" w:firstLineChars="200"/>
              <w:jc w:val="center"/>
              <w:rPr>
                <w:b/>
                <w:szCs w:val="21"/>
              </w:rPr>
            </w:pPr>
            <w:r>
              <w:rPr>
                <w:rFonts w:hint="eastAsia"/>
                <w:b/>
                <w:szCs w:val="21"/>
              </w:rPr>
              <w:t>表</w:t>
            </w:r>
            <w:r>
              <w:rPr>
                <w:b/>
                <w:szCs w:val="21"/>
              </w:rPr>
              <w:t>3-</w:t>
            </w:r>
            <w:r>
              <w:rPr>
                <w:rFonts w:hint="eastAsia"/>
                <w:b/>
                <w:szCs w:val="21"/>
              </w:rPr>
              <w:t>10其他环境保护目标情况表</w:t>
            </w:r>
          </w:p>
          <w:tbl>
            <w:tblPr>
              <w:tblStyle w:val="20"/>
              <w:tblW w:w="82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975"/>
              <w:gridCol w:w="720"/>
              <w:gridCol w:w="900"/>
              <w:gridCol w:w="720"/>
              <w:gridCol w:w="678"/>
              <w:gridCol w:w="2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59" w:type="dxa"/>
                  <w:tcBorders>
                    <w:top w:val="single" w:color="auto" w:sz="12" w:space="0"/>
                    <w:left w:val="single" w:color="auto" w:sz="12" w:space="0"/>
                    <w:bottom w:val="single" w:color="auto" w:sz="6" w:space="0"/>
                    <w:right w:val="single" w:color="auto" w:sz="6" w:space="0"/>
                  </w:tcBorders>
                  <w:vAlign w:val="center"/>
                </w:tcPr>
                <w:p>
                  <w:pPr>
                    <w:jc w:val="center"/>
                    <w:rPr>
                      <w:szCs w:val="21"/>
                    </w:rPr>
                  </w:pPr>
                  <w:r>
                    <w:rPr>
                      <w:rFonts w:hint="eastAsia"/>
                      <w:szCs w:val="21"/>
                    </w:rPr>
                    <w:t>环境</w:t>
                  </w:r>
                </w:p>
                <w:p>
                  <w:pPr>
                    <w:jc w:val="center"/>
                    <w:rPr>
                      <w:szCs w:val="21"/>
                    </w:rPr>
                  </w:pPr>
                  <w:r>
                    <w:rPr>
                      <w:rFonts w:hint="eastAsia"/>
                      <w:szCs w:val="21"/>
                    </w:rPr>
                    <w:t>要素</w:t>
                  </w:r>
                </w:p>
              </w:tc>
              <w:tc>
                <w:tcPr>
                  <w:tcW w:w="975" w:type="dxa"/>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保护目</w:t>
                  </w:r>
                </w:p>
                <w:p>
                  <w:pPr>
                    <w:jc w:val="center"/>
                    <w:rPr>
                      <w:szCs w:val="21"/>
                    </w:rPr>
                  </w:pPr>
                  <w:r>
                    <w:rPr>
                      <w:rFonts w:hint="eastAsia"/>
                      <w:szCs w:val="21"/>
                    </w:rPr>
                    <w:t>标名称</w:t>
                  </w:r>
                </w:p>
              </w:tc>
              <w:tc>
                <w:tcPr>
                  <w:tcW w:w="720" w:type="dxa"/>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相对</w:t>
                  </w:r>
                </w:p>
                <w:p>
                  <w:pPr>
                    <w:jc w:val="center"/>
                    <w:rPr>
                      <w:szCs w:val="21"/>
                    </w:rPr>
                  </w:pPr>
                  <w:r>
                    <w:rPr>
                      <w:rFonts w:hint="eastAsia"/>
                      <w:szCs w:val="21"/>
                    </w:rPr>
                    <w:t>方位</w:t>
                  </w:r>
                </w:p>
              </w:tc>
              <w:tc>
                <w:tcPr>
                  <w:tcW w:w="900" w:type="dxa"/>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相对</w:t>
                  </w:r>
                </w:p>
                <w:p>
                  <w:pPr>
                    <w:jc w:val="center"/>
                    <w:rPr>
                      <w:szCs w:val="21"/>
                    </w:rPr>
                  </w:pPr>
                  <w:r>
                    <w:rPr>
                      <w:rFonts w:hint="eastAsia"/>
                      <w:szCs w:val="21"/>
                    </w:rPr>
                    <w:t>距离</w:t>
                  </w:r>
                </w:p>
              </w:tc>
              <w:tc>
                <w:tcPr>
                  <w:tcW w:w="720" w:type="dxa"/>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规模</w:t>
                  </w:r>
                </w:p>
              </w:tc>
              <w:tc>
                <w:tcPr>
                  <w:tcW w:w="678" w:type="dxa"/>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功能</w:t>
                  </w:r>
                </w:p>
              </w:tc>
              <w:tc>
                <w:tcPr>
                  <w:tcW w:w="2919" w:type="dxa"/>
                  <w:tcBorders>
                    <w:top w:val="single" w:color="auto" w:sz="12" w:space="0"/>
                    <w:left w:val="single" w:color="auto" w:sz="6" w:space="0"/>
                    <w:bottom w:val="single" w:color="auto" w:sz="6" w:space="0"/>
                    <w:right w:val="single" w:color="auto" w:sz="12" w:space="0"/>
                  </w:tcBorders>
                  <w:vAlign w:val="center"/>
                </w:tcPr>
                <w:p>
                  <w:pPr>
                    <w:jc w:val="center"/>
                    <w:rPr>
                      <w:szCs w:val="21"/>
                    </w:rPr>
                  </w:pPr>
                  <w:r>
                    <w:rPr>
                      <w:rFonts w:hint="eastAsia"/>
                      <w:szCs w:val="21"/>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59" w:type="dxa"/>
                  <w:vMerge w:val="restart"/>
                  <w:tcBorders>
                    <w:top w:val="single" w:color="auto" w:sz="6" w:space="0"/>
                    <w:left w:val="single" w:color="auto" w:sz="12" w:space="0"/>
                    <w:right w:val="single" w:color="auto" w:sz="6" w:space="0"/>
                  </w:tcBorders>
                  <w:vAlign w:val="center"/>
                </w:tcPr>
                <w:p>
                  <w:pPr>
                    <w:jc w:val="center"/>
                    <w:rPr>
                      <w:szCs w:val="21"/>
                    </w:rPr>
                  </w:pPr>
                  <w:r>
                    <w:rPr>
                      <w:rFonts w:hint="eastAsia"/>
                      <w:szCs w:val="21"/>
                    </w:rPr>
                    <w:t>地表水环境</w:t>
                  </w:r>
                </w:p>
              </w:tc>
              <w:tc>
                <w:tcPr>
                  <w:tcW w:w="97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长江</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W</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2800</w:t>
                  </w:r>
                  <w:r>
                    <w:rPr>
                      <w:szCs w:val="21"/>
                    </w:rPr>
                    <w:t>m</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大河</w:t>
                  </w:r>
                </w:p>
              </w:tc>
              <w:tc>
                <w:tcPr>
                  <w:tcW w:w="678" w:type="dxa"/>
                  <w:vMerge w:val="restart"/>
                  <w:tcBorders>
                    <w:top w:val="single" w:color="auto" w:sz="6" w:space="0"/>
                    <w:left w:val="single" w:color="auto" w:sz="6" w:space="0"/>
                    <w:right w:val="single" w:color="auto" w:sz="6" w:space="0"/>
                  </w:tcBorders>
                  <w:vAlign w:val="center"/>
                </w:tcPr>
                <w:p>
                  <w:pPr>
                    <w:widowControl/>
                    <w:jc w:val="center"/>
                    <w:rPr>
                      <w:szCs w:val="21"/>
                    </w:rPr>
                  </w:pPr>
                  <w:r>
                    <w:rPr>
                      <w:rFonts w:hint="eastAsia"/>
                      <w:szCs w:val="21"/>
                    </w:rPr>
                    <w:t>渔业</w:t>
                  </w:r>
                </w:p>
              </w:tc>
              <w:tc>
                <w:tcPr>
                  <w:tcW w:w="2919" w:type="dxa"/>
                  <w:vMerge w:val="restart"/>
                  <w:tcBorders>
                    <w:top w:val="single" w:color="auto" w:sz="6" w:space="0"/>
                    <w:left w:val="single" w:color="auto" w:sz="6" w:space="0"/>
                    <w:right w:val="single" w:color="auto" w:sz="12" w:space="0"/>
                  </w:tcBorders>
                  <w:vAlign w:val="center"/>
                </w:tcPr>
                <w:p>
                  <w:pPr>
                    <w:widowControl/>
                    <w:jc w:val="center"/>
                    <w:rPr>
                      <w:szCs w:val="21"/>
                    </w:rPr>
                  </w:pPr>
                  <w:r>
                    <w:rPr>
                      <w:rFonts w:hint="eastAsia"/>
                      <w:szCs w:val="21"/>
                    </w:rPr>
                    <w:t>（</w:t>
                  </w:r>
                  <w:r>
                    <w:rPr>
                      <w:szCs w:val="21"/>
                    </w:rPr>
                    <w:t>GB3838-2002</w:t>
                  </w:r>
                  <w:r>
                    <w:rPr>
                      <w:rFonts w:hint="eastAsia"/>
                      <w:szCs w:val="21"/>
                    </w:rPr>
                    <w:t>）中的</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59" w:type="dxa"/>
                  <w:vMerge w:val="continue"/>
                  <w:tcBorders>
                    <w:left w:val="single" w:color="auto" w:sz="12" w:space="0"/>
                    <w:bottom w:val="single" w:color="auto" w:sz="6" w:space="0"/>
                    <w:right w:val="single" w:color="auto" w:sz="6" w:space="0"/>
                  </w:tcBorders>
                  <w:vAlign w:val="center"/>
                </w:tcPr>
                <w:p>
                  <w:pPr>
                    <w:jc w:val="center"/>
                    <w:rPr>
                      <w:szCs w:val="21"/>
                    </w:rPr>
                  </w:pPr>
                </w:p>
              </w:tc>
              <w:tc>
                <w:tcPr>
                  <w:tcW w:w="97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芭蕉湖</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E</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350m</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中湖</w:t>
                  </w:r>
                </w:p>
              </w:tc>
              <w:tc>
                <w:tcPr>
                  <w:tcW w:w="678" w:type="dxa"/>
                  <w:vMerge w:val="continue"/>
                  <w:tcBorders>
                    <w:left w:val="single" w:color="auto" w:sz="6" w:space="0"/>
                    <w:bottom w:val="single" w:color="auto" w:sz="6" w:space="0"/>
                    <w:right w:val="single" w:color="auto" w:sz="6" w:space="0"/>
                  </w:tcBorders>
                  <w:vAlign w:val="center"/>
                </w:tcPr>
                <w:p>
                  <w:pPr>
                    <w:widowControl/>
                    <w:jc w:val="center"/>
                    <w:rPr>
                      <w:szCs w:val="21"/>
                    </w:rPr>
                  </w:pPr>
                </w:p>
              </w:tc>
              <w:tc>
                <w:tcPr>
                  <w:tcW w:w="2919" w:type="dxa"/>
                  <w:vMerge w:val="continue"/>
                  <w:tcBorders>
                    <w:left w:val="single" w:color="auto" w:sz="6" w:space="0"/>
                    <w:bottom w:val="single" w:color="auto" w:sz="6" w:space="0"/>
                    <w:right w:val="single" w:color="auto" w:sz="12" w:space="0"/>
                  </w:tcBorders>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59" w:type="dxa"/>
                  <w:vMerge w:val="restart"/>
                  <w:tcBorders>
                    <w:top w:val="single" w:color="auto" w:sz="6" w:space="0"/>
                    <w:left w:val="single" w:color="auto" w:sz="12" w:space="0"/>
                    <w:right w:val="single" w:color="auto" w:sz="6" w:space="0"/>
                  </w:tcBorders>
                  <w:vAlign w:val="center"/>
                </w:tcPr>
                <w:p>
                  <w:pPr>
                    <w:jc w:val="center"/>
                    <w:rPr>
                      <w:szCs w:val="21"/>
                    </w:rPr>
                  </w:pPr>
                  <w:r>
                    <w:rPr>
                      <w:rFonts w:hint="eastAsia"/>
                      <w:szCs w:val="21"/>
                    </w:rPr>
                    <w:t>声环境</w:t>
                  </w:r>
                </w:p>
              </w:tc>
              <w:tc>
                <w:tcPr>
                  <w:tcW w:w="3993" w:type="dxa"/>
                  <w:gridSpan w:val="5"/>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kern w:val="0"/>
                      <w:szCs w:val="21"/>
                    </w:rPr>
                    <w:t>碧桂园小区，东侧160m，在200m声评价范围内约200户</w:t>
                  </w:r>
                </w:p>
              </w:tc>
              <w:tc>
                <w:tcPr>
                  <w:tcW w:w="2919" w:type="dxa"/>
                  <w:vMerge w:val="restart"/>
                  <w:tcBorders>
                    <w:top w:val="single" w:color="auto" w:sz="6" w:space="0"/>
                    <w:left w:val="single" w:color="auto" w:sz="6" w:space="0"/>
                    <w:right w:val="single" w:color="auto" w:sz="12" w:space="0"/>
                  </w:tcBorders>
                  <w:vAlign w:val="center"/>
                </w:tcPr>
                <w:p>
                  <w:pPr>
                    <w:jc w:val="center"/>
                    <w:rPr>
                      <w:szCs w:val="21"/>
                    </w:rPr>
                  </w:pPr>
                  <w:r>
                    <w:rPr>
                      <w:rFonts w:hint="eastAsia"/>
                      <w:szCs w:val="21"/>
                    </w:rPr>
                    <w:t>（</w:t>
                  </w:r>
                  <w:r>
                    <w:rPr>
                      <w:szCs w:val="21"/>
                    </w:rPr>
                    <w:t>GB3096-2008</w:t>
                  </w:r>
                  <w:r>
                    <w:rPr>
                      <w:rFonts w:hint="eastAsia"/>
                      <w:szCs w:val="21"/>
                    </w:rPr>
                    <w:t>）</w:t>
                  </w:r>
                  <w:r>
                    <w:rPr>
                      <w:szCs w:val="21"/>
                    </w:rPr>
                    <w:t>2</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59" w:type="dxa"/>
                  <w:vMerge w:val="continue"/>
                  <w:tcBorders>
                    <w:left w:val="single" w:color="auto" w:sz="12" w:space="0"/>
                    <w:right w:val="single" w:color="auto" w:sz="6" w:space="0"/>
                  </w:tcBorders>
                  <w:vAlign w:val="center"/>
                </w:tcPr>
                <w:p>
                  <w:pPr>
                    <w:jc w:val="center"/>
                    <w:rPr>
                      <w:szCs w:val="21"/>
                    </w:rPr>
                  </w:pPr>
                </w:p>
              </w:tc>
              <w:tc>
                <w:tcPr>
                  <w:tcW w:w="3993" w:type="dxa"/>
                  <w:gridSpan w:val="5"/>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kern w:val="0"/>
                      <w:szCs w:val="21"/>
                    </w:rPr>
                    <w:t>赵家垄（西侧），西侧50m，在200m声评价范围内约50户</w:t>
                  </w:r>
                </w:p>
              </w:tc>
              <w:tc>
                <w:tcPr>
                  <w:tcW w:w="2919" w:type="dxa"/>
                  <w:vMerge w:val="continue"/>
                  <w:tcBorders>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359" w:type="dxa"/>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生态环境</w:t>
                  </w:r>
                </w:p>
              </w:tc>
              <w:tc>
                <w:tcPr>
                  <w:tcW w:w="6912" w:type="dxa"/>
                  <w:gridSpan w:val="6"/>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厂界外2</w:t>
                  </w:r>
                  <w:r>
                    <w:rPr>
                      <w:szCs w:val="21"/>
                    </w:rPr>
                    <w:t>00m</w:t>
                  </w:r>
                  <w:r>
                    <w:rPr>
                      <w:rFonts w:hint="eastAsia"/>
                      <w:szCs w:val="21"/>
                    </w:rPr>
                    <w:t>范围内的植被、林地、耕地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 w:hRule="atLeast"/>
                <w:jc w:val="center"/>
              </w:trPr>
              <w:tc>
                <w:tcPr>
                  <w:tcW w:w="1359" w:type="dxa"/>
                  <w:tcBorders>
                    <w:top w:val="single" w:color="auto" w:sz="6" w:space="0"/>
                    <w:left w:val="single" w:color="auto" w:sz="12" w:space="0"/>
                    <w:bottom w:val="single" w:color="auto" w:sz="12" w:space="0"/>
                    <w:right w:val="single" w:color="auto" w:sz="6" w:space="0"/>
                  </w:tcBorders>
                  <w:vAlign w:val="center"/>
                </w:tcPr>
                <w:p>
                  <w:pPr>
                    <w:jc w:val="center"/>
                    <w:rPr>
                      <w:szCs w:val="21"/>
                    </w:rPr>
                  </w:pPr>
                  <w:r>
                    <w:rPr>
                      <w:rFonts w:hint="eastAsia"/>
                      <w:szCs w:val="21"/>
                    </w:rPr>
                    <w:t>环境风险</w:t>
                  </w:r>
                </w:p>
              </w:tc>
              <w:tc>
                <w:tcPr>
                  <w:tcW w:w="6912" w:type="dxa"/>
                  <w:gridSpan w:val="6"/>
                  <w:tcBorders>
                    <w:top w:val="single" w:color="auto" w:sz="6" w:space="0"/>
                    <w:left w:val="single" w:color="auto" w:sz="6" w:space="0"/>
                    <w:bottom w:val="single" w:color="auto" w:sz="12" w:space="0"/>
                    <w:right w:val="single" w:color="auto" w:sz="12" w:space="0"/>
                  </w:tcBorders>
                  <w:vAlign w:val="center"/>
                </w:tcPr>
                <w:p>
                  <w:pPr>
                    <w:jc w:val="center"/>
                    <w:rPr>
                      <w:szCs w:val="21"/>
                    </w:rPr>
                  </w:pPr>
                  <w:r>
                    <w:rPr>
                      <w:rFonts w:hint="eastAsia"/>
                      <w:szCs w:val="21"/>
                    </w:rPr>
                    <w:t>与大气、地表水、地下水环境保护目标一致</w:t>
                  </w:r>
                </w:p>
              </w:tc>
            </w:tr>
          </w:tbl>
          <w:p>
            <w:pPr>
              <w:spacing w:line="360" w:lineRule="auto"/>
              <w:rPr>
                <w:b/>
                <w:sz w:val="24"/>
              </w:rPr>
            </w:pPr>
          </w:p>
          <w:p>
            <w:pPr>
              <w:adjustRightInd w:val="0"/>
              <w:snapToGrid w:val="0"/>
              <w:spacing w:line="360" w:lineRule="auto"/>
              <w:rPr>
                <w:b/>
                <w:sz w:val="24"/>
                <w:szCs w:val="24"/>
              </w:rPr>
            </w:pPr>
          </w:p>
        </w:tc>
      </w:tr>
    </w:tbl>
    <w:p>
      <w:r>
        <w:br w:type="page"/>
      </w:r>
    </w:p>
    <w:p>
      <w:pPr>
        <w:adjustRightInd w:val="0"/>
        <w:snapToGrid w:val="0"/>
        <w:outlineLvl w:val="0"/>
        <w:rPr>
          <w:b/>
          <w:sz w:val="32"/>
          <w:szCs w:val="32"/>
        </w:rPr>
      </w:pPr>
      <w:bookmarkStart w:id="68" w:name="_Toc17756"/>
      <w:r>
        <w:rPr>
          <w:b/>
          <w:sz w:val="32"/>
          <w:szCs w:val="32"/>
        </w:rPr>
        <w:t>四、评价适用标准</w:t>
      </w:r>
      <w:bookmarkEnd w:id="68"/>
    </w:p>
    <w:tbl>
      <w:tblPr>
        <w:tblStyle w:val="20"/>
        <w:tblW w:w="8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3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 w:type="dxa"/>
            <w:tcBorders>
              <w:tl2br w:val="nil"/>
              <w:tr2bl w:val="nil"/>
            </w:tcBorders>
            <w:vAlign w:val="center"/>
          </w:tcPr>
          <w:p>
            <w:pPr>
              <w:spacing w:before="100" w:beforeAutospacing="1" w:after="100" w:afterAutospacing="1"/>
              <w:jc w:val="center"/>
              <w:rPr>
                <w:sz w:val="24"/>
              </w:rPr>
            </w:pPr>
            <w:r>
              <w:rPr>
                <w:sz w:val="24"/>
              </w:rPr>
              <w:t>环</w:t>
            </w:r>
          </w:p>
          <w:p>
            <w:pPr>
              <w:spacing w:before="100" w:beforeAutospacing="1" w:after="100" w:afterAutospacing="1"/>
              <w:jc w:val="center"/>
              <w:rPr>
                <w:sz w:val="24"/>
              </w:rPr>
            </w:pPr>
            <w:r>
              <w:rPr>
                <w:sz w:val="24"/>
              </w:rPr>
              <w:t>境</w:t>
            </w:r>
          </w:p>
          <w:p>
            <w:pPr>
              <w:spacing w:before="100" w:beforeAutospacing="1" w:after="100" w:afterAutospacing="1"/>
              <w:jc w:val="center"/>
              <w:rPr>
                <w:sz w:val="24"/>
              </w:rPr>
            </w:pPr>
            <w:r>
              <w:rPr>
                <w:sz w:val="24"/>
              </w:rPr>
              <w:t>质</w:t>
            </w:r>
          </w:p>
          <w:p>
            <w:pPr>
              <w:spacing w:before="100" w:beforeAutospacing="1" w:after="100" w:afterAutospacing="1"/>
              <w:jc w:val="center"/>
              <w:rPr>
                <w:sz w:val="24"/>
              </w:rPr>
            </w:pPr>
            <w:r>
              <w:rPr>
                <w:sz w:val="24"/>
              </w:rPr>
              <w:t>量</w:t>
            </w:r>
          </w:p>
          <w:p>
            <w:pPr>
              <w:spacing w:before="100" w:beforeAutospacing="1" w:after="100" w:afterAutospacing="1"/>
              <w:jc w:val="center"/>
              <w:rPr>
                <w:sz w:val="24"/>
              </w:rPr>
            </w:pPr>
            <w:r>
              <w:rPr>
                <w:sz w:val="24"/>
              </w:rPr>
              <w:t>标</w:t>
            </w:r>
          </w:p>
          <w:p>
            <w:pPr>
              <w:spacing w:before="100" w:beforeAutospacing="1" w:after="100" w:afterAutospacing="1"/>
              <w:jc w:val="center"/>
              <w:rPr>
                <w:sz w:val="24"/>
              </w:rPr>
            </w:pPr>
            <w:r>
              <w:rPr>
                <w:sz w:val="24"/>
              </w:rPr>
              <w:t>准</w:t>
            </w:r>
          </w:p>
          <w:p>
            <w:pPr>
              <w:spacing w:before="100" w:beforeAutospacing="1" w:after="100" w:afterAutospacing="1" w:line="360" w:lineRule="auto"/>
              <w:jc w:val="center"/>
              <w:rPr>
                <w:sz w:val="24"/>
              </w:rPr>
            </w:pPr>
          </w:p>
        </w:tc>
        <w:tc>
          <w:tcPr>
            <w:tcW w:w="8347" w:type="dxa"/>
            <w:tcBorders>
              <w:tl2br w:val="nil"/>
              <w:tr2bl w:val="nil"/>
            </w:tcBorders>
          </w:tcPr>
          <w:p>
            <w:pPr>
              <w:spacing w:line="360" w:lineRule="auto"/>
              <w:jc w:val="left"/>
              <w:rPr>
                <w:b/>
                <w:bCs/>
                <w:sz w:val="24"/>
                <w:szCs w:val="22"/>
              </w:rPr>
            </w:pPr>
            <w:r>
              <w:rPr>
                <w:b/>
                <w:bCs/>
                <w:sz w:val="24"/>
                <w:szCs w:val="22"/>
              </w:rPr>
              <w:t>一、环境空气</w:t>
            </w:r>
          </w:p>
          <w:p>
            <w:pPr>
              <w:spacing w:line="360" w:lineRule="auto"/>
              <w:ind w:firstLine="480" w:firstLineChars="200"/>
              <w:jc w:val="left"/>
            </w:pPr>
            <w:r>
              <w:rPr>
                <w:sz w:val="24"/>
                <w:szCs w:val="22"/>
              </w:rPr>
              <w:t>SO</w:t>
            </w:r>
            <w:r>
              <w:rPr>
                <w:sz w:val="24"/>
                <w:szCs w:val="22"/>
                <w:vertAlign w:val="subscript"/>
              </w:rPr>
              <w:t>2</w:t>
            </w:r>
            <w:r>
              <w:rPr>
                <w:sz w:val="24"/>
                <w:szCs w:val="22"/>
              </w:rPr>
              <w:t>、NO</w:t>
            </w:r>
            <w:r>
              <w:rPr>
                <w:sz w:val="24"/>
                <w:szCs w:val="22"/>
                <w:vertAlign w:val="subscript"/>
              </w:rPr>
              <w:t>2</w:t>
            </w:r>
            <w:r>
              <w:rPr>
                <w:sz w:val="24"/>
                <w:szCs w:val="22"/>
              </w:rPr>
              <w:t>、PM</w:t>
            </w:r>
            <w:r>
              <w:rPr>
                <w:sz w:val="24"/>
                <w:szCs w:val="22"/>
                <w:vertAlign w:val="subscript"/>
              </w:rPr>
              <w:t>10</w:t>
            </w:r>
            <w:r>
              <w:rPr>
                <w:sz w:val="24"/>
                <w:szCs w:val="22"/>
              </w:rPr>
              <w:t>、PM</w:t>
            </w:r>
            <w:r>
              <w:rPr>
                <w:sz w:val="24"/>
                <w:szCs w:val="22"/>
                <w:vertAlign w:val="subscript"/>
              </w:rPr>
              <w:t>2.5</w:t>
            </w:r>
            <w:r>
              <w:rPr>
                <w:sz w:val="24"/>
                <w:szCs w:val="22"/>
              </w:rPr>
              <w:t>、CO、O</w:t>
            </w:r>
            <w:r>
              <w:rPr>
                <w:sz w:val="24"/>
                <w:szCs w:val="22"/>
                <w:vertAlign w:val="subscript"/>
              </w:rPr>
              <w:t>3</w:t>
            </w:r>
            <w:r>
              <w:rPr>
                <w:sz w:val="24"/>
                <w:szCs w:val="22"/>
              </w:rPr>
              <w:t>执行《环境空气质量标准》(GB3095-2012)中二级标准；甲苯、二甲苯、TVOC执行《环境影响评价技术导则-大气环境》 HJ 2.2-2018 附录D，空气质量标准见表4-1。</w:t>
            </w:r>
          </w:p>
          <w:p>
            <w:pPr>
              <w:adjustRightInd w:val="0"/>
              <w:snapToGrid w:val="0"/>
              <w:jc w:val="center"/>
              <w:rPr>
                <w:b/>
                <w:bCs/>
              </w:rPr>
            </w:pPr>
            <w:r>
              <w:rPr>
                <w:b/>
                <w:bCs/>
              </w:rPr>
              <w:t>表4-1  环境空气质量标准</w:t>
            </w:r>
          </w:p>
          <w:tbl>
            <w:tblPr>
              <w:tblStyle w:val="20"/>
              <w:tblW w:w="782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25"/>
              <w:gridCol w:w="1561"/>
              <w:gridCol w:w="1611"/>
              <w:gridCol w:w="1597"/>
              <w:gridCol w:w="15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1525" w:type="dxa"/>
                  <w:vMerge w:val="restart"/>
                  <w:vAlign w:val="center"/>
                </w:tcPr>
                <w:p>
                  <w:pPr>
                    <w:autoSpaceDE w:val="0"/>
                    <w:autoSpaceDN w:val="0"/>
                    <w:adjustRightInd w:val="0"/>
                    <w:jc w:val="center"/>
                    <w:rPr>
                      <w:b/>
                      <w:bCs/>
                    </w:rPr>
                  </w:pPr>
                  <w:r>
                    <w:rPr>
                      <w:b/>
                      <w:bCs/>
                    </w:rPr>
                    <w:t>序号</w:t>
                  </w:r>
                </w:p>
              </w:tc>
              <w:tc>
                <w:tcPr>
                  <w:tcW w:w="1561" w:type="dxa"/>
                  <w:vMerge w:val="restart"/>
                  <w:vAlign w:val="center"/>
                </w:tcPr>
                <w:p>
                  <w:pPr>
                    <w:autoSpaceDE w:val="0"/>
                    <w:autoSpaceDN w:val="0"/>
                    <w:adjustRightInd w:val="0"/>
                    <w:jc w:val="center"/>
                    <w:rPr>
                      <w:b/>
                      <w:bCs/>
                    </w:rPr>
                  </w:pPr>
                  <w:r>
                    <w:rPr>
                      <w:b/>
                      <w:bCs/>
                    </w:rPr>
                    <w:t>污染物名称</w:t>
                  </w:r>
                </w:p>
              </w:tc>
              <w:tc>
                <w:tcPr>
                  <w:tcW w:w="4740" w:type="dxa"/>
                  <w:gridSpan w:val="3"/>
                  <w:vAlign w:val="center"/>
                </w:tcPr>
                <w:p>
                  <w:pPr>
                    <w:autoSpaceDE w:val="0"/>
                    <w:autoSpaceDN w:val="0"/>
                    <w:adjustRightInd w:val="0"/>
                    <w:jc w:val="center"/>
                    <w:rPr>
                      <w:b/>
                      <w:bCs/>
                    </w:rPr>
                  </w:pPr>
                  <w:r>
                    <w:rPr>
                      <w:b/>
                      <w:bCs/>
                    </w:rPr>
                    <w:t>浓度限值（ug/m</w:t>
                  </w:r>
                  <w:r>
                    <w:rPr>
                      <w:b/>
                      <w:bCs/>
                      <w:vertAlign w:val="superscript"/>
                    </w:rPr>
                    <w:t>3</w:t>
                  </w:r>
                  <w:r>
                    <w:rPr>
                      <w:b/>
                      <w:bC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1525" w:type="dxa"/>
                  <w:vMerge w:val="continue"/>
                  <w:vAlign w:val="center"/>
                </w:tcPr>
                <w:p>
                  <w:pPr>
                    <w:autoSpaceDE w:val="0"/>
                    <w:autoSpaceDN w:val="0"/>
                    <w:adjustRightInd w:val="0"/>
                    <w:jc w:val="center"/>
                    <w:rPr>
                      <w:b/>
                      <w:bCs/>
                    </w:rPr>
                  </w:pPr>
                </w:p>
              </w:tc>
              <w:tc>
                <w:tcPr>
                  <w:tcW w:w="1561" w:type="dxa"/>
                  <w:vMerge w:val="continue"/>
                  <w:vAlign w:val="center"/>
                </w:tcPr>
                <w:p>
                  <w:pPr>
                    <w:autoSpaceDE w:val="0"/>
                    <w:autoSpaceDN w:val="0"/>
                    <w:adjustRightInd w:val="0"/>
                    <w:jc w:val="center"/>
                    <w:rPr>
                      <w:b/>
                      <w:bCs/>
                    </w:rPr>
                  </w:pPr>
                </w:p>
              </w:tc>
              <w:tc>
                <w:tcPr>
                  <w:tcW w:w="1611" w:type="dxa"/>
                  <w:vAlign w:val="center"/>
                </w:tcPr>
                <w:p>
                  <w:pPr>
                    <w:pStyle w:val="28"/>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1小时平均</w:t>
                  </w:r>
                </w:p>
              </w:tc>
              <w:tc>
                <w:tcPr>
                  <w:tcW w:w="1597" w:type="dxa"/>
                  <w:vAlign w:val="center"/>
                </w:tcPr>
                <w:p>
                  <w:pPr>
                    <w:pStyle w:val="28"/>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日平均</w:t>
                  </w:r>
                </w:p>
              </w:tc>
              <w:tc>
                <w:tcPr>
                  <w:tcW w:w="1532" w:type="dxa"/>
                  <w:vAlign w:val="center"/>
                </w:tcPr>
                <w:p>
                  <w:pPr>
                    <w:pStyle w:val="28"/>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年平均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525" w:type="dxa"/>
                  <w:vAlign w:val="center"/>
                </w:tcPr>
                <w:p>
                  <w:pPr>
                    <w:autoSpaceDE w:val="0"/>
                    <w:autoSpaceDN w:val="0"/>
                    <w:adjustRightInd w:val="0"/>
                    <w:jc w:val="center"/>
                  </w:pPr>
                  <w:r>
                    <w:t>1</w:t>
                  </w:r>
                </w:p>
              </w:tc>
              <w:tc>
                <w:tcPr>
                  <w:tcW w:w="1561" w:type="dxa"/>
                  <w:vAlign w:val="center"/>
                </w:tcPr>
                <w:p>
                  <w:pPr>
                    <w:autoSpaceDE w:val="0"/>
                    <w:autoSpaceDN w:val="0"/>
                    <w:adjustRightInd w:val="0"/>
                    <w:jc w:val="center"/>
                  </w:pPr>
                  <w:r>
                    <w:t>SO</w:t>
                  </w:r>
                  <w:r>
                    <w:rPr>
                      <w:vertAlign w:val="subscript"/>
                    </w:rPr>
                    <w:t>2</w:t>
                  </w:r>
                </w:p>
              </w:tc>
              <w:tc>
                <w:tcPr>
                  <w:tcW w:w="1611" w:type="dxa"/>
                  <w:vAlign w:val="center"/>
                </w:tcPr>
                <w:p>
                  <w:pPr>
                    <w:autoSpaceDE w:val="0"/>
                    <w:autoSpaceDN w:val="0"/>
                    <w:adjustRightInd w:val="0"/>
                    <w:jc w:val="center"/>
                  </w:pPr>
                  <w:r>
                    <w:t>500</w:t>
                  </w:r>
                </w:p>
              </w:tc>
              <w:tc>
                <w:tcPr>
                  <w:tcW w:w="1597" w:type="dxa"/>
                  <w:vAlign w:val="center"/>
                </w:tcPr>
                <w:p>
                  <w:pPr>
                    <w:autoSpaceDE w:val="0"/>
                    <w:autoSpaceDN w:val="0"/>
                    <w:adjustRightInd w:val="0"/>
                    <w:jc w:val="center"/>
                  </w:pPr>
                  <w:r>
                    <w:t>150</w:t>
                  </w:r>
                </w:p>
              </w:tc>
              <w:tc>
                <w:tcPr>
                  <w:tcW w:w="1532" w:type="dxa"/>
                  <w:vAlign w:val="center"/>
                </w:tcPr>
                <w:p>
                  <w:pPr>
                    <w:autoSpaceDE w:val="0"/>
                    <w:autoSpaceDN w:val="0"/>
                    <w:adjustRightInd w:val="0"/>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1525" w:type="dxa"/>
                  <w:vAlign w:val="center"/>
                </w:tcPr>
                <w:p>
                  <w:pPr>
                    <w:autoSpaceDE w:val="0"/>
                    <w:autoSpaceDN w:val="0"/>
                    <w:adjustRightInd w:val="0"/>
                    <w:jc w:val="center"/>
                  </w:pPr>
                  <w:r>
                    <w:t>2</w:t>
                  </w:r>
                </w:p>
              </w:tc>
              <w:tc>
                <w:tcPr>
                  <w:tcW w:w="1561" w:type="dxa"/>
                  <w:vAlign w:val="center"/>
                </w:tcPr>
                <w:p>
                  <w:pPr>
                    <w:autoSpaceDE w:val="0"/>
                    <w:autoSpaceDN w:val="0"/>
                    <w:adjustRightInd w:val="0"/>
                    <w:jc w:val="center"/>
                  </w:pPr>
                  <w:r>
                    <w:t>NO</w:t>
                  </w:r>
                  <w:r>
                    <w:rPr>
                      <w:vertAlign w:val="subscript"/>
                    </w:rPr>
                    <w:t>2</w:t>
                  </w:r>
                </w:p>
              </w:tc>
              <w:tc>
                <w:tcPr>
                  <w:tcW w:w="1611" w:type="dxa"/>
                  <w:vAlign w:val="center"/>
                </w:tcPr>
                <w:p>
                  <w:pPr>
                    <w:autoSpaceDE w:val="0"/>
                    <w:autoSpaceDN w:val="0"/>
                    <w:adjustRightInd w:val="0"/>
                    <w:jc w:val="center"/>
                  </w:pPr>
                  <w:r>
                    <w:t>200</w:t>
                  </w:r>
                </w:p>
              </w:tc>
              <w:tc>
                <w:tcPr>
                  <w:tcW w:w="1597" w:type="dxa"/>
                  <w:vAlign w:val="center"/>
                </w:tcPr>
                <w:p>
                  <w:pPr>
                    <w:autoSpaceDE w:val="0"/>
                    <w:autoSpaceDN w:val="0"/>
                    <w:adjustRightInd w:val="0"/>
                    <w:jc w:val="center"/>
                  </w:pPr>
                  <w:r>
                    <w:t>80</w:t>
                  </w:r>
                </w:p>
              </w:tc>
              <w:tc>
                <w:tcPr>
                  <w:tcW w:w="1532" w:type="dxa"/>
                  <w:vAlign w:val="center"/>
                </w:tcPr>
                <w:p>
                  <w:pPr>
                    <w:autoSpaceDE w:val="0"/>
                    <w:autoSpaceDN w:val="0"/>
                    <w:adjustRightInd w:val="0"/>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1525" w:type="dxa"/>
                  <w:vAlign w:val="center"/>
                </w:tcPr>
                <w:p>
                  <w:pPr>
                    <w:autoSpaceDE w:val="0"/>
                    <w:autoSpaceDN w:val="0"/>
                    <w:adjustRightInd w:val="0"/>
                    <w:jc w:val="center"/>
                  </w:pPr>
                  <w:r>
                    <w:t>3</w:t>
                  </w:r>
                </w:p>
              </w:tc>
              <w:tc>
                <w:tcPr>
                  <w:tcW w:w="1561" w:type="dxa"/>
                  <w:vAlign w:val="center"/>
                </w:tcPr>
                <w:p>
                  <w:pPr>
                    <w:autoSpaceDE w:val="0"/>
                    <w:autoSpaceDN w:val="0"/>
                    <w:adjustRightInd w:val="0"/>
                    <w:jc w:val="center"/>
                  </w:pPr>
                  <w:r>
                    <w:t>PM</w:t>
                  </w:r>
                  <w:r>
                    <w:rPr>
                      <w:vertAlign w:val="subscript"/>
                    </w:rPr>
                    <w:t>10</w:t>
                  </w:r>
                </w:p>
              </w:tc>
              <w:tc>
                <w:tcPr>
                  <w:tcW w:w="1611" w:type="dxa"/>
                  <w:vAlign w:val="center"/>
                </w:tcPr>
                <w:p>
                  <w:pPr>
                    <w:autoSpaceDE w:val="0"/>
                    <w:autoSpaceDN w:val="0"/>
                    <w:adjustRightInd w:val="0"/>
                    <w:jc w:val="center"/>
                  </w:pPr>
                  <w:r>
                    <w:t>—</w:t>
                  </w:r>
                </w:p>
              </w:tc>
              <w:tc>
                <w:tcPr>
                  <w:tcW w:w="1597" w:type="dxa"/>
                  <w:vAlign w:val="center"/>
                </w:tcPr>
                <w:p>
                  <w:pPr>
                    <w:autoSpaceDE w:val="0"/>
                    <w:autoSpaceDN w:val="0"/>
                    <w:adjustRightInd w:val="0"/>
                    <w:jc w:val="center"/>
                  </w:pPr>
                  <w:r>
                    <w:t>150</w:t>
                  </w:r>
                </w:p>
              </w:tc>
              <w:tc>
                <w:tcPr>
                  <w:tcW w:w="1532" w:type="dxa"/>
                  <w:vAlign w:val="center"/>
                </w:tcPr>
                <w:p>
                  <w:pPr>
                    <w:autoSpaceDE w:val="0"/>
                    <w:autoSpaceDN w:val="0"/>
                    <w:adjustRightInd w:val="0"/>
                    <w:jc w:val="center"/>
                  </w:pPr>
                  <w:r>
                    <w:t>70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jc w:val="center"/>
              </w:trPr>
              <w:tc>
                <w:tcPr>
                  <w:tcW w:w="1525" w:type="dxa"/>
                  <w:vAlign w:val="center"/>
                </w:tcPr>
                <w:p>
                  <w:pPr>
                    <w:autoSpaceDE w:val="0"/>
                    <w:autoSpaceDN w:val="0"/>
                    <w:adjustRightInd w:val="0"/>
                    <w:jc w:val="center"/>
                  </w:pPr>
                  <w:r>
                    <w:t>4</w:t>
                  </w:r>
                </w:p>
              </w:tc>
              <w:tc>
                <w:tcPr>
                  <w:tcW w:w="1561" w:type="dxa"/>
                  <w:vAlign w:val="center"/>
                </w:tcPr>
                <w:p>
                  <w:pPr>
                    <w:autoSpaceDE w:val="0"/>
                    <w:autoSpaceDN w:val="0"/>
                    <w:adjustRightInd w:val="0"/>
                    <w:jc w:val="center"/>
                  </w:pPr>
                  <w:r>
                    <w:t>PM</w:t>
                  </w:r>
                  <w:r>
                    <w:rPr>
                      <w:vertAlign w:val="subscript"/>
                    </w:rPr>
                    <w:t>2.5</w:t>
                  </w:r>
                </w:p>
              </w:tc>
              <w:tc>
                <w:tcPr>
                  <w:tcW w:w="1611" w:type="dxa"/>
                  <w:vAlign w:val="center"/>
                </w:tcPr>
                <w:p>
                  <w:pPr>
                    <w:autoSpaceDE w:val="0"/>
                    <w:autoSpaceDN w:val="0"/>
                    <w:adjustRightInd w:val="0"/>
                    <w:jc w:val="center"/>
                  </w:pPr>
                  <w:r>
                    <w:t>—</w:t>
                  </w:r>
                </w:p>
              </w:tc>
              <w:tc>
                <w:tcPr>
                  <w:tcW w:w="1597" w:type="dxa"/>
                  <w:vAlign w:val="center"/>
                </w:tcPr>
                <w:p>
                  <w:pPr>
                    <w:autoSpaceDE w:val="0"/>
                    <w:autoSpaceDN w:val="0"/>
                    <w:adjustRightInd w:val="0"/>
                    <w:jc w:val="center"/>
                  </w:pPr>
                  <w:r>
                    <w:t>75</w:t>
                  </w:r>
                </w:p>
              </w:tc>
              <w:tc>
                <w:tcPr>
                  <w:tcW w:w="1532" w:type="dxa"/>
                  <w:vAlign w:val="center"/>
                </w:tcPr>
                <w:p>
                  <w:pPr>
                    <w:autoSpaceDE w:val="0"/>
                    <w:autoSpaceDN w:val="0"/>
                    <w:adjustRightInd w:val="0"/>
                    <w:jc w:val="center"/>
                  </w:pPr>
                  <w:r>
                    <w:t>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jc w:val="center"/>
              </w:trPr>
              <w:tc>
                <w:tcPr>
                  <w:tcW w:w="1525" w:type="dxa"/>
                  <w:vAlign w:val="center"/>
                </w:tcPr>
                <w:p>
                  <w:pPr>
                    <w:autoSpaceDE w:val="0"/>
                    <w:autoSpaceDN w:val="0"/>
                    <w:adjustRightInd w:val="0"/>
                    <w:jc w:val="center"/>
                  </w:pPr>
                  <w:r>
                    <w:t>5</w:t>
                  </w:r>
                </w:p>
              </w:tc>
              <w:tc>
                <w:tcPr>
                  <w:tcW w:w="1561" w:type="dxa"/>
                  <w:vAlign w:val="center"/>
                </w:tcPr>
                <w:p>
                  <w:pPr>
                    <w:autoSpaceDE w:val="0"/>
                    <w:autoSpaceDN w:val="0"/>
                    <w:adjustRightInd w:val="0"/>
                    <w:jc w:val="center"/>
                  </w:pPr>
                  <w:r>
                    <w:t>CO</w:t>
                  </w:r>
                </w:p>
              </w:tc>
              <w:tc>
                <w:tcPr>
                  <w:tcW w:w="1611" w:type="dxa"/>
                  <w:vAlign w:val="center"/>
                </w:tcPr>
                <w:p>
                  <w:pPr>
                    <w:autoSpaceDE w:val="0"/>
                    <w:autoSpaceDN w:val="0"/>
                    <w:adjustRightInd w:val="0"/>
                    <w:jc w:val="center"/>
                  </w:pPr>
                  <w:r>
                    <w:t>10mg/m</w:t>
                  </w:r>
                  <w:r>
                    <w:rPr>
                      <w:vertAlign w:val="superscript"/>
                    </w:rPr>
                    <w:t>3</w:t>
                  </w:r>
                </w:p>
              </w:tc>
              <w:tc>
                <w:tcPr>
                  <w:tcW w:w="1597" w:type="dxa"/>
                  <w:vAlign w:val="center"/>
                </w:tcPr>
                <w:p>
                  <w:pPr>
                    <w:autoSpaceDE w:val="0"/>
                    <w:autoSpaceDN w:val="0"/>
                    <w:adjustRightInd w:val="0"/>
                    <w:jc w:val="center"/>
                  </w:pPr>
                  <w:r>
                    <w:t>4mg/m</w:t>
                  </w:r>
                  <w:r>
                    <w:rPr>
                      <w:vertAlign w:val="superscript"/>
                    </w:rPr>
                    <w:t>3</w:t>
                  </w:r>
                </w:p>
              </w:tc>
              <w:tc>
                <w:tcPr>
                  <w:tcW w:w="1532" w:type="dxa"/>
                  <w:vAlign w:val="center"/>
                </w:tcPr>
                <w:p>
                  <w:pPr>
                    <w:autoSpaceDE w:val="0"/>
                    <w:autoSpaceDN w:val="0"/>
                    <w:adjustRightInd w:val="0"/>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jc w:val="center"/>
              </w:trPr>
              <w:tc>
                <w:tcPr>
                  <w:tcW w:w="1525" w:type="dxa"/>
                  <w:vAlign w:val="center"/>
                </w:tcPr>
                <w:p>
                  <w:pPr>
                    <w:autoSpaceDE w:val="0"/>
                    <w:autoSpaceDN w:val="0"/>
                    <w:adjustRightInd w:val="0"/>
                    <w:jc w:val="center"/>
                  </w:pPr>
                  <w:r>
                    <w:t>6</w:t>
                  </w:r>
                </w:p>
              </w:tc>
              <w:tc>
                <w:tcPr>
                  <w:tcW w:w="1561" w:type="dxa"/>
                  <w:vAlign w:val="center"/>
                </w:tcPr>
                <w:p>
                  <w:pPr>
                    <w:autoSpaceDE w:val="0"/>
                    <w:autoSpaceDN w:val="0"/>
                    <w:adjustRightInd w:val="0"/>
                    <w:jc w:val="center"/>
                  </w:pPr>
                  <w:r>
                    <w:t>O</w:t>
                  </w:r>
                  <w:r>
                    <w:rPr>
                      <w:vertAlign w:val="subscript"/>
                    </w:rPr>
                    <w:t>3</w:t>
                  </w:r>
                </w:p>
              </w:tc>
              <w:tc>
                <w:tcPr>
                  <w:tcW w:w="1611" w:type="dxa"/>
                  <w:vAlign w:val="center"/>
                </w:tcPr>
                <w:p>
                  <w:pPr>
                    <w:autoSpaceDE w:val="0"/>
                    <w:autoSpaceDN w:val="0"/>
                    <w:adjustRightInd w:val="0"/>
                    <w:jc w:val="center"/>
                  </w:pPr>
                  <w:r>
                    <w:t>200</w:t>
                  </w:r>
                </w:p>
              </w:tc>
              <w:tc>
                <w:tcPr>
                  <w:tcW w:w="1597" w:type="dxa"/>
                  <w:vAlign w:val="center"/>
                </w:tcPr>
                <w:p>
                  <w:pPr>
                    <w:autoSpaceDE w:val="0"/>
                    <w:autoSpaceDN w:val="0"/>
                    <w:adjustRightInd w:val="0"/>
                    <w:jc w:val="center"/>
                  </w:pPr>
                  <w:r>
                    <w:t>160（8小时）</w:t>
                  </w:r>
                </w:p>
              </w:tc>
              <w:tc>
                <w:tcPr>
                  <w:tcW w:w="1532" w:type="dxa"/>
                  <w:vAlign w:val="center"/>
                </w:tcPr>
                <w:p>
                  <w:pPr>
                    <w:autoSpaceDE w:val="0"/>
                    <w:autoSpaceDN w:val="0"/>
                    <w:adjustRightInd w:val="0"/>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jc w:val="center"/>
              </w:trPr>
              <w:tc>
                <w:tcPr>
                  <w:tcW w:w="1525" w:type="dxa"/>
                  <w:vAlign w:val="center"/>
                </w:tcPr>
                <w:p>
                  <w:pPr>
                    <w:autoSpaceDE w:val="0"/>
                    <w:autoSpaceDN w:val="0"/>
                    <w:adjustRightInd w:val="0"/>
                    <w:jc w:val="center"/>
                  </w:pPr>
                  <w:r>
                    <w:t>7</w:t>
                  </w:r>
                </w:p>
              </w:tc>
              <w:tc>
                <w:tcPr>
                  <w:tcW w:w="1561" w:type="dxa"/>
                  <w:vAlign w:val="center"/>
                </w:tcPr>
                <w:p>
                  <w:pPr>
                    <w:autoSpaceDE w:val="0"/>
                    <w:autoSpaceDN w:val="0"/>
                    <w:adjustRightInd w:val="0"/>
                    <w:jc w:val="center"/>
                  </w:pPr>
                  <w:r>
                    <w:t>TVOC</w:t>
                  </w:r>
                </w:p>
              </w:tc>
              <w:tc>
                <w:tcPr>
                  <w:tcW w:w="1611" w:type="dxa"/>
                  <w:vAlign w:val="center"/>
                </w:tcPr>
                <w:p>
                  <w:pPr>
                    <w:autoSpaceDE w:val="0"/>
                    <w:autoSpaceDN w:val="0"/>
                    <w:adjustRightInd w:val="0"/>
                    <w:jc w:val="center"/>
                  </w:pPr>
                  <w:r>
                    <w:t>—</w:t>
                  </w:r>
                </w:p>
              </w:tc>
              <w:tc>
                <w:tcPr>
                  <w:tcW w:w="1597" w:type="dxa"/>
                  <w:vAlign w:val="center"/>
                </w:tcPr>
                <w:p>
                  <w:pPr>
                    <w:autoSpaceDE w:val="0"/>
                    <w:autoSpaceDN w:val="0"/>
                    <w:adjustRightInd w:val="0"/>
                    <w:jc w:val="center"/>
                  </w:pPr>
                  <w:r>
                    <w:t>600（8小时）</w:t>
                  </w:r>
                </w:p>
              </w:tc>
              <w:tc>
                <w:tcPr>
                  <w:tcW w:w="1532" w:type="dxa"/>
                  <w:vAlign w:val="center"/>
                </w:tcPr>
                <w:p>
                  <w:pPr>
                    <w:autoSpaceDE w:val="0"/>
                    <w:autoSpaceDN w:val="0"/>
                    <w:adjustRightInd w:val="0"/>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jc w:val="center"/>
              </w:trPr>
              <w:tc>
                <w:tcPr>
                  <w:tcW w:w="1525" w:type="dxa"/>
                  <w:vAlign w:val="center"/>
                </w:tcPr>
                <w:p>
                  <w:pPr>
                    <w:autoSpaceDE w:val="0"/>
                    <w:autoSpaceDN w:val="0"/>
                    <w:adjustRightInd w:val="0"/>
                    <w:jc w:val="center"/>
                  </w:pPr>
                  <w:r>
                    <w:t>8</w:t>
                  </w:r>
                </w:p>
              </w:tc>
              <w:tc>
                <w:tcPr>
                  <w:tcW w:w="1561" w:type="dxa"/>
                  <w:vAlign w:val="center"/>
                </w:tcPr>
                <w:p>
                  <w:pPr>
                    <w:autoSpaceDE w:val="0"/>
                    <w:autoSpaceDN w:val="0"/>
                    <w:adjustRightInd w:val="0"/>
                    <w:jc w:val="center"/>
                  </w:pPr>
                  <w:r>
                    <w:t>甲苯</w:t>
                  </w:r>
                </w:p>
              </w:tc>
              <w:tc>
                <w:tcPr>
                  <w:tcW w:w="1611" w:type="dxa"/>
                  <w:vAlign w:val="center"/>
                </w:tcPr>
                <w:p>
                  <w:pPr>
                    <w:autoSpaceDE w:val="0"/>
                    <w:autoSpaceDN w:val="0"/>
                    <w:adjustRightInd w:val="0"/>
                    <w:jc w:val="center"/>
                  </w:pPr>
                  <w:r>
                    <w:t>200</w:t>
                  </w:r>
                </w:p>
              </w:tc>
              <w:tc>
                <w:tcPr>
                  <w:tcW w:w="1597" w:type="dxa"/>
                  <w:vAlign w:val="center"/>
                </w:tcPr>
                <w:p>
                  <w:pPr>
                    <w:autoSpaceDE w:val="0"/>
                    <w:autoSpaceDN w:val="0"/>
                    <w:adjustRightInd w:val="0"/>
                    <w:jc w:val="center"/>
                  </w:pPr>
                  <w:r>
                    <w:t>—</w:t>
                  </w:r>
                </w:p>
              </w:tc>
              <w:tc>
                <w:tcPr>
                  <w:tcW w:w="1532" w:type="dxa"/>
                  <w:vAlign w:val="center"/>
                </w:tcPr>
                <w:p>
                  <w:pPr>
                    <w:autoSpaceDE w:val="0"/>
                    <w:autoSpaceDN w:val="0"/>
                    <w:adjustRightInd w:val="0"/>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 w:hRule="atLeast"/>
                <w:jc w:val="center"/>
              </w:trPr>
              <w:tc>
                <w:tcPr>
                  <w:tcW w:w="1525" w:type="dxa"/>
                  <w:vAlign w:val="center"/>
                </w:tcPr>
                <w:p>
                  <w:pPr>
                    <w:autoSpaceDE w:val="0"/>
                    <w:autoSpaceDN w:val="0"/>
                    <w:adjustRightInd w:val="0"/>
                    <w:jc w:val="center"/>
                  </w:pPr>
                  <w:r>
                    <w:t>9</w:t>
                  </w:r>
                </w:p>
              </w:tc>
              <w:tc>
                <w:tcPr>
                  <w:tcW w:w="1561" w:type="dxa"/>
                  <w:vAlign w:val="center"/>
                </w:tcPr>
                <w:p>
                  <w:pPr>
                    <w:autoSpaceDE w:val="0"/>
                    <w:autoSpaceDN w:val="0"/>
                    <w:adjustRightInd w:val="0"/>
                    <w:jc w:val="center"/>
                  </w:pPr>
                  <w:r>
                    <w:t>二甲苯</w:t>
                  </w:r>
                </w:p>
              </w:tc>
              <w:tc>
                <w:tcPr>
                  <w:tcW w:w="1611" w:type="dxa"/>
                  <w:vAlign w:val="center"/>
                </w:tcPr>
                <w:p>
                  <w:pPr>
                    <w:autoSpaceDE w:val="0"/>
                    <w:autoSpaceDN w:val="0"/>
                    <w:adjustRightInd w:val="0"/>
                    <w:jc w:val="center"/>
                  </w:pPr>
                  <w:r>
                    <w:t>200</w:t>
                  </w:r>
                </w:p>
              </w:tc>
              <w:tc>
                <w:tcPr>
                  <w:tcW w:w="1597" w:type="dxa"/>
                  <w:vAlign w:val="center"/>
                </w:tcPr>
                <w:p>
                  <w:pPr>
                    <w:autoSpaceDE w:val="0"/>
                    <w:autoSpaceDN w:val="0"/>
                    <w:adjustRightInd w:val="0"/>
                    <w:jc w:val="center"/>
                  </w:pPr>
                  <w:r>
                    <w:t>—</w:t>
                  </w:r>
                </w:p>
              </w:tc>
              <w:tc>
                <w:tcPr>
                  <w:tcW w:w="1532" w:type="dxa"/>
                  <w:vAlign w:val="center"/>
                </w:tcPr>
                <w:p>
                  <w:pPr>
                    <w:autoSpaceDE w:val="0"/>
                    <w:autoSpaceDN w:val="0"/>
                    <w:adjustRightInd w:val="0"/>
                    <w:jc w:val="center"/>
                  </w:pPr>
                  <w:r>
                    <w:t>—</w:t>
                  </w:r>
                </w:p>
              </w:tc>
            </w:tr>
          </w:tbl>
          <w:p>
            <w:pPr>
              <w:spacing w:line="360" w:lineRule="auto"/>
              <w:jc w:val="left"/>
              <w:rPr>
                <w:b/>
                <w:bCs/>
                <w:sz w:val="24"/>
                <w:szCs w:val="22"/>
              </w:rPr>
            </w:pPr>
            <w:r>
              <w:rPr>
                <w:b/>
                <w:bCs/>
                <w:sz w:val="24"/>
                <w:szCs w:val="22"/>
              </w:rPr>
              <w:t>二、地表水</w:t>
            </w:r>
          </w:p>
          <w:p>
            <w:pPr>
              <w:spacing w:line="360" w:lineRule="auto"/>
              <w:ind w:firstLine="480" w:firstLineChars="200"/>
              <w:jc w:val="left"/>
              <w:rPr>
                <w:sz w:val="24"/>
                <w:szCs w:val="22"/>
              </w:rPr>
            </w:pPr>
            <w:r>
              <w:rPr>
                <w:sz w:val="24"/>
                <w:szCs w:val="22"/>
              </w:rPr>
              <w:t>长江城陵矶段、象骨港和芭蕉湖执行《地表水环境质量标准》（GB3838-2002）Ⅲ类标准，评价标准见表4-2。</w:t>
            </w:r>
          </w:p>
          <w:p>
            <w:pPr>
              <w:adjustRightInd w:val="0"/>
              <w:snapToGrid w:val="0"/>
              <w:jc w:val="center"/>
              <w:rPr>
                <w:b/>
                <w:bCs/>
              </w:rPr>
            </w:pPr>
            <w:r>
              <w:rPr>
                <w:b/>
                <w:bCs/>
              </w:rPr>
              <w:t>表4-2  地表水质量评价标准   单位：mg/L，除pH外</w:t>
            </w:r>
          </w:p>
          <w:tbl>
            <w:tblPr>
              <w:tblStyle w:val="20"/>
              <w:tblW w:w="78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15"/>
              <w:gridCol w:w="646"/>
              <w:gridCol w:w="923"/>
              <w:gridCol w:w="923"/>
              <w:gridCol w:w="923"/>
              <w:gridCol w:w="739"/>
              <w:gridCol w:w="1223"/>
              <w:gridCol w:w="807"/>
              <w:gridCol w:w="92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715" w:type="dxa"/>
                  <w:tcBorders>
                    <w:tl2br w:val="nil"/>
                    <w:tr2bl w:val="nil"/>
                  </w:tcBorders>
                  <w:tcMar>
                    <w:top w:w="15" w:type="dxa"/>
                    <w:left w:w="15" w:type="dxa"/>
                    <w:bottom w:w="0" w:type="dxa"/>
                    <w:right w:w="15" w:type="dxa"/>
                  </w:tcMar>
                  <w:vAlign w:val="center"/>
                </w:tcPr>
                <w:p>
                  <w:pPr>
                    <w:autoSpaceDE w:val="0"/>
                    <w:autoSpaceDN w:val="0"/>
                    <w:adjustRightInd w:val="0"/>
                    <w:jc w:val="center"/>
                    <w:rPr>
                      <w:b/>
                      <w:bCs/>
                    </w:rPr>
                  </w:pPr>
                  <w:r>
                    <w:rPr>
                      <w:b/>
                      <w:bCs/>
                    </w:rPr>
                    <w:t>项目</w:t>
                  </w:r>
                </w:p>
              </w:tc>
              <w:tc>
                <w:tcPr>
                  <w:tcW w:w="646" w:type="dxa"/>
                  <w:tcBorders>
                    <w:tl2br w:val="nil"/>
                    <w:tr2bl w:val="nil"/>
                  </w:tcBorders>
                  <w:vAlign w:val="center"/>
                </w:tcPr>
                <w:p>
                  <w:pPr>
                    <w:autoSpaceDE w:val="0"/>
                    <w:autoSpaceDN w:val="0"/>
                    <w:adjustRightInd w:val="0"/>
                    <w:jc w:val="center"/>
                    <w:rPr>
                      <w:b/>
                      <w:bCs/>
                    </w:rPr>
                  </w:pPr>
                  <w:r>
                    <w:rPr>
                      <w:b/>
                      <w:bCs/>
                    </w:rPr>
                    <w:t>级别</w:t>
                  </w:r>
                </w:p>
              </w:tc>
              <w:tc>
                <w:tcPr>
                  <w:tcW w:w="923" w:type="dxa"/>
                  <w:tcBorders>
                    <w:tl2br w:val="nil"/>
                    <w:tr2bl w:val="nil"/>
                  </w:tcBorders>
                  <w:vAlign w:val="center"/>
                </w:tcPr>
                <w:p>
                  <w:pPr>
                    <w:autoSpaceDE w:val="0"/>
                    <w:autoSpaceDN w:val="0"/>
                    <w:adjustRightInd w:val="0"/>
                    <w:jc w:val="center"/>
                    <w:rPr>
                      <w:b/>
                      <w:bCs/>
                    </w:rPr>
                  </w:pPr>
                  <w:r>
                    <w:rPr>
                      <w:b/>
                      <w:bCs/>
                    </w:rPr>
                    <w:t>pH</w:t>
                  </w:r>
                </w:p>
              </w:tc>
              <w:tc>
                <w:tcPr>
                  <w:tcW w:w="923" w:type="dxa"/>
                  <w:tcBorders>
                    <w:tl2br w:val="nil"/>
                    <w:tr2bl w:val="nil"/>
                  </w:tcBorders>
                  <w:vAlign w:val="center"/>
                </w:tcPr>
                <w:p>
                  <w:pPr>
                    <w:autoSpaceDE w:val="0"/>
                    <w:autoSpaceDN w:val="0"/>
                    <w:adjustRightInd w:val="0"/>
                    <w:jc w:val="center"/>
                    <w:rPr>
                      <w:b/>
                      <w:bCs/>
                    </w:rPr>
                  </w:pPr>
                  <w:r>
                    <w:rPr>
                      <w:b/>
                      <w:bCs/>
                    </w:rPr>
                    <w:t>COD</w:t>
                  </w:r>
                </w:p>
              </w:tc>
              <w:tc>
                <w:tcPr>
                  <w:tcW w:w="923" w:type="dxa"/>
                  <w:tcBorders>
                    <w:tl2br w:val="nil"/>
                    <w:tr2bl w:val="nil"/>
                  </w:tcBorders>
                  <w:vAlign w:val="center"/>
                </w:tcPr>
                <w:p>
                  <w:pPr>
                    <w:autoSpaceDE w:val="0"/>
                    <w:autoSpaceDN w:val="0"/>
                    <w:adjustRightInd w:val="0"/>
                    <w:jc w:val="center"/>
                    <w:rPr>
                      <w:b/>
                      <w:bCs/>
                    </w:rPr>
                  </w:pPr>
                  <w:r>
                    <w:rPr>
                      <w:b/>
                      <w:bCs/>
                    </w:rPr>
                    <w:t>BOD5</w:t>
                  </w:r>
                </w:p>
              </w:tc>
              <w:tc>
                <w:tcPr>
                  <w:tcW w:w="739" w:type="dxa"/>
                  <w:tcBorders>
                    <w:tl2br w:val="nil"/>
                    <w:tr2bl w:val="nil"/>
                  </w:tcBorders>
                  <w:vAlign w:val="center"/>
                </w:tcPr>
                <w:p>
                  <w:pPr>
                    <w:autoSpaceDE w:val="0"/>
                    <w:autoSpaceDN w:val="0"/>
                    <w:adjustRightInd w:val="0"/>
                    <w:jc w:val="center"/>
                    <w:rPr>
                      <w:b/>
                      <w:bCs/>
                    </w:rPr>
                  </w:pPr>
                  <w:r>
                    <w:rPr>
                      <w:b/>
                      <w:bCs/>
                    </w:rPr>
                    <w:t>氨氮</w:t>
                  </w:r>
                </w:p>
              </w:tc>
              <w:tc>
                <w:tcPr>
                  <w:tcW w:w="1223" w:type="dxa"/>
                  <w:tcBorders>
                    <w:tl2br w:val="nil"/>
                    <w:tr2bl w:val="nil"/>
                  </w:tcBorders>
                  <w:vAlign w:val="center"/>
                </w:tcPr>
                <w:p>
                  <w:pPr>
                    <w:autoSpaceDE w:val="0"/>
                    <w:autoSpaceDN w:val="0"/>
                    <w:adjustRightInd w:val="0"/>
                    <w:jc w:val="center"/>
                    <w:rPr>
                      <w:b/>
                      <w:bCs/>
                    </w:rPr>
                  </w:pPr>
                  <w:r>
                    <w:rPr>
                      <w:b/>
                      <w:bCs/>
                    </w:rPr>
                    <w:t>总磷</w:t>
                  </w:r>
                </w:p>
              </w:tc>
              <w:tc>
                <w:tcPr>
                  <w:tcW w:w="807" w:type="dxa"/>
                  <w:tcBorders>
                    <w:tl2br w:val="nil"/>
                    <w:tr2bl w:val="nil"/>
                  </w:tcBorders>
                  <w:vAlign w:val="center"/>
                </w:tcPr>
                <w:p>
                  <w:pPr>
                    <w:autoSpaceDE w:val="0"/>
                    <w:autoSpaceDN w:val="0"/>
                    <w:adjustRightInd w:val="0"/>
                    <w:jc w:val="center"/>
                    <w:rPr>
                      <w:b/>
                      <w:bCs/>
                    </w:rPr>
                  </w:pPr>
                  <w:r>
                    <w:rPr>
                      <w:b/>
                      <w:bCs/>
                    </w:rPr>
                    <w:t>总氮</w:t>
                  </w:r>
                </w:p>
              </w:tc>
              <w:tc>
                <w:tcPr>
                  <w:tcW w:w="927" w:type="dxa"/>
                  <w:tcBorders>
                    <w:tl2br w:val="nil"/>
                    <w:tr2bl w:val="nil"/>
                  </w:tcBorders>
                  <w:vAlign w:val="center"/>
                </w:tcPr>
                <w:p>
                  <w:pPr>
                    <w:autoSpaceDE w:val="0"/>
                    <w:autoSpaceDN w:val="0"/>
                    <w:adjustRightInd w:val="0"/>
                    <w:jc w:val="center"/>
                    <w:rPr>
                      <w:b/>
                      <w:bCs/>
                    </w:rPr>
                  </w:pPr>
                  <w:r>
                    <w:rPr>
                      <w:b/>
                      <w:bCs/>
                    </w:rPr>
                    <w:t>石油类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4" w:hRule="atLeast"/>
                <w:jc w:val="center"/>
              </w:trPr>
              <w:tc>
                <w:tcPr>
                  <w:tcW w:w="715" w:type="dxa"/>
                  <w:tcBorders>
                    <w:tl2br w:val="nil"/>
                    <w:tr2bl w:val="nil"/>
                  </w:tcBorders>
                  <w:tcMar>
                    <w:top w:w="15" w:type="dxa"/>
                    <w:left w:w="15" w:type="dxa"/>
                    <w:bottom w:w="0" w:type="dxa"/>
                    <w:right w:w="15" w:type="dxa"/>
                  </w:tcMar>
                  <w:vAlign w:val="center"/>
                </w:tcPr>
                <w:p>
                  <w:pPr>
                    <w:autoSpaceDE w:val="0"/>
                    <w:autoSpaceDN w:val="0"/>
                    <w:adjustRightInd w:val="0"/>
                    <w:jc w:val="center"/>
                  </w:pPr>
                  <w:r>
                    <w:t>标准值</w:t>
                  </w:r>
                </w:p>
              </w:tc>
              <w:tc>
                <w:tcPr>
                  <w:tcW w:w="646" w:type="dxa"/>
                  <w:tcBorders>
                    <w:tl2br w:val="nil"/>
                    <w:tr2bl w:val="nil"/>
                  </w:tcBorders>
                  <w:vAlign w:val="center"/>
                </w:tcPr>
                <w:p>
                  <w:pPr>
                    <w:autoSpaceDE w:val="0"/>
                    <w:autoSpaceDN w:val="0"/>
                    <w:adjustRightInd w:val="0"/>
                    <w:jc w:val="center"/>
                  </w:pPr>
                  <w:r>
                    <w:t>Ⅲ</w:t>
                  </w:r>
                </w:p>
              </w:tc>
              <w:tc>
                <w:tcPr>
                  <w:tcW w:w="923" w:type="dxa"/>
                  <w:tcBorders>
                    <w:tl2br w:val="nil"/>
                    <w:tr2bl w:val="nil"/>
                  </w:tcBorders>
                  <w:vAlign w:val="center"/>
                </w:tcPr>
                <w:p>
                  <w:pPr>
                    <w:autoSpaceDE w:val="0"/>
                    <w:autoSpaceDN w:val="0"/>
                    <w:adjustRightInd w:val="0"/>
                    <w:jc w:val="center"/>
                  </w:pPr>
                  <w:r>
                    <w:t>6～9</w:t>
                  </w:r>
                </w:p>
              </w:tc>
              <w:tc>
                <w:tcPr>
                  <w:tcW w:w="923" w:type="dxa"/>
                  <w:tcBorders>
                    <w:tl2br w:val="nil"/>
                    <w:tr2bl w:val="nil"/>
                  </w:tcBorders>
                  <w:vAlign w:val="center"/>
                </w:tcPr>
                <w:p>
                  <w:pPr>
                    <w:autoSpaceDE w:val="0"/>
                    <w:autoSpaceDN w:val="0"/>
                    <w:adjustRightInd w:val="0"/>
                    <w:jc w:val="center"/>
                  </w:pPr>
                  <w:r>
                    <w:t>≤20</w:t>
                  </w:r>
                </w:p>
              </w:tc>
              <w:tc>
                <w:tcPr>
                  <w:tcW w:w="923" w:type="dxa"/>
                  <w:tcBorders>
                    <w:tl2br w:val="nil"/>
                    <w:tr2bl w:val="nil"/>
                  </w:tcBorders>
                  <w:vAlign w:val="center"/>
                </w:tcPr>
                <w:p>
                  <w:pPr>
                    <w:autoSpaceDE w:val="0"/>
                    <w:autoSpaceDN w:val="0"/>
                    <w:adjustRightInd w:val="0"/>
                    <w:jc w:val="center"/>
                  </w:pPr>
                  <w:r>
                    <w:t>≤4</w:t>
                  </w:r>
                </w:p>
              </w:tc>
              <w:tc>
                <w:tcPr>
                  <w:tcW w:w="739" w:type="dxa"/>
                  <w:tcBorders>
                    <w:tl2br w:val="nil"/>
                    <w:tr2bl w:val="nil"/>
                  </w:tcBorders>
                  <w:vAlign w:val="center"/>
                </w:tcPr>
                <w:p>
                  <w:pPr>
                    <w:autoSpaceDE w:val="0"/>
                    <w:autoSpaceDN w:val="0"/>
                    <w:adjustRightInd w:val="0"/>
                    <w:jc w:val="center"/>
                  </w:pPr>
                  <w:r>
                    <w:t>≤1.0</w:t>
                  </w:r>
                </w:p>
              </w:tc>
              <w:tc>
                <w:tcPr>
                  <w:tcW w:w="1223" w:type="dxa"/>
                  <w:tcBorders>
                    <w:tl2br w:val="nil"/>
                    <w:tr2bl w:val="nil"/>
                  </w:tcBorders>
                  <w:vAlign w:val="center"/>
                </w:tcPr>
                <w:p>
                  <w:pPr>
                    <w:autoSpaceDE w:val="0"/>
                    <w:autoSpaceDN w:val="0"/>
                    <w:adjustRightInd w:val="0"/>
                    <w:jc w:val="center"/>
                  </w:pPr>
                  <w:r>
                    <w:t>≤0.2</w:t>
                  </w:r>
                </w:p>
                <w:p>
                  <w:pPr>
                    <w:autoSpaceDE w:val="0"/>
                    <w:autoSpaceDN w:val="0"/>
                    <w:adjustRightInd w:val="0"/>
                    <w:jc w:val="center"/>
                  </w:pPr>
                  <w:r>
                    <w:t>（湖、库0.05）</w:t>
                  </w:r>
                </w:p>
              </w:tc>
              <w:tc>
                <w:tcPr>
                  <w:tcW w:w="807" w:type="dxa"/>
                  <w:tcBorders>
                    <w:tl2br w:val="nil"/>
                    <w:tr2bl w:val="nil"/>
                  </w:tcBorders>
                  <w:vAlign w:val="center"/>
                </w:tcPr>
                <w:p>
                  <w:pPr>
                    <w:autoSpaceDE w:val="0"/>
                    <w:autoSpaceDN w:val="0"/>
                    <w:adjustRightInd w:val="0"/>
                    <w:jc w:val="center"/>
                  </w:pPr>
                  <w:r>
                    <w:t>≤1.0</w:t>
                  </w:r>
                </w:p>
              </w:tc>
              <w:tc>
                <w:tcPr>
                  <w:tcW w:w="927" w:type="dxa"/>
                  <w:tcBorders>
                    <w:tl2br w:val="nil"/>
                    <w:tr2bl w:val="nil"/>
                  </w:tcBorders>
                  <w:vAlign w:val="center"/>
                </w:tcPr>
                <w:p>
                  <w:pPr>
                    <w:autoSpaceDE w:val="0"/>
                    <w:autoSpaceDN w:val="0"/>
                    <w:adjustRightInd w:val="0"/>
                    <w:jc w:val="center"/>
                  </w:pPr>
                  <w:r>
                    <w:t>≤0.05</w:t>
                  </w:r>
                </w:p>
              </w:tc>
            </w:tr>
          </w:tbl>
          <w:p>
            <w:pPr>
              <w:spacing w:line="360" w:lineRule="auto"/>
              <w:jc w:val="left"/>
              <w:rPr>
                <w:b/>
                <w:bCs/>
                <w:sz w:val="24"/>
                <w:szCs w:val="22"/>
              </w:rPr>
            </w:pPr>
            <w:r>
              <w:rPr>
                <w:b/>
                <w:bCs/>
                <w:sz w:val="24"/>
                <w:szCs w:val="22"/>
              </w:rPr>
              <w:t>三、声环境</w:t>
            </w:r>
          </w:p>
          <w:p>
            <w:pPr>
              <w:spacing w:line="360" w:lineRule="auto"/>
              <w:ind w:firstLine="480" w:firstLineChars="200"/>
              <w:jc w:val="left"/>
              <w:rPr>
                <w:sz w:val="24"/>
                <w:szCs w:val="22"/>
              </w:rPr>
            </w:pPr>
            <w:r>
              <w:rPr>
                <w:sz w:val="24"/>
                <w:szCs w:val="22"/>
              </w:rPr>
              <w:t>项目所在地执行《声环境质量标准》（GB3096-2008）2类标准，东侧临近联港路一侧执行4a，执行标准值见表4-3。</w:t>
            </w:r>
          </w:p>
          <w:p>
            <w:pPr>
              <w:adjustRightInd w:val="0"/>
              <w:snapToGrid w:val="0"/>
              <w:ind w:firstLine="422" w:firstLineChars="200"/>
              <w:jc w:val="center"/>
              <w:rPr>
                <w:b/>
                <w:bCs/>
              </w:rPr>
            </w:pPr>
            <w:r>
              <w:rPr>
                <w:b/>
                <w:bCs/>
              </w:rPr>
              <w:t>表4-3   声环境质量标准限值</w:t>
            </w:r>
          </w:p>
          <w:tbl>
            <w:tblPr>
              <w:tblStyle w:val="20"/>
              <w:tblW w:w="782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948"/>
              <w:gridCol w:w="1760"/>
              <w:gridCol w:w="1606"/>
              <w:gridCol w:w="15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2948" w:type="dxa"/>
                  <w:tcBorders>
                    <w:tl2br w:val="nil"/>
                    <w:tr2bl w:val="nil"/>
                  </w:tcBorders>
                  <w:vAlign w:val="center"/>
                </w:tcPr>
                <w:p>
                  <w:pPr>
                    <w:adjustRightInd w:val="0"/>
                    <w:snapToGrid w:val="0"/>
                    <w:spacing w:line="320" w:lineRule="atLeast"/>
                    <w:jc w:val="center"/>
                    <w:rPr>
                      <w:b/>
                      <w:bCs/>
                    </w:rPr>
                  </w:pPr>
                  <w:r>
                    <w:rPr>
                      <w:b/>
                      <w:bCs/>
                    </w:rPr>
                    <w:t>类  别</w:t>
                  </w:r>
                </w:p>
              </w:tc>
              <w:tc>
                <w:tcPr>
                  <w:tcW w:w="1760" w:type="dxa"/>
                  <w:tcBorders>
                    <w:tl2br w:val="nil"/>
                    <w:tr2bl w:val="nil"/>
                  </w:tcBorders>
                  <w:vAlign w:val="center"/>
                </w:tcPr>
                <w:p>
                  <w:pPr>
                    <w:adjustRightInd w:val="0"/>
                    <w:snapToGrid w:val="0"/>
                    <w:spacing w:line="320" w:lineRule="atLeast"/>
                    <w:jc w:val="center"/>
                    <w:rPr>
                      <w:b/>
                      <w:bCs/>
                    </w:rPr>
                  </w:pPr>
                  <w:r>
                    <w:rPr>
                      <w:b/>
                      <w:bCs/>
                    </w:rPr>
                    <w:t>等效声级Leq</w:t>
                  </w:r>
                </w:p>
              </w:tc>
              <w:tc>
                <w:tcPr>
                  <w:tcW w:w="1606" w:type="dxa"/>
                  <w:tcBorders>
                    <w:tl2br w:val="nil"/>
                    <w:tr2bl w:val="nil"/>
                  </w:tcBorders>
                  <w:vAlign w:val="center"/>
                </w:tcPr>
                <w:p>
                  <w:pPr>
                    <w:adjustRightInd w:val="0"/>
                    <w:snapToGrid w:val="0"/>
                    <w:spacing w:line="320" w:lineRule="atLeast"/>
                    <w:jc w:val="center"/>
                    <w:rPr>
                      <w:b/>
                      <w:bCs/>
                    </w:rPr>
                  </w:pPr>
                  <w:r>
                    <w:rPr>
                      <w:b/>
                      <w:bCs/>
                    </w:rPr>
                    <w:t>昼  间</w:t>
                  </w:r>
                </w:p>
              </w:tc>
              <w:tc>
                <w:tcPr>
                  <w:tcW w:w="1509" w:type="dxa"/>
                  <w:tcBorders>
                    <w:tl2br w:val="nil"/>
                    <w:tr2bl w:val="nil"/>
                  </w:tcBorders>
                  <w:vAlign w:val="center"/>
                </w:tcPr>
                <w:p>
                  <w:pPr>
                    <w:adjustRightInd w:val="0"/>
                    <w:snapToGrid w:val="0"/>
                    <w:spacing w:line="320" w:lineRule="atLeast"/>
                    <w:jc w:val="center"/>
                    <w:rPr>
                      <w:b/>
                      <w:bCs/>
                    </w:rPr>
                  </w:pPr>
                  <w:r>
                    <w:rPr>
                      <w:b/>
                      <w:bCs/>
                    </w:rPr>
                    <w:t>夜  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2948" w:type="dxa"/>
                  <w:tcBorders>
                    <w:tl2br w:val="nil"/>
                    <w:tr2bl w:val="nil"/>
                  </w:tcBorders>
                  <w:vAlign w:val="center"/>
                </w:tcPr>
                <w:p>
                  <w:pPr>
                    <w:adjustRightInd w:val="0"/>
                    <w:snapToGrid w:val="0"/>
                    <w:spacing w:line="320" w:lineRule="atLeast"/>
                    <w:jc w:val="center"/>
                  </w:pPr>
                  <w:r>
                    <w:t>《声环境质量标准》2类</w:t>
                  </w:r>
                </w:p>
              </w:tc>
              <w:tc>
                <w:tcPr>
                  <w:tcW w:w="1760" w:type="dxa"/>
                  <w:tcBorders>
                    <w:tl2br w:val="nil"/>
                    <w:tr2bl w:val="nil"/>
                  </w:tcBorders>
                  <w:vAlign w:val="center"/>
                </w:tcPr>
                <w:p>
                  <w:pPr>
                    <w:adjustRightInd w:val="0"/>
                    <w:snapToGrid w:val="0"/>
                    <w:spacing w:line="320" w:lineRule="atLeast"/>
                    <w:jc w:val="center"/>
                  </w:pPr>
                  <w:r>
                    <w:t>dB（A）</w:t>
                  </w:r>
                </w:p>
              </w:tc>
              <w:tc>
                <w:tcPr>
                  <w:tcW w:w="1606" w:type="dxa"/>
                  <w:tcBorders>
                    <w:tl2br w:val="nil"/>
                    <w:tr2bl w:val="nil"/>
                  </w:tcBorders>
                  <w:vAlign w:val="center"/>
                </w:tcPr>
                <w:p>
                  <w:pPr>
                    <w:adjustRightInd w:val="0"/>
                    <w:snapToGrid w:val="0"/>
                    <w:spacing w:line="320" w:lineRule="atLeast"/>
                    <w:jc w:val="center"/>
                  </w:pPr>
                  <w:r>
                    <w:t>60</w:t>
                  </w:r>
                </w:p>
              </w:tc>
              <w:tc>
                <w:tcPr>
                  <w:tcW w:w="1509" w:type="dxa"/>
                  <w:tcBorders>
                    <w:tl2br w:val="nil"/>
                    <w:tr2bl w:val="nil"/>
                  </w:tcBorders>
                  <w:vAlign w:val="center"/>
                </w:tcPr>
                <w:p>
                  <w:pPr>
                    <w:adjustRightInd w:val="0"/>
                    <w:snapToGrid w:val="0"/>
                    <w:spacing w:line="320" w:lineRule="atLeast"/>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2948" w:type="dxa"/>
                  <w:tcBorders>
                    <w:tl2br w:val="nil"/>
                    <w:tr2bl w:val="nil"/>
                  </w:tcBorders>
                  <w:vAlign w:val="center"/>
                </w:tcPr>
                <w:p>
                  <w:pPr>
                    <w:adjustRightInd w:val="0"/>
                    <w:snapToGrid w:val="0"/>
                    <w:spacing w:line="320" w:lineRule="atLeast"/>
                    <w:jc w:val="center"/>
                  </w:pPr>
                  <w:r>
                    <w:t>《声环境质量标准》4a类</w:t>
                  </w:r>
                </w:p>
              </w:tc>
              <w:tc>
                <w:tcPr>
                  <w:tcW w:w="1760" w:type="dxa"/>
                  <w:tcBorders>
                    <w:tl2br w:val="nil"/>
                    <w:tr2bl w:val="nil"/>
                  </w:tcBorders>
                  <w:vAlign w:val="center"/>
                </w:tcPr>
                <w:p>
                  <w:pPr>
                    <w:adjustRightInd w:val="0"/>
                    <w:snapToGrid w:val="0"/>
                    <w:spacing w:line="320" w:lineRule="atLeast"/>
                    <w:jc w:val="center"/>
                  </w:pPr>
                  <w:r>
                    <w:t>dB（A）</w:t>
                  </w:r>
                </w:p>
              </w:tc>
              <w:tc>
                <w:tcPr>
                  <w:tcW w:w="1606" w:type="dxa"/>
                  <w:tcBorders>
                    <w:tl2br w:val="nil"/>
                    <w:tr2bl w:val="nil"/>
                  </w:tcBorders>
                  <w:vAlign w:val="center"/>
                </w:tcPr>
                <w:p>
                  <w:pPr>
                    <w:adjustRightInd w:val="0"/>
                    <w:snapToGrid w:val="0"/>
                    <w:spacing w:line="320" w:lineRule="atLeast"/>
                    <w:jc w:val="center"/>
                  </w:pPr>
                  <w:r>
                    <w:t>70</w:t>
                  </w:r>
                </w:p>
              </w:tc>
              <w:tc>
                <w:tcPr>
                  <w:tcW w:w="1509" w:type="dxa"/>
                  <w:tcBorders>
                    <w:tl2br w:val="nil"/>
                    <w:tr2bl w:val="nil"/>
                  </w:tcBorders>
                  <w:vAlign w:val="center"/>
                </w:tcPr>
                <w:p>
                  <w:pPr>
                    <w:adjustRightInd w:val="0"/>
                    <w:snapToGrid w:val="0"/>
                    <w:spacing w:line="320" w:lineRule="atLeast"/>
                    <w:jc w:val="center"/>
                  </w:pPr>
                  <w:r>
                    <w:t>55</w:t>
                  </w:r>
                </w:p>
              </w:tc>
            </w:tr>
          </w:tbl>
          <w:p>
            <w:pPr>
              <w:spacing w:line="360" w:lineRule="auto"/>
              <w:jc w:val="left"/>
              <w:rPr>
                <w:b/>
                <w:bCs/>
                <w:sz w:val="24"/>
                <w:szCs w:val="22"/>
              </w:rPr>
            </w:pPr>
            <w:r>
              <w:rPr>
                <w:b/>
                <w:bCs/>
                <w:sz w:val="24"/>
                <w:szCs w:val="22"/>
              </w:rPr>
              <w:t>四、地下水</w:t>
            </w:r>
          </w:p>
          <w:p>
            <w:pPr>
              <w:pStyle w:val="2"/>
              <w:ind w:firstLine="480" w:firstLineChars="200"/>
              <w:rPr>
                <w:sz w:val="24"/>
                <w:szCs w:val="22"/>
              </w:rPr>
            </w:pPr>
            <w:r>
              <w:rPr>
                <w:sz w:val="24"/>
                <w:szCs w:val="22"/>
              </w:rPr>
              <w:t>项目所在地区域地下水环境质量执行《地下水质量标准》（GB/T14848-2017）Ⅲ类标准。</w:t>
            </w:r>
          </w:p>
          <w:p>
            <w:pPr>
              <w:pStyle w:val="5"/>
              <w:jc w:val="center"/>
              <w:rPr>
                <w:rFonts w:ascii="Times New Roman" w:hAnsi="Times New Roman" w:eastAsia="宋体" w:cs="Times New Roman"/>
                <w:b/>
                <w:sz w:val="21"/>
                <w:szCs w:val="21"/>
              </w:rPr>
            </w:pPr>
            <w:r>
              <w:rPr>
                <w:rFonts w:ascii="Times New Roman" w:hAnsi="Times New Roman" w:eastAsia="宋体" w:cs="Times New Roman"/>
                <w:b/>
                <w:sz w:val="21"/>
                <w:szCs w:val="21"/>
              </w:rPr>
              <w:t>表4-4  地下水质量标准  单位：mg/L（pH无量纲）</w:t>
            </w:r>
          </w:p>
          <w:tbl>
            <w:tblPr>
              <w:tblStyle w:val="20"/>
              <w:tblW w:w="78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5"/>
              <w:gridCol w:w="2306"/>
              <w:gridCol w:w="4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1245" w:type="dxa"/>
                  <w:vAlign w:val="center"/>
                </w:tcPr>
                <w:p>
                  <w:pPr>
                    <w:pStyle w:val="19"/>
                    <w:spacing w:after="0"/>
                    <w:ind w:left="0" w:leftChars="0" w:firstLine="0" w:firstLineChars="0"/>
                    <w:jc w:val="center"/>
                    <w:rPr>
                      <w:b/>
                      <w:szCs w:val="21"/>
                    </w:rPr>
                  </w:pPr>
                  <w:r>
                    <w:rPr>
                      <w:b/>
                      <w:szCs w:val="21"/>
                    </w:rPr>
                    <w:t>序号</w:t>
                  </w:r>
                </w:p>
              </w:tc>
              <w:tc>
                <w:tcPr>
                  <w:tcW w:w="2306" w:type="dxa"/>
                  <w:vAlign w:val="center"/>
                </w:tcPr>
                <w:p>
                  <w:pPr>
                    <w:pStyle w:val="19"/>
                    <w:spacing w:after="0"/>
                    <w:ind w:left="0" w:leftChars="0" w:firstLine="0" w:firstLineChars="0"/>
                    <w:jc w:val="center"/>
                    <w:rPr>
                      <w:b/>
                      <w:szCs w:val="21"/>
                    </w:rPr>
                  </w:pPr>
                  <w:r>
                    <w:rPr>
                      <w:b/>
                      <w:szCs w:val="21"/>
                      <w:lang w:val="zh-CN"/>
                    </w:rPr>
                    <w:t>指标</w:t>
                  </w:r>
                </w:p>
              </w:tc>
              <w:tc>
                <w:tcPr>
                  <w:tcW w:w="4273" w:type="dxa"/>
                  <w:vAlign w:val="center"/>
                </w:tcPr>
                <w:p>
                  <w:pPr>
                    <w:pStyle w:val="19"/>
                    <w:spacing w:after="0"/>
                    <w:ind w:left="0" w:leftChars="0" w:firstLine="0" w:firstLineChars="0"/>
                    <w:jc w:val="center"/>
                    <w:rPr>
                      <w:b/>
                      <w:szCs w:val="21"/>
                    </w:rPr>
                  </w:pPr>
                  <w:r>
                    <w:rPr>
                      <w:b/>
                      <w:szCs w:val="21"/>
                    </w:rPr>
                    <w:t>《地下水质量标准》（GB/T14848-2017）</w:t>
                  </w:r>
                </w:p>
                <w:p>
                  <w:pPr>
                    <w:pStyle w:val="19"/>
                    <w:spacing w:after="0"/>
                    <w:ind w:left="0" w:leftChars="0" w:firstLine="0" w:firstLineChars="0"/>
                    <w:jc w:val="center"/>
                    <w:rPr>
                      <w:b/>
                      <w:szCs w:val="21"/>
                      <w:lang w:val="zh-CN"/>
                    </w:rPr>
                  </w:pPr>
                  <w:r>
                    <w:rPr>
                      <w:b/>
                      <w:szCs w:val="21"/>
                    </w:rPr>
                    <w:t>Ⅲ类</w:t>
                  </w:r>
                  <w:r>
                    <w:rPr>
                      <w:b/>
                      <w:szCs w:val="21"/>
                      <w:lang w:val="zh-CN"/>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245" w:type="dxa"/>
                  <w:vAlign w:val="center"/>
                </w:tcPr>
                <w:p>
                  <w:pPr>
                    <w:pStyle w:val="19"/>
                    <w:spacing w:after="0"/>
                    <w:ind w:left="0" w:leftChars="0" w:firstLine="0" w:firstLineChars="0"/>
                    <w:jc w:val="center"/>
                    <w:rPr>
                      <w:bCs/>
                      <w:szCs w:val="21"/>
                    </w:rPr>
                  </w:pPr>
                  <w:r>
                    <w:rPr>
                      <w:bCs/>
                      <w:szCs w:val="21"/>
                    </w:rPr>
                    <w:t>1</w:t>
                  </w:r>
                </w:p>
              </w:tc>
              <w:tc>
                <w:tcPr>
                  <w:tcW w:w="2306" w:type="dxa"/>
                  <w:vAlign w:val="center"/>
                </w:tcPr>
                <w:p>
                  <w:pPr>
                    <w:pStyle w:val="19"/>
                    <w:spacing w:after="0"/>
                    <w:ind w:left="0" w:leftChars="0" w:firstLine="0" w:firstLineChars="0"/>
                    <w:jc w:val="center"/>
                    <w:rPr>
                      <w:bCs/>
                      <w:szCs w:val="21"/>
                    </w:rPr>
                  </w:pPr>
                  <w:r>
                    <w:rPr>
                      <w:bCs/>
                      <w:szCs w:val="21"/>
                    </w:rPr>
                    <w:t>pH</w:t>
                  </w:r>
                </w:p>
              </w:tc>
              <w:tc>
                <w:tcPr>
                  <w:tcW w:w="4273" w:type="dxa"/>
                  <w:vAlign w:val="center"/>
                </w:tcPr>
                <w:p>
                  <w:pPr>
                    <w:pStyle w:val="19"/>
                    <w:spacing w:after="0"/>
                    <w:ind w:left="0" w:leftChars="0" w:firstLine="0" w:firstLineChars="0"/>
                    <w:jc w:val="center"/>
                    <w:rPr>
                      <w:bCs/>
                      <w:szCs w:val="21"/>
                    </w:rPr>
                  </w:pPr>
                  <w:r>
                    <w:rPr>
                      <w:bCs/>
                      <w:szCs w:val="21"/>
                    </w:rPr>
                    <w:t>6.5≤pH≤8.5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245" w:type="dxa"/>
                  <w:vAlign w:val="center"/>
                </w:tcPr>
                <w:p>
                  <w:pPr>
                    <w:pStyle w:val="19"/>
                    <w:spacing w:after="0"/>
                    <w:ind w:left="0" w:leftChars="0" w:firstLine="0" w:firstLineChars="0"/>
                    <w:jc w:val="center"/>
                    <w:rPr>
                      <w:bCs/>
                      <w:szCs w:val="21"/>
                    </w:rPr>
                  </w:pPr>
                  <w:r>
                    <w:rPr>
                      <w:bCs/>
                      <w:szCs w:val="21"/>
                    </w:rPr>
                    <w:t>2</w:t>
                  </w:r>
                </w:p>
              </w:tc>
              <w:tc>
                <w:tcPr>
                  <w:tcW w:w="2306" w:type="dxa"/>
                  <w:vAlign w:val="center"/>
                </w:tcPr>
                <w:p>
                  <w:pPr>
                    <w:pStyle w:val="19"/>
                    <w:spacing w:after="0"/>
                    <w:ind w:left="0" w:leftChars="0" w:firstLine="0" w:firstLineChars="0"/>
                    <w:jc w:val="center"/>
                    <w:rPr>
                      <w:szCs w:val="21"/>
                    </w:rPr>
                  </w:pPr>
                  <w:r>
                    <w:rPr>
                      <w:bCs/>
                      <w:szCs w:val="21"/>
                      <w:lang w:val="zh-CN"/>
                    </w:rPr>
                    <w:t>高锰酸盐指数</w:t>
                  </w:r>
                </w:p>
              </w:tc>
              <w:tc>
                <w:tcPr>
                  <w:tcW w:w="4273" w:type="dxa"/>
                  <w:vAlign w:val="center"/>
                </w:tcPr>
                <w:p>
                  <w:pPr>
                    <w:pStyle w:val="19"/>
                    <w:spacing w:after="0"/>
                    <w:ind w:left="0" w:leftChars="0" w:firstLine="0" w:firstLineChars="0"/>
                    <w:jc w:val="center"/>
                    <w:rPr>
                      <w:bCs/>
                      <w:szCs w:val="21"/>
                      <w:lang w:val="zh-CN"/>
                    </w:rPr>
                  </w:pPr>
                  <w:r>
                    <w:rPr>
                      <w:bCs/>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245" w:type="dxa"/>
                  <w:vAlign w:val="center"/>
                </w:tcPr>
                <w:p>
                  <w:pPr>
                    <w:pStyle w:val="19"/>
                    <w:spacing w:after="0"/>
                    <w:ind w:left="0" w:leftChars="0" w:firstLine="0" w:firstLineChars="0"/>
                    <w:jc w:val="center"/>
                    <w:rPr>
                      <w:bCs/>
                      <w:szCs w:val="21"/>
                    </w:rPr>
                  </w:pPr>
                  <w:r>
                    <w:rPr>
                      <w:bCs/>
                      <w:szCs w:val="21"/>
                    </w:rPr>
                    <w:t>3</w:t>
                  </w:r>
                </w:p>
              </w:tc>
              <w:tc>
                <w:tcPr>
                  <w:tcW w:w="2306" w:type="dxa"/>
                  <w:vAlign w:val="center"/>
                </w:tcPr>
                <w:p>
                  <w:pPr>
                    <w:pStyle w:val="19"/>
                    <w:spacing w:after="0"/>
                    <w:ind w:left="0" w:leftChars="0" w:firstLine="0" w:firstLineChars="0"/>
                    <w:jc w:val="center"/>
                    <w:rPr>
                      <w:szCs w:val="21"/>
                    </w:rPr>
                  </w:pPr>
                  <w:r>
                    <w:rPr>
                      <w:bCs/>
                      <w:szCs w:val="21"/>
                      <w:lang w:val="zh-CN"/>
                    </w:rPr>
                    <w:t>氨氮</w:t>
                  </w:r>
                </w:p>
              </w:tc>
              <w:tc>
                <w:tcPr>
                  <w:tcW w:w="4273" w:type="dxa"/>
                  <w:vAlign w:val="center"/>
                </w:tcPr>
                <w:p>
                  <w:pPr>
                    <w:pStyle w:val="19"/>
                    <w:spacing w:after="0"/>
                    <w:ind w:left="0" w:leftChars="0" w:firstLine="0" w:firstLineChars="0"/>
                    <w:jc w:val="center"/>
                    <w:rPr>
                      <w:bCs/>
                      <w:szCs w:val="21"/>
                    </w:rPr>
                  </w:pPr>
                  <w:r>
                    <w:rPr>
                      <w:bCs/>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245" w:type="dxa"/>
                  <w:vAlign w:val="center"/>
                </w:tcPr>
                <w:p>
                  <w:pPr>
                    <w:pStyle w:val="19"/>
                    <w:spacing w:after="0"/>
                    <w:ind w:left="0" w:leftChars="0" w:firstLine="0" w:firstLineChars="0"/>
                    <w:jc w:val="center"/>
                    <w:rPr>
                      <w:bCs/>
                      <w:szCs w:val="21"/>
                    </w:rPr>
                  </w:pPr>
                  <w:r>
                    <w:rPr>
                      <w:bCs/>
                      <w:szCs w:val="21"/>
                    </w:rPr>
                    <w:t>4</w:t>
                  </w:r>
                </w:p>
              </w:tc>
              <w:tc>
                <w:tcPr>
                  <w:tcW w:w="2306" w:type="dxa"/>
                  <w:vAlign w:val="center"/>
                </w:tcPr>
                <w:p>
                  <w:pPr>
                    <w:pStyle w:val="19"/>
                    <w:spacing w:after="0"/>
                    <w:ind w:left="0" w:leftChars="0" w:firstLine="0" w:firstLineChars="0"/>
                    <w:jc w:val="center"/>
                    <w:rPr>
                      <w:szCs w:val="21"/>
                    </w:rPr>
                  </w:pPr>
                  <w:r>
                    <w:rPr>
                      <w:bCs/>
                      <w:szCs w:val="21"/>
                      <w:lang w:val="zh-CN"/>
                    </w:rPr>
                    <w:t>Cl</w:t>
                  </w:r>
                  <w:r>
                    <w:rPr>
                      <w:bCs/>
                      <w:szCs w:val="21"/>
                      <w:vertAlign w:val="superscript"/>
                      <w:lang w:val="zh-CN"/>
                    </w:rPr>
                    <w:t>-</w:t>
                  </w:r>
                  <w:r>
                    <w:rPr>
                      <w:bCs/>
                      <w:szCs w:val="21"/>
                      <w:lang w:val="zh-CN"/>
                    </w:rPr>
                    <w:t>(氯化物)</w:t>
                  </w:r>
                </w:p>
              </w:tc>
              <w:tc>
                <w:tcPr>
                  <w:tcW w:w="4273" w:type="dxa"/>
                  <w:vAlign w:val="center"/>
                </w:tcPr>
                <w:p>
                  <w:pPr>
                    <w:pStyle w:val="19"/>
                    <w:spacing w:after="0"/>
                    <w:ind w:left="0" w:leftChars="0" w:firstLine="0" w:firstLineChars="0"/>
                    <w:jc w:val="center"/>
                    <w:rPr>
                      <w:bCs/>
                      <w:szCs w:val="21"/>
                      <w:lang w:val="zh-CN"/>
                    </w:rPr>
                  </w:pPr>
                  <w:r>
                    <w:rPr>
                      <w:bCs/>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245" w:type="dxa"/>
                  <w:vAlign w:val="center"/>
                </w:tcPr>
                <w:p>
                  <w:pPr>
                    <w:pStyle w:val="19"/>
                    <w:spacing w:after="0"/>
                    <w:ind w:left="0" w:leftChars="0" w:firstLine="0" w:firstLineChars="0"/>
                    <w:jc w:val="center"/>
                    <w:rPr>
                      <w:bCs/>
                      <w:szCs w:val="21"/>
                    </w:rPr>
                  </w:pPr>
                  <w:r>
                    <w:rPr>
                      <w:bCs/>
                      <w:szCs w:val="21"/>
                    </w:rPr>
                    <w:t>5</w:t>
                  </w:r>
                </w:p>
              </w:tc>
              <w:tc>
                <w:tcPr>
                  <w:tcW w:w="2306" w:type="dxa"/>
                  <w:vAlign w:val="center"/>
                </w:tcPr>
                <w:p>
                  <w:pPr>
                    <w:pStyle w:val="19"/>
                    <w:spacing w:after="0"/>
                    <w:ind w:left="0" w:leftChars="0" w:firstLine="0" w:firstLineChars="0"/>
                    <w:jc w:val="center"/>
                    <w:rPr>
                      <w:szCs w:val="21"/>
                    </w:rPr>
                  </w:pPr>
                  <w:r>
                    <w:rPr>
                      <w:bCs/>
                      <w:szCs w:val="21"/>
                      <w:lang w:val="zh-CN"/>
                    </w:rPr>
                    <w:t>F-(氟化物)</w:t>
                  </w:r>
                </w:p>
              </w:tc>
              <w:tc>
                <w:tcPr>
                  <w:tcW w:w="4273" w:type="dxa"/>
                  <w:vAlign w:val="center"/>
                </w:tcPr>
                <w:p>
                  <w:pPr>
                    <w:pStyle w:val="19"/>
                    <w:spacing w:after="0"/>
                    <w:ind w:left="0" w:leftChars="0" w:firstLine="0" w:firstLineChars="0"/>
                    <w:jc w:val="center"/>
                    <w:rPr>
                      <w:bCs/>
                      <w:szCs w:val="21"/>
                      <w:lang w:val="zh-CN"/>
                    </w:rPr>
                  </w:pPr>
                  <w:r>
                    <w:rPr>
                      <w:bCs/>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245" w:type="dxa"/>
                  <w:vAlign w:val="center"/>
                </w:tcPr>
                <w:p>
                  <w:pPr>
                    <w:pStyle w:val="19"/>
                    <w:spacing w:after="0"/>
                    <w:ind w:left="0" w:leftChars="0" w:firstLine="0" w:firstLineChars="0"/>
                    <w:jc w:val="center"/>
                    <w:rPr>
                      <w:bCs/>
                      <w:szCs w:val="21"/>
                    </w:rPr>
                  </w:pPr>
                  <w:r>
                    <w:rPr>
                      <w:bCs/>
                      <w:szCs w:val="21"/>
                    </w:rPr>
                    <w:t>6</w:t>
                  </w:r>
                </w:p>
              </w:tc>
              <w:tc>
                <w:tcPr>
                  <w:tcW w:w="2306" w:type="dxa"/>
                  <w:vAlign w:val="center"/>
                </w:tcPr>
                <w:p>
                  <w:pPr>
                    <w:pStyle w:val="19"/>
                    <w:spacing w:after="0"/>
                    <w:ind w:left="0" w:leftChars="0" w:firstLine="0" w:firstLineChars="0"/>
                    <w:jc w:val="center"/>
                    <w:rPr>
                      <w:szCs w:val="21"/>
                    </w:rPr>
                  </w:pPr>
                  <w:r>
                    <w:rPr>
                      <w:bCs/>
                      <w:szCs w:val="21"/>
                      <w:lang w:val="zh-CN"/>
                    </w:rPr>
                    <w:t>总硬度</w:t>
                  </w:r>
                </w:p>
              </w:tc>
              <w:tc>
                <w:tcPr>
                  <w:tcW w:w="4273" w:type="dxa"/>
                  <w:vAlign w:val="center"/>
                </w:tcPr>
                <w:p>
                  <w:pPr>
                    <w:pStyle w:val="19"/>
                    <w:spacing w:after="0"/>
                    <w:ind w:left="0" w:leftChars="0" w:firstLine="0" w:firstLineChars="0"/>
                    <w:jc w:val="center"/>
                    <w:rPr>
                      <w:bCs/>
                      <w:szCs w:val="21"/>
                      <w:lang w:val="zh-CN"/>
                    </w:rPr>
                  </w:pPr>
                  <w:r>
                    <w:rPr>
                      <w:bCs/>
                      <w:szCs w:val="21"/>
                    </w:rPr>
                    <w:t>≤450</w:t>
                  </w:r>
                </w:p>
              </w:tc>
            </w:tr>
          </w:tbl>
          <w:p>
            <w:pPr>
              <w:pStyle w:val="2"/>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 w:type="dxa"/>
            <w:tcBorders>
              <w:tl2br w:val="nil"/>
              <w:tr2bl w:val="nil"/>
            </w:tcBorders>
            <w:vAlign w:val="center"/>
          </w:tcPr>
          <w:p>
            <w:pPr>
              <w:spacing w:before="100" w:beforeAutospacing="1" w:after="100" w:afterAutospacing="1" w:line="360" w:lineRule="auto"/>
              <w:jc w:val="center"/>
              <w:rPr>
                <w:sz w:val="24"/>
              </w:rPr>
            </w:pPr>
            <w:r>
              <w:rPr>
                <w:sz w:val="24"/>
              </w:rPr>
              <w:t>污</w:t>
            </w:r>
          </w:p>
          <w:p>
            <w:pPr>
              <w:spacing w:before="100" w:beforeAutospacing="1" w:after="100" w:afterAutospacing="1"/>
              <w:jc w:val="center"/>
              <w:rPr>
                <w:sz w:val="24"/>
              </w:rPr>
            </w:pPr>
            <w:r>
              <w:rPr>
                <w:sz w:val="24"/>
              </w:rPr>
              <w:t>染</w:t>
            </w:r>
          </w:p>
          <w:p>
            <w:pPr>
              <w:spacing w:before="100" w:beforeAutospacing="1" w:after="100" w:afterAutospacing="1"/>
              <w:jc w:val="center"/>
              <w:rPr>
                <w:sz w:val="24"/>
              </w:rPr>
            </w:pPr>
            <w:r>
              <w:rPr>
                <w:sz w:val="24"/>
              </w:rPr>
              <w:t>物</w:t>
            </w:r>
          </w:p>
          <w:p>
            <w:pPr>
              <w:spacing w:before="100" w:beforeAutospacing="1" w:after="100" w:afterAutospacing="1"/>
              <w:jc w:val="center"/>
              <w:rPr>
                <w:sz w:val="24"/>
              </w:rPr>
            </w:pPr>
            <w:r>
              <w:rPr>
                <w:sz w:val="24"/>
              </w:rPr>
              <w:t>排</w:t>
            </w:r>
          </w:p>
          <w:p>
            <w:pPr>
              <w:spacing w:before="100" w:beforeAutospacing="1" w:after="100" w:afterAutospacing="1"/>
              <w:jc w:val="center"/>
              <w:rPr>
                <w:sz w:val="24"/>
              </w:rPr>
            </w:pPr>
            <w:r>
              <w:rPr>
                <w:sz w:val="24"/>
              </w:rPr>
              <w:t>放</w:t>
            </w:r>
          </w:p>
          <w:p>
            <w:pPr>
              <w:spacing w:before="100" w:beforeAutospacing="1" w:after="100" w:afterAutospacing="1"/>
              <w:jc w:val="center"/>
              <w:rPr>
                <w:sz w:val="24"/>
              </w:rPr>
            </w:pPr>
            <w:r>
              <w:rPr>
                <w:sz w:val="24"/>
              </w:rPr>
              <w:t>标</w:t>
            </w:r>
          </w:p>
          <w:p>
            <w:pPr>
              <w:spacing w:before="100" w:beforeAutospacing="1" w:after="100" w:afterAutospacing="1" w:line="360" w:lineRule="auto"/>
              <w:jc w:val="center"/>
              <w:rPr>
                <w:sz w:val="24"/>
              </w:rPr>
            </w:pPr>
            <w:r>
              <w:rPr>
                <w:sz w:val="24"/>
              </w:rPr>
              <w:t>准</w:t>
            </w:r>
          </w:p>
        </w:tc>
        <w:tc>
          <w:tcPr>
            <w:tcW w:w="8347" w:type="dxa"/>
            <w:tcBorders>
              <w:tl2br w:val="nil"/>
              <w:tr2bl w:val="nil"/>
            </w:tcBorders>
          </w:tcPr>
          <w:p>
            <w:pPr>
              <w:widowControl/>
              <w:numPr>
                <w:ilvl w:val="0"/>
                <w:numId w:val="3"/>
              </w:numPr>
              <w:spacing w:line="360" w:lineRule="auto"/>
              <w:ind w:firstLine="482" w:firstLineChars="200"/>
              <w:jc w:val="left"/>
              <w:rPr>
                <w:b/>
                <w:bCs/>
                <w:sz w:val="24"/>
                <w:szCs w:val="24"/>
              </w:rPr>
            </w:pPr>
            <w:r>
              <w:rPr>
                <w:b/>
                <w:bCs/>
                <w:sz w:val="24"/>
                <w:szCs w:val="24"/>
              </w:rPr>
              <w:t>大气污染物：</w:t>
            </w:r>
          </w:p>
          <w:p>
            <w:pPr>
              <w:widowControl/>
              <w:spacing w:line="360" w:lineRule="auto"/>
              <w:ind w:firstLine="480" w:firstLineChars="200"/>
              <w:jc w:val="left"/>
              <w:rPr>
                <w:sz w:val="24"/>
                <w:szCs w:val="24"/>
              </w:rPr>
            </w:pPr>
            <w:r>
              <w:rPr>
                <w:sz w:val="24"/>
                <w:szCs w:val="24"/>
              </w:rPr>
              <w:t>无组织排放：</w:t>
            </w:r>
          </w:p>
          <w:p>
            <w:pPr>
              <w:widowControl/>
              <w:spacing w:line="360" w:lineRule="auto"/>
              <w:ind w:firstLine="480" w:firstLineChars="200"/>
              <w:jc w:val="left"/>
              <w:rPr>
                <w:sz w:val="24"/>
                <w:szCs w:val="24"/>
              </w:rPr>
            </w:pPr>
            <w:r>
              <w:rPr>
                <w:rFonts w:eastAsiaTheme="minorEastAsia"/>
                <w:sz w:val="24"/>
                <w:szCs w:val="24"/>
              </w:rPr>
              <w:t>项目产生的大气污染物颗粒物排放企业边界无组织排放监控点浓度</w:t>
            </w:r>
            <w:r>
              <w:rPr>
                <w:kern w:val="0"/>
                <w:sz w:val="24"/>
                <w:szCs w:val="24"/>
              </w:rPr>
              <w:t>颗粒物</w:t>
            </w:r>
            <w:r>
              <w:rPr>
                <w:rFonts w:hint="eastAsia"/>
                <w:sz w:val="24"/>
                <w:szCs w:val="24"/>
              </w:rPr>
              <w:t>执行</w:t>
            </w:r>
            <w:r>
              <w:rPr>
                <w:sz w:val="24"/>
                <w:szCs w:val="24"/>
              </w:rPr>
              <w:t>《大气污染物综合排放标准》（GB16297-1996）表2无组织排放监控浓度限值标准</w:t>
            </w:r>
            <w:r>
              <w:rPr>
                <w:rFonts w:hint="eastAsia"/>
                <w:sz w:val="24"/>
                <w:szCs w:val="24"/>
              </w:rPr>
              <w:t>，具体标准值详见下表。</w:t>
            </w:r>
          </w:p>
          <w:p>
            <w:pPr>
              <w:autoSpaceDE w:val="0"/>
              <w:autoSpaceDN w:val="0"/>
              <w:adjustRightInd w:val="0"/>
              <w:snapToGrid w:val="0"/>
              <w:spacing w:line="400" w:lineRule="exact"/>
              <w:jc w:val="center"/>
              <w:rPr>
                <w:b/>
                <w:kern w:val="0"/>
                <w:szCs w:val="21"/>
              </w:rPr>
            </w:pPr>
            <w:r>
              <w:rPr>
                <w:b/>
                <w:szCs w:val="21"/>
              </w:rPr>
              <w:t>表4-</w:t>
            </w:r>
            <w:r>
              <w:rPr>
                <w:rFonts w:hint="eastAsia"/>
                <w:b/>
                <w:szCs w:val="21"/>
              </w:rPr>
              <w:t>5</w:t>
            </w:r>
            <w:r>
              <w:rPr>
                <w:b/>
                <w:szCs w:val="21"/>
              </w:rPr>
              <w:t xml:space="preserve">   大气污染物综合排放标准表     单位：mg/m</w:t>
            </w:r>
            <w:r>
              <w:rPr>
                <w:b/>
                <w:szCs w:val="21"/>
                <w:vertAlign w:val="superscript"/>
              </w:rPr>
              <w:t>3</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0"/>
              <w:gridCol w:w="2977"/>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vMerge w:val="restart"/>
                  <w:tcMar>
                    <w:left w:w="0" w:type="dxa"/>
                    <w:right w:w="0" w:type="dxa"/>
                  </w:tcMar>
                  <w:vAlign w:val="center"/>
                </w:tcPr>
                <w:p>
                  <w:pPr>
                    <w:pStyle w:val="55"/>
                    <w:adjustRightInd w:val="0"/>
                    <w:snapToGrid w:val="0"/>
                    <w:rPr>
                      <w:rFonts w:ascii="Times New Roman" w:hAnsi="Times New Roman"/>
                      <w:szCs w:val="21"/>
                    </w:rPr>
                  </w:pPr>
                  <w:r>
                    <w:rPr>
                      <w:rFonts w:ascii="Times New Roman" w:hAnsi="Times New Roman"/>
                      <w:szCs w:val="21"/>
                    </w:rPr>
                    <w:t>污染物</w:t>
                  </w:r>
                </w:p>
              </w:tc>
              <w:tc>
                <w:tcPr>
                  <w:tcW w:w="2977" w:type="dxa"/>
                  <w:tcMar>
                    <w:left w:w="0" w:type="dxa"/>
                    <w:right w:w="0" w:type="dxa"/>
                  </w:tcMar>
                  <w:vAlign w:val="center"/>
                </w:tcPr>
                <w:p>
                  <w:pPr>
                    <w:adjustRightInd w:val="0"/>
                    <w:snapToGrid w:val="0"/>
                    <w:jc w:val="center"/>
                    <w:rPr>
                      <w:szCs w:val="21"/>
                    </w:rPr>
                  </w:pPr>
                  <w:r>
                    <w:rPr>
                      <w:szCs w:val="21"/>
                    </w:rPr>
                    <w:t>无组织排放</w:t>
                  </w:r>
                </w:p>
              </w:tc>
              <w:tc>
                <w:tcPr>
                  <w:tcW w:w="2467" w:type="dxa"/>
                  <w:vMerge w:val="restart"/>
                  <w:tcMar>
                    <w:left w:w="0" w:type="dxa"/>
                    <w:right w:w="0" w:type="dxa"/>
                  </w:tcMar>
                  <w:vAlign w:val="center"/>
                </w:tcPr>
                <w:p>
                  <w:pPr>
                    <w:adjustRightInd w:val="0"/>
                    <w:snapToGrid w:val="0"/>
                    <w:jc w:val="center"/>
                    <w:rPr>
                      <w:szCs w:val="21"/>
                    </w:rPr>
                  </w:pPr>
                  <w:r>
                    <w:rPr>
                      <w:szCs w:val="21"/>
                    </w:rPr>
                    <w:t>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vMerge w:val="continue"/>
                  <w:tcMar>
                    <w:left w:w="0" w:type="dxa"/>
                    <w:right w:w="0" w:type="dxa"/>
                  </w:tcMar>
                  <w:vAlign w:val="center"/>
                </w:tcPr>
                <w:p>
                  <w:pPr>
                    <w:pStyle w:val="55"/>
                    <w:adjustRightInd w:val="0"/>
                    <w:snapToGrid w:val="0"/>
                    <w:rPr>
                      <w:rFonts w:ascii="Times New Roman" w:hAnsi="Times New Roman"/>
                      <w:szCs w:val="21"/>
                    </w:rPr>
                  </w:pPr>
                </w:p>
              </w:tc>
              <w:tc>
                <w:tcPr>
                  <w:tcW w:w="2977" w:type="dxa"/>
                  <w:tcMar>
                    <w:left w:w="0" w:type="dxa"/>
                    <w:right w:w="0" w:type="dxa"/>
                  </w:tcMar>
                  <w:vAlign w:val="center"/>
                </w:tcPr>
                <w:p>
                  <w:pPr>
                    <w:adjustRightInd w:val="0"/>
                    <w:snapToGrid w:val="0"/>
                    <w:jc w:val="center"/>
                    <w:rPr>
                      <w:szCs w:val="21"/>
                    </w:rPr>
                  </w:pPr>
                  <w:r>
                    <w:rPr>
                      <w:szCs w:val="21"/>
                    </w:rPr>
                    <w:t>周界外浓度最高点</w:t>
                  </w:r>
                </w:p>
              </w:tc>
              <w:tc>
                <w:tcPr>
                  <w:tcW w:w="2467" w:type="dxa"/>
                  <w:vMerge w:val="continue"/>
                  <w:tcMar>
                    <w:left w:w="0" w:type="dxa"/>
                    <w:right w:w="0" w:type="dxa"/>
                  </w:tcMar>
                  <w:vAlign w:val="center"/>
                </w:tcPr>
                <w:p>
                  <w:pPr>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Cs w:val="21"/>
                    </w:rPr>
                  </w:pPr>
                  <w:r>
                    <w:rPr>
                      <w:szCs w:val="21"/>
                    </w:rPr>
                    <w:t>颗粒物</w:t>
                  </w:r>
                </w:p>
              </w:tc>
              <w:tc>
                <w:tcPr>
                  <w:tcW w:w="2977" w:type="dxa"/>
                  <w:tcMar>
                    <w:left w:w="0" w:type="dxa"/>
                    <w:right w:w="0" w:type="dxa"/>
                  </w:tcMar>
                  <w:vAlign w:val="center"/>
                </w:tcPr>
                <w:p>
                  <w:pPr>
                    <w:adjustRightInd w:val="0"/>
                    <w:snapToGrid w:val="0"/>
                    <w:jc w:val="center"/>
                    <w:rPr>
                      <w:szCs w:val="21"/>
                    </w:rPr>
                  </w:pPr>
                  <w:r>
                    <w:rPr>
                      <w:szCs w:val="21"/>
                    </w:rPr>
                    <w:t>1.0mg/m</w:t>
                  </w:r>
                  <w:r>
                    <w:rPr>
                      <w:szCs w:val="21"/>
                      <w:vertAlign w:val="superscript"/>
                    </w:rPr>
                    <w:t>3</w:t>
                  </w:r>
                </w:p>
              </w:tc>
              <w:tc>
                <w:tcPr>
                  <w:tcW w:w="2467" w:type="dxa"/>
                  <w:tcMar>
                    <w:left w:w="0" w:type="dxa"/>
                    <w:right w:w="0" w:type="dxa"/>
                  </w:tcMar>
                  <w:vAlign w:val="center"/>
                </w:tcPr>
                <w:p>
                  <w:pPr>
                    <w:adjustRightInd w:val="0"/>
                    <w:snapToGrid w:val="0"/>
                    <w:jc w:val="center"/>
                    <w:rPr>
                      <w:szCs w:val="21"/>
                    </w:rPr>
                  </w:pPr>
                  <w:r>
                    <w:rPr>
                      <w:szCs w:val="21"/>
                    </w:rPr>
                    <w:t>GB16297-1996</w:t>
                  </w:r>
                </w:p>
              </w:tc>
            </w:tr>
          </w:tbl>
          <w:p>
            <w:pPr>
              <w:widowControl/>
              <w:spacing w:line="360" w:lineRule="auto"/>
              <w:ind w:firstLine="480" w:firstLineChars="200"/>
              <w:jc w:val="left"/>
              <w:rPr>
                <w:sz w:val="24"/>
                <w:szCs w:val="24"/>
              </w:rPr>
            </w:pPr>
            <w:r>
              <w:rPr>
                <w:sz w:val="24"/>
                <w:szCs w:val="24"/>
              </w:rPr>
              <w:t>非甲烷总烃</w:t>
            </w:r>
            <w:r>
              <w:rPr>
                <w:rFonts w:hint="eastAsia"/>
                <w:sz w:val="24"/>
                <w:szCs w:val="24"/>
              </w:rPr>
              <w:t>、</w:t>
            </w:r>
            <w:r>
              <w:rPr>
                <w:sz w:val="24"/>
                <w:szCs w:val="24"/>
              </w:rPr>
              <w:t>苯系物</w:t>
            </w:r>
            <w:r>
              <w:rPr>
                <w:rFonts w:eastAsiaTheme="minorEastAsia"/>
                <w:sz w:val="24"/>
                <w:szCs w:val="24"/>
              </w:rPr>
              <w:t>排放企业边界无组织排放监控点浓度</w:t>
            </w:r>
            <w:r>
              <w:rPr>
                <w:sz w:val="24"/>
                <w:szCs w:val="24"/>
              </w:rPr>
              <w:t>执行湖南省地方标准《表面涂装（汽车制造）挥发性有机物、镍排放标准》（DB43/1356-2017）表3规定的限值标准</w:t>
            </w:r>
            <w:r>
              <w:rPr>
                <w:rFonts w:hint="eastAsia"/>
                <w:sz w:val="24"/>
                <w:szCs w:val="24"/>
              </w:rPr>
              <w:t>，具体标准值详见下表。</w:t>
            </w:r>
          </w:p>
          <w:p>
            <w:pPr>
              <w:autoSpaceDE w:val="0"/>
              <w:autoSpaceDN w:val="0"/>
              <w:adjustRightInd w:val="0"/>
              <w:snapToGrid w:val="0"/>
              <w:spacing w:line="400" w:lineRule="exact"/>
              <w:jc w:val="center"/>
              <w:rPr>
                <w:b/>
                <w:kern w:val="0"/>
                <w:szCs w:val="21"/>
              </w:rPr>
            </w:pPr>
            <w:r>
              <w:rPr>
                <w:b/>
                <w:szCs w:val="21"/>
              </w:rPr>
              <w:t>表4-</w:t>
            </w:r>
            <w:r>
              <w:rPr>
                <w:rFonts w:hint="eastAsia"/>
                <w:b/>
                <w:szCs w:val="21"/>
              </w:rPr>
              <w:t>6</w:t>
            </w:r>
            <w:r>
              <w:rPr>
                <w:b/>
                <w:szCs w:val="21"/>
              </w:rPr>
              <w:t xml:space="preserve">   《表面涂装（汽车制造）挥发性有机物、镍排放标准》     单位：mg/m</w:t>
            </w:r>
            <w:r>
              <w:rPr>
                <w:b/>
                <w:szCs w:val="21"/>
                <w:vertAlign w:val="superscript"/>
              </w:rPr>
              <w:t>3</w:t>
            </w:r>
          </w:p>
          <w:tbl>
            <w:tblPr>
              <w:tblStyle w:val="20"/>
              <w:tblW w:w="79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0"/>
              <w:gridCol w:w="2977"/>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 w:val="21"/>
                      <w:szCs w:val="21"/>
                    </w:rPr>
                  </w:pPr>
                  <w:r>
                    <w:rPr>
                      <w:rFonts w:hint="eastAsia"/>
                      <w:sz w:val="21"/>
                      <w:szCs w:val="21"/>
                    </w:rPr>
                    <w:t>污染物项目</w:t>
                  </w:r>
                </w:p>
              </w:tc>
              <w:tc>
                <w:tcPr>
                  <w:tcW w:w="2977" w:type="dxa"/>
                  <w:tcMar>
                    <w:left w:w="0" w:type="dxa"/>
                    <w:right w:w="0" w:type="dxa"/>
                  </w:tcMar>
                  <w:vAlign w:val="center"/>
                </w:tcPr>
                <w:p>
                  <w:pPr>
                    <w:adjustRightInd w:val="0"/>
                    <w:snapToGrid w:val="0"/>
                    <w:jc w:val="center"/>
                    <w:rPr>
                      <w:sz w:val="21"/>
                      <w:szCs w:val="21"/>
                    </w:rPr>
                  </w:pPr>
                  <w:r>
                    <w:rPr>
                      <w:rFonts w:hint="eastAsia"/>
                      <w:sz w:val="21"/>
                      <w:szCs w:val="21"/>
                    </w:rPr>
                    <w:t>浓度</w:t>
                  </w:r>
                </w:p>
              </w:tc>
              <w:tc>
                <w:tcPr>
                  <w:tcW w:w="2467" w:type="dxa"/>
                  <w:tcMar>
                    <w:left w:w="0" w:type="dxa"/>
                    <w:right w:w="0" w:type="dxa"/>
                  </w:tcMar>
                  <w:vAlign w:val="center"/>
                </w:tcPr>
                <w:p>
                  <w:pPr>
                    <w:adjustRightInd w:val="0"/>
                    <w:snapToGrid w:val="0"/>
                    <w:jc w:val="center"/>
                    <w:rPr>
                      <w:sz w:val="21"/>
                      <w:szCs w:val="21"/>
                    </w:rPr>
                  </w:pPr>
                  <w:r>
                    <w:rPr>
                      <w:rFonts w:hint="eastAsia"/>
                      <w:sz w:val="21"/>
                      <w:szCs w:val="21"/>
                    </w:rPr>
                    <w:t>监测点位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 w:val="21"/>
                      <w:szCs w:val="21"/>
                    </w:rPr>
                  </w:pPr>
                  <w:r>
                    <w:rPr>
                      <w:rFonts w:hint="eastAsia"/>
                      <w:sz w:val="21"/>
                      <w:szCs w:val="21"/>
                    </w:rPr>
                    <w:t>非甲烷总烃</w:t>
                  </w:r>
                </w:p>
              </w:tc>
              <w:tc>
                <w:tcPr>
                  <w:tcW w:w="2977" w:type="dxa"/>
                  <w:tcMar>
                    <w:left w:w="0" w:type="dxa"/>
                    <w:right w:w="0" w:type="dxa"/>
                  </w:tcMar>
                  <w:vAlign w:val="center"/>
                </w:tcPr>
                <w:p>
                  <w:pPr>
                    <w:adjustRightInd w:val="0"/>
                    <w:snapToGrid w:val="0"/>
                    <w:jc w:val="center"/>
                    <w:rPr>
                      <w:sz w:val="21"/>
                      <w:szCs w:val="21"/>
                    </w:rPr>
                  </w:pPr>
                  <w:r>
                    <w:rPr>
                      <w:rFonts w:hint="eastAsia"/>
                      <w:sz w:val="21"/>
                      <w:szCs w:val="21"/>
                    </w:rPr>
                    <w:t>2.0</w:t>
                  </w:r>
                </w:p>
              </w:tc>
              <w:tc>
                <w:tcPr>
                  <w:tcW w:w="2467" w:type="dxa"/>
                  <w:tcMar>
                    <w:left w:w="0" w:type="dxa"/>
                    <w:right w:w="0" w:type="dxa"/>
                  </w:tcMar>
                  <w:vAlign w:val="center"/>
                </w:tcPr>
                <w:p>
                  <w:pPr>
                    <w:adjustRightInd w:val="0"/>
                    <w:snapToGrid w:val="0"/>
                    <w:jc w:val="center"/>
                    <w:rPr>
                      <w:sz w:val="21"/>
                      <w:szCs w:val="21"/>
                    </w:rPr>
                  </w:pPr>
                  <w:r>
                    <w:rPr>
                      <w:rFonts w:hint="eastAsia"/>
                      <w:sz w:val="21"/>
                      <w:szCs w:val="21"/>
                    </w:rPr>
                    <w:t>周界外浓度最高点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 w:val="21"/>
                      <w:szCs w:val="21"/>
                    </w:rPr>
                  </w:pPr>
                  <w:r>
                    <w:rPr>
                      <w:sz w:val="21"/>
                      <w:szCs w:val="21"/>
                    </w:rPr>
                    <w:t>苯系物</w:t>
                  </w:r>
                </w:p>
              </w:tc>
              <w:tc>
                <w:tcPr>
                  <w:tcW w:w="2977" w:type="dxa"/>
                  <w:tcMar>
                    <w:left w:w="0" w:type="dxa"/>
                    <w:right w:w="0" w:type="dxa"/>
                  </w:tcMar>
                  <w:vAlign w:val="center"/>
                </w:tcPr>
                <w:p>
                  <w:pPr>
                    <w:adjustRightInd w:val="0"/>
                    <w:snapToGrid w:val="0"/>
                    <w:jc w:val="center"/>
                    <w:rPr>
                      <w:sz w:val="21"/>
                      <w:szCs w:val="21"/>
                    </w:rPr>
                  </w:pPr>
                  <w:r>
                    <w:rPr>
                      <w:rFonts w:hint="eastAsia"/>
                      <w:sz w:val="21"/>
                      <w:szCs w:val="21"/>
                    </w:rPr>
                    <w:t>1.0</w:t>
                  </w:r>
                </w:p>
              </w:tc>
              <w:tc>
                <w:tcPr>
                  <w:tcW w:w="2467" w:type="dxa"/>
                  <w:tcMar>
                    <w:left w:w="0" w:type="dxa"/>
                    <w:right w:w="0" w:type="dxa"/>
                  </w:tcMar>
                  <w:vAlign w:val="center"/>
                </w:tcPr>
                <w:p>
                  <w:pPr>
                    <w:adjustRightInd w:val="0"/>
                    <w:snapToGrid w:val="0"/>
                    <w:jc w:val="center"/>
                    <w:rPr>
                      <w:sz w:val="21"/>
                      <w:szCs w:val="21"/>
                    </w:rPr>
                  </w:pPr>
                  <w:r>
                    <w:rPr>
                      <w:rFonts w:hint="eastAsia"/>
                      <w:sz w:val="21"/>
                      <w:szCs w:val="21"/>
                    </w:rPr>
                    <w:t>周界外浓度最高点</w:t>
                  </w:r>
                </w:p>
              </w:tc>
            </w:tr>
          </w:tbl>
          <w:p>
            <w:pPr>
              <w:widowControl/>
              <w:spacing w:line="360" w:lineRule="auto"/>
              <w:ind w:firstLine="480" w:firstLineChars="200"/>
              <w:jc w:val="left"/>
              <w:rPr>
                <w:sz w:val="24"/>
                <w:szCs w:val="24"/>
              </w:rPr>
            </w:pPr>
            <w:r>
              <w:rPr>
                <w:sz w:val="24"/>
                <w:szCs w:val="24"/>
              </w:rPr>
              <w:t>VOCs</w:t>
            </w:r>
            <w:r>
              <w:rPr>
                <w:rFonts w:hint="eastAsia"/>
                <w:sz w:val="24"/>
                <w:szCs w:val="24"/>
              </w:rPr>
              <w:t>（</w:t>
            </w:r>
            <w:r>
              <w:rPr>
                <w:sz w:val="24"/>
                <w:szCs w:val="24"/>
              </w:rPr>
              <w:t>非甲烷总烃</w:t>
            </w:r>
            <w:r>
              <w:rPr>
                <w:rFonts w:hint="eastAsia"/>
                <w:sz w:val="24"/>
                <w:szCs w:val="24"/>
              </w:rPr>
              <w:t>）</w:t>
            </w:r>
            <w:r>
              <w:rPr>
                <w:rFonts w:eastAsiaTheme="minorEastAsia"/>
                <w:sz w:val="24"/>
                <w:szCs w:val="24"/>
              </w:rPr>
              <w:t>排放</w:t>
            </w:r>
            <w:r>
              <w:rPr>
                <w:rFonts w:hint="eastAsia" w:eastAsiaTheme="minorEastAsia"/>
                <w:sz w:val="24"/>
                <w:szCs w:val="24"/>
                <w:lang w:val="en-US" w:eastAsia="zh-CN"/>
              </w:rPr>
              <w:t>厂界外</w:t>
            </w:r>
            <w:r>
              <w:rPr>
                <w:rFonts w:eastAsiaTheme="minorEastAsia"/>
                <w:sz w:val="24"/>
                <w:szCs w:val="24"/>
              </w:rPr>
              <w:t>无组织排放监控点浓度</w:t>
            </w:r>
            <w:r>
              <w:rPr>
                <w:sz w:val="24"/>
                <w:szCs w:val="24"/>
              </w:rPr>
              <w:t>参照执行天津市</w:t>
            </w:r>
            <w:r>
              <w:rPr>
                <w:rFonts w:hint="eastAsia"/>
                <w:sz w:val="24"/>
                <w:szCs w:val="24"/>
              </w:rPr>
              <w:t>《工业企业挥发性有机物排放控制标准》（</w:t>
            </w:r>
            <w:r>
              <w:rPr>
                <w:sz w:val="24"/>
                <w:szCs w:val="24"/>
              </w:rPr>
              <w:t>DB12/524—2020</w:t>
            </w:r>
            <w:r>
              <w:rPr>
                <w:rFonts w:hint="eastAsia"/>
                <w:sz w:val="24"/>
                <w:szCs w:val="24"/>
              </w:rPr>
              <w:t>）表</w:t>
            </w:r>
            <w:r>
              <w:rPr>
                <w:sz w:val="24"/>
                <w:szCs w:val="24"/>
              </w:rPr>
              <w:t>2</w:t>
            </w:r>
            <w:r>
              <w:rPr>
                <w:rFonts w:hint="eastAsia"/>
                <w:sz w:val="24"/>
                <w:szCs w:val="24"/>
              </w:rPr>
              <w:t>挥发性有机物无组织排放限值，具体标准值详见下表。</w:t>
            </w:r>
          </w:p>
          <w:p>
            <w:pPr>
              <w:spacing w:line="271" w:lineRule="auto"/>
              <w:jc w:val="center"/>
              <w:rPr>
                <w:rFonts w:eastAsiaTheme="minorEastAsia"/>
                <w:b/>
                <w:szCs w:val="21"/>
              </w:rPr>
            </w:pPr>
            <w:r>
              <w:rPr>
                <w:rFonts w:eastAsiaTheme="minorEastAsia"/>
                <w:b/>
                <w:szCs w:val="21"/>
              </w:rPr>
              <w:t>表</w:t>
            </w:r>
            <w:r>
              <w:rPr>
                <w:rFonts w:hint="eastAsia" w:eastAsiaTheme="minorEastAsia"/>
                <w:b/>
                <w:szCs w:val="21"/>
              </w:rPr>
              <w:t>4-7</w:t>
            </w:r>
            <w:r>
              <w:rPr>
                <w:rFonts w:hint="eastAsia"/>
                <w:b/>
                <w:bCs/>
                <w:sz w:val="21"/>
                <w:szCs w:val="21"/>
              </w:rPr>
              <w:t>《工业企业挥发性有机物排放控制标准》（</w:t>
            </w:r>
            <w:r>
              <w:rPr>
                <w:b/>
                <w:bCs/>
                <w:sz w:val="21"/>
                <w:szCs w:val="21"/>
              </w:rPr>
              <w:t>DB12/524—2020</w:t>
            </w:r>
            <w:r>
              <w:rPr>
                <w:rFonts w:hint="eastAsia"/>
                <w:b/>
                <w:bCs/>
                <w:sz w:val="21"/>
                <w:szCs w:val="21"/>
              </w:rPr>
              <w:t>）</w:t>
            </w:r>
          </w:p>
          <w:tbl>
            <w:tblPr>
              <w:tblStyle w:val="20"/>
              <w:tblpPr w:leftFromText="180" w:rightFromText="180" w:vertAnchor="text" w:horzAnchor="margin" w:tblpXSpec="right" w:tblpY="1"/>
              <w:tblOverlap w:val="never"/>
              <w:tblW w:w="79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3"/>
              <w:gridCol w:w="1382"/>
              <w:gridCol w:w="2976"/>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3" w:type="dxa"/>
                  <w:vAlign w:val="center"/>
                </w:tcPr>
                <w:p>
                  <w:pPr>
                    <w:jc w:val="center"/>
                    <w:rPr>
                      <w:rFonts w:eastAsiaTheme="minorEastAsia"/>
                      <w:sz w:val="21"/>
                      <w:szCs w:val="21"/>
                    </w:rPr>
                  </w:pPr>
                  <w:r>
                    <w:rPr>
                      <w:rFonts w:eastAsiaTheme="minorEastAsia"/>
                      <w:sz w:val="21"/>
                      <w:szCs w:val="21"/>
                    </w:rPr>
                    <w:t>污染物项目</w:t>
                  </w:r>
                </w:p>
              </w:tc>
              <w:tc>
                <w:tcPr>
                  <w:tcW w:w="1382" w:type="dxa"/>
                  <w:vAlign w:val="center"/>
                </w:tcPr>
                <w:p>
                  <w:pPr>
                    <w:jc w:val="center"/>
                    <w:rPr>
                      <w:rFonts w:eastAsiaTheme="minorEastAsia"/>
                      <w:sz w:val="21"/>
                      <w:szCs w:val="21"/>
                    </w:rPr>
                  </w:pPr>
                  <w:r>
                    <w:rPr>
                      <w:rFonts w:eastAsiaTheme="minorEastAsia"/>
                      <w:sz w:val="21"/>
                      <w:szCs w:val="21"/>
                    </w:rPr>
                    <w:t>排放限值</w:t>
                  </w:r>
                </w:p>
              </w:tc>
              <w:tc>
                <w:tcPr>
                  <w:tcW w:w="2976" w:type="dxa"/>
                  <w:vAlign w:val="center"/>
                </w:tcPr>
                <w:p>
                  <w:pPr>
                    <w:jc w:val="center"/>
                    <w:rPr>
                      <w:rFonts w:eastAsiaTheme="minorEastAsia"/>
                      <w:sz w:val="21"/>
                      <w:szCs w:val="21"/>
                    </w:rPr>
                  </w:pPr>
                  <w:r>
                    <w:rPr>
                      <w:rFonts w:eastAsiaTheme="minorEastAsia"/>
                      <w:sz w:val="21"/>
                      <w:szCs w:val="21"/>
                    </w:rPr>
                    <w:t>限值含义</w:t>
                  </w:r>
                </w:p>
              </w:tc>
              <w:tc>
                <w:tcPr>
                  <w:tcW w:w="2129" w:type="dxa"/>
                  <w:vAlign w:val="center"/>
                </w:tcPr>
                <w:p>
                  <w:pPr>
                    <w:jc w:val="center"/>
                    <w:rPr>
                      <w:rFonts w:eastAsiaTheme="minorEastAsia"/>
                      <w:sz w:val="21"/>
                      <w:szCs w:val="21"/>
                    </w:rPr>
                  </w:pPr>
                  <w:r>
                    <w:rPr>
                      <w:rFonts w:eastAsiaTheme="minorEastAsia"/>
                      <w:sz w:val="21"/>
                      <w:szCs w:val="21"/>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3" w:type="dxa"/>
                  <w:vMerge w:val="restart"/>
                  <w:vAlign w:val="center"/>
                </w:tcPr>
                <w:p>
                  <w:pPr>
                    <w:jc w:val="center"/>
                    <w:rPr>
                      <w:rFonts w:eastAsiaTheme="minorEastAsia"/>
                      <w:sz w:val="21"/>
                      <w:szCs w:val="21"/>
                    </w:rPr>
                  </w:pPr>
                  <w:r>
                    <w:rPr>
                      <w:sz w:val="21"/>
                      <w:szCs w:val="21"/>
                    </w:rPr>
                    <w:t>VOCs</w:t>
                  </w:r>
                  <w:r>
                    <w:rPr>
                      <w:rFonts w:hint="eastAsia"/>
                      <w:sz w:val="21"/>
                      <w:szCs w:val="21"/>
                    </w:rPr>
                    <w:t>（</w:t>
                  </w:r>
                  <w:r>
                    <w:rPr>
                      <w:sz w:val="21"/>
                      <w:szCs w:val="21"/>
                    </w:rPr>
                    <w:t>非甲烷总烃</w:t>
                  </w:r>
                  <w:r>
                    <w:rPr>
                      <w:rFonts w:hint="eastAsia"/>
                      <w:sz w:val="21"/>
                      <w:szCs w:val="21"/>
                    </w:rPr>
                    <w:t>）</w:t>
                  </w:r>
                </w:p>
              </w:tc>
              <w:tc>
                <w:tcPr>
                  <w:tcW w:w="1382" w:type="dxa"/>
                  <w:vAlign w:val="center"/>
                </w:tcPr>
                <w:p>
                  <w:pPr>
                    <w:jc w:val="center"/>
                    <w:rPr>
                      <w:rFonts w:eastAsiaTheme="minorEastAsia"/>
                      <w:sz w:val="21"/>
                      <w:szCs w:val="21"/>
                    </w:rPr>
                  </w:pPr>
                  <w:r>
                    <w:rPr>
                      <w:rFonts w:hint="eastAsia" w:eastAsiaTheme="minorEastAsia"/>
                      <w:sz w:val="21"/>
                      <w:szCs w:val="21"/>
                    </w:rPr>
                    <w:t>2</w:t>
                  </w:r>
                  <w:r>
                    <w:rPr>
                      <w:rFonts w:eastAsiaTheme="minorEastAsia"/>
                      <w:snapToGrid w:val="0"/>
                      <w:kern w:val="24"/>
                      <w:sz w:val="21"/>
                      <w:szCs w:val="21"/>
                    </w:rPr>
                    <w:t>(mg/m</w:t>
                  </w:r>
                  <w:r>
                    <w:rPr>
                      <w:rFonts w:eastAsiaTheme="minorEastAsia"/>
                      <w:snapToGrid w:val="0"/>
                      <w:kern w:val="24"/>
                      <w:sz w:val="21"/>
                      <w:szCs w:val="21"/>
                      <w:vertAlign w:val="superscript"/>
                    </w:rPr>
                    <w:t>3</w:t>
                  </w:r>
                  <w:r>
                    <w:rPr>
                      <w:rFonts w:eastAsiaTheme="minorEastAsia"/>
                      <w:snapToGrid w:val="0"/>
                      <w:kern w:val="24"/>
                      <w:sz w:val="21"/>
                      <w:szCs w:val="21"/>
                    </w:rPr>
                    <w:t>)</w:t>
                  </w:r>
                </w:p>
              </w:tc>
              <w:tc>
                <w:tcPr>
                  <w:tcW w:w="2976" w:type="dxa"/>
                  <w:vAlign w:val="center"/>
                </w:tcPr>
                <w:p>
                  <w:pPr>
                    <w:jc w:val="center"/>
                    <w:rPr>
                      <w:rFonts w:eastAsiaTheme="minorEastAsia"/>
                      <w:sz w:val="21"/>
                      <w:szCs w:val="21"/>
                    </w:rPr>
                  </w:pPr>
                  <w:r>
                    <w:rPr>
                      <w:rFonts w:eastAsiaTheme="minorEastAsia"/>
                      <w:sz w:val="21"/>
                      <w:szCs w:val="21"/>
                    </w:rPr>
                    <w:t>监控点处1h平均浓度限值</w:t>
                  </w:r>
                </w:p>
              </w:tc>
              <w:tc>
                <w:tcPr>
                  <w:tcW w:w="2129" w:type="dxa"/>
                  <w:vMerge w:val="restart"/>
                  <w:vAlign w:val="center"/>
                </w:tcPr>
                <w:p>
                  <w:pPr>
                    <w:jc w:val="center"/>
                    <w:rPr>
                      <w:rFonts w:eastAsiaTheme="minorEastAsia"/>
                      <w:sz w:val="21"/>
                      <w:szCs w:val="21"/>
                    </w:rPr>
                  </w:pPr>
                  <w:r>
                    <w:rPr>
                      <w:rFonts w:eastAsiaTheme="minorEastAsia"/>
                      <w:sz w:val="21"/>
                      <w:szCs w:val="21"/>
                    </w:rPr>
                    <w:t>厂房外设置监控点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3" w:type="dxa"/>
                  <w:vMerge w:val="continue"/>
                  <w:vAlign w:val="center"/>
                </w:tcPr>
                <w:p>
                  <w:pPr>
                    <w:jc w:val="center"/>
                    <w:rPr>
                      <w:rFonts w:eastAsiaTheme="minorEastAsia"/>
                      <w:sz w:val="21"/>
                      <w:szCs w:val="21"/>
                    </w:rPr>
                  </w:pPr>
                </w:p>
              </w:tc>
              <w:tc>
                <w:tcPr>
                  <w:tcW w:w="1382" w:type="dxa"/>
                  <w:vAlign w:val="center"/>
                </w:tcPr>
                <w:p>
                  <w:pPr>
                    <w:jc w:val="center"/>
                    <w:rPr>
                      <w:rFonts w:eastAsiaTheme="minorEastAsia"/>
                      <w:sz w:val="21"/>
                      <w:szCs w:val="21"/>
                    </w:rPr>
                  </w:pPr>
                  <w:r>
                    <w:rPr>
                      <w:rFonts w:hint="eastAsia" w:eastAsiaTheme="minorEastAsia"/>
                      <w:sz w:val="21"/>
                      <w:szCs w:val="21"/>
                    </w:rPr>
                    <w:t>4</w:t>
                  </w:r>
                  <w:r>
                    <w:rPr>
                      <w:rFonts w:eastAsiaTheme="minorEastAsia"/>
                      <w:snapToGrid w:val="0"/>
                      <w:kern w:val="24"/>
                      <w:sz w:val="21"/>
                      <w:szCs w:val="21"/>
                    </w:rPr>
                    <w:t>(mg/m</w:t>
                  </w:r>
                  <w:r>
                    <w:rPr>
                      <w:rFonts w:eastAsiaTheme="minorEastAsia"/>
                      <w:snapToGrid w:val="0"/>
                      <w:kern w:val="24"/>
                      <w:sz w:val="21"/>
                      <w:szCs w:val="21"/>
                      <w:vertAlign w:val="superscript"/>
                    </w:rPr>
                    <w:t>3</w:t>
                  </w:r>
                  <w:r>
                    <w:rPr>
                      <w:rFonts w:eastAsiaTheme="minorEastAsia"/>
                      <w:snapToGrid w:val="0"/>
                      <w:kern w:val="24"/>
                      <w:sz w:val="21"/>
                      <w:szCs w:val="21"/>
                    </w:rPr>
                    <w:t>)</w:t>
                  </w:r>
                </w:p>
              </w:tc>
              <w:tc>
                <w:tcPr>
                  <w:tcW w:w="2976" w:type="dxa"/>
                  <w:vAlign w:val="center"/>
                </w:tcPr>
                <w:p>
                  <w:pPr>
                    <w:jc w:val="center"/>
                    <w:rPr>
                      <w:rFonts w:eastAsiaTheme="minorEastAsia"/>
                      <w:sz w:val="21"/>
                      <w:szCs w:val="21"/>
                    </w:rPr>
                  </w:pPr>
                  <w:r>
                    <w:rPr>
                      <w:rFonts w:eastAsiaTheme="minorEastAsia"/>
                      <w:sz w:val="21"/>
                      <w:szCs w:val="21"/>
                    </w:rPr>
                    <w:t>监控点处任意一次浓度限值</w:t>
                  </w:r>
                </w:p>
              </w:tc>
              <w:tc>
                <w:tcPr>
                  <w:tcW w:w="2129" w:type="dxa"/>
                  <w:vMerge w:val="continue"/>
                  <w:vAlign w:val="center"/>
                </w:tcPr>
                <w:p>
                  <w:pPr>
                    <w:jc w:val="center"/>
                    <w:rPr>
                      <w:rFonts w:eastAsiaTheme="minorEastAsia"/>
                      <w:sz w:val="21"/>
                      <w:szCs w:val="21"/>
                    </w:rPr>
                  </w:pPr>
                </w:p>
              </w:tc>
            </w:tr>
          </w:tbl>
          <w:p>
            <w:pPr>
              <w:widowControl/>
              <w:spacing w:line="360" w:lineRule="auto"/>
              <w:ind w:firstLine="480" w:firstLineChars="200"/>
              <w:jc w:val="left"/>
              <w:rPr>
                <w:sz w:val="24"/>
                <w:szCs w:val="24"/>
              </w:rPr>
            </w:pPr>
            <w:r>
              <w:rPr>
                <w:rFonts w:eastAsiaTheme="minorEastAsia"/>
                <w:sz w:val="24"/>
                <w:szCs w:val="24"/>
              </w:rPr>
              <w:t>项目产生的</w:t>
            </w:r>
            <w:r>
              <w:rPr>
                <w:sz w:val="24"/>
                <w:szCs w:val="24"/>
              </w:rPr>
              <w:t>VOCs</w:t>
            </w:r>
            <w:r>
              <w:rPr>
                <w:rFonts w:hint="eastAsia"/>
                <w:sz w:val="24"/>
                <w:szCs w:val="24"/>
              </w:rPr>
              <w:t>（</w:t>
            </w:r>
            <w:r>
              <w:rPr>
                <w:sz w:val="24"/>
                <w:szCs w:val="24"/>
              </w:rPr>
              <w:t>非甲烷总烃</w:t>
            </w:r>
            <w:r>
              <w:rPr>
                <w:rFonts w:hint="eastAsia"/>
                <w:sz w:val="24"/>
                <w:szCs w:val="24"/>
              </w:rPr>
              <w:t>）</w:t>
            </w:r>
            <w:r>
              <w:rPr>
                <w:rFonts w:eastAsiaTheme="minorEastAsia"/>
                <w:sz w:val="24"/>
                <w:szCs w:val="24"/>
              </w:rPr>
              <w:t>排放厂</w:t>
            </w:r>
            <w:r>
              <w:rPr>
                <w:rFonts w:hint="eastAsia" w:eastAsiaTheme="minorEastAsia"/>
                <w:sz w:val="24"/>
                <w:szCs w:val="24"/>
                <w:lang w:val="en-US" w:eastAsia="zh-CN"/>
              </w:rPr>
              <w:t>界</w:t>
            </w:r>
            <w:r>
              <w:rPr>
                <w:rFonts w:eastAsiaTheme="minorEastAsia"/>
                <w:sz w:val="24"/>
                <w:szCs w:val="24"/>
              </w:rPr>
              <w:t>内无组织排放监控点浓度</w:t>
            </w:r>
            <w:r>
              <w:rPr>
                <w:rFonts w:hint="eastAsia" w:eastAsiaTheme="minorEastAsia"/>
                <w:sz w:val="24"/>
                <w:szCs w:val="24"/>
                <w:lang w:val="en-US" w:eastAsia="zh-CN"/>
              </w:rPr>
              <w:t>参照</w:t>
            </w:r>
            <w:r>
              <w:rPr>
                <w:rFonts w:eastAsiaTheme="minorEastAsia"/>
                <w:sz w:val="24"/>
                <w:szCs w:val="24"/>
              </w:rPr>
              <w:t>执行</w:t>
            </w:r>
            <w:r>
              <w:rPr>
                <w:sz w:val="24"/>
                <w:szCs w:val="24"/>
              </w:rPr>
              <w:t>天津市</w:t>
            </w:r>
            <w:r>
              <w:rPr>
                <w:rFonts w:hint="eastAsia"/>
                <w:sz w:val="24"/>
                <w:szCs w:val="24"/>
              </w:rPr>
              <w:t>《工业企业挥发性有机物排放控制标准》（</w:t>
            </w:r>
            <w:r>
              <w:rPr>
                <w:sz w:val="24"/>
                <w:szCs w:val="24"/>
              </w:rPr>
              <w:t>DB12/524—2020</w:t>
            </w:r>
            <w:r>
              <w:rPr>
                <w:rFonts w:hint="eastAsia"/>
                <w:sz w:val="24"/>
                <w:szCs w:val="24"/>
              </w:rPr>
              <w:t>）表</w:t>
            </w:r>
            <w:r>
              <w:rPr>
                <w:sz w:val="24"/>
                <w:szCs w:val="24"/>
              </w:rPr>
              <w:t>2</w:t>
            </w:r>
            <w:r>
              <w:rPr>
                <w:rFonts w:hint="eastAsia"/>
                <w:sz w:val="24"/>
                <w:szCs w:val="24"/>
              </w:rPr>
              <w:t>挥发性有机物无组织排放限值</w:t>
            </w:r>
            <w:r>
              <w:rPr>
                <w:rFonts w:hint="eastAsia" w:eastAsiaTheme="minorEastAsia"/>
                <w:sz w:val="24"/>
                <w:szCs w:val="24"/>
              </w:rPr>
              <w:t>，具体详见下表。</w:t>
            </w:r>
          </w:p>
          <w:p>
            <w:pPr>
              <w:spacing w:line="271" w:lineRule="auto"/>
              <w:jc w:val="center"/>
              <w:rPr>
                <w:rFonts w:eastAsiaTheme="minorEastAsia"/>
                <w:b/>
                <w:szCs w:val="21"/>
              </w:rPr>
            </w:pPr>
            <w:r>
              <w:rPr>
                <w:rFonts w:eastAsiaTheme="minorEastAsia"/>
                <w:b/>
                <w:szCs w:val="21"/>
              </w:rPr>
              <w:t>表4-</w:t>
            </w:r>
            <w:r>
              <w:rPr>
                <w:rFonts w:hint="eastAsia" w:eastAsiaTheme="minorEastAsia"/>
                <w:b/>
                <w:szCs w:val="21"/>
              </w:rPr>
              <w:t xml:space="preserve">8  </w:t>
            </w:r>
            <w:r>
              <w:rPr>
                <w:rFonts w:hint="eastAsia"/>
                <w:b/>
                <w:bCs/>
                <w:sz w:val="21"/>
                <w:szCs w:val="21"/>
              </w:rPr>
              <w:t>《工业企业挥发性有机物排放控制标准》（</w:t>
            </w:r>
            <w:r>
              <w:rPr>
                <w:b/>
                <w:bCs/>
                <w:sz w:val="21"/>
                <w:szCs w:val="21"/>
              </w:rPr>
              <w:t>DB12/524—2020</w:t>
            </w:r>
            <w:r>
              <w:rPr>
                <w:rFonts w:hint="eastAsia"/>
                <w:b/>
                <w:bCs/>
                <w:sz w:val="21"/>
                <w:szCs w:val="21"/>
              </w:rPr>
              <w:t>）</w:t>
            </w:r>
          </w:p>
          <w:tbl>
            <w:tblPr>
              <w:tblStyle w:val="20"/>
              <w:tblpPr w:leftFromText="180" w:rightFromText="180" w:vertAnchor="text" w:horzAnchor="margin" w:tblpXSpec="right" w:tblpY="1"/>
              <w:tblOverlap w:val="never"/>
              <w:tblW w:w="79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3"/>
              <w:gridCol w:w="1382"/>
              <w:gridCol w:w="2976"/>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3" w:type="dxa"/>
                  <w:vAlign w:val="center"/>
                </w:tcPr>
                <w:p>
                  <w:pPr>
                    <w:jc w:val="center"/>
                    <w:rPr>
                      <w:rFonts w:eastAsiaTheme="minorEastAsia"/>
                      <w:sz w:val="21"/>
                      <w:szCs w:val="21"/>
                    </w:rPr>
                  </w:pPr>
                  <w:r>
                    <w:rPr>
                      <w:rFonts w:eastAsiaTheme="minorEastAsia"/>
                      <w:sz w:val="21"/>
                      <w:szCs w:val="21"/>
                    </w:rPr>
                    <w:t>污染物项目</w:t>
                  </w:r>
                </w:p>
              </w:tc>
              <w:tc>
                <w:tcPr>
                  <w:tcW w:w="1382" w:type="dxa"/>
                  <w:vAlign w:val="center"/>
                </w:tcPr>
                <w:p>
                  <w:pPr>
                    <w:jc w:val="center"/>
                    <w:rPr>
                      <w:rFonts w:eastAsiaTheme="minorEastAsia"/>
                      <w:sz w:val="21"/>
                      <w:szCs w:val="21"/>
                    </w:rPr>
                  </w:pPr>
                  <w:r>
                    <w:rPr>
                      <w:rFonts w:eastAsiaTheme="minorEastAsia"/>
                      <w:sz w:val="21"/>
                      <w:szCs w:val="21"/>
                    </w:rPr>
                    <w:t>排放限值</w:t>
                  </w:r>
                </w:p>
              </w:tc>
              <w:tc>
                <w:tcPr>
                  <w:tcW w:w="2976" w:type="dxa"/>
                  <w:vAlign w:val="center"/>
                </w:tcPr>
                <w:p>
                  <w:pPr>
                    <w:jc w:val="center"/>
                    <w:rPr>
                      <w:rFonts w:eastAsiaTheme="minorEastAsia"/>
                      <w:sz w:val="21"/>
                      <w:szCs w:val="21"/>
                    </w:rPr>
                  </w:pPr>
                  <w:r>
                    <w:rPr>
                      <w:rFonts w:eastAsiaTheme="minorEastAsia"/>
                      <w:sz w:val="21"/>
                      <w:szCs w:val="21"/>
                    </w:rPr>
                    <w:t>限值含义</w:t>
                  </w:r>
                </w:p>
              </w:tc>
              <w:tc>
                <w:tcPr>
                  <w:tcW w:w="2129" w:type="dxa"/>
                  <w:vAlign w:val="center"/>
                </w:tcPr>
                <w:p>
                  <w:pPr>
                    <w:jc w:val="center"/>
                    <w:rPr>
                      <w:rFonts w:eastAsiaTheme="minorEastAsia"/>
                      <w:sz w:val="21"/>
                      <w:szCs w:val="21"/>
                    </w:rPr>
                  </w:pPr>
                  <w:r>
                    <w:rPr>
                      <w:rFonts w:eastAsiaTheme="minorEastAsia"/>
                      <w:sz w:val="21"/>
                      <w:szCs w:val="21"/>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3" w:type="dxa"/>
                  <w:vMerge w:val="restart"/>
                  <w:vAlign w:val="center"/>
                </w:tcPr>
                <w:p>
                  <w:pPr>
                    <w:jc w:val="center"/>
                    <w:rPr>
                      <w:rFonts w:eastAsiaTheme="minorEastAsia"/>
                      <w:sz w:val="21"/>
                      <w:szCs w:val="21"/>
                    </w:rPr>
                  </w:pPr>
                  <w:r>
                    <w:rPr>
                      <w:sz w:val="21"/>
                      <w:szCs w:val="21"/>
                    </w:rPr>
                    <w:t>VOCs</w:t>
                  </w:r>
                  <w:r>
                    <w:rPr>
                      <w:rFonts w:hint="eastAsia"/>
                      <w:sz w:val="21"/>
                      <w:szCs w:val="21"/>
                    </w:rPr>
                    <w:t>（</w:t>
                  </w:r>
                  <w:r>
                    <w:rPr>
                      <w:sz w:val="21"/>
                      <w:szCs w:val="21"/>
                    </w:rPr>
                    <w:t>非甲烷总烃</w:t>
                  </w:r>
                  <w:r>
                    <w:rPr>
                      <w:rFonts w:hint="eastAsia"/>
                      <w:sz w:val="21"/>
                      <w:szCs w:val="21"/>
                    </w:rPr>
                    <w:t>）</w:t>
                  </w:r>
                </w:p>
              </w:tc>
              <w:tc>
                <w:tcPr>
                  <w:tcW w:w="1382" w:type="dxa"/>
                  <w:vAlign w:val="center"/>
                </w:tcPr>
                <w:p>
                  <w:pPr>
                    <w:jc w:val="center"/>
                    <w:rPr>
                      <w:rFonts w:eastAsiaTheme="minorEastAsia"/>
                      <w:sz w:val="21"/>
                      <w:szCs w:val="21"/>
                    </w:rPr>
                  </w:pPr>
                  <w:r>
                    <w:rPr>
                      <w:rFonts w:hint="eastAsia" w:eastAsiaTheme="minorEastAsia"/>
                      <w:sz w:val="21"/>
                      <w:szCs w:val="21"/>
                      <w:lang w:val="en-US" w:eastAsia="zh-CN"/>
                    </w:rPr>
                    <w:t>6</w:t>
                  </w:r>
                  <w:r>
                    <w:rPr>
                      <w:rFonts w:eastAsiaTheme="minorEastAsia"/>
                      <w:snapToGrid w:val="0"/>
                      <w:kern w:val="24"/>
                      <w:sz w:val="21"/>
                      <w:szCs w:val="21"/>
                    </w:rPr>
                    <w:t>(mg/m</w:t>
                  </w:r>
                  <w:r>
                    <w:rPr>
                      <w:rFonts w:eastAsiaTheme="minorEastAsia"/>
                      <w:snapToGrid w:val="0"/>
                      <w:kern w:val="24"/>
                      <w:sz w:val="21"/>
                      <w:szCs w:val="21"/>
                      <w:vertAlign w:val="superscript"/>
                    </w:rPr>
                    <w:t>3</w:t>
                  </w:r>
                  <w:r>
                    <w:rPr>
                      <w:rFonts w:eastAsiaTheme="minorEastAsia"/>
                      <w:snapToGrid w:val="0"/>
                      <w:kern w:val="24"/>
                      <w:sz w:val="21"/>
                      <w:szCs w:val="21"/>
                    </w:rPr>
                    <w:t>)</w:t>
                  </w:r>
                </w:p>
              </w:tc>
              <w:tc>
                <w:tcPr>
                  <w:tcW w:w="2976" w:type="dxa"/>
                  <w:vAlign w:val="center"/>
                </w:tcPr>
                <w:p>
                  <w:pPr>
                    <w:jc w:val="center"/>
                    <w:rPr>
                      <w:rFonts w:eastAsiaTheme="minorEastAsia"/>
                      <w:sz w:val="21"/>
                      <w:szCs w:val="21"/>
                    </w:rPr>
                  </w:pPr>
                  <w:r>
                    <w:rPr>
                      <w:rFonts w:eastAsiaTheme="minorEastAsia"/>
                      <w:sz w:val="21"/>
                      <w:szCs w:val="21"/>
                    </w:rPr>
                    <w:t>监控点处1h平均浓度限值</w:t>
                  </w:r>
                </w:p>
              </w:tc>
              <w:tc>
                <w:tcPr>
                  <w:tcW w:w="2129" w:type="dxa"/>
                  <w:vMerge w:val="restart"/>
                  <w:vAlign w:val="center"/>
                </w:tcPr>
                <w:p>
                  <w:pPr>
                    <w:jc w:val="center"/>
                    <w:rPr>
                      <w:rFonts w:hint="default" w:eastAsiaTheme="minorEastAsia"/>
                      <w:sz w:val="21"/>
                      <w:szCs w:val="21"/>
                      <w:lang w:val="en-US" w:eastAsia="zh-CN"/>
                    </w:rPr>
                  </w:pPr>
                  <w:r>
                    <w:rPr>
                      <w:rFonts w:hint="eastAsia" w:eastAsiaTheme="minorEastAsia"/>
                      <w:sz w:val="21"/>
                      <w:szCs w:val="21"/>
                      <w:lang w:val="en-US" w:eastAsia="zh-CN"/>
                    </w:rPr>
                    <w:t>在非封闭厂房作业的，在操作工位旁设置监控点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433" w:type="dxa"/>
                  <w:vMerge w:val="continue"/>
                  <w:vAlign w:val="center"/>
                </w:tcPr>
                <w:p>
                  <w:pPr>
                    <w:jc w:val="center"/>
                    <w:rPr>
                      <w:rFonts w:eastAsiaTheme="minorEastAsia"/>
                      <w:sz w:val="21"/>
                      <w:szCs w:val="21"/>
                    </w:rPr>
                  </w:pPr>
                </w:p>
              </w:tc>
              <w:tc>
                <w:tcPr>
                  <w:tcW w:w="1382" w:type="dxa"/>
                  <w:vAlign w:val="center"/>
                </w:tcPr>
                <w:p>
                  <w:pPr>
                    <w:jc w:val="center"/>
                    <w:rPr>
                      <w:rFonts w:eastAsiaTheme="minorEastAsia"/>
                      <w:sz w:val="21"/>
                      <w:szCs w:val="21"/>
                    </w:rPr>
                  </w:pPr>
                  <w:r>
                    <w:rPr>
                      <w:rFonts w:hint="eastAsia" w:eastAsiaTheme="minorEastAsia"/>
                      <w:sz w:val="21"/>
                      <w:szCs w:val="21"/>
                      <w:lang w:val="en-US" w:eastAsia="zh-CN"/>
                    </w:rPr>
                    <w:t>20</w:t>
                  </w:r>
                  <w:r>
                    <w:rPr>
                      <w:rFonts w:eastAsiaTheme="minorEastAsia"/>
                      <w:snapToGrid w:val="0"/>
                      <w:kern w:val="24"/>
                      <w:sz w:val="21"/>
                      <w:szCs w:val="21"/>
                    </w:rPr>
                    <w:t>(mg/m</w:t>
                  </w:r>
                  <w:r>
                    <w:rPr>
                      <w:rFonts w:eastAsiaTheme="minorEastAsia"/>
                      <w:snapToGrid w:val="0"/>
                      <w:kern w:val="24"/>
                      <w:sz w:val="21"/>
                      <w:szCs w:val="21"/>
                      <w:vertAlign w:val="superscript"/>
                    </w:rPr>
                    <w:t>3</w:t>
                  </w:r>
                  <w:r>
                    <w:rPr>
                      <w:rFonts w:eastAsiaTheme="minorEastAsia"/>
                      <w:snapToGrid w:val="0"/>
                      <w:kern w:val="24"/>
                      <w:sz w:val="21"/>
                      <w:szCs w:val="21"/>
                    </w:rPr>
                    <w:t>)</w:t>
                  </w:r>
                </w:p>
              </w:tc>
              <w:tc>
                <w:tcPr>
                  <w:tcW w:w="2976" w:type="dxa"/>
                  <w:vAlign w:val="center"/>
                </w:tcPr>
                <w:p>
                  <w:pPr>
                    <w:jc w:val="center"/>
                    <w:rPr>
                      <w:rFonts w:eastAsiaTheme="minorEastAsia"/>
                      <w:sz w:val="21"/>
                      <w:szCs w:val="21"/>
                    </w:rPr>
                  </w:pPr>
                  <w:r>
                    <w:rPr>
                      <w:rFonts w:eastAsiaTheme="minorEastAsia"/>
                      <w:sz w:val="21"/>
                      <w:szCs w:val="21"/>
                    </w:rPr>
                    <w:t>监控点处任意一次浓度限值</w:t>
                  </w:r>
                </w:p>
              </w:tc>
              <w:tc>
                <w:tcPr>
                  <w:tcW w:w="2129" w:type="dxa"/>
                  <w:vMerge w:val="continue"/>
                  <w:vAlign w:val="center"/>
                </w:tcPr>
                <w:p>
                  <w:pPr>
                    <w:jc w:val="center"/>
                    <w:rPr>
                      <w:rFonts w:eastAsiaTheme="minorEastAsia"/>
                      <w:sz w:val="21"/>
                      <w:szCs w:val="21"/>
                    </w:rPr>
                  </w:pPr>
                </w:p>
              </w:tc>
            </w:tr>
          </w:tbl>
          <w:p>
            <w:pPr>
              <w:widowControl/>
              <w:spacing w:line="324" w:lineRule="auto"/>
              <w:ind w:firstLine="420"/>
              <w:rPr>
                <w:sz w:val="24"/>
                <w:szCs w:val="24"/>
              </w:rPr>
            </w:pPr>
            <w:r>
              <w:rPr>
                <w:sz w:val="24"/>
                <w:szCs w:val="24"/>
              </w:rPr>
              <w:t>有组织排放：</w:t>
            </w:r>
          </w:p>
          <w:p>
            <w:pPr>
              <w:widowControl/>
              <w:spacing w:line="324" w:lineRule="auto"/>
              <w:ind w:firstLine="420"/>
              <w:rPr>
                <w:sz w:val="24"/>
                <w:szCs w:val="24"/>
              </w:rPr>
            </w:pPr>
            <w:r>
              <w:rPr>
                <w:sz w:val="24"/>
                <w:szCs w:val="24"/>
              </w:rPr>
              <w:t>喷漆烤漆工序有组织排放的非甲烷总烃和苯系物执行湖南省地方标准《表面涂装（汽车制造</w:t>
            </w:r>
            <w:r>
              <w:rPr>
                <w:rFonts w:hint="eastAsia"/>
                <w:sz w:val="24"/>
                <w:szCs w:val="24"/>
              </w:rPr>
              <w:t>及维修</w:t>
            </w:r>
            <w:r>
              <w:rPr>
                <w:sz w:val="24"/>
                <w:szCs w:val="24"/>
              </w:rPr>
              <w:t>）挥发性有机物、镍排放标准》（DB43/1356-2017）表1规定的限值</w:t>
            </w:r>
            <w:r>
              <w:rPr>
                <w:rFonts w:hint="eastAsia"/>
                <w:sz w:val="24"/>
                <w:szCs w:val="24"/>
              </w:rPr>
              <w:t>，具体标准值详见下表。</w:t>
            </w:r>
          </w:p>
          <w:p>
            <w:pPr>
              <w:autoSpaceDE w:val="0"/>
              <w:autoSpaceDN w:val="0"/>
              <w:adjustRightInd w:val="0"/>
              <w:snapToGrid w:val="0"/>
              <w:spacing w:line="400" w:lineRule="exact"/>
              <w:jc w:val="center"/>
              <w:rPr>
                <w:b/>
                <w:kern w:val="0"/>
                <w:szCs w:val="21"/>
              </w:rPr>
            </w:pPr>
            <w:r>
              <w:rPr>
                <w:b/>
                <w:szCs w:val="21"/>
              </w:rPr>
              <w:t>表4-</w:t>
            </w:r>
            <w:r>
              <w:rPr>
                <w:rFonts w:hint="eastAsia"/>
                <w:b/>
                <w:szCs w:val="21"/>
              </w:rPr>
              <w:t>9</w:t>
            </w:r>
            <w:r>
              <w:rPr>
                <w:b/>
                <w:szCs w:val="21"/>
              </w:rPr>
              <w:t xml:space="preserve">   《表面涂装（汽车制造</w:t>
            </w:r>
            <w:r>
              <w:rPr>
                <w:rFonts w:hint="eastAsia"/>
                <w:b/>
                <w:szCs w:val="21"/>
              </w:rPr>
              <w:t>及维修</w:t>
            </w:r>
            <w:r>
              <w:rPr>
                <w:b/>
                <w:szCs w:val="21"/>
              </w:rPr>
              <w:t>）挥发性有机物、镍排放标准》     单位：mg/m</w:t>
            </w:r>
            <w:r>
              <w:rPr>
                <w:b/>
                <w:szCs w:val="21"/>
                <w:vertAlign w:val="superscript"/>
              </w:rPr>
              <w:t>3</w:t>
            </w:r>
          </w:p>
          <w:tbl>
            <w:tblPr>
              <w:tblStyle w:val="20"/>
              <w:tblW w:w="79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0"/>
              <w:gridCol w:w="2977"/>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Cs w:val="21"/>
                    </w:rPr>
                  </w:pPr>
                  <w:r>
                    <w:rPr>
                      <w:rFonts w:hint="eastAsia"/>
                      <w:szCs w:val="21"/>
                    </w:rPr>
                    <w:t>污染物项目</w:t>
                  </w:r>
                </w:p>
              </w:tc>
              <w:tc>
                <w:tcPr>
                  <w:tcW w:w="2977" w:type="dxa"/>
                  <w:tcMar>
                    <w:left w:w="0" w:type="dxa"/>
                    <w:right w:w="0" w:type="dxa"/>
                  </w:tcMar>
                  <w:vAlign w:val="center"/>
                </w:tcPr>
                <w:p>
                  <w:pPr>
                    <w:adjustRightInd w:val="0"/>
                    <w:snapToGrid w:val="0"/>
                    <w:jc w:val="center"/>
                    <w:rPr>
                      <w:szCs w:val="21"/>
                    </w:rPr>
                  </w:pPr>
                  <w:r>
                    <w:rPr>
                      <w:rFonts w:hint="eastAsia"/>
                      <w:szCs w:val="21"/>
                    </w:rPr>
                    <w:t>浓度</w:t>
                  </w:r>
                </w:p>
              </w:tc>
              <w:tc>
                <w:tcPr>
                  <w:tcW w:w="2467" w:type="dxa"/>
                  <w:tcMar>
                    <w:left w:w="0" w:type="dxa"/>
                    <w:right w:w="0" w:type="dxa"/>
                  </w:tcMar>
                  <w:vAlign w:val="center"/>
                </w:tcPr>
                <w:p>
                  <w:pPr>
                    <w:adjustRightInd w:val="0"/>
                    <w:snapToGrid w:val="0"/>
                    <w:jc w:val="center"/>
                    <w:rPr>
                      <w:szCs w:val="21"/>
                    </w:rPr>
                  </w:pPr>
                  <w:r>
                    <w:rPr>
                      <w:rFonts w:hint="eastAsia"/>
                      <w:szCs w:val="21"/>
                    </w:rPr>
                    <w:t>监测点位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Cs w:val="21"/>
                    </w:rPr>
                  </w:pPr>
                  <w:r>
                    <w:rPr>
                      <w:rFonts w:hint="eastAsia"/>
                      <w:sz w:val="24"/>
                      <w:szCs w:val="24"/>
                    </w:rPr>
                    <w:t>非甲烷总烃</w:t>
                  </w:r>
                </w:p>
              </w:tc>
              <w:tc>
                <w:tcPr>
                  <w:tcW w:w="2977" w:type="dxa"/>
                  <w:tcMar>
                    <w:left w:w="0" w:type="dxa"/>
                    <w:right w:w="0" w:type="dxa"/>
                  </w:tcMar>
                  <w:vAlign w:val="center"/>
                </w:tcPr>
                <w:p>
                  <w:pPr>
                    <w:adjustRightInd w:val="0"/>
                    <w:snapToGrid w:val="0"/>
                    <w:jc w:val="center"/>
                    <w:rPr>
                      <w:szCs w:val="21"/>
                    </w:rPr>
                  </w:pPr>
                  <w:r>
                    <w:rPr>
                      <w:rFonts w:hint="eastAsia"/>
                      <w:szCs w:val="21"/>
                    </w:rPr>
                    <w:t>40</w:t>
                  </w:r>
                </w:p>
              </w:tc>
              <w:tc>
                <w:tcPr>
                  <w:tcW w:w="2467" w:type="dxa"/>
                  <w:tcMar>
                    <w:left w:w="0" w:type="dxa"/>
                    <w:right w:w="0" w:type="dxa"/>
                  </w:tcMar>
                  <w:vAlign w:val="center"/>
                </w:tcPr>
                <w:p>
                  <w:pPr>
                    <w:adjustRightInd w:val="0"/>
                    <w:snapToGrid w:val="0"/>
                    <w:jc w:val="center"/>
                    <w:rPr>
                      <w:szCs w:val="21"/>
                    </w:rPr>
                  </w:pPr>
                  <w:r>
                    <w:rPr>
                      <w:rFonts w:hint="eastAsia"/>
                      <w:szCs w:val="21"/>
                    </w:rPr>
                    <w:t>周界外浓度最高点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90" w:type="dxa"/>
                  <w:tcMar>
                    <w:left w:w="0" w:type="dxa"/>
                    <w:right w:w="0" w:type="dxa"/>
                  </w:tcMar>
                  <w:vAlign w:val="center"/>
                </w:tcPr>
                <w:p>
                  <w:pPr>
                    <w:adjustRightInd w:val="0"/>
                    <w:snapToGrid w:val="0"/>
                    <w:jc w:val="center"/>
                    <w:rPr>
                      <w:sz w:val="24"/>
                      <w:szCs w:val="24"/>
                    </w:rPr>
                  </w:pPr>
                  <w:r>
                    <w:rPr>
                      <w:sz w:val="24"/>
                      <w:szCs w:val="24"/>
                    </w:rPr>
                    <w:t>苯系物</w:t>
                  </w:r>
                </w:p>
              </w:tc>
              <w:tc>
                <w:tcPr>
                  <w:tcW w:w="2977" w:type="dxa"/>
                  <w:tcMar>
                    <w:left w:w="0" w:type="dxa"/>
                    <w:right w:w="0" w:type="dxa"/>
                  </w:tcMar>
                  <w:vAlign w:val="center"/>
                </w:tcPr>
                <w:p>
                  <w:pPr>
                    <w:adjustRightInd w:val="0"/>
                    <w:snapToGrid w:val="0"/>
                    <w:jc w:val="center"/>
                    <w:rPr>
                      <w:szCs w:val="21"/>
                    </w:rPr>
                  </w:pPr>
                  <w:r>
                    <w:rPr>
                      <w:rFonts w:hint="eastAsia"/>
                      <w:szCs w:val="21"/>
                    </w:rPr>
                    <w:t>25</w:t>
                  </w:r>
                </w:p>
              </w:tc>
              <w:tc>
                <w:tcPr>
                  <w:tcW w:w="2467" w:type="dxa"/>
                  <w:tcMar>
                    <w:left w:w="0" w:type="dxa"/>
                    <w:right w:w="0" w:type="dxa"/>
                  </w:tcMar>
                  <w:vAlign w:val="center"/>
                </w:tcPr>
                <w:p>
                  <w:pPr>
                    <w:adjustRightInd w:val="0"/>
                    <w:snapToGrid w:val="0"/>
                    <w:jc w:val="center"/>
                    <w:rPr>
                      <w:szCs w:val="21"/>
                    </w:rPr>
                  </w:pPr>
                  <w:r>
                    <w:rPr>
                      <w:rFonts w:hint="eastAsia"/>
                      <w:szCs w:val="21"/>
                    </w:rPr>
                    <w:t>周界外浓度最高点</w:t>
                  </w:r>
                </w:p>
              </w:tc>
            </w:tr>
          </w:tbl>
          <w:p>
            <w:pPr>
              <w:widowControl/>
              <w:spacing w:line="324" w:lineRule="auto"/>
              <w:ind w:firstLine="420"/>
              <w:rPr>
                <w:sz w:val="24"/>
                <w:szCs w:val="24"/>
              </w:rPr>
            </w:pPr>
            <w:r>
              <w:rPr>
                <w:sz w:val="24"/>
                <w:szCs w:val="24"/>
              </w:rPr>
              <w:t>有组织排放的漆雾（颗粒物）执行《大气污染物综合排放标准》（GB16297-1996）表2中排放标准</w:t>
            </w:r>
            <w:r>
              <w:rPr>
                <w:rFonts w:hint="eastAsia"/>
                <w:sz w:val="24"/>
                <w:szCs w:val="24"/>
              </w:rPr>
              <w:t>，具体标准值详见下表。</w:t>
            </w:r>
          </w:p>
          <w:p>
            <w:pPr>
              <w:adjustRightInd w:val="0"/>
              <w:snapToGrid w:val="0"/>
              <w:spacing w:line="271" w:lineRule="auto"/>
              <w:ind w:firstLine="422"/>
              <w:jc w:val="center"/>
              <w:rPr>
                <w:b/>
                <w:szCs w:val="21"/>
              </w:rPr>
            </w:pPr>
            <w:r>
              <w:rPr>
                <w:rFonts w:hint="eastAsia"/>
                <w:b/>
                <w:szCs w:val="21"/>
              </w:rPr>
              <w:t>表4-10   《大气污染物综合排放标准》（GB16297-1996）</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843"/>
              <w:gridCol w:w="1984"/>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8" w:type="dxa"/>
                  <w:vMerge w:val="restart"/>
                  <w:vAlign w:val="center"/>
                </w:tcPr>
                <w:p>
                  <w:pPr>
                    <w:adjustRightInd w:val="0"/>
                    <w:snapToGrid w:val="0"/>
                    <w:jc w:val="center"/>
                    <w:rPr>
                      <w:szCs w:val="21"/>
                    </w:rPr>
                  </w:pPr>
                  <w:r>
                    <w:rPr>
                      <w:rFonts w:hint="eastAsia"/>
                      <w:szCs w:val="21"/>
                    </w:rPr>
                    <w:t>污染物</w:t>
                  </w:r>
                </w:p>
              </w:tc>
              <w:tc>
                <w:tcPr>
                  <w:tcW w:w="1843" w:type="dxa"/>
                  <w:vMerge w:val="restart"/>
                  <w:vAlign w:val="center"/>
                </w:tcPr>
                <w:p>
                  <w:pPr>
                    <w:adjustRightInd w:val="0"/>
                    <w:snapToGrid w:val="0"/>
                    <w:jc w:val="center"/>
                    <w:rPr>
                      <w:szCs w:val="21"/>
                    </w:rPr>
                  </w:pPr>
                  <w:r>
                    <w:rPr>
                      <w:rFonts w:hint="eastAsia"/>
                      <w:szCs w:val="21"/>
                    </w:rPr>
                    <w:t>最高允许排放浓度（mg/m</w:t>
                  </w:r>
                  <w:r>
                    <w:rPr>
                      <w:rFonts w:hint="eastAsia"/>
                      <w:szCs w:val="21"/>
                      <w:vertAlign w:val="superscript"/>
                    </w:rPr>
                    <w:t>3</w:t>
                  </w:r>
                  <w:r>
                    <w:rPr>
                      <w:rFonts w:hint="eastAsia"/>
                      <w:szCs w:val="21"/>
                    </w:rPr>
                    <w:t>）</w:t>
                  </w:r>
                </w:p>
              </w:tc>
              <w:tc>
                <w:tcPr>
                  <w:tcW w:w="4819" w:type="dxa"/>
                  <w:gridSpan w:val="2"/>
                  <w:vAlign w:val="center"/>
                </w:tcPr>
                <w:p>
                  <w:pPr>
                    <w:adjustRightInd w:val="0"/>
                    <w:snapToGrid w:val="0"/>
                    <w:jc w:val="center"/>
                    <w:rPr>
                      <w:szCs w:val="21"/>
                    </w:rPr>
                  </w:pPr>
                  <w:r>
                    <w:rPr>
                      <w:rFonts w:hint="eastAsia"/>
                      <w:szCs w:val="21"/>
                    </w:rPr>
                    <w:t>最高允许排放速率（kg/h）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8" w:type="dxa"/>
                  <w:vMerge w:val="continue"/>
                  <w:vAlign w:val="center"/>
                </w:tcPr>
                <w:p>
                  <w:pPr>
                    <w:adjustRightInd w:val="0"/>
                    <w:snapToGrid w:val="0"/>
                    <w:jc w:val="center"/>
                    <w:rPr>
                      <w:szCs w:val="21"/>
                    </w:rPr>
                  </w:pPr>
                </w:p>
              </w:tc>
              <w:tc>
                <w:tcPr>
                  <w:tcW w:w="1843" w:type="dxa"/>
                  <w:vMerge w:val="continue"/>
                  <w:vAlign w:val="center"/>
                </w:tcPr>
                <w:p>
                  <w:pPr>
                    <w:adjustRightInd w:val="0"/>
                    <w:snapToGrid w:val="0"/>
                    <w:jc w:val="center"/>
                    <w:rPr>
                      <w:szCs w:val="21"/>
                    </w:rPr>
                  </w:pPr>
                </w:p>
              </w:tc>
              <w:tc>
                <w:tcPr>
                  <w:tcW w:w="1984" w:type="dxa"/>
                  <w:vAlign w:val="center"/>
                </w:tcPr>
                <w:p>
                  <w:pPr>
                    <w:adjustRightInd w:val="0"/>
                    <w:snapToGrid w:val="0"/>
                    <w:jc w:val="center"/>
                    <w:rPr>
                      <w:szCs w:val="21"/>
                    </w:rPr>
                  </w:pPr>
                  <w:r>
                    <w:rPr>
                      <w:rFonts w:hint="eastAsia"/>
                      <w:szCs w:val="21"/>
                    </w:rPr>
                    <w:t>排气筒（m）</w:t>
                  </w:r>
                </w:p>
              </w:tc>
              <w:tc>
                <w:tcPr>
                  <w:tcW w:w="2835" w:type="dxa"/>
                  <w:vAlign w:val="center"/>
                </w:tcPr>
                <w:p>
                  <w:pPr>
                    <w:adjustRightInd w:val="0"/>
                    <w:snapToGrid w:val="0"/>
                    <w:jc w:val="center"/>
                    <w:rPr>
                      <w:szCs w:val="21"/>
                    </w:rPr>
                  </w:pPr>
                  <w:r>
                    <w:rPr>
                      <w:rFonts w:hint="eastAsia"/>
                      <w:szCs w:val="21"/>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8" w:type="dxa"/>
                  <w:vAlign w:val="center"/>
                </w:tcPr>
                <w:p>
                  <w:pPr>
                    <w:adjustRightInd w:val="0"/>
                    <w:snapToGrid w:val="0"/>
                    <w:jc w:val="center"/>
                    <w:rPr>
                      <w:szCs w:val="21"/>
                    </w:rPr>
                  </w:pPr>
                  <w:r>
                    <w:rPr>
                      <w:rFonts w:hint="eastAsia"/>
                      <w:szCs w:val="21"/>
                    </w:rPr>
                    <w:t>颗粒物</w:t>
                  </w:r>
                </w:p>
              </w:tc>
              <w:tc>
                <w:tcPr>
                  <w:tcW w:w="1843" w:type="dxa"/>
                  <w:vAlign w:val="center"/>
                </w:tcPr>
                <w:p>
                  <w:pPr>
                    <w:adjustRightInd w:val="0"/>
                    <w:snapToGrid w:val="0"/>
                    <w:jc w:val="center"/>
                    <w:rPr>
                      <w:szCs w:val="21"/>
                    </w:rPr>
                  </w:pPr>
                  <w:r>
                    <w:rPr>
                      <w:rFonts w:hint="eastAsia"/>
                      <w:szCs w:val="21"/>
                    </w:rPr>
                    <w:t>120</w:t>
                  </w:r>
                </w:p>
              </w:tc>
              <w:tc>
                <w:tcPr>
                  <w:tcW w:w="1984" w:type="dxa"/>
                  <w:vAlign w:val="center"/>
                </w:tcPr>
                <w:p>
                  <w:pPr>
                    <w:adjustRightInd w:val="0"/>
                    <w:snapToGrid w:val="0"/>
                    <w:jc w:val="center"/>
                    <w:rPr>
                      <w:szCs w:val="21"/>
                    </w:rPr>
                  </w:pPr>
                  <w:r>
                    <w:rPr>
                      <w:rFonts w:hint="eastAsia"/>
                      <w:szCs w:val="21"/>
                    </w:rPr>
                    <w:t>15</w:t>
                  </w:r>
                </w:p>
              </w:tc>
              <w:tc>
                <w:tcPr>
                  <w:tcW w:w="2835" w:type="dxa"/>
                  <w:vAlign w:val="center"/>
                </w:tcPr>
                <w:p>
                  <w:pPr>
                    <w:adjustRightInd w:val="0"/>
                    <w:snapToGrid w:val="0"/>
                    <w:jc w:val="center"/>
                    <w:rPr>
                      <w:szCs w:val="21"/>
                    </w:rPr>
                  </w:pPr>
                  <w:r>
                    <w:rPr>
                      <w:rFonts w:hint="eastAsia"/>
                      <w:szCs w:val="21"/>
                    </w:rPr>
                    <w:t>3.5</w:t>
                  </w:r>
                </w:p>
              </w:tc>
            </w:tr>
          </w:tbl>
          <w:p>
            <w:pPr>
              <w:widowControl/>
              <w:spacing w:beforeLines="50" w:line="324" w:lineRule="auto"/>
              <w:ind w:firstLine="420"/>
              <w:rPr>
                <w:sz w:val="24"/>
                <w:szCs w:val="24"/>
              </w:rPr>
            </w:pPr>
            <w:r>
              <w:rPr>
                <w:sz w:val="24"/>
                <w:szCs w:val="24"/>
              </w:rPr>
              <w:t>有组织排放的VOCs参照执行天津市《工业企业挥发性有机物排放控制标准》（DB12/524-20</w:t>
            </w:r>
            <w:r>
              <w:rPr>
                <w:rFonts w:hint="eastAsia"/>
                <w:sz w:val="24"/>
                <w:szCs w:val="24"/>
              </w:rPr>
              <w:t>20</w:t>
            </w:r>
            <w:r>
              <w:rPr>
                <w:sz w:val="24"/>
                <w:szCs w:val="24"/>
              </w:rPr>
              <w:t>）表</w:t>
            </w:r>
            <w:r>
              <w:rPr>
                <w:rFonts w:hint="eastAsia"/>
                <w:sz w:val="24"/>
                <w:szCs w:val="24"/>
              </w:rPr>
              <w:t>1</w:t>
            </w:r>
            <w:r>
              <w:rPr>
                <w:sz w:val="24"/>
                <w:szCs w:val="24"/>
              </w:rPr>
              <w:t>中“</w:t>
            </w:r>
            <w:r>
              <w:rPr>
                <w:rFonts w:hint="eastAsia"/>
                <w:sz w:val="24"/>
                <w:szCs w:val="24"/>
              </w:rPr>
              <w:t>表面涂装</w:t>
            </w:r>
            <w:r>
              <w:rPr>
                <w:sz w:val="24"/>
                <w:szCs w:val="24"/>
              </w:rPr>
              <w:t>”</w:t>
            </w:r>
            <w:r>
              <w:rPr>
                <w:rStyle w:val="25"/>
                <w:rFonts w:hint="eastAsia"/>
                <w:sz w:val="24"/>
                <w:szCs w:val="24"/>
              </w:rPr>
              <w:t>标准限值</w:t>
            </w:r>
            <w:r>
              <w:rPr>
                <w:rFonts w:hint="eastAsia"/>
                <w:sz w:val="24"/>
                <w:szCs w:val="24"/>
              </w:rPr>
              <w:t>，具体标准值详见下表。</w:t>
            </w:r>
          </w:p>
          <w:p>
            <w:pPr>
              <w:adjustRightInd w:val="0"/>
              <w:snapToGrid w:val="0"/>
              <w:spacing w:line="271" w:lineRule="auto"/>
              <w:ind w:firstLine="422"/>
              <w:jc w:val="center"/>
              <w:rPr>
                <w:b/>
                <w:szCs w:val="21"/>
              </w:rPr>
            </w:pPr>
            <w:r>
              <w:rPr>
                <w:rFonts w:hint="eastAsia"/>
                <w:b/>
                <w:szCs w:val="21"/>
              </w:rPr>
              <w:t xml:space="preserve">表4-11   </w:t>
            </w:r>
            <w:r>
              <w:rPr>
                <w:b/>
                <w:szCs w:val="21"/>
              </w:rPr>
              <w:t>《工业企业挥发性有机物排放控制标准》（DB12/524-20</w:t>
            </w:r>
            <w:r>
              <w:rPr>
                <w:rFonts w:hint="eastAsia"/>
                <w:b/>
                <w:szCs w:val="21"/>
              </w:rPr>
              <w:t>20</w:t>
            </w:r>
            <w:r>
              <w:rPr>
                <w:b/>
                <w:szCs w:val="21"/>
              </w:rPr>
              <w:t>）</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843"/>
              <w:gridCol w:w="1984"/>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8" w:type="dxa"/>
                  <w:vMerge w:val="restart"/>
                  <w:vAlign w:val="center"/>
                </w:tcPr>
                <w:p>
                  <w:pPr>
                    <w:adjustRightInd w:val="0"/>
                    <w:snapToGrid w:val="0"/>
                    <w:jc w:val="center"/>
                    <w:rPr>
                      <w:szCs w:val="21"/>
                    </w:rPr>
                  </w:pPr>
                  <w:r>
                    <w:rPr>
                      <w:rFonts w:hint="eastAsia"/>
                      <w:szCs w:val="21"/>
                    </w:rPr>
                    <w:t>污染物</w:t>
                  </w:r>
                </w:p>
              </w:tc>
              <w:tc>
                <w:tcPr>
                  <w:tcW w:w="1843" w:type="dxa"/>
                  <w:vMerge w:val="restart"/>
                  <w:vAlign w:val="center"/>
                </w:tcPr>
                <w:p>
                  <w:pPr>
                    <w:adjustRightInd w:val="0"/>
                    <w:snapToGrid w:val="0"/>
                    <w:jc w:val="center"/>
                    <w:rPr>
                      <w:szCs w:val="21"/>
                    </w:rPr>
                  </w:pPr>
                  <w:r>
                    <w:rPr>
                      <w:rFonts w:hint="eastAsia"/>
                      <w:szCs w:val="21"/>
                    </w:rPr>
                    <w:t>最高允许排放浓度（mg/m</w:t>
                  </w:r>
                  <w:r>
                    <w:rPr>
                      <w:rFonts w:hint="eastAsia"/>
                      <w:szCs w:val="21"/>
                      <w:vertAlign w:val="superscript"/>
                    </w:rPr>
                    <w:t>3</w:t>
                  </w:r>
                  <w:r>
                    <w:rPr>
                      <w:rFonts w:hint="eastAsia"/>
                      <w:szCs w:val="21"/>
                    </w:rPr>
                    <w:t>）</w:t>
                  </w:r>
                </w:p>
              </w:tc>
              <w:tc>
                <w:tcPr>
                  <w:tcW w:w="4819" w:type="dxa"/>
                  <w:gridSpan w:val="2"/>
                  <w:vAlign w:val="center"/>
                </w:tcPr>
                <w:p>
                  <w:pPr>
                    <w:adjustRightInd w:val="0"/>
                    <w:snapToGrid w:val="0"/>
                    <w:jc w:val="center"/>
                    <w:rPr>
                      <w:szCs w:val="21"/>
                    </w:rPr>
                  </w:pPr>
                  <w:r>
                    <w:rPr>
                      <w:rFonts w:hint="eastAsia"/>
                      <w:szCs w:val="21"/>
                    </w:rPr>
                    <w:t>最高允许排放速率（kg/h）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8" w:type="dxa"/>
                  <w:vMerge w:val="continue"/>
                  <w:vAlign w:val="center"/>
                </w:tcPr>
                <w:p>
                  <w:pPr>
                    <w:adjustRightInd w:val="0"/>
                    <w:snapToGrid w:val="0"/>
                    <w:jc w:val="center"/>
                    <w:rPr>
                      <w:szCs w:val="21"/>
                    </w:rPr>
                  </w:pPr>
                </w:p>
              </w:tc>
              <w:tc>
                <w:tcPr>
                  <w:tcW w:w="1843" w:type="dxa"/>
                  <w:vMerge w:val="continue"/>
                  <w:vAlign w:val="center"/>
                </w:tcPr>
                <w:p>
                  <w:pPr>
                    <w:adjustRightInd w:val="0"/>
                    <w:snapToGrid w:val="0"/>
                    <w:jc w:val="center"/>
                    <w:rPr>
                      <w:szCs w:val="21"/>
                    </w:rPr>
                  </w:pPr>
                </w:p>
              </w:tc>
              <w:tc>
                <w:tcPr>
                  <w:tcW w:w="1984" w:type="dxa"/>
                  <w:vAlign w:val="center"/>
                </w:tcPr>
                <w:p>
                  <w:pPr>
                    <w:adjustRightInd w:val="0"/>
                    <w:snapToGrid w:val="0"/>
                    <w:jc w:val="center"/>
                    <w:rPr>
                      <w:szCs w:val="21"/>
                    </w:rPr>
                  </w:pPr>
                  <w:r>
                    <w:rPr>
                      <w:rFonts w:hint="eastAsia"/>
                      <w:szCs w:val="21"/>
                    </w:rPr>
                    <w:t>排气筒（m）</w:t>
                  </w:r>
                </w:p>
              </w:tc>
              <w:tc>
                <w:tcPr>
                  <w:tcW w:w="2835" w:type="dxa"/>
                  <w:vAlign w:val="center"/>
                </w:tcPr>
                <w:p>
                  <w:pPr>
                    <w:adjustRightInd w:val="0"/>
                    <w:snapToGrid w:val="0"/>
                    <w:jc w:val="center"/>
                    <w:rPr>
                      <w:szCs w:val="21"/>
                    </w:rPr>
                  </w:pPr>
                  <w:r>
                    <w:rPr>
                      <w:rFonts w:hint="eastAsia"/>
                      <w:szCs w:val="21"/>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8" w:type="dxa"/>
                  <w:vAlign w:val="center"/>
                </w:tcPr>
                <w:p>
                  <w:pPr>
                    <w:adjustRightInd w:val="0"/>
                    <w:snapToGrid w:val="0"/>
                    <w:jc w:val="center"/>
                    <w:rPr>
                      <w:szCs w:val="21"/>
                    </w:rPr>
                  </w:pPr>
                  <w:r>
                    <w:t>TRVOC</w:t>
                  </w:r>
                </w:p>
              </w:tc>
              <w:tc>
                <w:tcPr>
                  <w:tcW w:w="1843" w:type="dxa"/>
                  <w:vAlign w:val="center"/>
                </w:tcPr>
                <w:p>
                  <w:pPr>
                    <w:adjustRightInd w:val="0"/>
                    <w:snapToGrid w:val="0"/>
                    <w:jc w:val="center"/>
                    <w:rPr>
                      <w:szCs w:val="21"/>
                    </w:rPr>
                  </w:pPr>
                  <w:r>
                    <w:t>50</w:t>
                  </w:r>
                </w:p>
              </w:tc>
              <w:tc>
                <w:tcPr>
                  <w:tcW w:w="1984" w:type="dxa"/>
                  <w:vAlign w:val="center"/>
                </w:tcPr>
                <w:p>
                  <w:pPr>
                    <w:adjustRightInd w:val="0"/>
                    <w:snapToGrid w:val="0"/>
                    <w:jc w:val="center"/>
                    <w:rPr>
                      <w:szCs w:val="21"/>
                    </w:rPr>
                  </w:pPr>
                  <w:r>
                    <w:rPr>
                      <w:rFonts w:hint="eastAsia"/>
                      <w:szCs w:val="21"/>
                    </w:rPr>
                    <w:t>15</w:t>
                  </w:r>
                </w:p>
              </w:tc>
              <w:tc>
                <w:tcPr>
                  <w:tcW w:w="2835" w:type="dxa"/>
                  <w:vAlign w:val="center"/>
                </w:tcPr>
                <w:p>
                  <w:pPr>
                    <w:adjustRightInd w:val="0"/>
                    <w:snapToGrid w:val="0"/>
                    <w:jc w:val="center"/>
                    <w:rPr>
                      <w:szCs w:val="21"/>
                    </w:rPr>
                  </w:pPr>
                  <w:r>
                    <w:rPr>
                      <w:rFonts w:hint="eastAsia"/>
                      <w:szCs w:val="21"/>
                    </w:rPr>
                    <w:t>1.5</w:t>
                  </w:r>
                </w:p>
              </w:tc>
            </w:tr>
          </w:tbl>
          <w:p>
            <w:pPr>
              <w:widowControl/>
              <w:spacing w:line="324" w:lineRule="auto"/>
              <w:ind w:firstLine="420"/>
              <w:rPr>
                <w:sz w:val="24"/>
              </w:rPr>
            </w:pPr>
            <w:r>
              <w:rPr>
                <w:sz w:val="24"/>
                <w:szCs w:val="24"/>
              </w:rPr>
              <w:t>食堂油烟满足《饮食业油烟排放标准（试行）》（GB18483-2001）相关标准</w:t>
            </w:r>
            <w:r>
              <w:rPr>
                <w:rFonts w:hint="eastAsia"/>
                <w:sz w:val="24"/>
                <w:szCs w:val="24"/>
              </w:rPr>
              <w:t>，具体标准值详见下表。</w:t>
            </w:r>
          </w:p>
          <w:p>
            <w:pPr>
              <w:spacing w:line="380" w:lineRule="exact"/>
              <w:jc w:val="center"/>
              <w:rPr>
                <w:b/>
                <w:bCs/>
                <w:szCs w:val="21"/>
                <w:vertAlign w:val="superscript"/>
              </w:rPr>
            </w:pPr>
            <w:r>
              <w:rPr>
                <w:b/>
                <w:bCs/>
                <w:szCs w:val="21"/>
              </w:rPr>
              <w:t>表4-</w:t>
            </w:r>
            <w:r>
              <w:rPr>
                <w:rFonts w:hint="eastAsia"/>
                <w:b/>
                <w:bCs/>
                <w:szCs w:val="21"/>
              </w:rPr>
              <w:t xml:space="preserve">12   </w:t>
            </w:r>
            <w:r>
              <w:rPr>
                <w:b/>
                <w:bCs/>
                <w:szCs w:val="21"/>
              </w:rPr>
              <w:t>油烟排放标准    mg/m</w:t>
            </w:r>
            <w:r>
              <w:rPr>
                <w:b/>
                <w:bCs/>
                <w:szCs w:val="21"/>
                <w:vertAlign w:val="superscript"/>
              </w:rPr>
              <w:t>3</w:t>
            </w:r>
          </w:p>
          <w:tbl>
            <w:tblPr>
              <w:tblStyle w:val="21"/>
              <w:tblW w:w="78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3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trPr>
              <w:tc>
                <w:tcPr>
                  <w:tcW w:w="3928" w:type="dxa"/>
                  <w:tcBorders>
                    <w:tl2br w:val="nil"/>
                    <w:tr2bl w:val="nil"/>
                  </w:tcBorders>
                </w:tcPr>
                <w:p>
                  <w:pPr>
                    <w:jc w:val="center"/>
                    <w:rPr>
                      <w:b/>
                      <w:bCs/>
                      <w:kern w:val="0"/>
                      <w:szCs w:val="21"/>
                    </w:rPr>
                  </w:pPr>
                  <w:r>
                    <w:rPr>
                      <w:b/>
                      <w:bCs/>
                      <w:kern w:val="0"/>
                      <w:szCs w:val="21"/>
                    </w:rPr>
                    <w:t>指标</w:t>
                  </w:r>
                </w:p>
              </w:tc>
              <w:tc>
                <w:tcPr>
                  <w:tcW w:w="3928" w:type="dxa"/>
                  <w:tcBorders>
                    <w:tl2br w:val="nil"/>
                    <w:tr2bl w:val="nil"/>
                  </w:tcBorders>
                </w:tcPr>
                <w:p>
                  <w:pPr>
                    <w:jc w:val="center"/>
                    <w:rPr>
                      <w:b/>
                      <w:bCs/>
                      <w:kern w:val="0"/>
                      <w:szCs w:val="21"/>
                    </w:rPr>
                  </w:pPr>
                  <w:r>
                    <w:rPr>
                      <w:b/>
                      <w:bCs/>
                      <w:kern w:val="0"/>
                      <w:szCs w:val="21"/>
                    </w:rPr>
                    <w:t>小型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8" w:type="dxa"/>
                  <w:tcBorders>
                    <w:tl2br w:val="nil"/>
                    <w:tr2bl w:val="nil"/>
                  </w:tcBorders>
                </w:tcPr>
                <w:p>
                  <w:pPr>
                    <w:jc w:val="center"/>
                    <w:rPr>
                      <w:kern w:val="0"/>
                      <w:szCs w:val="21"/>
                    </w:rPr>
                  </w:pPr>
                  <w:r>
                    <w:rPr>
                      <w:kern w:val="0"/>
                      <w:szCs w:val="21"/>
                    </w:rPr>
                    <w:t>最高允许排放浓度</w:t>
                  </w:r>
                </w:p>
              </w:tc>
              <w:tc>
                <w:tcPr>
                  <w:tcW w:w="3928" w:type="dxa"/>
                  <w:tcBorders>
                    <w:tl2br w:val="nil"/>
                    <w:tr2bl w:val="nil"/>
                  </w:tcBorders>
                </w:tcPr>
                <w:p>
                  <w:pPr>
                    <w:jc w:val="center"/>
                    <w:rPr>
                      <w:kern w:val="0"/>
                      <w:szCs w:val="21"/>
                    </w:rPr>
                  </w:pPr>
                  <w:r>
                    <w:rPr>
                      <w:kern w:val="0"/>
                      <w:szCs w:val="21"/>
                    </w:rPr>
                    <w:t>2.0mg/m</w:t>
                  </w:r>
                  <w:r>
                    <w:rPr>
                      <w:kern w:val="0"/>
                      <w:szCs w:val="21"/>
                      <w:vertAlign w:val="superscript"/>
                    </w:rPr>
                    <w:t>3</w:t>
                  </w:r>
                </w:p>
              </w:tc>
            </w:tr>
          </w:tbl>
          <w:p>
            <w:pPr>
              <w:spacing w:line="360" w:lineRule="auto"/>
              <w:ind w:firstLine="482" w:firstLineChars="200"/>
              <w:rPr>
                <w:kern w:val="0"/>
                <w:sz w:val="24"/>
              </w:rPr>
            </w:pPr>
            <w:r>
              <w:rPr>
                <w:b/>
                <w:bCs/>
                <w:kern w:val="0"/>
                <w:sz w:val="24"/>
              </w:rPr>
              <w:t>2、废水：</w:t>
            </w:r>
            <w:r>
              <w:rPr>
                <w:kern w:val="0"/>
                <w:sz w:val="24"/>
              </w:rPr>
              <w:t>项目地面清洗废水</w:t>
            </w:r>
            <w:r>
              <w:rPr>
                <w:sz w:val="24"/>
                <w:szCs w:val="24"/>
              </w:rPr>
              <w:t>和汽车清洗废水</w:t>
            </w:r>
            <w:r>
              <w:rPr>
                <w:kern w:val="0"/>
                <w:sz w:val="24"/>
              </w:rPr>
              <w:t>需从严执行城陵矶新港区污水处理厂进水水质要求、《汽车维修业水污染物排放标准》（GB26877-2011）中表2的间接排放标准限值要求，</w:t>
            </w:r>
            <w:r>
              <w:rPr>
                <w:kern w:val="0"/>
                <w:sz w:val="24"/>
                <w:u w:val="single"/>
              </w:rPr>
              <w:t>《污水综合排放标准》（GB8978-1996）表1第一类污染物最高允许排放浓度</w:t>
            </w:r>
            <w:r>
              <w:rPr>
                <w:kern w:val="0"/>
                <w:sz w:val="24"/>
                <w:szCs w:val="22"/>
              </w:rPr>
              <w:t>。</w:t>
            </w:r>
            <w:r>
              <w:rPr>
                <w:kern w:val="0"/>
                <w:sz w:val="24"/>
              </w:rPr>
              <w:t>生活污水需从严执行《污水综合排放标准》（GB8978-1996）中三级标准、城陵矶新港区污水处理厂进水水质要求</w:t>
            </w:r>
            <w:r>
              <w:rPr>
                <w:kern w:val="0"/>
                <w:sz w:val="24"/>
                <w:szCs w:val="22"/>
              </w:rPr>
              <w:t>。具体各标准污染物执行标准如下</w:t>
            </w:r>
            <w:r>
              <w:rPr>
                <w:kern w:val="0"/>
                <w:sz w:val="24"/>
              </w:rPr>
              <w:t>。</w:t>
            </w:r>
          </w:p>
          <w:p>
            <w:pPr>
              <w:jc w:val="center"/>
              <w:rPr>
                <w:b/>
                <w:bCs/>
                <w:szCs w:val="21"/>
              </w:rPr>
            </w:pPr>
            <w:r>
              <w:rPr>
                <w:b/>
                <w:bCs/>
                <w:szCs w:val="21"/>
              </w:rPr>
              <w:t>表4-</w:t>
            </w:r>
            <w:r>
              <w:rPr>
                <w:rFonts w:hint="eastAsia"/>
                <w:b/>
                <w:bCs/>
                <w:szCs w:val="21"/>
              </w:rPr>
              <w:t xml:space="preserve">13 </w:t>
            </w:r>
            <w:r>
              <w:rPr>
                <w:b/>
                <w:bCs/>
                <w:szCs w:val="21"/>
              </w:rPr>
              <w:t>污水排放标准  单位：mg/L</w:t>
            </w:r>
          </w:p>
          <w:tbl>
            <w:tblPr>
              <w:tblStyle w:val="20"/>
              <w:tblW w:w="71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526"/>
              <w:gridCol w:w="697"/>
              <w:gridCol w:w="701"/>
              <w:gridCol w:w="704"/>
              <w:gridCol w:w="708"/>
              <w:gridCol w:w="698"/>
              <w:gridCol w:w="698"/>
              <w:gridCol w:w="695"/>
              <w:gridCol w:w="69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0" w:hRule="atLeast"/>
                <w:jc w:val="center"/>
              </w:trPr>
              <w:tc>
                <w:tcPr>
                  <w:tcW w:w="1526" w:type="dxa"/>
                  <w:tcBorders>
                    <w:tl2br w:val="nil"/>
                    <w:tr2bl w:val="nil"/>
                  </w:tcBorders>
                  <w:vAlign w:val="center"/>
                </w:tcPr>
                <w:p>
                  <w:pPr>
                    <w:ind w:firstLine="105" w:firstLineChars="50"/>
                    <w:jc w:val="center"/>
                    <w:rPr>
                      <w:b/>
                      <w:bCs/>
                      <w:szCs w:val="21"/>
                    </w:rPr>
                  </w:pPr>
                  <w:r>
                    <w:rPr>
                      <w:b/>
                      <w:bCs/>
                      <w:szCs w:val="21"/>
                    </w:rPr>
                    <w:t>污染物名称</w:t>
                  </w:r>
                </w:p>
              </w:tc>
              <w:tc>
                <w:tcPr>
                  <w:tcW w:w="697" w:type="dxa"/>
                  <w:tcBorders>
                    <w:tl2br w:val="nil"/>
                    <w:tr2bl w:val="nil"/>
                  </w:tcBorders>
                  <w:vAlign w:val="center"/>
                </w:tcPr>
                <w:p>
                  <w:pPr>
                    <w:jc w:val="center"/>
                    <w:rPr>
                      <w:b/>
                      <w:bCs/>
                      <w:szCs w:val="21"/>
                    </w:rPr>
                  </w:pPr>
                  <w:r>
                    <w:rPr>
                      <w:b/>
                      <w:bCs/>
                      <w:szCs w:val="21"/>
                    </w:rPr>
                    <w:t>pH</w:t>
                  </w:r>
                </w:p>
              </w:tc>
              <w:tc>
                <w:tcPr>
                  <w:tcW w:w="701" w:type="dxa"/>
                  <w:tcBorders>
                    <w:tl2br w:val="nil"/>
                    <w:tr2bl w:val="nil"/>
                  </w:tcBorders>
                  <w:vAlign w:val="center"/>
                </w:tcPr>
                <w:p>
                  <w:pPr>
                    <w:jc w:val="center"/>
                    <w:rPr>
                      <w:b/>
                      <w:bCs/>
                      <w:szCs w:val="21"/>
                    </w:rPr>
                  </w:pPr>
                  <w:r>
                    <w:rPr>
                      <w:b/>
                      <w:bCs/>
                      <w:szCs w:val="21"/>
                    </w:rPr>
                    <w:t>COD</w:t>
                  </w:r>
                </w:p>
              </w:tc>
              <w:tc>
                <w:tcPr>
                  <w:tcW w:w="704" w:type="dxa"/>
                  <w:tcBorders>
                    <w:tl2br w:val="nil"/>
                    <w:tr2bl w:val="nil"/>
                  </w:tcBorders>
                  <w:vAlign w:val="center"/>
                </w:tcPr>
                <w:p>
                  <w:pPr>
                    <w:jc w:val="center"/>
                    <w:rPr>
                      <w:b/>
                      <w:bCs/>
                      <w:szCs w:val="21"/>
                    </w:rPr>
                  </w:pPr>
                  <w:r>
                    <w:rPr>
                      <w:b/>
                      <w:bCs/>
                      <w:szCs w:val="21"/>
                    </w:rPr>
                    <w:t>BOD</w:t>
                  </w:r>
                  <w:r>
                    <w:rPr>
                      <w:b/>
                      <w:bCs/>
                      <w:szCs w:val="21"/>
                      <w:vertAlign w:val="subscript"/>
                    </w:rPr>
                    <w:t>5</w:t>
                  </w:r>
                </w:p>
              </w:tc>
              <w:tc>
                <w:tcPr>
                  <w:tcW w:w="708" w:type="dxa"/>
                  <w:tcBorders>
                    <w:tl2br w:val="nil"/>
                    <w:tr2bl w:val="nil"/>
                  </w:tcBorders>
                  <w:vAlign w:val="center"/>
                </w:tcPr>
                <w:p>
                  <w:pPr>
                    <w:jc w:val="center"/>
                    <w:rPr>
                      <w:b/>
                      <w:bCs/>
                      <w:szCs w:val="21"/>
                    </w:rPr>
                  </w:pPr>
                  <w:r>
                    <w:rPr>
                      <w:b/>
                      <w:bCs/>
                      <w:szCs w:val="21"/>
                    </w:rPr>
                    <w:t>NH</w:t>
                  </w:r>
                  <w:r>
                    <w:rPr>
                      <w:b/>
                      <w:bCs/>
                      <w:szCs w:val="21"/>
                      <w:vertAlign w:val="subscript"/>
                    </w:rPr>
                    <w:t>3</w:t>
                  </w:r>
                  <w:r>
                    <w:rPr>
                      <w:b/>
                      <w:bCs/>
                      <w:szCs w:val="21"/>
                    </w:rPr>
                    <w:t>-N</w:t>
                  </w:r>
                </w:p>
              </w:tc>
              <w:tc>
                <w:tcPr>
                  <w:tcW w:w="698" w:type="dxa"/>
                  <w:tcBorders>
                    <w:tl2br w:val="nil"/>
                    <w:tr2bl w:val="nil"/>
                  </w:tcBorders>
                  <w:vAlign w:val="center"/>
                </w:tcPr>
                <w:p>
                  <w:pPr>
                    <w:jc w:val="center"/>
                    <w:rPr>
                      <w:b/>
                      <w:bCs/>
                      <w:szCs w:val="21"/>
                    </w:rPr>
                  </w:pPr>
                  <w:r>
                    <w:rPr>
                      <w:b/>
                      <w:bCs/>
                      <w:szCs w:val="21"/>
                    </w:rPr>
                    <w:t>SS</w:t>
                  </w:r>
                </w:p>
              </w:tc>
              <w:tc>
                <w:tcPr>
                  <w:tcW w:w="698" w:type="dxa"/>
                  <w:tcBorders>
                    <w:tl2br w:val="nil"/>
                    <w:tr2bl w:val="nil"/>
                  </w:tcBorders>
                  <w:vAlign w:val="center"/>
                </w:tcPr>
                <w:p>
                  <w:pPr>
                    <w:jc w:val="center"/>
                    <w:rPr>
                      <w:b/>
                      <w:bCs/>
                      <w:szCs w:val="21"/>
                    </w:rPr>
                  </w:pPr>
                  <w:r>
                    <w:rPr>
                      <w:b/>
                      <w:bCs/>
                      <w:szCs w:val="21"/>
                    </w:rPr>
                    <w:t>动植物油</w:t>
                  </w:r>
                </w:p>
              </w:tc>
              <w:tc>
                <w:tcPr>
                  <w:tcW w:w="695" w:type="dxa"/>
                  <w:tcBorders>
                    <w:tl2br w:val="nil"/>
                    <w:tr2bl w:val="nil"/>
                  </w:tcBorders>
                  <w:vAlign w:val="center"/>
                </w:tcPr>
                <w:p>
                  <w:pPr>
                    <w:jc w:val="center"/>
                    <w:rPr>
                      <w:b/>
                      <w:bCs/>
                      <w:szCs w:val="21"/>
                    </w:rPr>
                  </w:pPr>
                  <w:r>
                    <w:rPr>
                      <w:b/>
                      <w:bCs/>
                      <w:szCs w:val="21"/>
                    </w:rPr>
                    <w:t>石油类</w:t>
                  </w:r>
                </w:p>
              </w:tc>
              <w:tc>
                <w:tcPr>
                  <w:tcW w:w="693" w:type="dxa"/>
                  <w:tcBorders>
                    <w:tl2br w:val="nil"/>
                    <w:tr2bl w:val="nil"/>
                  </w:tcBorders>
                  <w:vAlign w:val="center"/>
                </w:tcPr>
                <w:p>
                  <w:pPr>
                    <w:jc w:val="center"/>
                    <w:rPr>
                      <w:b/>
                      <w:bCs/>
                      <w:szCs w:val="21"/>
                    </w:rPr>
                  </w:pPr>
                  <w:r>
                    <w:rPr>
                      <w:b/>
                      <w:bCs/>
                      <w:szCs w:val="21"/>
                    </w:rPr>
                    <w:t>LAS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5" w:hRule="atLeast"/>
                <w:jc w:val="center"/>
              </w:trPr>
              <w:tc>
                <w:tcPr>
                  <w:tcW w:w="1526" w:type="dxa"/>
                  <w:tcBorders>
                    <w:tl2br w:val="nil"/>
                    <w:tr2bl w:val="nil"/>
                  </w:tcBorders>
                  <w:vAlign w:val="center"/>
                </w:tcPr>
                <w:p>
                  <w:pPr>
                    <w:jc w:val="center"/>
                    <w:rPr>
                      <w:szCs w:val="21"/>
                    </w:rPr>
                  </w:pPr>
                  <w:r>
                    <w:rPr>
                      <w:kern w:val="0"/>
                      <w:szCs w:val="21"/>
                    </w:rPr>
                    <w:t>GB8978-1996</w:t>
                  </w:r>
                </w:p>
                <w:p>
                  <w:pPr>
                    <w:jc w:val="center"/>
                    <w:rPr>
                      <w:szCs w:val="21"/>
                    </w:rPr>
                  </w:pPr>
                  <w:r>
                    <w:rPr>
                      <w:szCs w:val="21"/>
                    </w:rPr>
                    <w:t>三级标准</w:t>
                  </w:r>
                </w:p>
              </w:tc>
              <w:tc>
                <w:tcPr>
                  <w:tcW w:w="697" w:type="dxa"/>
                  <w:tcBorders>
                    <w:tl2br w:val="nil"/>
                    <w:tr2bl w:val="nil"/>
                  </w:tcBorders>
                  <w:vAlign w:val="center"/>
                </w:tcPr>
                <w:p>
                  <w:pPr>
                    <w:jc w:val="center"/>
                    <w:rPr>
                      <w:szCs w:val="21"/>
                    </w:rPr>
                  </w:pPr>
                  <w:r>
                    <w:rPr>
                      <w:szCs w:val="21"/>
                    </w:rPr>
                    <w:t>6-9</w:t>
                  </w:r>
                </w:p>
              </w:tc>
              <w:tc>
                <w:tcPr>
                  <w:tcW w:w="701" w:type="dxa"/>
                  <w:tcBorders>
                    <w:tl2br w:val="nil"/>
                    <w:tr2bl w:val="nil"/>
                  </w:tcBorders>
                  <w:vAlign w:val="center"/>
                </w:tcPr>
                <w:p>
                  <w:pPr>
                    <w:jc w:val="center"/>
                    <w:rPr>
                      <w:szCs w:val="21"/>
                    </w:rPr>
                  </w:pPr>
                  <w:r>
                    <w:rPr>
                      <w:szCs w:val="21"/>
                    </w:rPr>
                    <w:t>500</w:t>
                  </w:r>
                </w:p>
              </w:tc>
              <w:tc>
                <w:tcPr>
                  <w:tcW w:w="704" w:type="dxa"/>
                  <w:tcBorders>
                    <w:tl2br w:val="nil"/>
                    <w:tr2bl w:val="nil"/>
                  </w:tcBorders>
                  <w:vAlign w:val="center"/>
                </w:tcPr>
                <w:p>
                  <w:pPr>
                    <w:jc w:val="center"/>
                    <w:rPr>
                      <w:szCs w:val="21"/>
                    </w:rPr>
                  </w:pPr>
                  <w:r>
                    <w:rPr>
                      <w:szCs w:val="21"/>
                    </w:rPr>
                    <w:t>300</w:t>
                  </w:r>
                </w:p>
              </w:tc>
              <w:tc>
                <w:tcPr>
                  <w:tcW w:w="708" w:type="dxa"/>
                  <w:tcBorders>
                    <w:tl2br w:val="nil"/>
                    <w:tr2bl w:val="nil"/>
                  </w:tcBorders>
                  <w:vAlign w:val="center"/>
                </w:tcPr>
                <w:p>
                  <w:pPr>
                    <w:jc w:val="center"/>
                    <w:rPr>
                      <w:szCs w:val="21"/>
                    </w:rPr>
                  </w:pPr>
                  <w:r>
                    <w:rPr>
                      <w:szCs w:val="21"/>
                    </w:rPr>
                    <w:t>--</w:t>
                  </w:r>
                </w:p>
              </w:tc>
              <w:tc>
                <w:tcPr>
                  <w:tcW w:w="698" w:type="dxa"/>
                  <w:tcBorders>
                    <w:tl2br w:val="nil"/>
                    <w:tr2bl w:val="nil"/>
                  </w:tcBorders>
                  <w:vAlign w:val="center"/>
                </w:tcPr>
                <w:p>
                  <w:pPr>
                    <w:jc w:val="center"/>
                    <w:rPr>
                      <w:szCs w:val="21"/>
                    </w:rPr>
                  </w:pPr>
                  <w:r>
                    <w:rPr>
                      <w:szCs w:val="21"/>
                    </w:rPr>
                    <w:t>400</w:t>
                  </w:r>
                </w:p>
              </w:tc>
              <w:tc>
                <w:tcPr>
                  <w:tcW w:w="698" w:type="dxa"/>
                  <w:tcBorders>
                    <w:tl2br w:val="nil"/>
                    <w:tr2bl w:val="nil"/>
                  </w:tcBorders>
                  <w:vAlign w:val="center"/>
                </w:tcPr>
                <w:p>
                  <w:pPr>
                    <w:jc w:val="center"/>
                    <w:rPr>
                      <w:szCs w:val="21"/>
                    </w:rPr>
                  </w:pPr>
                  <w:r>
                    <w:rPr>
                      <w:szCs w:val="21"/>
                    </w:rPr>
                    <w:t>100</w:t>
                  </w:r>
                </w:p>
              </w:tc>
              <w:tc>
                <w:tcPr>
                  <w:tcW w:w="695" w:type="dxa"/>
                  <w:tcBorders>
                    <w:tl2br w:val="nil"/>
                    <w:tr2bl w:val="nil"/>
                  </w:tcBorders>
                  <w:vAlign w:val="center"/>
                </w:tcPr>
                <w:p>
                  <w:pPr>
                    <w:jc w:val="center"/>
                    <w:rPr>
                      <w:szCs w:val="21"/>
                    </w:rPr>
                  </w:pPr>
                  <w:r>
                    <w:rPr>
                      <w:szCs w:val="21"/>
                    </w:rPr>
                    <w:t>30</w:t>
                  </w:r>
                </w:p>
              </w:tc>
              <w:tc>
                <w:tcPr>
                  <w:tcW w:w="693" w:type="dxa"/>
                  <w:tcBorders>
                    <w:tl2br w:val="nil"/>
                    <w:tr2bl w:val="nil"/>
                  </w:tcBorders>
                  <w:vAlign w:val="center"/>
                </w:tcPr>
                <w:p>
                  <w:pPr>
                    <w:jc w:val="center"/>
                    <w:rPr>
                      <w:szCs w:val="21"/>
                    </w:rPr>
                  </w:pPr>
                  <w:r>
                    <w:rPr>
                      <w:szCs w:val="21"/>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5" w:hRule="atLeast"/>
                <w:jc w:val="center"/>
              </w:trPr>
              <w:tc>
                <w:tcPr>
                  <w:tcW w:w="1526" w:type="dxa"/>
                  <w:tcBorders>
                    <w:tl2br w:val="nil"/>
                    <w:tr2bl w:val="nil"/>
                  </w:tcBorders>
                  <w:vAlign w:val="center"/>
                </w:tcPr>
                <w:p>
                  <w:pPr>
                    <w:jc w:val="center"/>
                    <w:rPr>
                      <w:szCs w:val="21"/>
                    </w:rPr>
                  </w:pPr>
                  <w:r>
                    <w:rPr>
                      <w:szCs w:val="21"/>
                    </w:rPr>
                    <w:t>污水处理厂纳管标准</w:t>
                  </w:r>
                </w:p>
              </w:tc>
              <w:tc>
                <w:tcPr>
                  <w:tcW w:w="697" w:type="dxa"/>
                  <w:tcBorders>
                    <w:tl2br w:val="nil"/>
                    <w:tr2bl w:val="nil"/>
                  </w:tcBorders>
                  <w:vAlign w:val="center"/>
                </w:tcPr>
                <w:p>
                  <w:pPr>
                    <w:jc w:val="center"/>
                    <w:rPr>
                      <w:szCs w:val="21"/>
                    </w:rPr>
                  </w:pPr>
                  <w:r>
                    <w:rPr>
                      <w:szCs w:val="21"/>
                    </w:rPr>
                    <w:t>6-9</w:t>
                  </w:r>
                </w:p>
              </w:tc>
              <w:tc>
                <w:tcPr>
                  <w:tcW w:w="701" w:type="dxa"/>
                  <w:tcBorders>
                    <w:tl2br w:val="nil"/>
                    <w:tr2bl w:val="nil"/>
                  </w:tcBorders>
                  <w:vAlign w:val="center"/>
                </w:tcPr>
                <w:p>
                  <w:pPr>
                    <w:jc w:val="center"/>
                    <w:rPr>
                      <w:szCs w:val="21"/>
                    </w:rPr>
                  </w:pPr>
                  <w:r>
                    <w:rPr>
                      <w:szCs w:val="21"/>
                    </w:rPr>
                    <w:t>500</w:t>
                  </w:r>
                </w:p>
              </w:tc>
              <w:tc>
                <w:tcPr>
                  <w:tcW w:w="704" w:type="dxa"/>
                  <w:tcBorders>
                    <w:tl2br w:val="nil"/>
                    <w:tr2bl w:val="nil"/>
                  </w:tcBorders>
                  <w:vAlign w:val="center"/>
                </w:tcPr>
                <w:p>
                  <w:pPr>
                    <w:jc w:val="center"/>
                    <w:rPr>
                      <w:szCs w:val="21"/>
                    </w:rPr>
                  </w:pPr>
                  <w:r>
                    <w:rPr>
                      <w:szCs w:val="21"/>
                    </w:rPr>
                    <w:t>300</w:t>
                  </w:r>
                </w:p>
              </w:tc>
              <w:tc>
                <w:tcPr>
                  <w:tcW w:w="708" w:type="dxa"/>
                  <w:tcBorders>
                    <w:tl2br w:val="nil"/>
                    <w:tr2bl w:val="nil"/>
                  </w:tcBorders>
                  <w:vAlign w:val="center"/>
                </w:tcPr>
                <w:p>
                  <w:pPr>
                    <w:jc w:val="center"/>
                    <w:rPr>
                      <w:szCs w:val="21"/>
                    </w:rPr>
                  </w:pPr>
                  <w:r>
                    <w:rPr>
                      <w:szCs w:val="21"/>
                    </w:rPr>
                    <w:t>45</w:t>
                  </w:r>
                </w:p>
              </w:tc>
              <w:tc>
                <w:tcPr>
                  <w:tcW w:w="698" w:type="dxa"/>
                  <w:tcBorders>
                    <w:tl2br w:val="nil"/>
                    <w:tr2bl w:val="nil"/>
                  </w:tcBorders>
                  <w:vAlign w:val="center"/>
                </w:tcPr>
                <w:p>
                  <w:pPr>
                    <w:jc w:val="center"/>
                    <w:rPr>
                      <w:szCs w:val="21"/>
                    </w:rPr>
                  </w:pPr>
                  <w:r>
                    <w:rPr>
                      <w:szCs w:val="21"/>
                    </w:rPr>
                    <w:t>400</w:t>
                  </w:r>
                </w:p>
              </w:tc>
              <w:tc>
                <w:tcPr>
                  <w:tcW w:w="698" w:type="dxa"/>
                  <w:tcBorders>
                    <w:tl2br w:val="nil"/>
                    <w:tr2bl w:val="nil"/>
                  </w:tcBorders>
                  <w:vAlign w:val="center"/>
                </w:tcPr>
                <w:p>
                  <w:pPr>
                    <w:jc w:val="center"/>
                    <w:rPr>
                      <w:szCs w:val="21"/>
                    </w:rPr>
                  </w:pPr>
                  <w:r>
                    <w:rPr>
                      <w:szCs w:val="21"/>
                    </w:rPr>
                    <w:t>100</w:t>
                  </w:r>
                </w:p>
              </w:tc>
              <w:tc>
                <w:tcPr>
                  <w:tcW w:w="695" w:type="dxa"/>
                  <w:tcBorders>
                    <w:tl2br w:val="nil"/>
                    <w:tr2bl w:val="nil"/>
                  </w:tcBorders>
                  <w:vAlign w:val="center"/>
                </w:tcPr>
                <w:p>
                  <w:pPr>
                    <w:jc w:val="center"/>
                    <w:rPr>
                      <w:szCs w:val="21"/>
                    </w:rPr>
                  </w:pPr>
                  <w:r>
                    <w:rPr>
                      <w:szCs w:val="21"/>
                    </w:rPr>
                    <w:t>15</w:t>
                  </w:r>
                </w:p>
              </w:tc>
              <w:tc>
                <w:tcPr>
                  <w:tcW w:w="693" w:type="dxa"/>
                  <w:tcBorders>
                    <w:tl2br w:val="nil"/>
                    <w:tr2bl w:val="nil"/>
                  </w:tcBorders>
                  <w:vAlign w:val="center"/>
                </w:tcPr>
                <w:p>
                  <w:pPr>
                    <w:jc w:val="center"/>
                    <w:rPr>
                      <w:szCs w:val="21"/>
                    </w:rPr>
                  </w:pPr>
                  <w:r>
                    <w:rPr>
                      <w:szCs w:val="21"/>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5" w:hRule="atLeast"/>
                <w:jc w:val="center"/>
              </w:trPr>
              <w:tc>
                <w:tcPr>
                  <w:tcW w:w="1526" w:type="dxa"/>
                  <w:tcBorders>
                    <w:tl2br w:val="nil"/>
                    <w:tr2bl w:val="nil"/>
                  </w:tcBorders>
                  <w:vAlign w:val="center"/>
                </w:tcPr>
                <w:p>
                  <w:pPr>
                    <w:jc w:val="center"/>
                    <w:rPr>
                      <w:szCs w:val="21"/>
                    </w:rPr>
                  </w:pPr>
                  <w:r>
                    <w:rPr>
                      <w:kern w:val="0"/>
                      <w:szCs w:val="21"/>
                    </w:rPr>
                    <w:t>GB26877-2011表2间接排放</w:t>
                  </w:r>
                </w:p>
              </w:tc>
              <w:tc>
                <w:tcPr>
                  <w:tcW w:w="697" w:type="dxa"/>
                  <w:tcBorders>
                    <w:tl2br w:val="nil"/>
                    <w:tr2bl w:val="nil"/>
                  </w:tcBorders>
                  <w:vAlign w:val="center"/>
                </w:tcPr>
                <w:p>
                  <w:pPr>
                    <w:jc w:val="center"/>
                    <w:rPr>
                      <w:szCs w:val="21"/>
                    </w:rPr>
                  </w:pPr>
                  <w:r>
                    <w:rPr>
                      <w:szCs w:val="21"/>
                    </w:rPr>
                    <w:t>6~9</w:t>
                  </w:r>
                </w:p>
              </w:tc>
              <w:tc>
                <w:tcPr>
                  <w:tcW w:w="701" w:type="dxa"/>
                  <w:tcBorders>
                    <w:tl2br w:val="nil"/>
                    <w:tr2bl w:val="nil"/>
                  </w:tcBorders>
                  <w:vAlign w:val="center"/>
                </w:tcPr>
                <w:p>
                  <w:pPr>
                    <w:jc w:val="center"/>
                    <w:rPr>
                      <w:szCs w:val="21"/>
                    </w:rPr>
                  </w:pPr>
                  <w:r>
                    <w:rPr>
                      <w:szCs w:val="21"/>
                    </w:rPr>
                    <w:t>300</w:t>
                  </w:r>
                </w:p>
              </w:tc>
              <w:tc>
                <w:tcPr>
                  <w:tcW w:w="704" w:type="dxa"/>
                  <w:tcBorders>
                    <w:tl2br w:val="nil"/>
                    <w:tr2bl w:val="nil"/>
                  </w:tcBorders>
                  <w:vAlign w:val="center"/>
                </w:tcPr>
                <w:p>
                  <w:pPr>
                    <w:jc w:val="center"/>
                    <w:rPr>
                      <w:szCs w:val="21"/>
                    </w:rPr>
                  </w:pPr>
                  <w:r>
                    <w:rPr>
                      <w:szCs w:val="21"/>
                    </w:rPr>
                    <w:t>150</w:t>
                  </w:r>
                </w:p>
              </w:tc>
              <w:tc>
                <w:tcPr>
                  <w:tcW w:w="708" w:type="dxa"/>
                  <w:tcBorders>
                    <w:tl2br w:val="nil"/>
                    <w:tr2bl w:val="nil"/>
                  </w:tcBorders>
                  <w:vAlign w:val="center"/>
                </w:tcPr>
                <w:p>
                  <w:pPr>
                    <w:jc w:val="center"/>
                    <w:rPr>
                      <w:szCs w:val="21"/>
                    </w:rPr>
                  </w:pPr>
                  <w:r>
                    <w:rPr>
                      <w:szCs w:val="21"/>
                    </w:rPr>
                    <w:t>25</w:t>
                  </w:r>
                </w:p>
              </w:tc>
              <w:tc>
                <w:tcPr>
                  <w:tcW w:w="698" w:type="dxa"/>
                  <w:tcBorders>
                    <w:tl2br w:val="nil"/>
                    <w:tr2bl w:val="nil"/>
                  </w:tcBorders>
                  <w:vAlign w:val="center"/>
                </w:tcPr>
                <w:p>
                  <w:pPr>
                    <w:jc w:val="center"/>
                    <w:rPr>
                      <w:szCs w:val="21"/>
                    </w:rPr>
                  </w:pPr>
                  <w:r>
                    <w:rPr>
                      <w:szCs w:val="21"/>
                    </w:rPr>
                    <w:t>100</w:t>
                  </w:r>
                </w:p>
              </w:tc>
              <w:tc>
                <w:tcPr>
                  <w:tcW w:w="698" w:type="dxa"/>
                  <w:tcBorders>
                    <w:tl2br w:val="nil"/>
                    <w:tr2bl w:val="nil"/>
                  </w:tcBorders>
                  <w:vAlign w:val="center"/>
                </w:tcPr>
                <w:p>
                  <w:pPr>
                    <w:jc w:val="center"/>
                    <w:rPr>
                      <w:szCs w:val="21"/>
                    </w:rPr>
                  </w:pPr>
                  <w:r>
                    <w:rPr>
                      <w:szCs w:val="21"/>
                    </w:rPr>
                    <w:t>/</w:t>
                  </w:r>
                </w:p>
              </w:tc>
              <w:tc>
                <w:tcPr>
                  <w:tcW w:w="695" w:type="dxa"/>
                  <w:tcBorders>
                    <w:tl2br w:val="nil"/>
                    <w:tr2bl w:val="nil"/>
                  </w:tcBorders>
                  <w:vAlign w:val="center"/>
                </w:tcPr>
                <w:p>
                  <w:pPr>
                    <w:jc w:val="center"/>
                    <w:rPr>
                      <w:szCs w:val="21"/>
                    </w:rPr>
                  </w:pPr>
                  <w:r>
                    <w:rPr>
                      <w:szCs w:val="21"/>
                    </w:rPr>
                    <w:t>10</w:t>
                  </w:r>
                </w:p>
              </w:tc>
              <w:tc>
                <w:tcPr>
                  <w:tcW w:w="693" w:type="dxa"/>
                  <w:tcBorders>
                    <w:tl2br w:val="nil"/>
                    <w:tr2bl w:val="nil"/>
                  </w:tcBorders>
                  <w:vAlign w:val="center"/>
                </w:tcPr>
                <w:p>
                  <w:pPr>
                    <w:jc w:val="center"/>
                    <w:rPr>
                      <w:szCs w:val="21"/>
                    </w:rPr>
                  </w:pPr>
                  <w:r>
                    <w:rPr>
                      <w:szCs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5" w:hRule="atLeast"/>
                <w:jc w:val="center"/>
              </w:trPr>
              <w:tc>
                <w:tcPr>
                  <w:tcW w:w="1526" w:type="dxa"/>
                  <w:tcBorders>
                    <w:tl2br w:val="nil"/>
                    <w:tr2bl w:val="nil"/>
                  </w:tcBorders>
                  <w:vAlign w:val="center"/>
                </w:tcPr>
                <w:p>
                  <w:pPr>
                    <w:jc w:val="center"/>
                    <w:rPr>
                      <w:szCs w:val="21"/>
                    </w:rPr>
                  </w:pPr>
                  <w:r>
                    <w:rPr>
                      <w:kern w:val="0"/>
                      <w:szCs w:val="21"/>
                    </w:rPr>
                    <w:t>DB43/1356-2017其他区域</w:t>
                  </w:r>
                </w:p>
              </w:tc>
              <w:tc>
                <w:tcPr>
                  <w:tcW w:w="697" w:type="dxa"/>
                  <w:tcBorders>
                    <w:tl2br w:val="nil"/>
                    <w:tr2bl w:val="nil"/>
                  </w:tcBorders>
                  <w:vAlign w:val="center"/>
                </w:tcPr>
                <w:p>
                  <w:pPr>
                    <w:jc w:val="center"/>
                    <w:rPr>
                      <w:szCs w:val="21"/>
                    </w:rPr>
                  </w:pPr>
                  <w:r>
                    <w:rPr>
                      <w:szCs w:val="21"/>
                    </w:rPr>
                    <w:t>/</w:t>
                  </w:r>
                </w:p>
              </w:tc>
              <w:tc>
                <w:tcPr>
                  <w:tcW w:w="701" w:type="dxa"/>
                  <w:tcBorders>
                    <w:tl2br w:val="nil"/>
                    <w:tr2bl w:val="nil"/>
                  </w:tcBorders>
                  <w:vAlign w:val="center"/>
                </w:tcPr>
                <w:p>
                  <w:pPr>
                    <w:jc w:val="center"/>
                    <w:rPr>
                      <w:szCs w:val="21"/>
                    </w:rPr>
                  </w:pPr>
                  <w:r>
                    <w:rPr>
                      <w:szCs w:val="21"/>
                    </w:rPr>
                    <w:t>/</w:t>
                  </w:r>
                </w:p>
              </w:tc>
              <w:tc>
                <w:tcPr>
                  <w:tcW w:w="704" w:type="dxa"/>
                  <w:tcBorders>
                    <w:tl2br w:val="nil"/>
                    <w:tr2bl w:val="nil"/>
                  </w:tcBorders>
                  <w:vAlign w:val="center"/>
                </w:tcPr>
                <w:p>
                  <w:pPr>
                    <w:jc w:val="center"/>
                    <w:rPr>
                      <w:szCs w:val="21"/>
                    </w:rPr>
                  </w:pPr>
                </w:p>
              </w:tc>
              <w:tc>
                <w:tcPr>
                  <w:tcW w:w="708" w:type="dxa"/>
                  <w:tcBorders>
                    <w:tl2br w:val="nil"/>
                    <w:tr2bl w:val="nil"/>
                  </w:tcBorders>
                  <w:vAlign w:val="center"/>
                </w:tcPr>
                <w:p>
                  <w:pPr>
                    <w:jc w:val="center"/>
                    <w:rPr>
                      <w:szCs w:val="21"/>
                    </w:rPr>
                  </w:pPr>
                  <w:r>
                    <w:rPr>
                      <w:szCs w:val="21"/>
                    </w:rPr>
                    <w:t>/</w:t>
                  </w:r>
                </w:p>
              </w:tc>
              <w:tc>
                <w:tcPr>
                  <w:tcW w:w="698" w:type="dxa"/>
                  <w:tcBorders>
                    <w:tl2br w:val="nil"/>
                    <w:tr2bl w:val="nil"/>
                  </w:tcBorders>
                  <w:vAlign w:val="center"/>
                </w:tcPr>
                <w:p>
                  <w:pPr>
                    <w:jc w:val="center"/>
                    <w:rPr>
                      <w:szCs w:val="21"/>
                    </w:rPr>
                  </w:pPr>
                  <w:r>
                    <w:rPr>
                      <w:szCs w:val="21"/>
                    </w:rPr>
                    <w:t>/</w:t>
                  </w:r>
                </w:p>
              </w:tc>
              <w:tc>
                <w:tcPr>
                  <w:tcW w:w="698" w:type="dxa"/>
                  <w:tcBorders>
                    <w:tl2br w:val="nil"/>
                    <w:tr2bl w:val="nil"/>
                  </w:tcBorders>
                  <w:vAlign w:val="center"/>
                </w:tcPr>
                <w:p>
                  <w:pPr>
                    <w:jc w:val="center"/>
                    <w:rPr>
                      <w:szCs w:val="21"/>
                    </w:rPr>
                  </w:pPr>
                  <w:r>
                    <w:rPr>
                      <w:szCs w:val="21"/>
                    </w:rPr>
                    <w:t>/</w:t>
                  </w:r>
                </w:p>
              </w:tc>
              <w:tc>
                <w:tcPr>
                  <w:tcW w:w="695" w:type="dxa"/>
                  <w:tcBorders>
                    <w:tl2br w:val="nil"/>
                    <w:tr2bl w:val="nil"/>
                  </w:tcBorders>
                  <w:vAlign w:val="center"/>
                </w:tcPr>
                <w:p>
                  <w:pPr>
                    <w:jc w:val="center"/>
                    <w:rPr>
                      <w:szCs w:val="21"/>
                    </w:rPr>
                  </w:pPr>
                  <w:r>
                    <w:rPr>
                      <w:szCs w:val="21"/>
                    </w:rPr>
                    <w:t>/</w:t>
                  </w:r>
                </w:p>
              </w:tc>
              <w:tc>
                <w:tcPr>
                  <w:tcW w:w="693" w:type="dxa"/>
                  <w:tcBorders>
                    <w:tl2br w:val="nil"/>
                    <w:tr2bl w:val="nil"/>
                  </w:tcBorders>
                  <w:vAlign w:val="center"/>
                </w:tcPr>
                <w:p>
                  <w:pPr>
                    <w:jc w:val="center"/>
                    <w:rPr>
                      <w:szCs w:val="21"/>
                    </w:rPr>
                  </w:pPr>
                  <w:r>
                    <w:rPr>
                      <w:szCs w:val="21"/>
                    </w:rPr>
                    <w:t>/</w:t>
                  </w:r>
                </w:p>
              </w:tc>
            </w:tr>
          </w:tbl>
          <w:p>
            <w:pPr>
              <w:numPr>
                <w:ilvl w:val="0"/>
                <w:numId w:val="0"/>
              </w:numPr>
              <w:spacing w:line="360" w:lineRule="auto"/>
              <w:ind w:firstLine="241" w:firstLineChars="100"/>
              <w:jc w:val="left"/>
              <w:rPr>
                <w:kern w:val="0"/>
                <w:sz w:val="24"/>
              </w:rPr>
            </w:pPr>
            <w:r>
              <w:rPr>
                <w:rFonts w:hint="eastAsia"/>
                <w:b/>
                <w:bCs/>
                <w:sz w:val="24"/>
                <w:lang w:val="en-US" w:eastAsia="zh-CN"/>
              </w:rPr>
              <w:t>3、</w:t>
            </w:r>
            <w:r>
              <w:rPr>
                <w:b/>
                <w:bCs/>
                <w:sz w:val="24"/>
              </w:rPr>
              <w:t>噪声：</w:t>
            </w:r>
            <w:r>
              <w:rPr>
                <w:kern w:val="0"/>
                <w:sz w:val="24"/>
              </w:rPr>
              <w:t>北、西及南侧噪声执行《工业企业厂界环境噪声排放标准》（GB12348-2008）中的2类标准、东侧临近联港路一次执行4类标准</w:t>
            </w:r>
            <w:r>
              <w:rPr>
                <w:rFonts w:hint="eastAsia"/>
                <w:kern w:val="0"/>
                <w:sz w:val="24"/>
              </w:rPr>
              <w:t>，具体标准限值详见下表</w:t>
            </w:r>
            <w:r>
              <w:rPr>
                <w:kern w:val="0"/>
                <w:sz w:val="24"/>
              </w:rPr>
              <w:t>。</w:t>
            </w:r>
          </w:p>
          <w:p>
            <w:pPr>
              <w:pStyle w:val="2"/>
              <w:spacing w:after="0"/>
              <w:jc w:val="center"/>
            </w:pPr>
            <w:r>
              <w:rPr>
                <w:rStyle w:val="25"/>
                <w:rFonts w:hint="eastAsia"/>
              </w:rPr>
              <w:t>表4-14 噪声排放标准</w:t>
            </w:r>
          </w:p>
          <w:tbl>
            <w:tblPr>
              <w:tblStyle w:val="21"/>
              <w:tblW w:w="8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2710"/>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restart"/>
                  <w:vAlign w:val="center"/>
                </w:tcPr>
                <w:p>
                  <w:pPr>
                    <w:jc w:val="center"/>
                    <w:rPr>
                      <w:b/>
                      <w:bCs/>
                      <w:kern w:val="0"/>
                      <w:szCs w:val="21"/>
                    </w:rPr>
                  </w:pPr>
                  <w:r>
                    <w:rPr>
                      <w:rFonts w:hint="eastAsia"/>
                      <w:b/>
                      <w:bCs/>
                      <w:kern w:val="0"/>
                      <w:szCs w:val="21"/>
                    </w:rPr>
                    <w:t>厂界外声环境功能区类别</w:t>
                  </w:r>
                </w:p>
              </w:tc>
              <w:tc>
                <w:tcPr>
                  <w:tcW w:w="5421" w:type="dxa"/>
                  <w:gridSpan w:val="2"/>
                  <w:vAlign w:val="center"/>
                </w:tcPr>
                <w:p>
                  <w:pPr>
                    <w:jc w:val="center"/>
                    <w:rPr>
                      <w:b/>
                      <w:bCs/>
                      <w:kern w:val="0"/>
                      <w:szCs w:val="21"/>
                    </w:rPr>
                  </w:pPr>
                  <w:r>
                    <w:rPr>
                      <w:rFonts w:hint="eastAsia"/>
                      <w:b/>
                      <w:bCs/>
                      <w:kern w:val="0"/>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Merge w:val="continue"/>
                  <w:vAlign w:val="center"/>
                </w:tcPr>
                <w:p>
                  <w:pPr>
                    <w:jc w:val="center"/>
                    <w:rPr>
                      <w:b/>
                      <w:bCs/>
                      <w:kern w:val="0"/>
                      <w:szCs w:val="21"/>
                    </w:rPr>
                  </w:pPr>
                </w:p>
              </w:tc>
              <w:tc>
                <w:tcPr>
                  <w:tcW w:w="2710" w:type="dxa"/>
                  <w:vAlign w:val="center"/>
                </w:tcPr>
                <w:p>
                  <w:pPr>
                    <w:jc w:val="center"/>
                    <w:rPr>
                      <w:b/>
                      <w:bCs/>
                      <w:kern w:val="0"/>
                      <w:szCs w:val="21"/>
                    </w:rPr>
                  </w:pPr>
                  <w:r>
                    <w:rPr>
                      <w:rFonts w:hint="eastAsia"/>
                      <w:b/>
                      <w:bCs/>
                      <w:kern w:val="0"/>
                      <w:szCs w:val="21"/>
                    </w:rPr>
                    <w:t>昼间</w:t>
                  </w:r>
                </w:p>
              </w:tc>
              <w:tc>
                <w:tcPr>
                  <w:tcW w:w="2711" w:type="dxa"/>
                  <w:vAlign w:val="center"/>
                </w:tcPr>
                <w:p>
                  <w:pPr>
                    <w:jc w:val="center"/>
                    <w:rPr>
                      <w:b/>
                      <w:bCs/>
                      <w:kern w:val="0"/>
                      <w:szCs w:val="21"/>
                    </w:rPr>
                  </w:pPr>
                  <w:r>
                    <w:rPr>
                      <w:rFonts w:hint="eastAsia"/>
                      <w:b/>
                      <w:bCs/>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Align w:val="center"/>
                </w:tcPr>
                <w:p>
                  <w:pPr>
                    <w:jc w:val="center"/>
                    <w:rPr>
                      <w:kern w:val="0"/>
                      <w:szCs w:val="21"/>
                    </w:rPr>
                  </w:pPr>
                  <w:r>
                    <w:rPr>
                      <w:rFonts w:hint="eastAsia"/>
                      <w:kern w:val="0"/>
                      <w:szCs w:val="21"/>
                    </w:rPr>
                    <w:t>2</w:t>
                  </w:r>
                </w:p>
              </w:tc>
              <w:tc>
                <w:tcPr>
                  <w:tcW w:w="2710" w:type="dxa"/>
                  <w:vAlign w:val="center"/>
                </w:tcPr>
                <w:p>
                  <w:pPr>
                    <w:jc w:val="center"/>
                    <w:rPr>
                      <w:kern w:val="0"/>
                      <w:szCs w:val="21"/>
                    </w:rPr>
                  </w:pPr>
                  <w:r>
                    <w:rPr>
                      <w:rFonts w:hint="eastAsia"/>
                      <w:kern w:val="0"/>
                      <w:szCs w:val="21"/>
                    </w:rPr>
                    <w:t>60</w:t>
                  </w:r>
                </w:p>
              </w:tc>
              <w:tc>
                <w:tcPr>
                  <w:tcW w:w="2711" w:type="dxa"/>
                  <w:vAlign w:val="center"/>
                </w:tcPr>
                <w:p>
                  <w:pPr>
                    <w:jc w:val="center"/>
                    <w:rPr>
                      <w:kern w:val="0"/>
                      <w:szCs w:val="21"/>
                    </w:rPr>
                  </w:pPr>
                  <w:r>
                    <w:rPr>
                      <w:rFonts w:hint="eastAsia"/>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vAlign w:val="center"/>
                </w:tcPr>
                <w:p>
                  <w:pPr>
                    <w:jc w:val="center"/>
                    <w:rPr>
                      <w:kern w:val="0"/>
                      <w:szCs w:val="21"/>
                    </w:rPr>
                  </w:pPr>
                  <w:r>
                    <w:rPr>
                      <w:rFonts w:hint="eastAsia"/>
                      <w:kern w:val="0"/>
                      <w:szCs w:val="21"/>
                    </w:rPr>
                    <w:t>4</w:t>
                  </w:r>
                </w:p>
              </w:tc>
              <w:tc>
                <w:tcPr>
                  <w:tcW w:w="2710" w:type="dxa"/>
                  <w:vAlign w:val="center"/>
                </w:tcPr>
                <w:p>
                  <w:pPr>
                    <w:jc w:val="center"/>
                    <w:rPr>
                      <w:kern w:val="0"/>
                      <w:szCs w:val="21"/>
                    </w:rPr>
                  </w:pPr>
                  <w:r>
                    <w:rPr>
                      <w:rFonts w:hint="eastAsia"/>
                      <w:kern w:val="0"/>
                      <w:szCs w:val="21"/>
                    </w:rPr>
                    <w:t>70</w:t>
                  </w:r>
                </w:p>
              </w:tc>
              <w:tc>
                <w:tcPr>
                  <w:tcW w:w="2711" w:type="dxa"/>
                  <w:vAlign w:val="center"/>
                </w:tcPr>
                <w:p>
                  <w:pPr>
                    <w:jc w:val="center"/>
                    <w:rPr>
                      <w:kern w:val="0"/>
                      <w:szCs w:val="21"/>
                    </w:rPr>
                  </w:pPr>
                  <w:r>
                    <w:rPr>
                      <w:rFonts w:hint="eastAsia"/>
                      <w:kern w:val="0"/>
                      <w:szCs w:val="21"/>
                    </w:rPr>
                    <w:t>55</w:t>
                  </w:r>
                </w:p>
              </w:tc>
            </w:tr>
          </w:tbl>
          <w:p>
            <w:pPr>
              <w:spacing w:line="360" w:lineRule="auto"/>
              <w:ind w:firstLine="482" w:firstLineChars="200"/>
              <w:jc w:val="left"/>
              <w:rPr>
                <w:sz w:val="24"/>
              </w:rPr>
            </w:pPr>
            <w:r>
              <w:rPr>
                <w:b/>
                <w:bCs/>
                <w:kern w:val="0"/>
                <w:sz w:val="24"/>
              </w:rPr>
              <w:t>4、固体废物：</w:t>
            </w:r>
            <w:r>
              <w:rPr>
                <w:kern w:val="0"/>
                <w:sz w:val="24"/>
              </w:rPr>
              <w:t>一般固体废物执行《一般工业固体废物贮存、处置场污染控制标准》（GB18599-2001）及2013年修改中的固体废物控制要求；</w:t>
            </w:r>
            <w:r>
              <w:rPr>
                <w:bCs/>
                <w:sz w:val="24"/>
              </w:rPr>
              <w:t>危险固废执行《危险废物贮存污染控制标准》（GB18597-2001）</w:t>
            </w:r>
            <w:r>
              <w:rPr>
                <w:kern w:val="0"/>
                <w:sz w:val="24"/>
              </w:rPr>
              <w:t>及2013年修改中的固体废物控制要求；生活垃圾执行《生活垃圾填埋污染控制标准》(GB16889-2008)。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0" w:type="dxa"/>
            <w:tcBorders>
              <w:tl2br w:val="nil"/>
              <w:tr2bl w:val="nil"/>
            </w:tcBorders>
            <w:vAlign w:val="center"/>
          </w:tcPr>
          <w:p>
            <w:pPr>
              <w:pStyle w:val="41"/>
              <w:rPr>
                <w:rFonts w:ascii="Times New Roman" w:hAnsi="Times New Roman"/>
                <w:sz w:val="24"/>
              </w:rPr>
            </w:pPr>
            <w:r>
              <w:rPr>
                <w:rFonts w:ascii="Times New Roman" w:hAnsi="Times New Roman"/>
                <w:kern w:val="0"/>
                <w:sz w:val="24"/>
              </w:rPr>
              <w:t>总量控制指标</w:t>
            </w:r>
          </w:p>
        </w:tc>
        <w:tc>
          <w:tcPr>
            <w:tcW w:w="8347" w:type="dxa"/>
            <w:tcBorders>
              <w:tl2br w:val="nil"/>
              <w:tr2bl w:val="nil"/>
            </w:tcBorders>
          </w:tcPr>
          <w:p>
            <w:pPr>
              <w:pStyle w:val="41"/>
              <w:adjustRightInd/>
              <w:snapToGrid/>
              <w:spacing w:line="360" w:lineRule="auto"/>
              <w:ind w:firstLine="480" w:firstLineChars="200"/>
              <w:jc w:val="left"/>
              <w:rPr>
                <w:rFonts w:ascii="Times New Roman" w:hAnsi="Times New Roman"/>
                <w:kern w:val="0"/>
                <w:sz w:val="24"/>
              </w:rPr>
            </w:pPr>
            <w:r>
              <w:rPr>
                <w:rFonts w:ascii="Times New Roman" w:hAnsi="Times New Roman"/>
                <w:kern w:val="0"/>
                <w:sz w:val="24"/>
              </w:rPr>
              <w:t>项目废水经预处理后最终进入城陵矶新港区污水处理厂处理达标后经象骨港汇入长江。根据《环境影响评价技术导则 地表水环境》（HJ 2.3-2018）中“8.3.2  间接排放建设项目污染源排放量核算根据依托污水处理设施的控制要求核算确定”</w:t>
            </w:r>
            <w:r>
              <w:rPr>
                <w:rFonts w:ascii="Times New Roman" w:hAnsi="Times New Roman"/>
                <w:kern w:val="0"/>
                <w:sz w:val="24"/>
                <w:szCs w:val="22"/>
              </w:rPr>
              <w:t>，因此本项目废水经污水处理厂深度处理后最终排入外环境的COD约为</w:t>
            </w:r>
            <w:r>
              <w:rPr>
                <w:rFonts w:hint="eastAsia" w:ascii="Times New Roman" w:hAnsi="Times New Roman"/>
                <w:kern w:val="0"/>
                <w:sz w:val="24"/>
                <w:szCs w:val="22"/>
              </w:rPr>
              <w:t>0.156</w:t>
            </w:r>
            <w:r>
              <w:rPr>
                <w:rFonts w:ascii="Times New Roman" w:hAnsi="Times New Roman"/>
                <w:kern w:val="0"/>
                <w:sz w:val="24"/>
                <w:szCs w:val="22"/>
              </w:rPr>
              <w:t>t/a（50mg/L）、氨氮约为</w:t>
            </w:r>
            <w:r>
              <w:rPr>
                <w:rFonts w:hint="eastAsia" w:ascii="Times New Roman" w:hAnsi="Times New Roman"/>
                <w:kern w:val="0"/>
                <w:sz w:val="24"/>
                <w:szCs w:val="22"/>
              </w:rPr>
              <w:t>0.016</w:t>
            </w:r>
            <w:r>
              <w:rPr>
                <w:rFonts w:ascii="Times New Roman" w:hAnsi="Times New Roman"/>
                <w:kern w:val="0"/>
                <w:sz w:val="24"/>
                <w:szCs w:val="22"/>
              </w:rPr>
              <w:t>t/a（5mg/L）、</w:t>
            </w:r>
            <w:r>
              <w:rPr>
                <w:rFonts w:ascii="Times New Roman" w:hAnsi="Times New Roman"/>
                <w:kern w:val="0"/>
                <w:sz w:val="24"/>
              </w:rPr>
              <w:t>VOCs控制性建议指标为0.</w:t>
            </w:r>
            <w:r>
              <w:rPr>
                <w:rFonts w:hint="eastAsia" w:ascii="Times New Roman" w:hAnsi="Times New Roman"/>
                <w:kern w:val="0"/>
                <w:sz w:val="24"/>
              </w:rPr>
              <w:t>012</w:t>
            </w:r>
            <w:r>
              <w:rPr>
                <w:rFonts w:ascii="Times New Roman" w:hAnsi="Times New Roman"/>
                <w:kern w:val="0"/>
                <w:sz w:val="24"/>
              </w:rPr>
              <w:t>t/a。</w:t>
            </w:r>
          </w:p>
          <w:p>
            <w:pPr>
              <w:pStyle w:val="41"/>
              <w:adjustRightInd/>
              <w:snapToGrid/>
              <w:spacing w:line="360" w:lineRule="auto"/>
              <w:ind w:firstLine="480" w:firstLineChars="200"/>
              <w:jc w:val="left"/>
              <w:rPr>
                <w:rFonts w:ascii="Times New Roman" w:hAnsi="Times New Roman"/>
                <w:kern w:val="0"/>
                <w:sz w:val="24"/>
              </w:rPr>
            </w:pPr>
          </w:p>
          <w:p>
            <w:pPr>
              <w:pStyle w:val="41"/>
              <w:adjustRightInd/>
              <w:snapToGrid/>
              <w:spacing w:line="360" w:lineRule="auto"/>
              <w:jc w:val="left"/>
              <w:rPr>
                <w:rFonts w:ascii="Times New Roman" w:hAnsi="Times New Roman"/>
                <w:kern w:val="0"/>
                <w:sz w:val="24"/>
              </w:rPr>
            </w:pPr>
          </w:p>
        </w:tc>
      </w:tr>
    </w:tbl>
    <w:p>
      <w:r>
        <w:br w:type="page"/>
      </w:r>
    </w:p>
    <w:p>
      <w:pPr>
        <w:keepNext w:val="0"/>
        <w:keepLines w:val="0"/>
        <w:pageBreakBefore w:val="0"/>
        <w:widowControl w:val="0"/>
        <w:numPr>
          <w:ilvl w:val="0"/>
          <w:numId w:val="0"/>
        </w:numPr>
        <w:kinsoku/>
        <w:wordWrap w:val="0"/>
        <w:overflowPunct/>
        <w:topLinePunct w:val="0"/>
        <w:autoSpaceDE/>
        <w:autoSpaceDN/>
        <w:bidi w:val="0"/>
        <w:adjustRightInd/>
        <w:snapToGrid/>
        <w:ind w:leftChars="0"/>
        <w:textAlignment w:val="auto"/>
        <w:outlineLvl w:val="0"/>
      </w:pPr>
      <w:bookmarkStart w:id="69" w:name="_Toc3834"/>
      <w:r>
        <w:rPr>
          <w:rFonts w:hint="eastAsia"/>
          <w:b/>
          <w:sz w:val="32"/>
          <w:szCs w:val="32"/>
          <w:lang w:val="en-US" w:eastAsia="zh-CN"/>
        </w:rPr>
        <w:t>五、</w:t>
      </w:r>
      <w:r>
        <w:rPr>
          <w:b/>
          <w:sz w:val="32"/>
          <w:szCs w:val="32"/>
        </w:rPr>
        <w:t>建设项目工程</w:t>
      </w:r>
      <w:r>
        <w:rPr>
          <w:rFonts w:hint="eastAsia"/>
          <w:b/>
          <w:sz w:val="32"/>
          <w:szCs w:val="32"/>
          <w:lang w:val="en-US" w:eastAsia="zh-CN"/>
        </w:rPr>
        <w:t>分析</w:t>
      </w:r>
      <w:bookmarkEnd w:id="69"/>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522" w:type="dxa"/>
            <w:tcBorders>
              <w:tl2br w:val="nil"/>
              <w:tr2bl w:val="nil"/>
            </w:tcBorders>
          </w:tcPr>
          <w:p>
            <w:pPr>
              <w:keepNext w:val="0"/>
              <w:keepLines w:val="0"/>
              <w:pageBreakBefore w:val="0"/>
              <w:widowControl w:val="0"/>
              <w:numPr>
                <w:ilvl w:val="0"/>
                <w:numId w:val="0"/>
              </w:numPr>
              <w:kinsoku/>
              <w:wordWrap w:val="0"/>
              <w:overflowPunct/>
              <w:topLinePunct w:val="0"/>
              <w:autoSpaceDE/>
              <w:autoSpaceDN/>
              <w:bidi w:val="0"/>
              <w:adjustRightInd/>
              <w:snapToGrid/>
              <w:ind w:leftChars="0"/>
              <w:textAlignment w:val="auto"/>
              <w:outlineLvl w:val="0"/>
              <w:rPr>
                <w:b/>
                <w:sz w:val="24"/>
                <w:szCs w:val="22"/>
              </w:rPr>
            </w:pPr>
            <w:bookmarkStart w:id="70" w:name="_Toc18592"/>
            <w:r>
              <w:rPr>
                <w:b/>
                <w:sz w:val="24"/>
                <w:szCs w:val="22"/>
              </w:rPr>
              <w:t>一、项目施工期工艺流程</w:t>
            </w:r>
            <w:bookmarkEnd w:id="70"/>
          </w:p>
          <w:p>
            <w:pPr>
              <w:spacing w:line="360" w:lineRule="auto"/>
              <w:ind w:firstLine="480" w:firstLineChars="200"/>
              <w:jc w:val="left"/>
              <w:rPr>
                <w:sz w:val="24"/>
                <w:szCs w:val="22"/>
              </w:rPr>
            </w:pPr>
            <w:r>
              <w:rPr>
                <w:sz w:val="24"/>
                <w:szCs w:val="22"/>
              </w:rPr>
              <w:t>本项目属于</w:t>
            </w:r>
            <w:r>
              <w:rPr>
                <w:rFonts w:hint="eastAsia"/>
                <w:sz w:val="24"/>
                <w:szCs w:val="22"/>
              </w:rPr>
              <w:t>补办环评</w:t>
            </w:r>
            <w:r>
              <w:rPr>
                <w:sz w:val="24"/>
                <w:szCs w:val="22"/>
              </w:rPr>
              <w:t>项目，所用厂房为租赁已建厂房（租赁协议见附件三），已完成相关土建工程</w:t>
            </w:r>
            <w:r>
              <w:rPr>
                <w:bCs/>
                <w:sz w:val="24"/>
              </w:rPr>
              <w:t>，不存在土建和结构施工过程，本次评价不对施工期开展分析。</w:t>
            </w:r>
          </w:p>
          <w:p>
            <w:pPr>
              <w:spacing w:line="520" w:lineRule="exact"/>
              <w:rPr>
                <w:b/>
                <w:sz w:val="24"/>
              </w:rPr>
            </w:pPr>
            <w:r>
              <w:rPr>
                <w:b/>
                <w:sz w:val="24"/>
              </w:rPr>
              <w:t>二、项目运营期车辆维修工艺流程</w:t>
            </w:r>
          </w:p>
          <w:p>
            <w:pPr>
              <w:spacing w:line="360" w:lineRule="auto"/>
              <w:ind w:firstLine="480" w:firstLineChars="200"/>
              <w:jc w:val="left"/>
              <w:rPr>
                <w:sz w:val="24"/>
              </w:rPr>
            </w:pPr>
            <w:r>
              <w:rPr>
                <w:sz w:val="24"/>
                <w:szCs w:val="24"/>
              </w:rPr>
              <w:t>项目</w:t>
            </w:r>
            <w:r>
              <w:rPr>
                <w:sz w:val="24"/>
              </w:rPr>
              <w:t>主要是对汽车进行维修和保养，并销售汽车零配件。工艺流程及产污位置见图5-1、5-2。</w:t>
            </w:r>
          </w:p>
          <w:p>
            <w:pPr>
              <w:spacing w:line="360" w:lineRule="auto"/>
              <w:jc w:val="center"/>
              <w:rPr>
                <w:sz w:val="24"/>
              </w:rPr>
            </w:pPr>
            <w:r>
              <w:rPr>
                <w:sz w:val="24"/>
              </w:rPr>
              <w:drawing>
                <wp:inline distT="0" distB="0" distL="114300" distR="114300">
                  <wp:extent cx="4972050" cy="5143500"/>
                  <wp:effectExtent l="0" t="0" r="0" b="0"/>
                  <wp:docPr id="2" name="图片 2" descr="工艺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艺流程-1"/>
                          <pic:cNvPicPr>
                            <a:picLocks noChangeAspect="1"/>
                          </pic:cNvPicPr>
                        </pic:nvPicPr>
                        <pic:blipFill>
                          <a:blip r:embed="rId5" cstate="print"/>
                          <a:stretch>
                            <a:fillRect/>
                          </a:stretch>
                        </pic:blipFill>
                        <pic:spPr>
                          <a:xfrm>
                            <a:off x="0" y="0"/>
                            <a:ext cx="4972050" cy="5143500"/>
                          </a:xfrm>
                          <a:prstGeom prst="rect">
                            <a:avLst/>
                          </a:prstGeom>
                        </pic:spPr>
                      </pic:pic>
                    </a:graphicData>
                  </a:graphic>
                </wp:inline>
              </w:drawing>
            </w:r>
          </w:p>
          <w:p>
            <w:pPr>
              <w:spacing w:line="360" w:lineRule="auto"/>
              <w:jc w:val="center"/>
              <w:rPr>
                <w:sz w:val="24"/>
                <w:szCs w:val="24"/>
              </w:rPr>
            </w:pPr>
            <w:r>
              <w:rPr>
                <w:b/>
                <w:sz w:val="24"/>
                <w:szCs w:val="24"/>
              </w:rPr>
              <w:t>图5-1项目车辆维修工艺流程及产污位置图</w:t>
            </w:r>
          </w:p>
          <w:p>
            <w:pPr>
              <w:spacing w:line="360" w:lineRule="auto"/>
              <w:ind w:firstLine="480" w:firstLineChars="200"/>
              <w:jc w:val="left"/>
              <w:rPr>
                <w:sz w:val="24"/>
                <w:szCs w:val="24"/>
              </w:rPr>
            </w:pPr>
            <w:r>
              <w:rPr>
                <w:sz w:val="24"/>
                <w:szCs w:val="24"/>
              </w:rPr>
              <w:t>有待修理的汽车进入厂后，根据客户的需要，由维修技术人员进行汽车预检，确定其待修部位，然后进行拆卸，再根据修理需要分别进行总成、零部件更换、电器零部件更换、机油更换、车架校正、四轮定位、钣金外型、焊接修补、车漆修补、油路清洗等步骤中的一步或几步，完成修理、保养或洗车后对汽车进行检测调试，调试合格后试车，试车符合要求即可交付用户使用。</w:t>
            </w:r>
          </w:p>
          <w:p>
            <w:pPr>
              <w:spacing w:line="360" w:lineRule="auto"/>
              <w:ind w:firstLine="480" w:firstLineChars="200"/>
              <w:jc w:val="left"/>
              <w:rPr>
                <w:sz w:val="24"/>
                <w:szCs w:val="24"/>
              </w:rPr>
            </w:pPr>
            <w:r>
              <w:rPr>
                <w:sz w:val="24"/>
                <w:szCs w:val="24"/>
              </w:rPr>
              <w:t>在对汽车的维修过程中会产生焊接烟尘废气等，此外还有一定的噪音产生。需补漆或全车喷漆的汽车经丕灰、人工砂纸打磨，这一过程有少量粉尘及噪声产生；之后在喷漆烤漆房中进行喷漆和烤漆，产生的污染物会有VOCs、苯系物及非甲烷总烃等挥发性有机物。</w:t>
            </w:r>
          </w:p>
          <w:p>
            <w:pPr>
              <w:spacing w:line="360" w:lineRule="auto"/>
              <w:ind w:firstLine="480" w:firstLineChars="200"/>
              <w:rPr>
                <w:sz w:val="24"/>
                <w:szCs w:val="24"/>
              </w:rPr>
            </w:pPr>
            <w:r>
              <w:rPr>
                <w:sz w:val="24"/>
                <w:szCs w:val="24"/>
              </w:rPr>
              <w:t>喷漆：项目使用的油漆是经国际环保认证的环保漆，喷漆质量满足（GB18581-2001）中溶剂型涂料中有害物质限量。喷漆的全过程是在油漆区喷烤漆密闭房内进行。需上漆的汽车经预处理后，开入密闭室中央的地栅上，然后将漆房门关闭，使用手动喷枪进行人工喷漆，平均喷漆时间约为45min/次。喷漆完成后进行烤漆，表面烤漆温度：60～80℃，平均加热时间45分钟；使用的能源为电加热。项目整个喷烤漆工序平均用时约为90min/次，1次/d。喷漆房废气经收集后送至</w:t>
            </w:r>
            <w:r>
              <w:rPr>
                <w:kern w:val="0"/>
                <w:sz w:val="24"/>
              </w:rPr>
              <w:t>过滤棉</w:t>
            </w:r>
            <w:r>
              <w:rPr>
                <w:rFonts w:hint="eastAsia"/>
                <w:kern w:val="0"/>
                <w:sz w:val="24"/>
              </w:rPr>
              <w:t>+uv光催化氧化</w:t>
            </w:r>
            <w:r>
              <w:rPr>
                <w:kern w:val="0"/>
                <w:sz w:val="24"/>
              </w:rPr>
              <w:t>+活性炭吸附</w:t>
            </w:r>
            <w:r>
              <w:rPr>
                <w:sz w:val="24"/>
                <w:szCs w:val="24"/>
              </w:rPr>
              <w:t>装置处理引至屋顶（15m）高空外排。</w:t>
            </w:r>
          </w:p>
          <w:p>
            <w:pPr>
              <w:spacing w:line="360" w:lineRule="auto"/>
              <w:ind w:firstLine="480" w:firstLineChars="200"/>
              <w:jc w:val="left"/>
              <w:rPr>
                <w:sz w:val="24"/>
                <w:szCs w:val="24"/>
              </w:rPr>
            </w:pPr>
            <w:r>
              <w:rPr>
                <w:sz w:val="24"/>
                <w:szCs w:val="24"/>
              </w:rPr>
              <w:t>车辆清洗：</w:t>
            </w:r>
            <w:r>
              <w:rPr>
                <w:rFonts w:hint="eastAsia"/>
                <w:sz w:val="24"/>
                <w:szCs w:val="24"/>
              </w:rPr>
              <w:t>建设单位将车辆清洗设在喷漆厂房内</w:t>
            </w:r>
            <w:r>
              <w:rPr>
                <w:sz w:val="24"/>
                <w:szCs w:val="24"/>
              </w:rPr>
              <w:t>，一方面合理利用厂房空间，另一方面可通过厂房隔声作用降低汽车噪声的</w:t>
            </w:r>
            <w:r>
              <w:rPr>
                <w:rFonts w:hint="eastAsia"/>
                <w:sz w:val="24"/>
                <w:szCs w:val="24"/>
              </w:rPr>
              <w:t>传播</w:t>
            </w:r>
            <w:r>
              <w:rPr>
                <w:sz w:val="24"/>
                <w:szCs w:val="24"/>
              </w:rPr>
              <w:t>，</w:t>
            </w:r>
            <w:r>
              <w:rPr>
                <w:rFonts w:hint="eastAsia"/>
                <w:sz w:val="24"/>
                <w:szCs w:val="24"/>
              </w:rPr>
              <w:t>车辆清洗厂房地面设有</w:t>
            </w:r>
            <w:r>
              <w:rPr>
                <w:sz w:val="24"/>
                <w:szCs w:val="24"/>
              </w:rPr>
              <w:t>有</w:t>
            </w:r>
            <w:r>
              <w:rPr>
                <w:rFonts w:hint="eastAsia"/>
                <w:sz w:val="24"/>
                <w:szCs w:val="24"/>
              </w:rPr>
              <w:t>隔油沉淀池，能有</w:t>
            </w:r>
            <w:r>
              <w:rPr>
                <w:sz w:val="24"/>
                <w:szCs w:val="24"/>
              </w:rPr>
              <w:t>效收集汽车废水，避免了洗车废水四溢</w:t>
            </w:r>
            <w:r>
              <w:rPr>
                <w:rFonts w:hint="eastAsia"/>
                <w:sz w:val="24"/>
                <w:szCs w:val="24"/>
              </w:rPr>
              <w:t>造成外界环境的影响</w:t>
            </w:r>
            <w:r>
              <w:rPr>
                <w:sz w:val="24"/>
                <w:szCs w:val="24"/>
              </w:rPr>
              <w:t>。</w:t>
            </w:r>
          </w:p>
          <w:p>
            <w:pPr>
              <w:numPr>
                <w:ilvl w:val="0"/>
                <w:numId w:val="4"/>
              </w:numPr>
              <w:spacing w:line="360" w:lineRule="auto"/>
            </w:pPr>
            <w:r>
              <w:rPr>
                <w:b/>
                <w:sz w:val="24"/>
                <w:szCs w:val="24"/>
              </w:rPr>
              <w:drawing>
                <wp:anchor distT="0" distB="0" distL="114300" distR="114300" simplePos="0" relativeHeight="251659264" behindDoc="0" locked="0" layoutInCell="1" allowOverlap="1">
                  <wp:simplePos x="0" y="0"/>
                  <wp:positionH relativeFrom="column">
                    <wp:posOffset>36195</wp:posOffset>
                  </wp:positionH>
                  <wp:positionV relativeFrom="paragraph">
                    <wp:posOffset>437515</wp:posOffset>
                  </wp:positionV>
                  <wp:extent cx="5190490" cy="3044825"/>
                  <wp:effectExtent l="0" t="0" r="10160" b="3175"/>
                  <wp:wrapTopAndBottom/>
                  <wp:docPr id="4" name="图片 4" descr="工艺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艺流程-2"/>
                          <pic:cNvPicPr>
                            <a:picLocks noChangeAspect="1"/>
                          </pic:cNvPicPr>
                        </pic:nvPicPr>
                        <pic:blipFill>
                          <a:blip r:embed="rId6" cstate="print"/>
                          <a:stretch>
                            <a:fillRect/>
                          </a:stretch>
                        </pic:blipFill>
                        <pic:spPr>
                          <a:xfrm>
                            <a:off x="0" y="0"/>
                            <a:ext cx="5190490" cy="3044825"/>
                          </a:xfrm>
                          <a:prstGeom prst="rect">
                            <a:avLst/>
                          </a:prstGeom>
                        </pic:spPr>
                      </pic:pic>
                    </a:graphicData>
                  </a:graphic>
                </wp:anchor>
              </w:drawing>
            </w:r>
            <w:r>
              <w:rPr>
                <w:b/>
                <w:sz w:val="24"/>
              </w:rPr>
              <w:t>项目运营期</w:t>
            </w:r>
            <w:r>
              <w:rPr>
                <w:b/>
                <w:sz w:val="24"/>
                <w:szCs w:val="24"/>
              </w:rPr>
              <w:t>车辆保养工艺流程</w:t>
            </w:r>
          </w:p>
          <w:p>
            <w:pPr>
              <w:spacing w:line="360" w:lineRule="auto"/>
              <w:jc w:val="center"/>
              <w:rPr>
                <w:b/>
                <w:sz w:val="24"/>
                <w:szCs w:val="24"/>
              </w:rPr>
            </w:pPr>
            <w:r>
              <w:rPr>
                <w:b/>
                <w:sz w:val="24"/>
                <w:szCs w:val="24"/>
              </w:rPr>
              <w:t>图5-2  项目车辆保养工艺流程及产污位置图</w:t>
            </w:r>
          </w:p>
          <w:p>
            <w:pPr>
              <w:spacing w:line="360" w:lineRule="auto"/>
              <w:ind w:firstLine="480" w:firstLineChars="200"/>
              <w:jc w:val="left"/>
              <w:rPr>
                <w:sz w:val="24"/>
                <w:szCs w:val="24"/>
              </w:rPr>
            </w:pPr>
            <w:r>
              <w:rPr>
                <w:sz w:val="24"/>
                <w:szCs w:val="24"/>
              </w:rPr>
              <w:t>汽车保养主要是对保养汽车根据需要，进行线路检查、更换总成及零配件、更换机油或刹车油及美容（</w:t>
            </w:r>
            <w:r>
              <w:rPr>
                <w:sz w:val="24"/>
              </w:rPr>
              <w:t>美容主要指汽车洗车、抛光打蜡、贴膜、清洗内饰等。将产生洗车废水及固体废物</w:t>
            </w:r>
            <w:r>
              <w:rPr>
                <w:sz w:val="24"/>
                <w:szCs w:val="24"/>
              </w:rPr>
              <w:t>）等。在此过程中会产生废零部件、废旧轮胎等一般固废；以及废机油和废刹车油、废机油滤芯，废油泥，沾有机油的废抹布、手套，废蓄电池，废防冻液等危险废物。此外还有在保养过程中由于敲打等会产生一定的噪音。</w:t>
            </w:r>
            <w:r>
              <w:rPr>
                <w:rFonts w:hint="eastAsia"/>
                <w:sz w:val="24"/>
                <w:szCs w:val="24"/>
              </w:rPr>
              <w:t>在</w:t>
            </w:r>
            <w:r>
              <w:rPr>
                <w:sz w:val="24"/>
                <w:szCs w:val="24"/>
              </w:rPr>
              <w:t>对汽车</w:t>
            </w:r>
            <w:r>
              <w:rPr>
                <w:rFonts w:hint="eastAsia"/>
                <w:sz w:val="24"/>
                <w:szCs w:val="24"/>
              </w:rPr>
              <w:t>维护保养结束后</w:t>
            </w:r>
            <w:r>
              <w:rPr>
                <w:sz w:val="24"/>
                <w:szCs w:val="24"/>
              </w:rPr>
              <w:t>进行清洗清洁，此过程会产生清洗废水。</w:t>
            </w:r>
          </w:p>
          <w:p>
            <w:pPr>
              <w:adjustRightInd w:val="0"/>
              <w:snapToGrid w:val="0"/>
              <w:spacing w:line="360" w:lineRule="auto"/>
              <w:rPr>
                <w:b/>
                <w:bCs/>
                <w:sz w:val="24"/>
              </w:rPr>
            </w:pPr>
            <w:r>
              <w:rPr>
                <w:b/>
                <w:bCs/>
                <w:sz w:val="24"/>
              </w:rPr>
              <w:t>五、本项目营运期污染源分析</w:t>
            </w:r>
          </w:p>
          <w:p>
            <w:pPr>
              <w:adjustRightInd w:val="0"/>
              <w:snapToGrid w:val="0"/>
              <w:spacing w:line="360" w:lineRule="auto"/>
              <w:ind w:firstLine="482" w:firstLineChars="200"/>
              <w:rPr>
                <w:b/>
                <w:sz w:val="24"/>
              </w:rPr>
            </w:pPr>
            <w:r>
              <w:rPr>
                <w:b/>
                <w:sz w:val="24"/>
              </w:rPr>
              <w:t>1、大气污染源</w:t>
            </w:r>
          </w:p>
          <w:p>
            <w:pPr>
              <w:spacing w:line="360" w:lineRule="auto"/>
              <w:ind w:firstLine="480" w:firstLineChars="200"/>
              <w:jc w:val="left"/>
              <w:rPr>
                <w:sz w:val="24"/>
                <w:szCs w:val="24"/>
              </w:rPr>
            </w:pPr>
            <w:r>
              <w:rPr>
                <w:sz w:val="24"/>
                <w:szCs w:val="24"/>
              </w:rPr>
              <w:t>项目产生的废气主要来源于进出车辆产生的汽车尾气及汽车服务过程中产生的焊接烟气、打磨粉尘和喷烤漆废气等。</w:t>
            </w:r>
          </w:p>
          <w:p>
            <w:pPr>
              <w:spacing w:line="360" w:lineRule="auto"/>
              <w:ind w:firstLine="480" w:firstLineChars="200"/>
              <w:jc w:val="left"/>
              <w:rPr>
                <w:sz w:val="24"/>
                <w:szCs w:val="24"/>
              </w:rPr>
            </w:pPr>
            <w:r>
              <w:rPr>
                <w:sz w:val="24"/>
                <w:szCs w:val="24"/>
              </w:rPr>
              <w:t>（1）汽车尾气</w:t>
            </w:r>
          </w:p>
          <w:p>
            <w:pPr>
              <w:spacing w:line="360" w:lineRule="auto"/>
              <w:ind w:firstLine="480" w:firstLineChars="200"/>
              <w:jc w:val="left"/>
              <w:rPr>
                <w:bCs/>
                <w:sz w:val="24"/>
              </w:rPr>
            </w:pPr>
            <w:r>
              <w:rPr>
                <w:sz w:val="24"/>
                <w:szCs w:val="24"/>
              </w:rPr>
              <w:t>汽车尾气主要来自进出4S店内车辆在启动过程中的怠速及慢速行驶时排放的废气。本项目进出机动车数量较少，不设地下车库，项目场内行驶距离较短，通风条件极好，汽车尾气扩散条件较好，汽车尾气对环境空气的影响较小。</w:t>
            </w:r>
          </w:p>
          <w:p>
            <w:pPr>
              <w:spacing w:line="360" w:lineRule="auto"/>
              <w:ind w:firstLine="480" w:firstLineChars="200"/>
              <w:jc w:val="left"/>
              <w:rPr>
                <w:bCs/>
                <w:sz w:val="24"/>
              </w:rPr>
            </w:pPr>
            <w:r>
              <w:rPr>
                <w:bCs/>
                <w:sz w:val="24"/>
              </w:rPr>
              <w:t>（2）焊接烟气</w:t>
            </w:r>
          </w:p>
          <w:p>
            <w:pPr>
              <w:spacing w:line="360" w:lineRule="auto"/>
              <w:ind w:firstLine="480" w:firstLineChars="200"/>
              <w:jc w:val="left"/>
              <w:rPr>
                <w:sz w:val="24"/>
              </w:rPr>
            </w:pPr>
            <w:r>
              <w:rPr>
                <w:bCs/>
                <w:sz w:val="24"/>
              </w:rPr>
              <w:t>项目钣金工序</w:t>
            </w:r>
            <w:r>
              <w:rPr>
                <w:rFonts w:hint="eastAsia"/>
                <w:bCs/>
                <w:sz w:val="24"/>
              </w:rPr>
              <w:t>有</w:t>
            </w:r>
            <w:r>
              <w:rPr>
                <w:bCs/>
                <w:sz w:val="24"/>
              </w:rPr>
              <w:t>需对零部件进行焊接处理，焊接过程会产生烟尘</w:t>
            </w:r>
            <w:r>
              <w:rPr>
                <w:rFonts w:hint="eastAsia"/>
                <w:bCs/>
                <w:sz w:val="24"/>
              </w:rPr>
              <w:t>（颗粒物）</w:t>
            </w:r>
            <w:r>
              <w:rPr>
                <w:bCs/>
                <w:sz w:val="24"/>
              </w:rPr>
              <w:t>，项目所用焊接材料主要为气保焊丝</w:t>
            </w:r>
            <w:r>
              <w:rPr>
                <w:rFonts w:hint="eastAsia"/>
                <w:bCs/>
                <w:sz w:val="24"/>
              </w:rPr>
              <w:t>，</w:t>
            </w:r>
            <w:r>
              <w:rPr>
                <w:bCs/>
                <w:sz w:val="24"/>
              </w:rPr>
              <w:t>焊接烟气排放特性为面源、间断无规律、无组织排放，且产生的焊接烟气经通风后可极快稀释</w:t>
            </w:r>
            <w:r>
              <w:rPr>
                <w:sz w:val="24"/>
              </w:rPr>
              <w:t>。</w:t>
            </w:r>
          </w:p>
          <w:p>
            <w:pPr>
              <w:spacing w:line="360" w:lineRule="auto"/>
              <w:ind w:firstLine="420" w:firstLineChars="200"/>
              <w:jc w:val="left"/>
              <w:rPr>
                <w:bCs/>
                <w:sz w:val="24"/>
              </w:rPr>
            </w:pPr>
            <w:r>
              <w:rPr>
                <w:rFonts w:hint="eastAsia"/>
              </w:rPr>
              <w:t>（3）</w:t>
            </w:r>
            <w:r>
              <w:rPr>
                <w:kern w:val="0"/>
                <w:sz w:val="24"/>
              </w:rPr>
              <w:t>打磨粉尘</w:t>
            </w:r>
          </w:p>
          <w:p>
            <w:pPr>
              <w:spacing w:line="360" w:lineRule="auto"/>
              <w:ind w:firstLine="480" w:firstLineChars="200"/>
              <w:jc w:val="left"/>
              <w:rPr>
                <w:bCs/>
                <w:sz w:val="24"/>
              </w:rPr>
            </w:pPr>
            <w:r>
              <w:rPr>
                <w:kern w:val="0"/>
                <w:sz w:val="24"/>
              </w:rPr>
              <w:t>打磨过程是在喷漆前对不平整的地方进行人工修整，打磨过程中用砂纸打磨，磨砂纸它的砂粒之间的间隙较小，磨出的碎末也较小；丕灰过程也会产生少量粉尘</w:t>
            </w:r>
            <w:r>
              <w:rPr>
                <w:sz w:val="24"/>
                <w:szCs w:val="24"/>
              </w:rPr>
              <w:t>。</w:t>
            </w:r>
          </w:p>
          <w:p>
            <w:pPr>
              <w:pStyle w:val="2"/>
              <w:ind w:firstLine="420"/>
              <w:rPr>
                <w:b/>
                <w:sz w:val="24"/>
                <w:szCs w:val="24"/>
              </w:rPr>
            </w:pPr>
            <w:r>
              <w:rPr>
                <w:rFonts w:hint="eastAsia"/>
                <w:b/>
                <w:sz w:val="24"/>
                <w:szCs w:val="24"/>
              </w:rPr>
              <w:t>现状治理措施：</w:t>
            </w:r>
          </w:p>
          <w:p>
            <w:pPr>
              <w:pStyle w:val="19"/>
              <w:adjustRightInd w:val="0"/>
              <w:snapToGrid w:val="0"/>
              <w:spacing w:after="0" w:line="360" w:lineRule="auto"/>
              <w:ind w:left="0" w:leftChars="0" w:firstLine="480"/>
              <w:rPr>
                <w:sz w:val="24"/>
              </w:rPr>
            </w:pPr>
            <w:r>
              <w:rPr>
                <w:rFonts w:hint="eastAsia" w:hAnsi="宋体"/>
                <w:sz w:val="24"/>
              </w:rPr>
              <w:t>项目焊接属于点焊，焊接材料</w:t>
            </w:r>
            <w:r>
              <w:rPr>
                <w:bCs/>
                <w:sz w:val="24"/>
              </w:rPr>
              <w:t>主要为气保焊丝</w:t>
            </w:r>
            <w:r>
              <w:rPr>
                <w:rFonts w:hint="eastAsia"/>
                <w:bCs/>
                <w:sz w:val="24"/>
              </w:rPr>
              <w:t>，采取车间通风措施；打磨粉尘采取</w:t>
            </w:r>
            <w:r>
              <w:rPr>
                <w:kern w:val="0"/>
                <w:sz w:val="24"/>
              </w:rPr>
              <w:t>一体化可移动式集尘口在工作界面对其进行收集</w:t>
            </w:r>
            <w:r>
              <w:rPr>
                <w:rFonts w:hint="eastAsia" w:hAnsi="宋体"/>
                <w:sz w:val="24"/>
              </w:rPr>
              <w:t>处理</w:t>
            </w:r>
            <w:r>
              <w:rPr>
                <w:rFonts w:hint="eastAsia"/>
                <w:sz w:val="24"/>
              </w:rPr>
              <w:t>。</w:t>
            </w:r>
            <w:r>
              <w:rPr>
                <w:rFonts w:hint="eastAsia"/>
                <w:snapToGrid w:val="0"/>
                <w:kern w:val="0"/>
                <w:sz w:val="24"/>
              </w:rPr>
              <w:t>本次在企业正常工况下对企业边界进行了无组织废气（颗粒物）现状监测（无组织废气监测结果详见第一章表1-5），</w:t>
            </w:r>
            <w:r>
              <w:rPr>
                <w:rFonts w:hAnsi="宋体"/>
                <w:sz w:val="24"/>
              </w:rPr>
              <w:t>项目厂界无组织废气中颗粒物的浓度最大值为</w:t>
            </w:r>
            <w:r>
              <w:rPr>
                <w:sz w:val="24"/>
              </w:rPr>
              <w:t>0.1</w:t>
            </w:r>
            <w:r>
              <w:rPr>
                <w:rFonts w:hint="eastAsia"/>
                <w:sz w:val="24"/>
              </w:rPr>
              <w:t>67</w:t>
            </w:r>
            <w:r>
              <w:rPr>
                <w:sz w:val="24"/>
              </w:rPr>
              <w:t>mg/m</w:t>
            </w:r>
            <w:r>
              <w:rPr>
                <w:sz w:val="24"/>
                <w:vertAlign w:val="superscript"/>
              </w:rPr>
              <w:t>3</w:t>
            </w:r>
            <w:r>
              <w:rPr>
                <w:rFonts w:hAnsi="宋体"/>
                <w:sz w:val="24"/>
              </w:rPr>
              <w:t>，</w:t>
            </w:r>
            <w:r>
              <w:rPr>
                <w:rFonts w:hint="eastAsia" w:hAnsi="宋体"/>
                <w:sz w:val="24"/>
              </w:rPr>
              <w:t>满足</w:t>
            </w:r>
            <w:r>
              <w:rPr>
                <w:rFonts w:hAnsi="宋体"/>
                <w:sz w:val="24"/>
              </w:rPr>
              <w:t>《大气污染物综合排放标准》（</w:t>
            </w:r>
            <w:r>
              <w:rPr>
                <w:sz w:val="24"/>
              </w:rPr>
              <w:t>GB16297-1996</w:t>
            </w:r>
            <w:r>
              <w:rPr>
                <w:rFonts w:hAnsi="宋体"/>
                <w:sz w:val="24"/>
              </w:rPr>
              <w:t>）表</w:t>
            </w:r>
            <w:r>
              <w:rPr>
                <w:sz w:val="24"/>
              </w:rPr>
              <w:t>2</w:t>
            </w:r>
            <w:r>
              <w:rPr>
                <w:rFonts w:hAnsi="宋体"/>
                <w:sz w:val="24"/>
              </w:rPr>
              <w:t>中的无组织排放监控浓度限值。</w:t>
            </w:r>
            <w:r>
              <w:rPr>
                <w:rFonts w:hint="eastAsia"/>
                <w:sz w:val="24"/>
              </w:rPr>
              <w:t>废气治理措施合理。</w:t>
            </w:r>
          </w:p>
          <w:p>
            <w:pPr>
              <w:adjustRightInd w:val="0"/>
              <w:snapToGrid w:val="0"/>
              <w:spacing w:line="360" w:lineRule="auto"/>
              <w:ind w:firstLine="482" w:firstLineChars="200"/>
              <w:rPr>
                <w:b/>
                <w:snapToGrid w:val="0"/>
                <w:kern w:val="0"/>
                <w:sz w:val="24"/>
              </w:rPr>
            </w:pPr>
            <w:r>
              <w:rPr>
                <w:rFonts w:hint="eastAsia"/>
                <w:b/>
                <w:snapToGrid w:val="0"/>
                <w:kern w:val="0"/>
                <w:sz w:val="24"/>
              </w:rPr>
              <w:t>整改建议：</w:t>
            </w:r>
          </w:p>
          <w:p>
            <w:pPr>
              <w:adjustRightInd w:val="0"/>
              <w:snapToGrid w:val="0"/>
              <w:spacing w:line="360" w:lineRule="auto"/>
              <w:ind w:firstLine="480" w:firstLineChars="200"/>
              <w:rPr>
                <w:snapToGrid w:val="0"/>
                <w:kern w:val="0"/>
                <w:sz w:val="24"/>
              </w:rPr>
            </w:pPr>
            <w:r>
              <w:rPr>
                <w:rFonts w:hint="eastAsia"/>
                <w:snapToGrid w:val="0"/>
                <w:kern w:val="0"/>
                <w:sz w:val="24"/>
              </w:rPr>
              <w:t>无需整改。</w:t>
            </w:r>
          </w:p>
          <w:p>
            <w:pPr>
              <w:pStyle w:val="45"/>
              <w:adjustRightInd/>
              <w:snapToGrid/>
              <w:ind w:firstLine="480"/>
              <w:jc w:val="left"/>
              <w:rPr>
                <w:rFonts w:ascii="Times New Roman"/>
                <w:szCs w:val="24"/>
                <w:u w:val="single"/>
              </w:rPr>
            </w:pPr>
            <w:r>
              <w:rPr>
                <w:rFonts w:hint="eastAsia"/>
                <w:u w:val="single"/>
              </w:rPr>
              <w:t>（4）</w:t>
            </w:r>
            <w:r>
              <w:rPr>
                <w:bCs/>
                <w:u w:val="single"/>
              </w:rPr>
              <w:t>油漆</w:t>
            </w:r>
            <w:r>
              <w:rPr>
                <w:rFonts w:hint="eastAsia"/>
                <w:bCs/>
                <w:u w:val="single"/>
              </w:rPr>
              <w:t>喷烤漆</w:t>
            </w:r>
            <w:r>
              <w:rPr>
                <w:bCs/>
                <w:u w:val="single"/>
              </w:rPr>
              <w:t>废气</w:t>
            </w:r>
            <w:r>
              <w:rPr>
                <w:rFonts w:hint="eastAsia"/>
                <w:bCs/>
                <w:u w:val="single"/>
              </w:rPr>
              <w:t>、</w:t>
            </w:r>
            <w:r>
              <w:rPr>
                <w:rFonts w:ascii="Times New Roman"/>
                <w:szCs w:val="24"/>
                <w:u w:val="single"/>
              </w:rPr>
              <w:t>调漆间废气</w:t>
            </w:r>
          </w:p>
          <w:p>
            <w:pPr>
              <w:pStyle w:val="45"/>
              <w:adjustRightInd/>
              <w:snapToGrid/>
              <w:ind w:firstLine="480"/>
              <w:jc w:val="left"/>
              <w:rPr>
                <w:szCs w:val="24"/>
                <w:u w:val="single"/>
              </w:rPr>
            </w:pPr>
            <w:r>
              <w:rPr>
                <w:szCs w:val="24"/>
                <w:u w:val="single"/>
              </w:rPr>
              <w:t>本项目设置一处喷/烤漆房，兼备喷漆和烤漆两种功能。</w:t>
            </w:r>
            <w:r>
              <w:rPr>
                <w:bCs/>
                <w:szCs w:val="24"/>
                <w:u w:val="single"/>
              </w:rPr>
              <w:t>在汽车喷漆和烤漆过程中会产生有机废气（以苯系物、非甲烷总烃计形成的VOCs）和漆雾。</w:t>
            </w:r>
            <w:r>
              <w:rPr>
                <w:szCs w:val="24"/>
                <w:u w:val="single"/>
              </w:rPr>
              <w:t>汽修喷漆使用喷枪人工喷漆，主要用于车辆受损部位补漆。</w:t>
            </w:r>
          </w:p>
          <w:p>
            <w:pPr>
              <w:pStyle w:val="45"/>
              <w:adjustRightInd/>
              <w:snapToGrid/>
              <w:ind w:firstLine="480"/>
              <w:jc w:val="left"/>
              <w:rPr>
                <w:rFonts w:ascii="Times New Roman"/>
                <w:szCs w:val="24"/>
                <w:u w:val="single"/>
              </w:rPr>
            </w:pPr>
            <w:r>
              <w:rPr>
                <w:szCs w:val="24"/>
                <w:u w:val="single"/>
              </w:rPr>
              <w:t>本项目</w:t>
            </w:r>
            <w:r>
              <w:rPr>
                <w:rFonts w:ascii="Times New Roman"/>
                <w:szCs w:val="24"/>
                <w:u w:val="single"/>
              </w:rPr>
              <w:t>设有一间密闭式调漆房，在车辆需要修补漆时在调漆间对其颜色和油漆</w:t>
            </w:r>
            <w:r>
              <w:rPr>
                <w:rFonts w:hint="eastAsia" w:ascii="Times New Roman"/>
                <w:szCs w:val="24"/>
                <w:u w:val="single"/>
                <w:lang w:eastAsia="zh-CN"/>
              </w:rPr>
              <w:t>（</w:t>
            </w:r>
            <w:r>
              <w:rPr>
                <w:rFonts w:hint="eastAsia" w:ascii="Times New Roman"/>
                <w:szCs w:val="24"/>
                <w:u w:val="single"/>
                <w:lang w:val="en-US" w:eastAsia="zh-CN"/>
              </w:rPr>
              <w:t>稀释剂</w:t>
            </w:r>
            <w:r>
              <w:rPr>
                <w:rFonts w:hint="eastAsia" w:ascii="Times New Roman"/>
                <w:szCs w:val="24"/>
                <w:u w:val="single"/>
                <w:lang w:eastAsia="zh-CN"/>
              </w:rPr>
              <w:t>）</w:t>
            </w:r>
            <w:r>
              <w:rPr>
                <w:rFonts w:ascii="Times New Roman"/>
                <w:szCs w:val="24"/>
                <w:u w:val="single"/>
              </w:rPr>
              <w:t>配比进行调配，调漆间已设置集气系统，废气通入喷烤漆房废气处理系统进行处理。</w:t>
            </w:r>
          </w:p>
          <w:p>
            <w:pPr>
              <w:pStyle w:val="2"/>
              <w:ind w:firstLine="482"/>
              <w:rPr>
                <w:b/>
                <w:sz w:val="24"/>
                <w:szCs w:val="24"/>
                <w:u w:val="single"/>
              </w:rPr>
            </w:pPr>
            <w:r>
              <w:rPr>
                <w:rFonts w:hint="eastAsia"/>
                <w:b/>
                <w:sz w:val="24"/>
                <w:szCs w:val="24"/>
                <w:u w:val="single"/>
              </w:rPr>
              <w:t>现状治理措施：</w:t>
            </w:r>
          </w:p>
          <w:p>
            <w:pPr>
              <w:spacing w:line="360" w:lineRule="auto"/>
              <w:ind w:firstLine="480" w:firstLineChars="200"/>
              <w:rPr>
                <w:sz w:val="24"/>
                <w:szCs w:val="24"/>
                <w:u w:val="single"/>
              </w:rPr>
            </w:pPr>
            <w:r>
              <w:rPr>
                <w:sz w:val="24"/>
                <w:szCs w:val="24"/>
                <w:u w:val="single"/>
              </w:rPr>
              <w:t>项目设置的汽车喷漆烤房</w:t>
            </w:r>
            <w:r>
              <w:rPr>
                <w:rFonts w:hint="eastAsia"/>
                <w:sz w:val="24"/>
                <w:szCs w:val="24"/>
                <w:u w:val="single"/>
                <w:lang w:val="en-US" w:eastAsia="zh-CN"/>
              </w:rPr>
              <w:t>以及调漆间</w:t>
            </w:r>
            <w:r>
              <w:rPr>
                <w:rFonts w:hint="eastAsia"/>
                <w:sz w:val="24"/>
                <w:szCs w:val="24"/>
                <w:u w:val="single"/>
              </w:rPr>
              <w:t>均为</w:t>
            </w:r>
            <w:r>
              <w:rPr>
                <w:sz w:val="24"/>
                <w:szCs w:val="24"/>
                <w:u w:val="single"/>
              </w:rPr>
              <w:t>是整体式全封闭，喷漆作业和烘干作业期间喷漆烤漆房内均保持负压状态，喷漆、烤漆废气</w:t>
            </w:r>
            <w:r>
              <w:rPr>
                <w:rFonts w:hint="eastAsia"/>
                <w:sz w:val="24"/>
                <w:szCs w:val="24"/>
                <w:u w:val="single"/>
                <w:lang w:val="en-US" w:eastAsia="zh-CN"/>
              </w:rPr>
              <w:t>以及调漆房废气</w:t>
            </w:r>
            <w:r>
              <w:rPr>
                <w:sz w:val="24"/>
                <w:szCs w:val="24"/>
                <w:u w:val="single"/>
              </w:rPr>
              <w:t>首先经底层过滤棉过滤系统过滤后，再进入配套设置的UV光氧催化+</w:t>
            </w:r>
            <w:r>
              <w:rPr>
                <w:bCs/>
                <w:sz w:val="24"/>
                <w:szCs w:val="24"/>
                <w:u w:val="single"/>
              </w:rPr>
              <w:t>活性炭吸附系统</w:t>
            </w:r>
            <w:r>
              <w:rPr>
                <w:sz w:val="24"/>
                <w:szCs w:val="24"/>
                <w:u w:val="single"/>
              </w:rPr>
              <w:t>废气处理装置进行处理，废气经处理后废气经15m高排气筒排放（</w:t>
            </w:r>
            <w:r>
              <w:rPr>
                <w:sz w:val="24"/>
                <w:szCs w:val="22"/>
                <w:u w:val="single"/>
              </w:rPr>
              <w:t>DA001</w:t>
            </w:r>
            <w:r>
              <w:rPr>
                <w:sz w:val="24"/>
                <w:szCs w:val="24"/>
                <w:u w:val="single"/>
              </w:rPr>
              <w:t>）。</w:t>
            </w:r>
            <w:r>
              <w:rPr>
                <w:rFonts w:hint="eastAsia"/>
                <w:snapToGrid w:val="0"/>
                <w:kern w:val="0"/>
                <w:sz w:val="24"/>
                <w:szCs w:val="24"/>
                <w:u w:val="single"/>
              </w:rPr>
              <w:t>本次在企业正常工况下对</w:t>
            </w:r>
            <w:r>
              <w:rPr>
                <w:rFonts w:hint="eastAsia"/>
                <w:snapToGrid w:val="0"/>
                <w:kern w:val="0"/>
                <w:sz w:val="24"/>
                <w:u w:val="single"/>
              </w:rPr>
              <w:t>废气排气筒</w:t>
            </w:r>
            <w:r>
              <w:rPr>
                <w:rFonts w:hint="eastAsia"/>
                <w:snapToGrid w:val="0"/>
                <w:kern w:val="0"/>
                <w:sz w:val="24"/>
                <w:szCs w:val="24"/>
                <w:u w:val="single"/>
              </w:rPr>
              <w:t>进行了现状监测（</w:t>
            </w:r>
            <w:r>
              <w:rPr>
                <w:rFonts w:hint="eastAsia"/>
                <w:snapToGrid w:val="0"/>
                <w:kern w:val="0"/>
                <w:sz w:val="24"/>
                <w:u w:val="single"/>
              </w:rPr>
              <w:t>排气筒</w:t>
            </w:r>
            <w:r>
              <w:rPr>
                <w:rFonts w:hint="eastAsia"/>
                <w:snapToGrid w:val="0"/>
                <w:kern w:val="0"/>
                <w:sz w:val="24"/>
                <w:szCs w:val="24"/>
                <w:u w:val="single"/>
              </w:rPr>
              <w:t>废气监测结果详见第一章表1-</w:t>
            </w:r>
            <w:r>
              <w:rPr>
                <w:rFonts w:hint="eastAsia"/>
                <w:snapToGrid w:val="0"/>
                <w:kern w:val="0"/>
                <w:sz w:val="24"/>
                <w:u w:val="single"/>
              </w:rPr>
              <w:t>7</w:t>
            </w:r>
            <w:r>
              <w:rPr>
                <w:rFonts w:hint="eastAsia"/>
                <w:snapToGrid w:val="0"/>
                <w:kern w:val="0"/>
                <w:sz w:val="24"/>
                <w:szCs w:val="24"/>
                <w:u w:val="single"/>
              </w:rPr>
              <w:t>），</w:t>
            </w:r>
            <w:r>
              <w:rPr>
                <w:rFonts w:hint="eastAsia"/>
                <w:sz w:val="24"/>
                <w:szCs w:val="24"/>
                <w:u w:val="single"/>
              </w:rPr>
              <w:t>排气筒</w:t>
            </w:r>
            <w:r>
              <w:rPr>
                <w:rFonts w:hint="eastAsia"/>
                <w:sz w:val="24"/>
                <w:u w:val="single"/>
              </w:rPr>
              <w:t>废气中的</w:t>
            </w:r>
            <w:r>
              <w:rPr>
                <w:rFonts w:hint="eastAsia"/>
                <w:sz w:val="24"/>
                <w:szCs w:val="24"/>
                <w:u w:val="single"/>
              </w:rPr>
              <w:t>甲苯、对/间二甲苯、邻二甲苯、挥发性有机物、颗粒物最大的排放浓度分别为0.418</w:t>
            </w:r>
            <w:r>
              <w:rPr>
                <w:sz w:val="24"/>
                <w:szCs w:val="24"/>
                <w:u w:val="single"/>
              </w:rPr>
              <w:t>mg/m</w:t>
            </w:r>
            <w:r>
              <w:rPr>
                <w:sz w:val="24"/>
                <w:szCs w:val="24"/>
                <w:u w:val="single"/>
                <w:vertAlign w:val="superscript"/>
              </w:rPr>
              <w:t>3</w:t>
            </w:r>
            <w:r>
              <w:rPr>
                <w:rFonts w:hint="eastAsia"/>
                <w:sz w:val="24"/>
                <w:szCs w:val="24"/>
                <w:u w:val="single"/>
              </w:rPr>
              <w:t>、0.305</w:t>
            </w:r>
            <w:r>
              <w:rPr>
                <w:sz w:val="24"/>
                <w:szCs w:val="24"/>
                <w:u w:val="single"/>
              </w:rPr>
              <w:t>mg/m</w:t>
            </w:r>
            <w:r>
              <w:rPr>
                <w:sz w:val="24"/>
                <w:szCs w:val="24"/>
                <w:u w:val="single"/>
                <w:vertAlign w:val="superscript"/>
              </w:rPr>
              <w:t>3</w:t>
            </w:r>
            <w:r>
              <w:rPr>
                <w:rFonts w:hint="eastAsia"/>
                <w:sz w:val="24"/>
                <w:szCs w:val="24"/>
                <w:u w:val="single"/>
              </w:rPr>
              <w:t>、0.345</w:t>
            </w:r>
            <w:r>
              <w:rPr>
                <w:sz w:val="24"/>
                <w:szCs w:val="24"/>
                <w:u w:val="single"/>
              </w:rPr>
              <w:t>mg/m</w:t>
            </w:r>
            <w:r>
              <w:rPr>
                <w:sz w:val="24"/>
                <w:szCs w:val="24"/>
                <w:u w:val="single"/>
                <w:vertAlign w:val="superscript"/>
              </w:rPr>
              <w:t>3</w:t>
            </w:r>
            <w:r>
              <w:rPr>
                <w:rFonts w:hint="eastAsia"/>
                <w:sz w:val="24"/>
                <w:szCs w:val="24"/>
                <w:u w:val="single"/>
              </w:rPr>
              <w:t>、1.52</w:t>
            </w:r>
            <w:r>
              <w:rPr>
                <w:sz w:val="24"/>
                <w:szCs w:val="24"/>
                <w:u w:val="single"/>
              </w:rPr>
              <w:t>mg/m</w:t>
            </w:r>
            <w:r>
              <w:rPr>
                <w:sz w:val="24"/>
                <w:szCs w:val="24"/>
                <w:u w:val="single"/>
                <w:vertAlign w:val="superscript"/>
              </w:rPr>
              <w:t>3</w:t>
            </w:r>
            <w:r>
              <w:rPr>
                <w:rFonts w:hint="eastAsia"/>
                <w:sz w:val="24"/>
                <w:szCs w:val="24"/>
                <w:u w:val="single"/>
              </w:rPr>
              <w:t>、&lt;20</w:t>
            </w:r>
            <w:r>
              <w:rPr>
                <w:sz w:val="24"/>
                <w:szCs w:val="24"/>
                <w:u w:val="single"/>
              </w:rPr>
              <w:t>mg/m</w:t>
            </w:r>
            <w:r>
              <w:rPr>
                <w:sz w:val="24"/>
                <w:szCs w:val="24"/>
                <w:u w:val="single"/>
                <w:vertAlign w:val="superscript"/>
              </w:rPr>
              <w:t>3</w:t>
            </w:r>
            <w:r>
              <w:rPr>
                <w:rFonts w:hint="eastAsia"/>
                <w:sz w:val="24"/>
                <w:szCs w:val="24"/>
                <w:u w:val="single"/>
              </w:rPr>
              <w:t>，最大排放速率分别为1.06*10</w:t>
            </w:r>
            <w:r>
              <w:rPr>
                <w:rFonts w:hint="eastAsia"/>
                <w:sz w:val="24"/>
                <w:szCs w:val="24"/>
                <w:u w:val="single"/>
                <w:vertAlign w:val="superscript"/>
              </w:rPr>
              <w:t>-3</w:t>
            </w:r>
            <w:r>
              <w:rPr>
                <w:sz w:val="24"/>
                <w:szCs w:val="24"/>
                <w:u w:val="single"/>
              </w:rPr>
              <w:t>kg/h</w:t>
            </w:r>
            <w:r>
              <w:rPr>
                <w:rFonts w:hint="eastAsia"/>
                <w:sz w:val="24"/>
                <w:szCs w:val="24"/>
                <w:u w:val="single"/>
              </w:rPr>
              <w:t>、1.15*10</w:t>
            </w:r>
            <w:r>
              <w:rPr>
                <w:rFonts w:hint="eastAsia"/>
                <w:sz w:val="24"/>
                <w:szCs w:val="24"/>
                <w:u w:val="single"/>
                <w:vertAlign w:val="superscript"/>
              </w:rPr>
              <w:t>-3</w:t>
            </w:r>
            <w:r>
              <w:rPr>
                <w:sz w:val="24"/>
                <w:szCs w:val="24"/>
                <w:u w:val="single"/>
              </w:rPr>
              <w:t>kg/h</w:t>
            </w:r>
            <w:r>
              <w:rPr>
                <w:rFonts w:hint="eastAsia"/>
                <w:sz w:val="24"/>
                <w:szCs w:val="24"/>
                <w:u w:val="single"/>
              </w:rPr>
              <w:t>、1.158*10</w:t>
            </w:r>
            <w:r>
              <w:rPr>
                <w:rFonts w:hint="eastAsia"/>
                <w:sz w:val="24"/>
                <w:szCs w:val="24"/>
                <w:u w:val="single"/>
                <w:vertAlign w:val="superscript"/>
              </w:rPr>
              <w:t>-3</w:t>
            </w:r>
            <w:r>
              <w:rPr>
                <w:sz w:val="24"/>
                <w:szCs w:val="24"/>
                <w:u w:val="single"/>
              </w:rPr>
              <w:t>kg/h</w:t>
            </w:r>
            <w:r>
              <w:rPr>
                <w:rFonts w:hint="eastAsia"/>
                <w:sz w:val="24"/>
                <w:szCs w:val="24"/>
                <w:u w:val="single"/>
              </w:rPr>
              <w:t>、5.08*10</w:t>
            </w:r>
            <w:r>
              <w:rPr>
                <w:rFonts w:hint="eastAsia"/>
                <w:sz w:val="24"/>
                <w:szCs w:val="24"/>
                <w:u w:val="single"/>
                <w:vertAlign w:val="superscript"/>
              </w:rPr>
              <w:t>-3</w:t>
            </w:r>
            <w:r>
              <w:rPr>
                <w:sz w:val="24"/>
                <w:szCs w:val="24"/>
                <w:u w:val="single"/>
              </w:rPr>
              <w:t>kg/h</w:t>
            </w:r>
            <w:r>
              <w:rPr>
                <w:rFonts w:hint="eastAsia"/>
                <w:sz w:val="24"/>
                <w:szCs w:val="24"/>
                <w:u w:val="single"/>
              </w:rPr>
              <w:t>，外排各污染物浓度能够满足</w:t>
            </w:r>
            <w:r>
              <w:rPr>
                <w:sz w:val="24"/>
                <w:szCs w:val="24"/>
                <w:u w:val="single"/>
              </w:rPr>
              <w:t>《</w:t>
            </w:r>
            <w:r>
              <w:rPr>
                <w:rFonts w:hint="eastAsia"/>
                <w:sz w:val="24"/>
                <w:szCs w:val="24"/>
                <w:u w:val="single"/>
              </w:rPr>
              <w:t>表面涂装（汽车制造及维修）挥发性有机物、镍排放标准</w:t>
            </w:r>
            <w:r>
              <w:rPr>
                <w:sz w:val="24"/>
                <w:szCs w:val="24"/>
                <w:u w:val="single"/>
              </w:rPr>
              <w:t>》</w:t>
            </w:r>
            <w:r>
              <w:rPr>
                <w:rFonts w:hint="eastAsia"/>
                <w:sz w:val="24"/>
                <w:szCs w:val="24"/>
                <w:u w:val="single"/>
              </w:rPr>
              <w:t>（D</w:t>
            </w:r>
            <w:r>
              <w:rPr>
                <w:sz w:val="24"/>
                <w:szCs w:val="24"/>
                <w:u w:val="single"/>
              </w:rPr>
              <w:t>B</w:t>
            </w:r>
            <w:r>
              <w:rPr>
                <w:rFonts w:hint="eastAsia"/>
                <w:sz w:val="24"/>
                <w:szCs w:val="24"/>
                <w:u w:val="single"/>
              </w:rPr>
              <w:t>43/1356</w:t>
            </w:r>
            <w:r>
              <w:rPr>
                <w:sz w:val="24"/>
                <w:szCs w:val="24"/>
                <w:u w:val="single"/>
              </w:rPr>
              <w:t>-</w:t>
            </w:r>
            <w:r>
              <w:rPr>
                <w:rFonts w:hint="eastAsia"/>
                <w:sz w:val="24"/>
                <w:szCs w:val="24"/>
                <w:u w:val="single"/>
              </w:rPr>
              <w:t>2017）表1（甲苯</w:t>
            </w:r>
            <w:r>
              <w:rPr>
                <w:sz w:val="24"/>
                <w:szCs w:val="24"/>
                <w:u w:val="single"/>
              </w:rPr>
              <w:t>≤</w:t>
            </w:r>
            <w:r>
              <w:rPr>
                <w:rFonts w:hint="eastAsia"/>
                <w:sz w:val="24"/>
                <w:szCs w:val="24"/>
                <w:u w:val="single"/>
              </w:rPr>
              <w:t>3</w:t>
            </w:r>
            <w:r>
              <w:rPr>
                <w:sz w:val="24"/>
                <w:szCs w:val="24"/>
                <w:u w:val="single"/>
              </w:rPr>
              <w:t>mg/m</w:t>
            </w:r>
            <w:r>
              <w:rPr>
                <w:sz w:val="24"/>
                <w:szCs w:val="24"/>
                <w:u w:val="single"/>
                <w:vertAlign w:val="superscript"/>
              </w:rPr>
              <w:t>3</w:t>
            </w:r>
            <w:r>
              <w:rPr>
                <w:rFonts w:hint="eastAsia"/>
                <w:sz w:val="24"/>
                <w:szCs w:val="24"/>
                <w:u w:val="single"/>
              </w:rPr>
              <w:t>、苯系物</w:t>
            </w:r>
            <w:r>
              <w:rPr>
                <w:sz w:val="24"/>
                <w:szCs w:val="24"/>
                <w:u w:val="single"/>
              </w:rPr>
              <w:t>≤</w:t>
            </w:r>
            <w:r>
              <w:rPr>
                <w:rFonts w:hint="eastAsia"/>
                <w:sz w:val="24"/>
                <w:szCs w:val="24"/>
                <w:u w:val="single"/>
              </w:rPr>
              <w:t>30</w:t>
            </w:r>
            <w:r>
              <w:rPr>
                <w:sz w:val="24"/>
                <w:szCs w:val="24"/>
                <w:u w:val="single"/>
              </w:rPr>
              <w:t>mg/m</w:t>
            </w:r>
            <w:r>
              <w:rPr>
                <w:sz w:val="24"/>
                <w:szCs w:val="24"/>
                <w:u w:val="single"/>
                <w:vertAlign w:val="superscript"/>
              </w:rPr>
              <w:t>3</w:t>
            </w:r>
            <w:r>
              <w:rPr>
                <w:rFonts w:hint="eastAsia"/>
                <w:sz w:val="24"/>
                <w:szCs w:val="24"/>
                <w:u w:val="single"/>
              </w:rPr>
              <w:t>）标准要求，</w:t>
            </w:r>
            <w:r>
              <w:rPr>
                <w:sz w:val="24"/>
                <w:szCs w:val="24"/>
                <w:u w:val="single"/>
              </w:rPr>
              <w:t>有组织排放的漆雾（颗粒物）执行《大气污染物综合排放标准》（GB16297-1996）表2中排放标准</w:t>
            </w:r>
            <w:r>
              <w:rPr>
                <w:rFonts w:hint="eastAsia"/>
                <w:sz w:val="24"/>
                <w:szCs w:val="24"/>
                <w:u w:val="single"/>
              </w:rPr>
              <w:t>（120</w:t>
            </w:r>
            <w:r>
              <w:rPr>
                <w:sz w:val="24"/>
                <w:szCs w:val="24"/>
                <w:u w:val="single"/>
              </w:rPr>
              <w:t>≤mg/m</w:t>
            </w:r>
            <w:r>
              <w:rPr>
                <w:sz w:val="24"/>
                <w:szCs w:val="24"/>
                <w:u w:val="single"/>
                <w:vertAlign w:val="superscript"/>
              </w:rPr>
              <w:t>3</w:t>
            </w:r>
            <w:r>
              <w:rPr>
                <w:rFonts w:hint="eastAsia"/>
                <w:sz w:val="24"/>
                <w:szCs w:val="24"/>
                <w:u w:val="single"/>
              </w:rPr>
              <w:t>、3.5kg/h）</w:t>
            </w:r>
            <w:r>
              <w:rPr>
                <w:sz w:val="24"/>
                <w:szCs w:val="24"/>
                <w:u w:val="single"/>
              </w:rPr>
              <w:t>；有组织排放的VOCs参照执行天津市《工业企业挥发性有机物排放控制标准》（DB12/524-20</w:t>
            </w:r>
            <w:r>
              <w:rPr>
                <w:rFonts w:hint="eastAsia"/>
                <w:sz w:val="24"/>
                <w:szCs w:val="24"/>
                <w:u w:val="single"/>
              </w:rPr>
              <w:t>20</w:t>
            </w:r>
            <w:r>
              <w:rPr>
                <w:sz w:val="24"/>
                <w:szCs w:val="24"/>
                <w:u w:val="single"/>
              </w:rPr>
              <w:t>）表</w:t>
            </w:r>
            <w:r>
              <w:rPr>
                <w:rFonts w:hint="eastAsia"/>
                <w:sz w:val="24"/>
                <w:szCs w:val="24"/>
                <w:u w:val="single"/>
              </w:rPr>
              <w:t>1</w:t>
            </w:r>
            <w:r>
              <w:rPr>
                <w:sz w:val="24"/>
                <w:szCs w:val="24"/>
                <w:u w:val="single"/>
              </w:rPr>
              <w:t>中“</w:t>
            </w:r>
            <w:r>
              <w:rPr>
                <w:rFonts w:hint="eastAsia"/>
                <w:sz w:val="24"/>
                <w:szCs w:val="24"/>
                <w:u w:val="single"/>
              </w:rPr>
              <w:t>表面涂装</w:t>
            </w:r>
            <w:r>
              <w:rPr>
                <w:sz w:val="24"/>
                <w:szCs w:val="24"/>
                <w:u w:val="single"/>
              </w:rPr>
              <w:t>”标准限值</w:t>
            </w:r>
            <w:r>
              <w:rPr>
                <w:rFonts w:hint="eastAsia"/>
                <w:sz w:val="24"/>
                <w:szCs w:val="24"/>
                <w:u w:val="single"/>
              </w:rPr>
              <w:t>（60</w:t>
            </w:r>
            <w:r>
              <w:rPr>
                <w:sz w:val="24"/>
                <w:szCs w:val="24"/>
                <w:u w:val="single"/>
              </w:rPr>
              <w:t>≤mg/m</w:t>
            </w:r>
            <w:r>
              <w:rPr>
                <w:sz w:val="24"/>
                <w:szCs w:val="24"/>
                <w:u w:val="single"/>
                <w:vertAlign w:val="superscript"/>
              </w:rPr>
              <w:t>3</w:t>
            </w:r>
            <w:r>
              <w:rPr>
                <w:rFonts w:hint="eastAsia"/>
                <w:sz w:val="24"/>
                <w:szCs w:val="24"/>
                <w:u w:val="single"/>
              </w:rPr>
              <w:t>、1.8kg/h），</w:t>
            </w:r>
            <w:r>
              <w:rPr>
                <w:sz w:val="24"/>
                <w:szCs w:val="24"/>
                <w:u w:val="single"/>
              </w:rPr>
              <w:t>有组织排放的漆雾（颗粒物）执行《大气污染物综合排放标准》（GB16297-1996）表2中排放标准</w:t>
            </w:r>
            <w:r>
              <w:rPr>
                <w:rFonts w:hint="eastAsia"/>
                <w:sz w:val="24"/>
                <w:szCs w:val="24"/>
                <w:u w:val="single"/>
              </w:rPr>
              <w:t>（120</w:t>
            </w:r>
            <w:r>
              <w:rPr>
                <w:sz w:val="24"/>
                <w:szCs w:val="24"/>
                <w:u w:val="single"/>
              </w:rPr>
              <w:t>≤mg/m</w:t>
            </w:r>
            <w:r>
              <w:rPr>
                <w:sz w:val="24"/>
                <w:szCs w:val="24"/>
                <w:u w:val="single"/>
                <w:vertAlign w:val="superscript"/>
              </w:rPr>
              <w:t>3</w:t>
            </w:r>
            <w:r>
              <w:rPr>
                <w:rFonts w:hint="eastAsia"/>
                <w:sz w:val="24"/>
                <w:szCs w:val="24"/>
                <w:u w:val="single"/>
              </w:rPr>
              <w:t>、3.5kg/h）</w:t>
            </w:r>
            <w:r>
              <w:rPr>
                <w:sz w:val="24"/>
                <w:szCs w:val="24"/>
                <w:u w:val="single"/>
              </w:rPr>
              <w:t>；</w:t>
            </w:r>
            <w:r>
              <w:rPr>
                <w:rFonts w:hint="eastAsia"/>
                <w:sz w:val="24"/>
                <w:szCs w:val="24"/>
                <w:u w:val="single"/>
              </w:rPr>
              <w:t>项目现有废气措施可行。</w:t>
            </w:r>
          </w:p>
          <w:p>
            <w:pPr>
              <w:spacing w:line="360" w:lineRule="auto"/>
              <w:ind w:firstLine="480" w:firstLineChars="200"/>
              <w:rPr>
                <w:sz w:val="24"/>
                <w:szCs w:val="24"/>
                <w:u w:val="single"/>
              </w:rPr>
            </w:pPr>
            <w:r>
              <w:rPr>
                <w:sz w:val="24"/>
                <w:szCs w:val="24"/>
                <w:u w:val="single"/>
              </w:rPr>
              <w:t>同时，</w:t>
            </w:r>
            <w:r>
              <w:rPr>
                <w:rFonts w:hint="eastAsia"/>
                <w:snapToGrid w:val="0"/>
                <w:kern w:val="0"/>
                <w:sz w:val="24"/>
                <w:szCs w:val="24"/>
                <w:u w:val="single"/>
              </w:rPr>
              <w:t>本次在企业正常工况下对企业边界进行了无组织废气</w:t>
            </w:r>
            <w:r>
              <w:rPr>
                <w:rFonts w:hint="eastAsia"/>
                <w:snapToGrid w:val="0"/>
                <w:kern w:val="0"/>
                <w:sz w:val="24"/>
                <w:u w:val="single"/>
              </w:rPr>
              <w:t>（甲苯、二甲苯、</w:t>
            </w:r>
            <w:r>
              <w:rPr>
                <w:rFonts w:hint="eastAsia"/>
                <w:sz w:val="24"/>
                <w:szCs w:val="24"/>
                <w:u w:val="single"/>
              </w:rPr>
              <w:t>VOCs</w:t>
            </w:r>
            <w:r>
              <w:rPr>
                <w:rFonts w:hint="eastAsia"/>
                <w:snapToGrid w:val="0"/>
                <w:kern w:val="0"/>
                <w:sz w:val="24"/>
                <w:u w:val="single"/>
              </w:rPr>
              <w:t>）</w:t>
            </w:r>
            <w:r>
              <w:rPr>
                <w:rFonts w:hint="eastAsia"/>
                <w:snapToGrid w:val="0"/>
                <w:kern w:val="0"/>
                <w:sz w:val="24"/>
                <w:szCs w:val="24"/>
                <w:u w:val="single"/>
              </w:rPr>
              <w:t>现状监测（无组织废气监测结果详见第一章表1-</w:t>
            </w:r>
            <w:r>
              <w:rPr>
                <w:rFonts w:hint="eastAsia"/>
                <w:snapToGrid w:val="0"/>
                <w:kern w:val="0"/>
                <w:sz w:val="24"/>
                <w:u w:val="single"/>
              </w:rPr>
              <w:t>5</w:t>
            </w:r>
            <w:r>
              <w:rPr>
                <w:rFonts w:hint="eastAsia"/>
                <w:snapToGrid w:val="0"/>
                <w:kern w:val="0"/>
                <w:sz w:val="24"/>
                <w:szCs w:val="24"/>
                <w:u w:val="single"/>
              </w:rPr>
              <w:t>），</w:t>
            </w:r>
            <w:r>
              <w:rPr>
                <w:rFonts w:hAnsi="宋体"/>
                <w:sz w:val="24"/>
                <w:u w:val="single"/>
              </w:rPr>
              <w:t>项目厂界无组织废气中</w:t>
            </w:r>
            <w:r>
              <w:rPr>
                <w:rFonts w:hint="eastAsia"/>
                <w:sz w:val="24"/>
                <w:szCs w:val="24"/>
                <w:u w:val="single"/>
              </w:rPr>
              <w:t>甲苯、二甲苯和挥发性有机物最大浓度分别为ND（低于检出限）、ND（低于检出限）、0.239</w:t>
            </w:r>
            <w:r>
              <w:rPr>
                <w:sz w:val="24"/>
                <w:szCs w:val="24"/>
                <w:u w:val="single"/>
              </w:rPr>
              <w:t>mg/m</w:t>
            </w:r>
            <w:r>
              <w:rPr>
                <w:sz w:val="24"/>
                <w:szCs w:val="24"/>
                <w:u w:val="single"/>
                <w:vertAlign w:val="superscript"/>
              </w:rPr>
              <w:t>3</w:t>
            </w:r>
            <w:r>
              <w:rPr>
                <w:rFonts w:hint="eastAsia"/>
                <w:sz w:val="24"/>
                <w:szCs w:val="24"/>
                <w:u w:val="single"/>
              </w:rPr>
              <w:t>，</w:t>
            </w:r>
            <w:r>
              <w:rPr>
                <w:rFonts w:hint="eastAsia"/>
                <w:snapToGrid w:val="0"/>
                <w:kern w:val="0"/>
                <w:sz w:val="24"/>
                <w:u w:val="single"/>
              </w:rPr>
              <w:t>甲苯、二甲苯</w:t>
            </w:r>
            <w:r>
              <w:rPr>
                <w:rFonts w:hint="eastAsia"/>
                <w:sz w:val="24"/>
                <w:szCs w:val="24"/>
                <w:u w:val="single"/>
              </w:rPr>
              <w:t>能够满足</w:t>
            </w:r>
            <w:r>
              <w:rPr>
                <w:sz w:val="24"/>
                <w:szCs w:val="24"/>
                <w:u w:val="single"/>
              </w:rPr>
              <w:t>《</w:t>
            </w:r>
            <w:r>
              <w:rPr>
                <w:rFonts w:hint="eastAsia"/>
                <w:sz w:val="24"/>
                <w:szCs w:val="24"/>
                <w:u w:val="single"/>
              </w:rPr>
              <w:t>表面涂装（汽车制造及维修）挥发性</w:t>
            </w:r>
            <w:r>
              <w:rPr>
                <w:rFonts w:hint="eastAsia"/>
                <w:color w:val="auto"/>
                <w:sz w:val="24"/>
                <w:szCs w:val="24"/>
                <w:u w:val="single"/>
              </w:rPr>
              <w:t>有机物、镍排放标准</w:t>
            </w:r>
            <w:r>
              <w:rPr>
                <w:color w:val="auto"/>
                <w:sz w:val="24"/>
                <w:szCs w:val="24"/>
                <w:u w:val="single"/>
              </w:rPr>
              <w:t>》</w:t>
            </w:r>
            <w:r>
              <w:rPr>
                <w:rFonts w:hint="eastAsia"/>
                <w:color w:val="auto"/>
                <w:sz w:val="24"/>
                <w:szCs w:val="24"/>
                <w:u w:val="single"/>
              </w:rPr>
              <w:t>（D</w:t>
            </w:r>
            <w:r>
              <w:rPr>
                <w:color w:val="auto"/>
                <w:sz w:val="24"/>
                <w:szCs w:val="24"/>
                <w:u w:val="single"/>
              </w:rPr>
              <w:t>B</w:t>
            </w:r>
            <w:r>
              <w:rPr>
                <w:rFonts w:hint="eastAsia"/>
                <w:color w:val="auto"/>
                <w:sz w:val="24"/>
                <w:szCs w:val="24"/>
                <w:u w:val="single"/>
              </w:rPr>
              <w:t>43/1356</w:t>
            </w:r>
            <w:r>
              <w:rPr>
                <w:color w:val="auto"/>
                <w:sz w:val="24"/>
                <w:szCs w:val="24"/>
                <w:u w:val="single"/>
              </w:rPr>
              <w:t>-</w:t>
            </w:r>
            <w:r>
              <w:rPr>
                <w:rFonts w:hint="eastAsia"/>
                <w:color w:val="auto"/>
                <w:sz w:val="24"/>
                <w:szCs w:val="24"/>
                <w:u w:val="single"/>
              </w:rPr>
              <w:t>2017）表3标准要求，</w:t>
            </w:r>
            <w:r>
              <w:rPr>
                <w:rFonts w:eastAsiaTheme="minorEastAsia"/>
                <w:color w:val="auto"/>
                <w:sz w:val="24"/>
                <w:szCs w:val="24"/>
                <w:u w:val="single"/>
              </w:rPr>
              <w:t>项目产生的</w:t>
            </w:r>
            <w:r>
              <w:rPr>
                <w:color w:val="auto"/>
                <w:sz w:val="24"/>
                <w:szCs w:val="24"/>
                <w:u w:val="single"/>
              </w:rPr>
              <w:t>VOCs</w:t>
            </w:r>
            <w:r>
              <w:rPr>
                <w:rFonts w:hint="eastAsia"/>
                <w:color w:val="auto"/>
                <w:sz w:val="24"/>
                <w:szCs w:val="24"/>
                <w:u w:val="single"/>
              </w:rPr>
              <w:t>（</w:t>
            </w:r>
            <w:r>
              <w:rPr>
                <w:color w:val="auto"/>
                <w:sz w:val="24"/>
                <w:szCs w:val="24"/>
                <w:u w:val="single"/>
              </w:rPr>
              <w:t>非甲烷总烃</w:t>
            </w:r>
            <w:r>
              <w:rPr>
                <w:rFonts w:hint="eastAsia"/>
                <w:color w:val="auto"/>
                <w:sz w:val="24"/>
                <w:szCs w:val="24"/>
                <w:u w:val="single"/>
              </w:rPr>
              <w:t>）</w:t>
            </w:r>
            <w:r>
              <w:rPr>
                <w:rFonts w:hint="eastAsia"/>
                <w:color w:val="auto"/>
                <w:sz w:val="24"/>
                <w:szCs w:val="24"/>
                <w:u w:val="single"/>
                <w:lang w:val="en-US" w:eastAsia="zh-CN"/>
              </w:rPr>
              <w:t>厂界外</w:t>
            </w:r>
            <w:r>
              <w:rPr>
                <w:rFonts w:hint="eastAsia"/>
                <w:color w:val="auto"/>
                <w:sz w:val="24"/>
                <w:szCs w:val="24"/>
                <w:u w:val="single"/>
              </w:rPr>
              <w:t>满足</w:t>
            </w:r>
            <w:r>
              <w:rPr>
                <w:color w:val="auto"/>
                <w:sz w:val="24"/>
                <w:szCs w:val="24"/>
                <w:u w:val="single"/>
              </w:rPr>
              <w:t>天津市《工业企业挥发性有机物排放控制标准》（DB12/524-20</w:t>
            </w:r>
            <w:r>
              <w:rPr>
                <w:rFonts w:hint="eastAsia"/>
                <w:color w:val="auto"/>
                <w:sz w:val="24"/>
                <w:szCs w:val="24"/>
                <w:u w:val="single"/>
              </w:rPr>
              <w:t>20</w:t>
            </w:r>
            <w:r>
              <w:rPr>
                <w:color w:val="auto"/>
                <w:sz w:val="24"/>
                <w:szCs w:val="24"/>
                <w:u w:val="single"/>
              </w:rPr>
              <w:t>）表</w:t>
            </w:r>
            <w:r>
              <w:rPr>
                <w:rFonts w:hint="eastAsia"/>
                <w:color w:val="auto"/>
                <w:sz w:val="24"/>
                <w:szCs w:val="24"/>
                <w:u w:val="single"/>
              </w:rPr>
              <w:t>2</w:t>
            </w:r>
            <w:r>
              <w:rPr>
                <w:color w:val="auto"/>
                <w:sz w:val="24"/>
                <w:szCs w:val="24"/>
                <w:u w:val="single"/>
              </w:rPr>
              <w:t>挥发性有机物无组织排放限值</w:t>
            </w:r>
            <w:r>
              <w:rPr>
                <w:rFonts w:hAnsi="宋体"/>
                <w:color w:val="auto"/>
                <w:sz w:val="24"/>
                <w:u w:val="single"/>
              </w:rPr>
              <w:t>。</w:t>
            </w:r>
            <w:r>
              <w:rPr>
                <w:rFonts w:eastAsiaTheme="minorEastAsia"/>
                <w:color w:val="auto"/>
                <w:sz w:val="24"/>
                <w:szCs w:val="24"/>
                <w:u w:val="single"/>
              </w:rPr>
              <w:t>项目产生的</w:t>
            </w:r>
            <w:r>
              <w:rPr>
                <w:color w:val="auto"/>
                <w:sz w:val="24"/>
                <w:szCs w:val="24"/>
                <w:u w:val="single"/>
              </w:rPr>
              <w:t>VOCs</w:t>
            </w:r>
            <w:r>
              <w:rPr>
                <w:rFonts w:hint="eastAsia"/>
                <w:color w:val="auto"/>
                <w:sz w:val="24"/>
                <w:szCs w:val="24"/>
                <w:u w:val="single"/>
              </w:rPr>
              <w:t>（</w:t>
            </w:r>
            <w:r>
              <w:rPr>
                <w:color w:val="auto"/>
                <w:sz w:val="24"/>
                <w:szCs w:val="24"/>
                <w:u w:val="single"/>
              </w:rPr>
              <w:t>非甲烷总烃</w:t>
            </w:r>
            <w:r>
              <w:rPr>
                <w:rFonts w:hint="eastAsia"/>
                <w:color w:val="auto"/>
                <w:sz w:val="24"/>
                <w:szCs w:val="24"/>
                <w:u w:val="single"/>
              </w:rPr>
              <w:t>）</w:t>
            </w:r>
            <w:r>
              <w:rPr>
                <w:rFonts w:eastAsiaTheme="minorEastAsia"/>
                <w:color w:val="auto"/>
                <w:sz w:val="24"/>
                <w:szCs w:val="24"/>
                <w:u w:val="single"/>
              </w:rPr>
              <w:t>排放厂</w:t>
            </w:r>
            <w:r>
              <w:rPr>
                <w:rFonts w:hint="eastAsia" w:eastAsiaTheme="minorEastAsia"/>
                <w:color w:val="auto"/>
                <w:sz w:val="24"/>
                <w:szCs w:val="24"/>
                <w:u w:val="single"/>
                <w:lang w:val="en-US" w:eastAsia="zh-CN"/>
              </w:rPr>
              <w:t>界</w:t>
            </w:r>
            <w:r>
              <w:rPr>
                <w:rFonts w:eastAsiaTheme="minorEastAsia"/>
                <w:color w:val="auto"/>
                <w:sz w:val="24"/>
                <w:szCs w:val="24"/>
                <w:u w:val="single"/>
              </w:rPr>
              <w:t>内无组织排放监控点浓度</w:t>
            </w:r>
            <w:r>
              <w:rPr>
                <w:rFonts w:hint="eastAsia" w:eastAsiaTheme="minorEastAsia"/>
                <w:color w:val="auto"/>
                <w:sz w:val="24"/>
                <w:szCs w:val="24"/>
                <w:u w:val="single"/>
                <w:lang w:val="en-US" w:eastAsia="zh-CN"/>
              </w:rPr>
              <w:t>满足</w:t>
            </w:r>
            <w:r>
              <w:rPr>
                <w:color w:val="auto"/>
                <w:sz w:val="24"/>
                <w:szCs w:val="24"/>
                <w:u w:val="single"/>
              </w:rPr>
              <w:t>天津市《工业企业挥发性有机物排放控制标准》（DB12/524-20</w:t>
            </w:r>
            <w:r>
              <w:rPr>
                <w:rFonts w:hint="eastAsia"/>
                <w:color w:val="auto"/>
                <w:sz w:val="24"/>
                <w:szCs w:val="24"/>
                <w:u w:val="single"/>
              </w:rPr>
              <w:t>20</w:t>
            </w:r>
            <w:r>
              <w:rPr>
                <w:color w:val="auto"/>
                <w:sz w:val="24"/>
                <w:szCs w:val="24"/>
                <w:u w:val="single"/>
              </w:rPr>
              <w:t>）表</w:t>
            </w:r>
            <w:r>
              <w:rPr>
                <w:rFonts w:hint="eastAsia"/>
                <w:color w:val="auto"/>
                <w:sz w:val="24"/>
                <w:szCs w:val="24"/>
                <w:u w:val="single"/>
              </w:rPr>
              <w:t>2</w:t>
            </w:r>
            <w:r>
              <w:rPr>
                <w:color w:val="auto"/>
                <w:sz w:val="24"/>
                <w:szCs w:val="24"/>
                <w:u w:val="single"/>
              </w:rPr>
              <w:t>挥发性有机物无组织排放限值</w:t>
            </w:r>
            <w:r>
              <w:rPr>
                <w:rFonts w:hint="eastAsia" w:eastAsiaTheme="minorEastAsia"/>
                <w:color w:val="auto"/>
                <w:sz w:val="24"/>
                <w:szCs w:val="24"/>
                <w:u w:val="single"/>
                <w:lang w:eastAsia="zh-CN"/>
              </w:rPr>
              <w:t>，</w:t>
            </w:r>
            <w:r>
              <w:rPr>
                <w:rFonts w:hint="eastAsia"/>
                <w:color w:val="auto"/>
                <w:sz w:val="24"/>
                <w:szCs w:val="24"/>
                <w:u w:val="single"/>
              </w:rPr>
              <w:t>废气治理措施合理。</w:t>
            </w:r>
          </w:p>
          <w:p>
            <w:pPr>
              <w:adjustRightInd w:val="0"/>
              <w:snapToGrid w:val="0"/>
              <w:spacing w:line="360" w:lineRule="auto"/>
              <w:ind w:firstLine="482" w:firstLineChars="200"/>
              <w:rPr>
                <w:b/>
                <w:snapToGrid w:val="0"/>
                <w:kern w:val="0"/>
                <w:sz w:val="24"/>
              </w:rPr>
            </w:pPr>
            <w:r>
              <w:rPr>
                <w:rFonts w:hint="eastAsia"/>
                <w:b/>
                <w:snapToGrid w:val="0"/>
                <w:kern w:val="0"/>
                <w:sz w:val="24"/>
              </w:rPr>
              <w:t>整改建议：</w:t>
            </w:r>
          </w:p>
          <w:p>
            <w:pPr>
              <w:adjustRightInd w:val="0"/>
              <w:snapToGrid w:val="0"/>
              <w:spacing w:line="360" w:lineRule="auto"/>
              <w:ind w:firstLine="480" w:firstLineChars="200"/>
              <w:rPr>
                <w:snapToGrid w:val="0"/>
                <w:kern w:val="0"/>
                <w:sz w:val="24"/>
              </w:rPr>
            </w:pPr>
            <w:r>
              <w:rPr>
                <w:rFonts w:hint="eastAsia"/>
                <w:snapToGrid w:val="0"/>
                <w:kern w:val="0"/>
                <w:sz w:val="24"/>
              </w:rPr>
              <w:t>无需整改。</w:t>
            </w:r>
          </w:p>
          <w:p>
            <w:pPr>
              <w:pStyle w:val="45"/>
              <w:adjustRightInd/>
              <w:snapToGrid/>
              <w:ind w:firstLine="480"/>
              <w:jc w:val="left"/>
              <w:rPr>
                <w:rFonts w:ascii="Times New Roman"/>
                <w:szCs w:val="24"/>
              </w:rPr>
            </w:pPr>
            <w:r>
              <w:rPr>
                <w:rFonts w:ascii="Times New Roman"/>
                <w:szCs w:val="24"/>
              </w:rPr>
              <w:t>（</w:t>
            </w:r>
            <w:r>
              <w:rPr>
                <w:rFonts w:hint="eastAsia" w:ascii="Times New Roman"/>
                <w:szCs w:val="24"/>
              </w:rPr>
              <w:t>5</w:t>
            </w:r>
            <w:r>
              <w:rPr>
                <w:rFonts w:ascii="Times New Roman"/>
                <w:szCs w:val="24"/>
              </w:rPr>
              <w:t>）食堂油烟</w:t>
            </w:r>
          </w:p>
          <w:p>
            <w:pPr>
              <w:pStyle w:val="45"/>
              <w:adjustRightInd/>
              <w:snapToGrid/>
              <w:ind w:firstLine="480"/>
              <w:jc w:val="left"/>
              <w:rPr>
                <w:rFonts w:ascii="Times New Roman"/>
                <w:szCs w:val="24"/>
              </w:rPr>
            </w:pPr>
            <w:r>
              <w:rPr>
                <w:rFonts w:ascii="Times New Roman"/>
                <w:szCs w:val="24"/>
              </w:rPr>
              <w:t>本项目综合服务中心设置员工食堂，为员工提供餐饮，主要产生油烟废气。</w:t>
            </w:r>
          </w:p>
          <w:p>
            <w:pPr>
              <w:pStyle w:val="2"/>
              <w:ind w:firstLine="482"/>
              <w:rPr>
                <w:b/>
                <w:sz w:val="24"/>
                <w:szCs w:val="24"/>
              </w:rPr>
            </w:pPr>
            <w:r>
              <w:rPr>
                <w:rFonts w:hint="eastAsia"/>
                <w:b/>
                <w:sz w:val="24"/>
                <w:szCs w:val="24"/>
              </w:rPr>
              <w:t>现状治理措施：</w:t>
            </w:r>
          </w:p>
          <w:p>
            <w:pPr>
              <w:pStyle w:val="45"/>
              <w:adjustRightInd/>
              <w:snapToGrid/>
              <w:ind w:firstLine="480"/>
              <w:jc w:val="left"/>
              <w:rPr>
                <w:rFonts w:ascii="Times New Roman"/>
                <w:szCs w:val="24"/>
              </w:rPr>
            </w:pPr>
            <w:r>
              <w:rPr>
                <w:rFonts w:hint="eastAsia" w:ascii="Times New Roman"/>
                <w:szCs w:val="24"/>
              </w:rPr>
              <w:t>项目食堂已</w:t>
            </w:r>
            <w:r>
              <w:rPr>
                <w:rFonts w:ascii="Times New Roman"/>
                <w:szCs w:val="24"/>
              </w:rPr>
              <w:t>安装油烟净化设施</w:t>
            </w:r>
            <w:r>
              <w:rPr>
                <w:rFonts w:hint="eastAsia" w:ascii="Times New Roman"/>
                <w:szCs w:val="24"/>
              </w:rPr>
              <w:t>，饮食油烟经处理后引至楼顶排放。</w:t>
            </w:r>
          </w:p>
          <w:p>
            <w:pPr>
              <w:adjustRightInd w:val="0"/>
              <w:snapToGrid w:val="0"/>
              <w:spacing w:line="360" w:lineRule="auto"/>
              <w:ind w:firstLine="482" w:firstLineChars="200"/>
              <w:rPr>
                <w:b/>
                <w:snapToGrid w:val="0"/>
                <w:kern w:val="0"/>
                <w:sz w:val="24"/>
              </w:rPr>
            </w:pPr>
            <w:r>
              <w:rPr>
                <w:rFonts w:hint="eastAsia"/>
                <w:b/>
                <w:snapToGrid w:val="0"/>
                <w:kern w:val="0"/>
                <w:sz w:val="24"/>
              </w:rPr>
              <w:t>整改建议：</w:t>
            </w:r>
          </w:p>
          <w:p>
            <w:pPr>
              <w:adjustRightInd w:val="0"/>
              <w:snapToGrid w:val="0"/>
              <w:spacing w:line="360" w:lineRule="auto"/>
              <w:ind w:firstLine="480" w:firstLineChars="200"/>
              <w:rPr>
                <w:snapToGrid w:val="0"/>
                <w:kern w:val="0"/>
                <w:sz w:val="24"/>
              </w:rPr>
            </w:pPr>
            <w:r>
              <w:rPr>
                <w:rFonts w:hint="eastAsia"/>
                <w:snapToGrid w:val="0"/>
                <w:kern w:val="0"/>
                <w:sz w:val="24"/>
              </w:rPr>
              <w:t>无需整改。</w:t>
            </w:r>
          </w:p>
          <w:p>
            <w:pPr>
              <w:numPr>
                <w:ilvl w:val="0"/>
                <w:numId w:val="5"/>
              </w:numPr>
              <w:spacing w:line="360" w:lineRule="auto"/>
              <w:rPr>
                <w:b/>
                <w:bCs/>
                <w:sz w:val="24"/>
              </w:rPr>
            </w:pPr>
            <w:r>
              <w:rPr>
                <w:b/>
                <w:bCs/>
                <w:sz w:val="24"/>
              </w:rPr>
              <w:t>水污染源</w:t>
            </w:r>
          </w:p>
          <w:p>
            <w:pPr>
              <w:spacing w:line="360" w:lineRule="auto"/>
              <w:ind w:firstLine="480" w:firstLineChars="200"/>
              <w:rPr>
                <w:sz w:val="24"/>
                <w:szCs w:val="24"/>
              </w:rPr>
            </w:pPr>
            <w:r>
              <w:rPr>
                <w:rFonts w:hint="eastAsia"/>
                <w:bCs/>
                <w:sz w:val="24"/>
              </w:rPr>
              <w:t>项目产生的废水主要为</w:t>
            </w:r>
            <w:r>
              <w:rPr>
                <w:rFonts w:hint="eastAsia"/>
                <w:sz w:val="24"/>
                <w:szCs w:val="24"/>
              </w:rPr>
              <w:t>员工和客户生活污水、</w:t>
            </w:r>
            <w:r>
              <w:rPr>
                <w:sz w:val="24"/>
                <w:szCs w:val="24"/>
              </w:rPr>
              <w:t>地面清洗废水及汽车清洗废水</w:t>
            </w:r>
            <w:r>
              <w:rPr>
                <w:rFonts w:hint="eastAsia"/>
                <w:sz w:val="24"/>
                <w:szCs w:val="24"/>
              </w:rPr>
              <w:t>。</w:t>
            </w:r>
          </w:p>
          <w:p>
            <w:pPr>
              <w:spacing w:line="360" w:lineRule="auto"/>
              <w:ind w:firstLine="480" w:firstLineChars="200"/>
              <w:rPr>
                <w:sz w:val="24"/>
                <w:szCs w:val="24"/>
              </w:rPr>
            </w:pPr>
            <w:r>
              <w:rPr>
                <w:bCs/>
                <w:sz w:val="24"/>
              </w:rPr>
              <w:t>（1）</w:t>
            </w:r>
            <w:r>
              <w:rPr>
                <w:bCs/>
                <w:sz w:val="24"/>
                <w:szCs w:val="22"/>
              </w:rPr>
              <w:t>员工和客户生活用水</w:t>
            </w:r>
          </w:p>
          <w:p>
            <w:pPr>
              <w:spacing w:line="360" w:lineRule="auto"/>
              <w:ind w:firstLine="480" w:firstLineChars="200"/>
              <w:jc w:val="left"/>
              <w:rPr>
                <w:sz w:val="24"/>
                <w:szCs w:val="22"/>
              </w:rPr>
            </w:pPr>
            <w:r>
              <w:rPr>
                <w:sz w:val="24"/>
                <w:szCs w:val="22"/>
              </w:rPr>
              <w:t>项目生活用水量为</w:t>
            </w:r>
            <w:r>
              <w:rPr>
                <w:rFonts w:hint="eastAsia"/>
                <w:sz w:val="24"/>
                <w:szCs w:val="22"/>
              </w:rPr>
              <w:t>3790</w:t>
            </w:r>
            <w:r>
              <w:rPr>
                <w:sz w:val="24"/>
                <w:szCs w:val="22"/>
              </w:rPr>
              <w:t>m</w:t>
            </w:r>
            <w:r>
              <w:rPr>
                <w:sz w:val="24"/>
                <w:szCs w:val="22"/>
                <w:vertAlign w:val="superscript"/>
              </w:rPr>
              <w:t>3</w:t>
            </w:r>
            <w:r>
              <w:rPr>
                <w:sz w:val="24"/>
                <w:szCs w:val="22"/>
              </w:rPr>
              <w:t>/a</w:t>
            </w:r>
            <w:r>
              <w:rPr>
                <w:rFonts w:hint="eastAsia"/>
                <w:sz w:val="24"/>
                <w:szCs w:val="22"/>
              </w:rPr>
              <w:t>，</w:t>
            </w:r>
            <w:r>
              <w:rPr>
                <w:sz w:val="24"/>
                <w:szCs w:val="22"/>
              </w:rPr>
              <w:t>排水量为</w:t>
            </w:r>
            <w:r>
              <w:rPr>
                <w:rFonts w:hint="eastAsia"/>
                <w:sz w:val="24"/>
                <w:szCs w:val="22"/>
              </w:rPr>
              <w:t>3032</w:t>
            </w:r>
            <w:r>
              <w:rPr>
                <w:sz w:val="24"/>
                <w:szCs w:val="22"/>
              </w:rPr>
              <w:t>m</w:t>
            </w:r>
            <w:r>
              <w:rPr>
                <w:sz w:val="24"/>
                <w:szCs w:val="22"/>
                <w:vertAlign w:val="superscript"/>
              </w:rPr>
              <w:t>3</w:t>
            </w:r>
            <w:r>
              <w:rPr>
                <w:sz w:val="24"/>
                <w:szCs w:val="22"/>
              </w:rPr>
              <w:t>/a</w:t>
            </w:r>
            <w:r>
              <w:rPr>
                <w:rFonts w:hint="eastAsia"/>
                <w:sz w:val="24"/>
                <w:szCs w:val="22"/>
              </w:rPr>
              <w:t>，</w:t>
            </w:r>
            <w:r>
              <w:rPr>
                <w:sz w:val="24"/>
                <w:szCs w:val="22"/>
              </w:rPr>
              <w:t>生活污水中COD、BOD</w:t>
            </w:r>
            <w:r>
              <w:rPr>
                <w:sz w:val="24"/>
                <w:szCs w:val="22"/>
                <w:vertAlign w:val="subscript"/>
              </w:rPr>
              <w:t>5</w:t>
            </w:r>
            <w:r>
              <w:rPr>
                <w:sz w:val="24"/>
                <w:szCs w:val="22"/>
              </w:rPr>
              <w:t>、氨氮、SS、动植物油浓度分别为300mg/</w:t>
            </w:r>
            <w:r>
              <w:rPr>
                <w:rFonts w:hint="eastAsia"/>
                <w:sz w:val="24"/>
                <w:szCs w:val="22"/>
              </w:rPr>
              <w:t>L</w:t>
            </w:r>
            <w:r>
              <w:rPr>
                <w:sz w:val="24"/>
                <w:szCs w:val="22"/>
              </w:rPr>
              <w:t>、150mg/</w:t>
            </w:r>
            <w:r>
              <w:rPr>
                <w:rFonts w:hint="eastAsia"/>
                <w:sz w:val="24"/>
                <w:szCs w:val="22"/>
              </w:rPr>
              <w:t>L</w:t>
            </w:r>
            <w:r>
              <w:rPr>
                <w:sz w:val="24"/>
                <w:szCs w:val="22"/>
              </w:rPr>
              <w:t>、25mg/</w:t>
            </w:r>
            <w:r>
              <w:rPr>
                <w:rFonts w:hint="eastAsia"/>
                <w:sz w:val="24"/>
                <w:szCs w:val="22"/>
              </w:rPr>
              <w:t>L</w:t>
            </w:r>
            <w:r>
              <w:rPr>
                <w:sz w:val="24"/>
                <w:szCs w:val="22"/>
              </w:rPr>
              <w:t>、200mg/</w:t>
            </w:r>
            <w:r>
              <w:rPr>
                <w:rFonts w:hint="eastAsia"/>
                <w:sz w:val="24"/>
                <w:szCs w:val="22"/>
              </w:rPr>
              <w:t>L</w:t>
            </w:r>
            <w:r>
              <w:rPr>
                <w:sz w:val="24"/>
                <w:szCs w:val="22"/>
              </w:rPr>
              <w:t>、40mg/</w:t>
            </w:r>
            <w:r>
              <w:rPr>
                <w:rFonts w:hint="eastAsia"/>
                <w:sz w:val="24"/>
                <w:szCs w:val="22"/>
              </w:rPr>
              <w:t>L。</w:t>
            </w:r>
          </w:p>
          <w:p>
            <w:pPr>
              <w:pStyle w:val="2"/>
              <w:ind w:firstLine="482"/>
              <w:rPr>
                <w:b/>
                <w:sz w:val="24"/>
                <w:szCs w:val="24"/>
              </w:rPr>
            </w:pPr>
            <w:r>
              <w:rPr>
                <w:rFonts w:hint="eastAsia"/>
                <w:b/>
                <w:sz w:val="24"/>
                <w:szCs w:val="24"/>
              </w:rPr>
              <w:t>现状治理措施：</w:t>
            </w:r>
          </w:p>
          <w:p>
            <w:pPr>
              <w:spacing w:line="360" w:lineRule="auto"/>
              <w:ind w:firstLine="480" w:firstLineChars="200"/>
              <w:jc w:val="left"/>
              <w:rPr>
                <w:sz w:val="24"/>
                <w:szCs w:val="24"/>
              </w:rPr>
            </w:pPr>
            <w:r>
              <w:rPr>
                <w:rFonts w:hint="eastAsia"/>
                <w:sz w:val="24"/>
                <w:szCs w:val="24"/>
              </w:rPr>
              <w:t>项目生活污水</w:t>
            </w:r>
            <w:r>
              <w:rPr>
                <w:sz w:val="24"/>
                <w:szCs w:val="24"/>
              </w:rPr>
              <w:t>经化粪池处理</w:t>
            </w:r>
            <w:r>
              <w:rPr>
                <w:rFonts w:hint="eastAsia"/>
                <w:sz w:val="24"/>
                <w:szCs w:val="24"/>
              </w:rPr>
              <w:t>后通过市政污水管网进入</w:t>
            </w:r>
            <w:r>
              <w:rPr>
                <w:sz w:val="24"/>
                <w:szCs w:val="24"/>
              </w:rPr>
              <w:t>城陵矶新港区污水处理厂处理达标后排放。</w:t>
            </w:r>
          </w:p>
          <w:p>
            <w:pPr>
              <w:adjustRightInd w:val="0"/>
              <w:snapToGrid w:val="0"/>
              <w:spacing w:line="360" w:lineRule="auto"/>
              <w:ind w:firstLine="482" w:firstLineChars="200"/>
              <w:rPr>
                <w:b/>
                <w:snapToGrid w:val="0"/>
                <w:kern w:val="0"/>
                <w:sz w:val="24"/>
              </w:rPr>
            </w:pPr>
            <w:r>
              <w:rPr>
                <w:rFonts w:hint="eastAsia"/>
                <w:b/>
                <w:snapToGrid w:val="0"/>
                <w:kern w:val="0"/>
                <w:sz w:val="24"/>
              </w:rPr>
              <w:t>整改建议：</w:t>
            </w:r>
          </w:p>
          <w:p>
            <w:pPr>
              <w:adjustRightInd w:val="0"/>
              <w:snapToGrid w:val="0"/>
              <w:spacing w:line="360" w:lineRule="auto"/>
              <w:ind w:firstLine="480" w:firstLineChars="200"/>
              <w:rPr>
                <w:snapToGrid w:val="0"/>
                <w:kern w:val="0"/>
                <w:sz w:val="24"/>
              </w:rPr>
            </w:pPr>
            <w:r>
              <w:rPr>
                <w:rFonts w:hint="eastAsia"/>
                <w:snapToGrid w:val="0"/>
                <w:kern w:val="0"/>
                <w:sz w:val="24"/>
              </w:rPr>
              <w:t>无需整改。</w:t>
            </w:r>
          </w:p>
          <w:p>
            <w:pPr>
              <w:spacing w:line="360" w:lineRule="auto"/>
              <w:ind w:firstLine="480" w:firstLineChars="200"/>
              <w:rPr>
                <w:sz w:val="24"/>
                <w:szCs w:val="24"/>
              </w:rPr>
            </w:pPr>
            <w:r>
              <w:rPr>
                <w:rFonts w:hint="eastAsia"/>
                <w:sz w:val="24"/>
                <w:szCs w:val="22"/>
              </w:rPr>
              <w:t>（2）</w:t>
            </w:r>
            <w:r>
              <w:rPr>
                <w:sz w:val="24"/>
                <w:szCs w:val="24"/>
              </w:rPr>
              <w:t>地面清洗废水及汽车清洗废水</w:t>
            </w:r>
          </w:p>
          <w:p>
            <w:pPr>
              <w:spacing w:line="360" w:lineRule="auto"/>
              <w:ind w:firstLine="480" w:firstLineChars="200"/>
              <w:jc w:val="left"/>
              <w:rPr>
                <w:sz w:val="24"/>
                <w:szCs w:val="24"/>
              </w:rPr>
            </w:pPr>
            <w:r>
              <w:rPr>
                <w:rFonts w:hint="eastAsia"/>
                <w:sz w:val="24"/>
                <w:szCs w:val="24"/>
              </w:rPr>
              <w:t>项目</w:t>
            </w:r>
            <w:r>
              <w:rPr>
                <w:sz w:val="24"/>
                <w:szCs w:val="24"/>
              </w:rPr>
              <w:t>冲洗地面废水</w:t>
            </w:r>
            <w:r>
              <w:rPr>
                <w:rFonts w:hint="eastAsia"/>
                <w:sz w:val="24"/>
                <w:szCs w:val="24"/>
              </w:rPr>
              <w:t>产生量</w:t>
            </w:r>
            <w:r>
              <w:rPr>
                <w:sz w:val="24"/>
                <w:szCs w:val="24"/>
              </w:rPr>
              <w:t>为</w:t>
            </w:r>
            <w:r>
              <w:rPr>
                <w:rFonts w:hint="eastAsia"/>
                <w:sz w:val="24"/>
                <w:szCs w:val="24"/>
              </w:rPr>
              <w:t>40.92</w:t>
            </w:r>
            <w:r>
              <w:rPr>
                <w:sz w:val="24"/>
                <w:szCs w:val="24"/>
              </w:rPr>
              <w:t>m</w:t>
            </w:r>
            <w:r>
              <w:rPr>
                <w:sz w:val="24"/>
                <w:szCs w:val="24"/>
                <w:vertAlign w:val="superscript"/>
              </w:rPr>
              <w:t>3</w:t>
            </w:r>
            <w:r>
              <w:rPr>
                <w:sz w:val="24"/>
                <w:szCs w:val="24"/>
              </w:rPr>
              <w:t>/a、汽车清洗废水量为</w:t>
            </w:r>
            <w:r>
              <w:rPr>
                <w:rFonts w:hint="eastAsia"/>
                <w:sz w:val="24"/>
                <w:szCs w:val="24"/>
              </w:rPr>
              <w:t>36</w:t>
            </w:r>
            <w:r>
              <w:rPr>
                <w:sz w:val="24"/>
                <w:szCs w:val="24"/>
              </w:rPr>
              <w:t>m</w:t>
            </w:r>
            <w:r>
              <w:rPr>
                <w:sz w:val="24"/>
                <w:szCs w:val="24"/>
                <w:vertAlign w:val="superscript"/>
              </w:rPr>
              <w:t>3</w:t>
            </w:r>
            <w:r>
              <w:rPr>
                <w:sz w:val="24"/>
                <w:szCs w:val="24"/>
              </w:rPr>
              <w:t>/a，合计废水量为</w:t>
            </w:r>
            <w:r>
              <w:rPr>
                <w:rFonts w:hint="eastAsia"/>
                <w:sz w:val="24"/>
                <w:szCs w:val="24"/>
              </w:rPr>
              <w:t>76.92</w:t>
            </w:r>
            <w:r>
              <w:rPr>
                <w:sz w:val="24"/>
                <w:szCs w:val="24"/>
              </w:rPr>
              <w:t>m</w:t>
            </w:r>
            <w:r>
              <w:rPr>
                <w:sz w:val="24"/>
                <w:szCs w:val="24"/>
                <w:vertAlign w:val="superscript"/>
              </w:rPr>
              <w:t>3</w:t>
            </w:r>
            <w:r>
              <w:rPr>
                <w:sz w:val="24"/>
                <w:szCs w:val="24"/>
              </w:rPr>
              <w:t>/a</w:t>
            </w:r>
            <w:r>
              <w:rPr>
                <w:rFonts w:hint="eastAsia"/>
                <w:sz w:val="24"/>
                <w:szCs w:val="24"/>
              </w:rPr>
              <w:t>，</w:t>
            </w:r>
            <w:r>
              <w:rPr>
                <w:sz w:val="24"/>
                <w:szCs w:val="24"/>
              </w:rPr>
              <w:t>废水中主要污染物COD、</w:t>
            </w:r>
            <w:r>
              <w:rPr>
                <w:sz w:val="24"/>
                <w:szCs w:val="22"/>
              </w:rPr>
              <w:t>BOD</w:t>
            </w:r>
            <w:r>
              <w:rPr>
                <w:sz w:val="24"/>
                <w:szCs w:val="22"/>
                <w:vertAlign w:val="subscript"/>
              </w:rPr>
              <w:t>5</w:t>
            </w:r>
            <w:r>
              <w:rPr>
                <w:sz w:val="24"/>
                <w:szCs w:val="22"/>
              </w:rPr>
              <w:t>、</w:t>
            </w:r>
            <w:r>
              <w:rPr>
                <w:sz w:val="24"/>
                <w:szCs w:val="24"/>
              </w:rPr>
              <w:t>氨氮、SS、石油类、LAS浓度分别为250mg/L、100mg/L、25mg/L、200mg/L、20mg/L、1</w:t>
            </w:r>
            <w:r>
              <w:rPr>
                <w:rFonts w:hint="eastAsia"/>
                <w:sz w:val="24"/>
                <w:szCs w:val="24"/>
              </w:rPr>
              <w:t>7</w:t>
            </w:r>
            <w:r>
              <w:rPr>
                <w:sz w:val="24"/>
                <w:szCs w:val="24"/>
              </w:rPr>
              <w:t>.98mg/L。</w:t>
            </w:r>
          </w:p>
          <w:p>
            <w:pPr>
              <w:pStyle w:val="2"/>
              <w:ind w:firstLine="482"/>
              <w:rPr>
                <w:b/>
                <w:sz w:val="24"/>
                <w:szCs w:val="24"/>
              </w:rPr>
            </w:pPr>
            <w:r>
              <w:rPr>
                <w:rFonts w:hint="eastAsia"/>
                <w:b/>
                <w:sz w:val="24"/>
                <w:szCs w:val="24"/>
              </w:rPr>
              <w:t>现状治理措施：</w:t>
            </w:r>
          </w:p>
          <w:p>
            <w:pPr>
              <w:spacing w:line="360" w:lineRule="auto"/>
              <w:ind w:firstLine="420" w:firstLineChars="200"/>
              <w:jc w:val="left"/>
              <w:rPr>
                <w:sz w:val="24"/>
                <w:szCs w:val="22"/>
              </w:rPr>
            </w:pPr>
            <w:r>
              <w:rPr>
                <w:rFonts w:hint="eastAsia"/>
                <w:szCs w:val="24"/>
              </w:rPr>
              <w:t>项目</w:t>
            </w:r>
            <w:r>
              <w:rPr>
                <w:sz w:val="24"/>
                <w:szCs w:val="24"/>
              </w:rPr>
              <w:t>地面清洗废水及汽车清洗废水</w:t>
            </w:r>
            <w:r>
              <w:rPr>
                <w:sz w:val="24"/>
                <w:szCs w:val="22"/>
              </w:rPr>
              <w:t>经</w:t>
            </w:r>
            <w:r>
              <w:rPr>
                <w:rFonts w:hint="eastAsia"/>
                <w:sz w:val="24"/>
                <w:szCs w:val="24"/>
              </w:rPr>
              <w:t>隔油池</w:t>
            </w:r>
            <w:r>
              <w:rPr>
                <w:sz w:val="24"/>
                <w:szCs w:val="22"/>
              </w:rPr>
              <w:t>处理</w:t>
            </w:r>
            <w:r>
              <w:rPr>
                <w:rFonts w:hint="eastAsia"/>
                <w:szCs w:val="24"/>
              </w:rPr>
              <w:t>后</w:t>
            </w:r>
            <w:r>
              <w:rPr>
                <w:rFonts w:hint="eastAsia"/>
                <w:sz w:val="24"/>
                <w:szCs w:val="22"/>
              </w:rPr>
              <w:t>通过市政污水管网进入</w:t>
            </w:r>
            <w:r>
              <w:rPr>
                <w:sz w:val="24"/>
                <w:szCs w:val="22"/>
              </w:rPr>
              <w:t>城陵矶新港区污水处理厂处理达标后排放。</w:t>
            </w:r>
            <w:r>
              <w:rPr>
                <w:rFonts w:hint="eastAsia"/>
                <w:sz w:val="24"/>
                <w:szCs w:val="22"/>
              </w:rPr>
              <w:t>本次对</w:t>
            </w:r>
            <w:r>
              <w:rPr>
                <w:rFonts w:hint="eastAsia"/>
                <w:sz w:val="24"/>
                <w:szCs w:val="24"/>
              </w:rPr>
              <w:t>项目废水总排放口中各污染物进行了现状监测（详见表1-6），项目处理后生产废水各污染因子能满足《汽车维修业水污染物排放标准》（</w:t>
            </w:r>
            <w:r>
              <w:rPr>
                <w:sz w:val="24"/>
                <w:szCs w:val="24"/>
              </w:rPr>
              <w:t>GB26877-2011</w:t>
            </w:r>
            <w:r>
              <w:rPr>
                <w:rFonts w:hint="eastAsia"/>
                <w:sz w:val="24"/>
                <w:szCs w:val="24"/>
              </w:rPr>
              <w:t>）中表</w:t>
            </w:r>
            <w:r>
              <w:rPr>
                <w:sz w:val="24"/>
                <w:szCs w:val="24"/>
              </w:rPr>
              <w:t>2</w:t>
            </w:r>
            <w:r>
              <w:rPr>
                <w:rFonts w:hint="eastAsia"/>
                <w:sz w:val="24"/>
                <w:szCs w:val="24"/>
              </w:rPr>
              <w:t>规定的水污染物排放限值（</w:t>
            </w:r>
            <w:r>
              <w:rPr>
                <w:sz w:val="24"/>
                <w:szCs w:val="24"/>
              </w:rPr>
              <w:t>pH</w:t>
            </w:r>
            <w:r>
              <w:rPr>
                <w:rFonts w:hint="eastAsia"/>
                <w:sz w:val="24"/>
                <w:szCs w:val="24"/>
              </w:rPr>
              <w:t>：</w:t>
            </w:r>
            <w:r>
              <w:rPr>
                <w:sz w:val="24"/>
                <w:szCs w:val="24"/>
              </w:rPr>
              <w:t>6~9</w:t>
            </w:r>
            <w:r>
              <w:rPr>
                <w:rFonts w:hint="eastAsia"/>
                <w:sz w:val="24"/>
                <w:szCs w:val="24"/>
              </w:rPr>
              <w:t>、</w:t>
            </w:r>
            <w:r>
              <w:rPr>
                <w:sz w:val="24"/>
                <w:szCs w:val="24"/>
              </w:rPr>
              <w:t>COD：</w:t>
            </w:r>
            <w:r>
              <w:rPr>
                <w:rFonts w:hint="eastAsia"/>
                <w:sz w:val="24"/>
                <w:szCs w:val="24"/>
              </w:rPr>
              <w:t>300</w:t>
            </w:r>
            <w:r>
              <w:rPr>
                <w:sz w:val="24"/>
                <w:szCs w:val="24"/>
              </w:rPr>
              <w:t>mg/L</w:t>
            </w:r>
            <w:r>
              <w:rPr>
                <w:rFonts w:hint="eastAsia"/>
                <w:sz w:val="24"/>
                <w:szCs w:val="24"/>
              </w:rPr>
              <w:t>、</w:t>
            </w:r>
            <w:r>
              <w:rPr>
                <w:sz w:val="24"/>
                <w:szCs w:val="24"/>
              </w:rPr>
              <w:t>BOD</w:t>
            </w:r>
            <w:r>
              <w:rPr>
                <w:sz w:val="24"/>
                <w:szCs w:val="24"/>
                <w:vertAlign w:val="subscript"/>
              </w:rPr>
              <w:t>5</w:t>
            </w:r>
            <w:r>
              <w:rPr>
                <w:sz w:val="24"/>
                <w:szCs w:val="24"/>
              </w:rPr>
              <w:t>：</w:t>
            </w:r>
            <w:r>
              <w:rPr>
                <w:rFonts w:hint="eastAsia"/>
                <w:sz w:val="24"/>
                <w:szCs w:val="24"/>
              </w:rPr>
              <w:t>150</w:t>
            </w:r>
            <w:r>
              <w:rPr>
                <w:sz w:val="24"/>
                <w:szCs w:val="24"/>
              </w:rPr>
              <w:t>mg/L</w:t>
            </w:r>
            <w:r>
              <w:rPr>
                <w:rFonts w:hint="eastAsia"/>
                <w:sz w:val="24"/>
                <w:szCs w:val="24"/>
              </w:rPr>
              <w:t>、</w:t>
            </w:r>
            <w:r>
              <w:rPr>
                <w:sz w:val="24"/>
                <w:szCs w:val="24"/>
              </w:rPr>
              <w:t>SS：</w:t>
            </w:r>
            <w:r>
              <w:rPr>
                <w:rFonts w:hint="eastAsia"/>
                <w:sz w:val="24"/>
                <w:szCs w:val="24"/>
              </w:rPr>
              <w:t>100</w:t>
            </w:r>
            <w:r>
              <w:rPr>
                <w:sz w:val="24"/>
                <w:szCs w:val="24"/>
              </w:rPr>
              <w:t>mg/L</w:t>
            </w:r>
            <w:r>
              <w:rPr>
                <w:rFonts w:hint="eastAsia"/>
                <w:sz w:val="24"/>
                <w:szCs w:val="24"/>
              </w:rPr>
              <w:t>、</w:t>
            </w:r>
            <w:r>
              <w:rPr>
                <w:sz w:val="24"/>
                <w:szCs w:val="24"/>
              </w:rPr>
              <w:t>氨氮：</w:t>
            </w:r>
            <w:r>
              <w:rPr>
                <w:rFonts w:hint="eastAsia"/>
                <w:sz w:val="24"/>
                <w:szCs w:val="24"/>
              </w:rPr>
              <w:t>25</w:t>
            </w:r>
            <w:r>
              <w:rPr>
                <w:sz w:val="24"/>
                <w:szCs w:val="24"/>
              </w:rPr>
              <w:t>mg/L</w:t>
            </w:r>
            <w:r>
              <w:rPr>
                <w:rFonts w:hint="eastAsia"/>
                <w:sz w:val="24"/>
                <w:szCs w:val="24"/>
              </w:rPr>
              <w:t>、</w:t>
            </w:r>
            <w:r>
              <w:rPr>
                <w:sz w:val="24"/>
                <w:szCs w:val="24"/>
              </w:rPr>
              <w:t>石油类：</w:t>
            </w:r>
            <w:r>
              <w:rPr>
                <w:rFonts w:hint="eastAsia"/>
                <w:sz w:val="24"/>
                <w:szCs w:val="24"/>
              </w:rPr>
              <w:t>10</w:t>
            </w:r>
            <w:r>
              <w:rPr>
                <w:sz w:val="24"/>
                <w:szCs w:val="24"/>
              </w:rPr>
              <w:t>mg/L</w:t>
            </w:r>
            <w:r>
              <w:rPr>
                <w:rFonts w:hint="eastAsia"/>
                <w:sz w:val="24"/>
                <w:szCs w:val="24"/>
              </w:rPr>
              <w:t>、阴离子表面活性剂</w:t>
            </w:r>
            <w:r>
              <w:rPr>
                <w:sz w:val="24"/>
                <w:szCs w:val="24"/>
              </w:rPr>
              <w:t>：</w:t>
            </w:r>
            <w:r>
              <w:rPr>
                <w:rFonts w:hint="eastAsia"/>
                <w:sz w:val="24"/>
                <w:szCs w:val="24"/>
              </w:rPr>
              <w:t>10</w:t>
            </w:r>
            <w:r>
              <w:rPr>
                <w:sz w:val="24"/>
                <w:szCs w:val="24"/>
              </w:rPr>
              <w:t>mg/L</w:t>
            </w:r>
            <w:r>
              <w:rPr>
                <w:rFonts w:hint="eastAsia"/>
                <w:sz w:val="24"/>
                <w:szCs w:val="24"/>
              </w:rPr>
              <w:t>）</w:t>
            </w:r>
            <w:r>
              <w:rPr>
                <w:sz w:val="24"/>
                <w:szCs w:val="24"/>
              </w:rPr>
              <w:t>要求</w:t>
            </w:r>
            <w:r>
              <w:rPr>
                <w:rFonts w:hint="eastAsia"/>
                <w:sz w:val="24"/>
              </w:rPr>
              <w:t>，同时根据《</w:t>
            </w:r>
            <w:r>
              <w:rPr>
                <w:sz w:val="24"/>
              </w:rPr>
              <w:t>&lt;</w:t>
            </w:r>
            <w:r>
              <w:rPr>
                <w:rFonts w:hint="eastAsia"/>
                <w:sz w:val="24"/>
              </w:rPr>
              <w:t>汽车修理养护业水污染物排放标准</w:t>
            </w:r>
            <w:r>
              <w:rPr>
                <w:sz w:val="24"/>
              </w:rPr>
              <w:t>&gt;</w:t>
            </w:r>
            <w:r>
              <w:rPr>
                <w:rFonts w:hint="eastAsia"/>
                <w:sz w:val="24"/>
              </w:rPr>
              <w:t>编制说明》中汽修厂废水处理工艺及处理效果表，汽修厂废水经三级沉淀处理后，</w:t>
            </w:r>
            <w:r>
              <w:rPr>
                <w:sz w:val="24"/>
              </w:rPr>
              <w:t>COD</w:t>
            </w:r>
            <w:r>
              <w:rPr>
                <w:rFonts w:hint="eastAsia"/>
                <w:sz w:val="24"/>
              </w:rPr>
              <w:t>、氨氮、</w:t>
            </w:r>
            <w:r>
              <w:rPr>
                <w:sz w:val="24"/>
              </w:rPr>
              <w:t>SS</w:t>
            </w:r>
            <w:r>
              <w:rPr>
                <w:rFonts w:hint="eastAsia"/>
                <w:sz w:val="24"/>
              </w:rPr>
              <w:t>和石油类排放浓度均能达到《汽车维修业水污染物排放标准》（</w:t>
            </w:r>
            <w:r>
              <w:rPr>
                <w:sz w:val="24"/>
              </w:rPr>
              <w:t>GB26877-2011</w:t>
            </w:r>
            <w:r>
              <w:rPr>
                <w:rFonts w:hint="eastAsia"/>
                <w:sz w:val="24"/>
              </w:rPr>
              <w:t>）中表</w:t>
            </w:r>
            <w:r>
              <w:rPr>
                <w:sz w:val="24"/>
              </w:rPr>
              <w:t>2</w:t>
            </w:r>
            <w:r>
              <w:rPr>
                <w:rFonts w:hint="eastAsia"/>
                <w:sz w:val="24"/>
              </w:rPr>
              <w:t>间接排放标准，且项目废水排入临港新区污水处理厂，污水处理厂能够满足其接管标准要求，因此，现有</w:t>
            </w:r>
            <w:r>
              <w:rPr>
                <w:rFonts w:hint="eastAsia"/>
                <w:sz w:val="24"/>
                <w:szCs w:val="24"/>
              </w:rPr>
              <w:t>措施可行。</w:t>
            </w:r>
          </w:p>
          <w:p>
            <w:pPr>
              <w:adjustRightInd w:val="0"/>
              <w:snapToGrid w:val="0"/>
              <w:spacing w:line="360" w:lineRule="auto"/>
              <w:ind w:firstLine="482" w:firstLineChars="200"/>
              <w:rPr>
                <w:b/>
                <w:snapToGrid w:val="0"/>
                <w:kern w:val="0"/>
                <w:sz w:val="24"/>
              </w:rPr>
            </w:pPr>
            <w:r>
              <w:rPr>
                <w:rFonts w:hint="eastAsia"/>
                <w:b/>
                <w:snapToGrid w:val="0"/>
                <w:kern w:val="0"/>
                <w:sz w:val="24"/>
              </w:rPr>
              <w:t>整改建议：</w:t>
            </w:r>
          </w:p>
          <w:p>
            <w:pPr>
              <w:adjustRightInd w:val="0"/>
              <w:snapToGrid w:val="0"/>
              <w:spacing w:line="360" w:lineRule="auto"/>
              <w:ind w:firstLine="480" w:firstLineChars="200"/>
              <w:rPr>
                <w:snapToGrid w:val="0"/>
                <w:kern w:val="0"/>
                <w:sz w:val="24"/>
              </w:rPr>
            </w:pPr>
            <w:r>
              <w:rPr>
                <w:rFonts w:hint="eastAsia"/>
                <w:snapToGrid w:val="0"/>
                <w:kern w:val="0"/>
                <w:sz w:val="24"/>
              </w:rPr>
              <w:t>无需整改。</w:t>
            </w:r>
          </w:p>
          <w:p>
            <w:pPr>
              <w:spacing w:line="360" w:lineRule="auto"/>
              <w:ind w:firstLine="482" w:firstLineChars="200"/>
              <w:rPr>
                <w:sz w:val="24"/>
              </w:rPr>
            </w:pPr>
            <w:r>
              <w:rPr>
                <w:b/>
                <w:bCs/>
                <w:sz w:val="24"/>
              </w:rPr>
              <w:t>3、噪声</w:t>
            </w:r>
          </w:p>
          <w:p>
            <w:pPr>
              <w:spacing w:line="360" w:lineRule="auto"/>
              <w:ind w:firstLine="480" w:firstLineChars="200"/>
              <w:jc w:val="left"/>
              <w:rPr>
                <w:sz w:val="24"/>
              </w:rPr>
            </w:pPr>
            <w:r>
              <w:rPr>
                <w:bCs/>
                <w:sz w:val="24"/>
              </w:rPr>
              <w:t>项目噪声源主要各类维修设备、中央空调运行噪声、在夹层车辆清洗时噪声，噪声级约为75~85dB(A)，另外汽车进出产生交通噪声、项目在营业运行过程中产生的社会噪声等，噪声级在60-75dB(A)。</w:t>
            </w:r>
          </w:p>
          <w:p>
            <w:pPr>
              <w:adjustRightInd w:val="0"/>
              <w:snapToGrid w:val="0"/>
              <w:spacing w:line="360" w:lineRule="auto"/>
              <w:ind w:firstLine="480" w:firstLineChars="200"/>
              <w:rPr>
                <w:snapToGrid w:val="0"/>
                <w:kern w:val="0"/>
                <w:sz w:val="24"/>
                <w:szCs w:val="24"/>
              </w:rPr>
            </w:pPr>
            <w:r>
              <w:rPr>
                <w:rFonts w:hint="eastAsia"/>
                <w:snapToGrid w:val="0"/>
                <w:kern w:val="0"/>
                <w:sz w:val="24"/>
                <w:szCs w:val="24"/>
              </w:rPr>
              <w:t>①现场排查</w:t>
            </w:r>
          </w:p>
          <w:p>
            <w:pPr>
              <w:adjustRightInd w:val="0"/>
              <w:snapToGrid w:val="0"/>
              <w:spacing w:line="360" w:lineRule="auto"/>
              <w:ind w:firstLine="480" w:firstLineChars="200"/>
              <w:rPr>
                <w:snapToGrid w:val="0"/>
                <w:kern w:val="0"/>
                <w:sz w:val="24"/>
                <w:szCs w:val="24"/>
              </w:rPr>
            </w:pPr>
            <w:r>
              <w:rPr>
                <w:rFonts w:hint="eastAsia"/>
                <w:snapToGrid w:val="0"/>
                <w:kern w:val="0"/>
                <w:sz w:val="24"/>
                <w:szCs w:val="24"/>
              </w:rPr>
              <w:t>本次在企业正常工况下对企业边界进行噪声实测，根据现状监测数据表明（噪声监测结果详见第一章表1-9），可知本项目噪声在厂界能达标排放。因此，本项目对周围声环境影响较小，其降噪措施可行。</w:t>
            </w:r>
          </w:p>
          <w:p>
            <w:pPr>
              <w:adjustRightInd w:val="0"/>
              <w:snapToGrid w:val="0"/>
              <w:spacing w:line="360" w:lineRule="auto"/>
              <w:ind w:firstLine="480" w:firstLineChars="200"/>
              <w:rPr>
                <w:snapToGrid w:val="0"/>
                <w:kern w:val="0"/>
                <w:sz w:val="24"/>
                <w:szCs w:val="24"/>
              </w:rPr>
            </w:pPr>
            <w:r>
              <w:rPr>
                <w:rFonts w:hint="eastAsia"/>
                <w:snapToGrid w:val="0"/>
                <w:kern w:val="0"/>
                <w:sz w:val="24"/>
                <w:szCs w:val="24"/>
              </w:rPr>
              <w:t>②整改建议：</w:t>
            </w:r>
          </w:p>
          <w:p>
            <w:pPr>
              <w:adjustRightInd w:val="0"/>
              <w:snapToGrid w:val="0"/>
              <w:spacing w:line="360" w:lineRule="auto"/>
              <w:ind w:firstLine="480" w:firstLineChars="200"/>
              <w:rPr>
                <w:snapToGrid w:val="0"/>
                <w:kern w:val="0"/>
                <w:sz w:val="24"/>
                <w:szCs w:val="24"/>
              </w:rPr>
            </w:pPr>
            <w:r>
              <w:rPr>
                <w:rFonts w:hint="eastAsia"/>
                <w:snapToGrid w:val="0"/>
                <w:kern w:val="0"/>
                <w:sz w:val="24"/>
                <w:szCs w:val="24"/>
              </w:rPr>
              <w:t>无。</w:t>
            </w:r>
          </w:p>
          <w:p>
            <w:pPr>
              <w:spacing w:line="360" w:lineRule="auto"/>
              <w:ind w:firstLine="482" w:firstLineChars="200"/>
              <w:rPr>
                <w:sz w:val="24"/>
              </w:rPr>
            </w:pPr>
            <w:r>
              <w:rPr>
                <w:b/>
                <w:bCs/>
                <w:sz w:val="24"/>
              </w:rPr>
              <w:t>4、固体废物</w:t>
            </w:r>
          </w:p>
          <w:p>
            <w:pPr>
              <w:tabs>
                <w:tab w:val="left" w:pos="3930"/>
              </w:tabs>
              <w:spacing w:line="360" w:lineRule="auto"/>
              <w:ind w:firstLine="480" w:firstLineChars="200"/>
              <w:jc w:val="left"/>
              <w:rPr>
                <w:b/>
                <w:bCs/>
                <w:sz w:val="24"/>
              </w:rPr>
            </w:pPr>
            <w:r>
              <w:rPr>
                <w:bCs/>
                <w:sz w:val="24"/>
              </w:rPr>
              <w:t>项目生产过程中产生的固废包括一般固废、危险固废以及生活垃圾。一般固废主要为维修汽车时产生的废零部件、废旧轮胎等；危险固废主要为废机油、机滤及废刹车油、废蓄电池、废防冻液、废油抹布、废手套及废过滤棉与废活性炭等；生活垃圾主要为员工日常生活所产生的垃圾。</w:t>
            </w:r>
          </w:p>
          <w:p>
            <w:pPr>
              <w:tabs>
                <w:tab w:val="left" w:pos="3930"/>
              </w:tabs>
              <w:spacing w:line="360" w:lineRule="auto"/>
              <w:ind w:firstLine="480" w:firstLineChars="200"/>
              <w:jc w:val="left"/>
              <w:rPr>
                <w:b/>
                <w:bCs/>
                <w:sz w:val="24"/>
              </w:rPr>
            </w:pPr>
            <w:r>
              <w:rPr>
                <w:bCs/>
                <w:sz w:val="24"/>
              </w:rPr>
              <w:t>①废零部件：汽车维修时会产生一定的零部件，根据建设单位的从业经验按平均每维修1台汽车，产生约6.25kg的废零部件。根据年维修汽车数量，产生的废零部件量约为</w:t>
            </w:r>
            <w:r>
              <w:rPr>
                <w:rFonts w:hint="eastAsia"/>
                <w:bCs/>
                <w:sz w:val="24"/>
              </w:rPr>
              <w:t>3.75</w:t>
            </w:r>
            <w:r>
              <w:rPr>
                <w:bCs/>
                <w:sz w:val="24"/>
              </w:rPr>
              <w:t>t/a，收集后对于无法再利用的予以外售，进行综合利用；可维修后再利用的，予以返厂维修。</w:t>
            </w:r>
          </w:p>
          <w:p>
            <w:pPr>
              <w:tabs>
                <w:tab w:val="left" w:pos="3930"/>
              </w:tabs>
              <w:spacing w:line="360" w:lineRule="auto"/>
              <w:ind w:firstLine="480" w:firstLineChars="200"/>
              <w:jc w:val="left"/>
              <w:rPr>
                <w:b/>
                <w:bCs/>
                <w:sz w:val="24"/>
              </w:rPr>
            </w:pPr>
            <w:r>
              <w:rPr>
                <w:bCs/>
                <w:sz w:val="24"/>
              </w:rPr>
              <w:t>②废旧轮胎：汽车维修保养时产生的废旧轮胎，产生量为4.0t/a，收集后外售。</w:t>
            </w:r>
          </w:p>
          <w:p>
            <w:pPr>
              <w:tabs>
                <w:tab w:val="left" w:pos="3930"/>
              </w:tabs>
              <w:spacing w:line="360" w:lineRule="auto"/>
              <w:ind w:firstLine="480" w:firstLineChars="200"/>
              <w:jc w:val="left"/>
              <w:rPr>
                <w:b/>
                <w:bCs/>
                <w:sz w:val="24"/>
              </w:rPr>
            </w:pPr>
            <w:r>
              <w:rPr>
                <w:bCs/>
                <w:sz w:val="24"/>
              </w:rPr>
              <w:t>③废集成灰：项目采用移动式集尘器对打磨粉尘进行收集，回收量约为0.2t/a，经收集后交由环卫部门集中处置。</w:t>
            </w:r>
          </w:p>
          <w:p>
            <w:pPr>
              <w:tabs>
                <w:tab w:val="left" w:pos="3930"/>
              </w:tabs>
              <w:spacing w:line="360" w:lineRule="auto"/>
              <w:ind w:firstLine="480" w:firstLineChars="200"/>
              <w:jc w:val="left"/>
              <w:rPr>
                <w:b/>
                <w:bCs/>
                <w:sz w:val="24"/>
              </w:rPr>
            </w:pPr>
            <w:r>
              <w:rPr>
                <w:bCs/>
                <w:sz w:val="24"/>
              </w:rPr>
              <w:t>④废机油及废刹车油：清洗汽车部件剩余的废溶剂、清洗油路的废油，废机油及废刹车油的产生量为7t/a，</w:t>
            </w:r>
            <w:r>
              <w:rPr>
                <w:rFonts w:hint="eastAsia"/>
                <w:bCs/>
                <w:sz w:val="24"/>
              </w:rPr>
              <w:t>根据《国家危险废物名录》（2021版），</w:t>
            </w:r>
            <w:r>
              <w:rPr>
                <w:bCs/>
                <w:sz w:val="24"/>
              </w:rPr>
              <w:t>属于HW08类危险固废（900-214-08），存放于厂内危废暂存间，定期委托有资质单位进行专业处置。</w:t>
            </w:r>
          </w:p>
          <w:p>
            <w:pPr>
              <w:tabs>
                <w:tab w:val="left" w:pos="3930"/>
              </w:tabs>
              <w:spacing w:line="360" w:lineRule="auto"/>
              <w:ind w:firstLine="480" w:firstLineChars="200"/>
              <w:jc w:val="left"/>
              <w:rPr>
                <w:b/>
                <w:bCs/>
                <w:sz w:val="24"/>
              </w:rPr>
            </w:pPr>
            <w:r>
              <w:rPr>
                <w:bCs/>
                <w:sz w:val="24"/>
              </w:rPr>
              <w:t>⑤废蓄电池：根据建设单位的从业经验，按每年需更换的废蓄电池量按20个计（平均重量20kg），则汽车维修保养时所更换的废蓄电池量为1.0t/a，</w:t>
            </w:r>
            <w:r>
              <w:rPr>
                <w:rFonts w:hint="eastAsia"/>
                <w:bCs/>
                <w:sz w:val="24"/>
              </w:rPr>
              <w:t>根据《国家危险废物名录》（2021版），</w:t>
            </w:r>
            <w:r>
              <w:rPr>
                <w:bCs/>
                <w:sz w:val="24"/>
              </w:rPr>
              <w:t>属于HW49类危险固废（900-044-49），经危废暂存间暂存后交由返回</w:t>
            </w:r>
            <w:r>
              <w:rPr>
                <w:rFonts w:hint="eastAsia"/>
                <w:bCs/>
                <w:sz w:val="24"/>
              </w:rPr>
              <w:t>吉利</w:t>
            </w:r>
            <w:r>
              <w:rPr>
                <w:bCs/>
                <w:sz w:val="24"/>
              </w:rPr>
              <w:t>厂商进行综合利用或维修。</w:t>
            </w:r>
          </w:p>
          <w:p>
            <w:pPr>
              <w:tabs>
                <w:tab w:val="left" w:pos="3930"/>
              </w:tabs>
              <w:spacing w:line="360" w:lineRule="auto"/>
              <w:ind w:firstLine="480" w:firstLineChars="200"/>
              <w:jc w:val="left"/>
              <w:rPr>
                <w:b/>
                <w:bCs/>
                <w:sz w:val="24"/>
              </w:rPr>
            </w:pPr>
            <w:r>
              <w:rPr>
                <w:bCs/>
                <w:sz w:val="24"/>
              </w:rPr>
              <w:t>⑥废防冻液：汽车保养时更换的防冻液（主要成分为有机溶剂乙二醇），按平均每维修一</w:t>
            </w:r>
            <w:r>
              <w:rPr>
                <w:rFonts w:hint="eastAsia"/>
                <w:bCs/>
                <w:sz w:val="24"/>
              </w:rPr>
              <w:t>辆</w:t>
            </w:r>
            <w:r>
              <w:rPr>
                <w:bCs/>
                <w:sz w:val="24"/>
              </w:rPr>
              <w:t>车产生1.25kg的废防冻液，则废防冻液的产生量为</w:t>
            </w:r>
            <w:r>
              <w:rPr>
                <w:rFonts w:hint="eastAsia"/>
                <w:bCs/>
                <w:sz w:val="24"/>
              </w:rPr>
              <w:t>0.75</w:t>
            </w:r>
            <w:r>
              <w:rPr>
                <w:bCs/>
                <w:sz w:val="24"/>
              </w:rPr>
              <w:t>t/a，</w:t>
            </w:r>
            <w:r>
              <w:rPr>
                <w:rFonts w:hint="eastAsia"/>
                <w:bCs/>
                <w:sz w:val="24"/>
              </w:rPr>
              <w:t>根据《国家危险废物名录》（2021版），</w:t>
            </w:r>
            <w:r>
              <w:rPr>
                <w:bCs/>
                <w:sz w:val="24"/>
              </w:rPr>
              <w:t>属于HW06类危险固废（900-404-06），存放于厂内危废暂存间，定期委托有资质单位进行专业处置。</w:t>
            </w:r>
          </w:p>
          <w:p>
            <w:pPr>
              <w:spacing w:line="360" w:lineRule="auto"/>
              <w:ind w:firstLine="480" w:firstLineChars="200"/>
              <w:jc w:val="left"/>
              <w:rPr>
                <w:sz w:val="24"/>
              </w:rPr>
            </w:pPr>
            <w:r>
              <w:rPr>
                <w:bCs/>
                <w:sz w:val="24"/>
              </w:rPr>
              <w:t>⑦废过滤棉与废活性炭：喷烤漆房配套的油漆废气处理装置需定期更换活性炭和过滤棉。按1kg活性炭吸附0.3kgVOCs废气、1kg过滤棉吸附0.45kg颗粒物计，按包装规格及吸附量合计，则预计全年产生</w:t>
            </w:r>
            <w:r>
              <w:rPr>
                <w:rFonts w:hint="eastAsia"/>
                <w:bCs/>
                <w:sz w:val="24"/>
              </w:rPr>
              <w:t>3.8</w:t>
            </w:r>
            <w:r>
              <w:rPr>
                <w:bCs/>
                <w:sz w:val="24"/>
              </w:rPr>
              <w:t>t废活性炭、0.</w:t>
            </w:r>
            <w:r>
              <w:rPr>
                <w:rFonts w:hint="eastAsia"/>
                <w:bCs/>
                <w:sz w:val="24"/>
              </w:rPr>
              <w:t>266</w:t>
            </w:r>
            <w:r>
              <w:rPr>
                <w:bCs/>
                <w:sz w:val="24"/>
              </w:rPr>
              <w:t>t过滤棉，合计约为</w:t>
            </w:r>
            <w:r>
              <w:rPr>
                <w:rFonts w:hint="eastAsia"/>
                <w:bCs/>
                <w:sz w:val="24"/>
              </w:rPr>
              <w:t>4.066</w:t>
            </w:r>
            <w:r>
              <w:rPr>
                <w:bCs/>
                <w:sz w:val="24"/>
              </w:rPr>
              <w:t>t/a。</w:t>
            </w:r>
            <w:r>
              <w:rPr>
                <w:rFonts w:hint="eastAsia"/>
                <w:bCs/>
                <w:sz w:val="24"/>
              </w:rPr>
              <w:t>根据《国家危险废物名录》（2021版），过滤棉</w:t>
            </w:r>
            <w:r>
              <w:rPr>
                <w:bCs/>
                <w:sz w:val="24"/>
              </w:rPr>
              <w:t>属于危险废物HW49（900-041-49）</w:t>
            </w:r>
            <w:r>
              <w:rPr>
                <w:rFonts w:hint="eastAsia"/>
                <w:bCs/>
                <w:sz w:val="24"/>
              </w:rPr>
              <w:t>，废活性炭属于危险废物HW49（900-039-49）</w:t>
            </w:r>
            <w:r>
              <w:rPr>
                <w:bCs/>
                <w:sz w:val="24"/>
              </w:rPr>
              <w:t>，经危废暂存间暂存后委托有废物经营许可证的单位进行处理。</w:t>
            </w:r>
          </w:p>
          <w:p>
            <w:pPr>
              <w:tabs>
                <w:tab w:val="left" w:pos="3930"/>
              </w:tabs>
              <w:spacing w:line="360" w:lineRule="auto"/>
              <w:ind w:firstLine="480" w:firstLineChars="200"/>
              <w:jc w:val="left"/>
              <w:rPr>
                <w:b/>
                <w:bCs/>
                <w:sz w:val="24"/>
              </w:rPr>
            </w:pPr>
            <w:r>
              <w:rPr>
                <w:bCs/>
                <w:sz w:val="24"/>
              </w:rPr>
              <w:t>⑧废油抹布、废手套：擦拭维修汽车部件所用的废油抹布及手套，据估算，废油抹布及手套的产生量约为0.4t/a，</w:t>
            </w:r>
            <w:r>
              <w:rPr>
                <w:rFonts w:hint="eastAsia"/>
                <w:bCs/>
                <w:sz w:val="24"/>
              </w:rPr>
              <w:t>根据《国家危险废物名录》（2021版），</w:t>
            </w:r>
            <w:r>
              <w:rPr>
                <w:bCs/>
                <w:sz w:val="24"/>
              </w:rPr>
              <w:t>属于HW</w:t>
            </w:r>
            <w:r>
              <w:rPr>
                <w:rFonts w:hint="eastAsia"/>
                <w:bCs/>
                <w:sz w:val="24"/>
              </w:rPr>
              <w:t>49</w:t>
            </w:r>
            <w:r>
              <w:rPr>
                <w:bCs/>
                <w:sz w:val="24"/>
              </w:rPr>
              <w:t>类危险固废（900-041-49），存放于厂内危废暂存间，定期委托有资质单位进行专业处置。</w:t>
            </w:r>
          </w:p>
          <w:p>
            <w:pPr>
              <w:spacing w:line="360" w:lineRule="auto"/>
              <w:ind w:firstLine="480" w:firstLineChars="200"/>
              <w:jc w:val="left"/>
              <w:rPr>
                <w:bCs/>
                <w:sz w:val="24"/>
              </w:rPr>
            </w:pPr>
            <w:r>
              <w:rPr>
                <w:bCs/>
                <w:sz w:val="24"/>
              </w:rPr>
              <w:t>⑨废UV灯管：UV灯管</w:t>
            </w:r>
            <w:r>
              <w:rPr>
                <w:rFonts w:hint="eastAsia"/>
                <w:bCs/>
                <w:sz w:val="24"/>
              </w:rPr>
              <w:t>一般</w:t>
            </w:r>
            <w:r>
              <w:rPr>
                <w:bCs/>
                <w:sz w:val="24"/>
              </w:rPr>
              <w:t>使用寿命为1000h，</w:t>
            </w:r>
            <w:r>
              <w:rPr>
                <w:rFonts w:hint="eastAsia"/>
                <w:bCs/>
                <w:sz w:val="24"/>
              </w:rPr>
              <w:t>本次评价按每季度需更换3根估算</w:t>
            </w:r>
            <w:r>
              <w:rPr>
                <w:bCs/>
                <w:sz w:val="24"/>
              </w:rPr>
              <w:t>，预计年产生废UV灯管</w:t>
            </w:r>
            <w:r>
              <w:rPr>
                <w:rFonts w:hint="eastAsia"/>
                <w:bCs/>
                <w:sz w:val="24"/>
              </w:rPr>
              <w:t>为12</w:t>
            </w:r>
            <w:r>
              <w:rPr>
                <w:bCs/>
                <w:sz w:val="24"/>
              </w:rPr>
              <w:t>根/年。</w:t>
            </w:r>
            <w:r>
              <w:rPr>
                <w:rFonts w:hint="eastAsia"/>
                <w:bCs/>
                <w:sz w:val="24"/>
              </w:rPr>
              <w:t>根据《国家危险废物名录》（2021版），</w:t>
            </w:r>
            <w:r>
              <w:rPr>
                <w:bCs/>
                <w:sz w:val="24"/>
              </w:rPr>
              <w:t>该部分固废属于危险废物HW29（900-023-29），经危废暂存间暂存后委托有废物经营许可证的单位进行处理。</w:t>
            </w:r>
          </w:p>
          <w:p>
            <w:pPr>
              <w:tabs>
                <w:tab w:val="left" w:pos="3930"/>
              </w:tabs>
              <w:spacing w:line="360" w:lineRule="auto"/>
              <w:ind w:firstLine="480" w:firstLineChars="200"/>
              <w:jc w:val="left"/>
              <w:rPr>
                <w:bCs/>
                <w:sz w:val="24"/>
              </w:rPr>
            </w:pPr>
            <w:r>
              <w:rPr>
                <w:bCs/>
                <w:sz w:val="24"/>
              </w:rPr>
              <w:t>⑩废油漆桶（含废稀释剂桶）：合计产生油漆桶</w:t>
            </w:r>
            <w:r>
              <w:rPr>
                <w:rFonts w:hint="eastAsia"/>
                <w:bCs/>
                <w:sz w:val="24"/>
              </w:rPr>
              <w:t>40</w:t>
            </w:r>
            <w:r>
              <w:rPr>
                <w:bCs/>
                <w:sz w:val="24"/>
              </w:rPr>
              <w:t>个、稀释剂桶</w:t>
            </w:r>
            <w:r>
              <w:rPr>
                <w:rFonts w:hint="eastAsia"/>
                <w:bCs/>
                <w:sz w:val="24"/>
              </w:rPr>
              <w:t>20</w:t>
            </w:r>
            <w:r>
              <w:rPr>
                <w:bCs/>
                <w:sz w:val="24"/>
              </w:rPr>
              <w:t>个，按每个油漆桶0.5kg/个，则预计产生废油漆桶</w:t>
            </w:r>
            <w:r>
              <w:rPr>
                <w:rFonts w:hint="eastAsia"/>
                <w:bCs/>
                <w:sz w:val="24"/>
              </w:rPr>
              <w:t>30</w:t>
            </w:r>
            <w:r>
              <w:rPr>
                <w:bCs/>
                <w:sz w:val="24"/>
              </w:rPr>
              <w:t>kg/a。</w:t>
            </w:r>
            <w:r>
              <w:rPr>
                <w:rFonts w:hint="eastAsia"/>
                <w:bCs/>
                <w:sz w:val="24"/>
              </w:rPr>
              <w:t>根据《国家危险废物名录》（2021版），</w:t>
            </w:r>
            <w:r>
              <w:rPr>
                <w:bCs/>
                <w:sz w:val="24"/>
              </w:rPr>
              <w:t>该部分固废属于危险废物HW49（900-041-49），经危废暂存间暂</w:t>
            </w:r>
            <w:r>
              <w:rPr>
                <w:bCs/>
                <w:sz w:val="24"/>
                <w:szCs w:val="24"/>
              </w:rPr>
              <w:t>存后由具有资质的单位直接进行收集、转运和处置。</w:t>
            </w:r>
          </w:p>
          <w:p>
            <w:pPr>
              <w:tabs>
                <w:tab w:val="left" w:pos="3930"/>
              </w:tabs>
              <w:spacing w:line="360" w:lineRule="auto"/>
              <w:ind w:firstLine="480" w:firstLineChars="200"/>
              <w:jc w:val="left"/>
              <w:rPr>
                <w:bCs/>
                <w:sz w:val="24"/>
              </w:rPr>
            </w:pPr>
            <w:r>
              <w:rPr>
                <w:bCs/>
                <w:sz w:val="24"/>
              </w:rPr>
              <w:t>⑪废漆渣：根据大气工程分析可知，预计产生废漆渣为</w:t>
            </w:r>
            <w:r>
              <w:rPr>
                <w:rFonts w:hint="eastAsia"/>
                <w:bCs/>
                <w:sz w:val="24"/>
              </w:rPr>
              <w:t>0.0012</w:t>
            </w:r>
            <w:r>
              <w:rPr>
                <w:bCs/>
                <w:sz w:val="24"/>
              </w:rPr>
              <w:t>t/a。</w:t>
            </w:r>
            <w:r>
              <w:rPr>
                <w:rFonts w:hint="eastAsia"/>
                <w:bCs/>
                <w:sz w:val="24"/>
              </w:rPr>
              <w:t>根据《国家危险废物名录》（2021版），</w:t>
            </w:r>
            <w:r>
              <w:rPr>
                <w:bCs/>
                <w:sz w:val="24"/>
              </w:rPr>
              <w:t>该部分固废属于危险废物HW12（900-252-12），经危废暂存间暂存后委托有废物经营许可证的单位进行处理。</w:t>
            </w:r>
          </w:p>
          <w:p>
            <w:pPr>
              <w:tabs>
                <w:tab w:val="left" w:pos="3930"/>
              </w:tabs>
              <w:spacing w:line="360" w:lineRule="auto"/>
              <w:ind w:firstLine="480" w:firstLineChars="200"/>
              <w:jc w:val="left"/>
              <w:rPr>
                <w:b/>
                <w:bCs/>
                <w:sz w:val="24"/>
              </w:rPr>
            </w:pPr>
            <w:r>
              <w:rPr>
                <w:bCs/>
                <w:sz w:val="24"/>
              </w:rPr>
              <w:t>⑫生活垃圾：项目职工60人，生活垃圾产生量按0.5kg/人·d计，年工作300天，职工人员生活垃圾产生量约30kg/d（9t/a），生活垃圾由当地环卫部门统一处理。</w:t>
            </w:r>
          </w:p>
          <w:p>
            <w:pPr>
              <w:tabs>
                <w:tab w:val="left" w:pos="3930"/>
              </w:tabs>
              <w:spacing w:line="360" w:lineRule="auto"/>
              <w:ind w:firstLine="480" w:firstLineChars="200"/>
              <w:jc w:val="left"/>
              <w:rPr>
                <w:bCs/>
                <w:sz w:val="24"/>
              </w:rPr>
            </w:pPr>
            <w:r>
              <w:rPr>
                <w:bCs/>
                <w:sz w:val="24"/>
              </w:rPr>
              <w:t>⑬隔油池废水处理产生的污泥和废油：项目采用的隔油沉淀池处理地面和车辆清洗废水会分离产生一定量的污泥和废油。根据《国家危险废物名录》（20</w:t>
            </w:r>
            <w:r>
              <w:rPr>
                <w:rFonts w:hint="eastAsia"/>
                <w:bCs/>
                <w:sz w:val="24"/>
              </w:rPr>
              <w:t>21</w:t>
            </w:r>
            <w:r>
              <w:rPr>
                <w:bCs/>
                <w:sz w:val="24"/>
              </w:rPr>
              <w:t>年），隔油池废水处理产生的污泥和废油均属于危险废物HW08废矿物油与含矿物油废物（900-210-08）。项目废水处理过程干污泥产生量约</w:t>
            </w:r>
            <w:r>
              <w:rPr>
                <w:rFonts w:hint="eastAsia"/>
                <w:bCs/>
                <w:sz w:val="24"/>
              </w:rPr>
              <w:t>0.015</w:t>
            </w:r>
            <w:r>
              <w:rPr>
                <w:bCs/>
                <w:sz w:val="24"/>
              </w:rPr>
              <w:t>t/a，在一般情况下污泥含水率为90%，污泥量为</w:t>
            </w:r>
            <w:r>
              <w:rPr>
                <w:rFonts w:hint="eastAsia"/>
                <w:bCs/>
                <w:sz w:val="24"/>
              </w:rPr>
              <w:t>0.0015</w:t>
            </w:r>
            <w:r>
              <w:rPr>
                <w:bCs/>
                <w:sz w:val="24"/>
              </w:rPr>
              <w:t>t/a；根据工程分析，隔油沉淀池预计分离产生废油</w:t>
            </w:r>
            <w:r>
              <w:rPr>
                <w:rFonts w:hint="eastAsia"/>
                <w:bCs/>
                <w:sz w:val="24"/>
              </w:rPr>
              <w:t>0.0015</w:t>
            </w:r>
            <w:r>
              <w:rPr>
                <w:bCs/>
                <w:sz w:val="24"/>
              </w:rPr>
              <w:t>t/a。由于含油污泥为固液混合状态，且沉淀在隔油沉淀池底部分，而分离出的废油具有一定流动性，为避免在自行收集过程中撒漏、溢流等情况造成二次污染，该危废由具有资质的单位直接进行收集、转运和处置。</w:t>
            </w:r>
          </w:p>
          <w:p>
            <w:pPr>
              <w:tabs>
                <w:tab w:val="left" w:pos="3930"/>
              </w:tabs>
              <w:spacing w:line="360" w:lineRule="auto"/>
              <w:ind w:firstLine="480" w:firstLineChars="200"/>
              <w:jc w:val="left"/>
              <w:rPr>
                <w:bCs/>
                <w:sz w:val="24"/>
              </w:rPr>
            </w:pPr>
            <w:r>
              <w:rPr>
                <w:bCs/>
                <w:sz w:val="24"/>
              </w:rPr>
              <w:t>⑭废三元催化器：本项目仅对车辆进行维修、维护，但不对三元催化器进行维修，直接予以更换。考虑三元催化器在正常情况下使用寿命与车辆使用寿命一致的特点，因此按维修100辆更换一件废三元催化器，则预计产生</w:t>
            </w:r>
            <w:r>
              <w:rPr>
                <w:rFonts w:hint="eastAsia"/>
                <w:bCs/>
                <w:sz w:val="24"/>
              </w:rPr>
              <w:t>6</w:t>
            </w:r>
            <w:r>
              <w:rPr>
                <w:bCs/>
                <w:sz w:val="24"/>
              </w:rPr>
              <w:t>件废三元催化器。每件按10kg计算，则年产生废三元催化器0.0</w:t>
            </w:r>
            <w:r>
              <w:rPr>
                <w:rFonts w:hint="eastAsia"/>
                <w:bCs/>
                <w:sz w:val="24"/>
              </w:rPr>
              <w:t>6</w:t>
            </w:r>
            <w:r>
              <w:rPr>
                <w:bCs/>
                <w:sz w:val="24"/>
              </w:rPr>
              <w:t>t/a。</w:t>
            </w:r>
            <w:r>
              <w:rPr>
                <w:rFonts w:hint="eastAsia"/>
                <w:bCs/>
                <w:sz w:val="24"/>
              </w:rPr>
              <w:t>根据《国家危险废物名录》（2021版）</w:t>
            </w:r>
            <w:r>
              <w:rPr>
                <w:rFonts w:hint="eastAsia"/>
                <w:b/>
                <w:bCs/>
                <w:sz w:val="24"/>
              </w:rPr>
              <w:t>，</w:t>
            </w:r>
            <w:r>
              <w:rPr>
                <w:bCs/>
                <w:sz w:val="24"/>
                <w:szCs w:val="22"/>
              </w:rPr>
              <w:t>该部分固废属于危险废物HW50（900-049-50），经危废暂存间暂存后交由返回</w:t>
            </w:r>
            <w:r>
              <w:rPr>
                <w:rFonts w:hint="eastAsia"/>
                <w:bCs/>
                <w:sz w:val="24"/>
                <w:szCs w:val="22"/>
              </w:rPr>
              <w:t>吉利</w:t>
            </w:r>
            <w:r>
              <w:rPr>
                <w:bCs/>
                <w:sz w:val="24"/>
                <w:szCs w:val="22"/>
              </w:rPr>
              <w:t>厂商进行综合利用或维修。</w:t>
            </w:r>
          </w:p>
          <w:p>
            <w:pPr>
              <w:tabs>
                <w:tab w:val="left" w:pos="3930"/>
              </w:tabs>
              <w:spacing w:line="360" w:lineRule="auto"/>
              <w:ind w:firstLine="480" w:firstLineChars="200"/>
              <w:jc w:val="left"/>
              <w:rPr>
                <w:bCs/>
                <w:sz w:val="24"/>
              </w:rPr>
            </w:pPr>
            <w:r>
              <w:rPr>
                <w:bCs/>
                <w:sz w:val="24"/>
              </w:rPr>
              <w:t>⑮废机油瓶：预计产生废机油瓶1</w:t>
            </w:r>
            <w:r>
              <w:rPr>
                <w:rFonts w:hint="eastAsia"/>
                <w:bCs/>
                <w:sz w:val="24"/>
              </w:rPr>
              <w:t>2</w:t>
            </w:r>
            <w:r>
              <w:rPr>
                <w:bCs/>
                <w:sz w:val="24"/>
              </w:rPr>
              <w:t>00个，按每个机油瓶0.05kg/个，则预计产生废机油瓶</w:t>
            </w:r>
            <w:r>
              <w:rPr>
                <w:rFonts w:hint="eastAsia"/>
                <w:bCs/>
                <w:sz w:val="24"/>
              </w:rPr>
              <w:t>60</w:t>
            </w:r>
            <w:r>
              <w:rPr>
                <w:bCs/>
                <w:sz w:val="24"/>
              </w:rPr>
              <w:t>kg/a。</w:t>
            </w:r>
            <w:r>
              <w:rPr>
                <w:rFonts w:hint="eastAsia"/>
                <w:bCs/>
                <w:sz w:val="24"/>
              </w:rPr>
              <w:t>根据《国家危险废物名录》（2021版），</w:t>
            </w:r>
            <w:r>
              <w:rPr>
                <w:bCs/>
                <w:sz w:val="24"/>
              </w:rPr>
              <w:t>该部分固废属于危险废物HW49（900-041-49），经危废暂存间暂存后委托有废物经营许可证的单位进行处理。</w:t>
            </w:r>
          </w:p>
          <w:p>
            <w:pPr>
              <w:tabs>
                <w:tab w:val="left" w:pos="3930"/>
              </w:tabs>
              <w:spacing w:line="360" w:lineRule="auto"/>
              <w:ind w:firstLine="480" w:firstLineChars="200"/>
              <w:jc w:val="left"/>
              <w:rPr>
                <w:bCs/>
                <w:sz w:val="24"/>
              </w:rPr>
            </w:pPr>
            <w:r>
              <w:rPr>
                <w:bCs/>
                <w:sz w:val="24"/>
              </w:rPr>
              <w:t>⑯废机油滤：根据建设单位的从业经验及机油滤芯使用寿命周期考虑，预计产生废机油滤芯800个（即按1年/辆使用寿命计）；按每个机油滤芯1.3kg计，则预计产生1.04t/a。</w:t>
            </w:r>
            <w:r>
              <w:rPr>
                <w:rFonts w:hint="eastAsia"/>
                <w:bCs/>
                <w:sz w:val="24"/>
              </w:rPr>
              <w:t>根据《国家危险废物名录》（2021版），</w:t>
            </w:r>
            <w:r>
              <w:rPr>
                <w:bCs/>
                <w:sz w:val="24"/>
              </w:rPr>
              <w:t>该部分固废属于危险废物HW49（900-</w:t>
            </w:r>
            <w:r>
              <w:rPr>
                <w:rFonts w:hint="eastAsia"/>
                <w:bCs/>
                <w:sz w:val="24"/>
              </w:rPr>
              <w:t>041</w:t>
            </w:r>
            <w:r>
              <w:rPr>
                <w:bCs/>
                <w:sz w:val="24"/>
              </w:rPr>
              <w:t>-</w:t>
            </w:r>
            <w:r>
              <w:rPr>
                <w:rFonts w:hint="eastAsia"/>
                <w:bCs/>
                <w:sz w:val="24"/>
              </w:rPr>
              <w:t>49</w:t>
            </w:r>
            <w:r>
              <w:rPr>
                <w:bCs/>
                <w:sz w:val="24"/>
              </w:rPr>
              <w:t>），经危废暂存间暂存后委托有废物经营许可证的单位进行处理。</w:t>
            </w:r>
          </w:p>
          <w:p>
            <w:pPr>
              <w:tabs>
                <w:tab w:val="left" w:pos="3930"/>
              </w:tabs>
              <w:spacing w:line="360" w:lineRule="auto"/>
              <w:ind w:firstLine="480" w:firstLineChars="200"/>
              <w:jc w:val="left"/>
              <w:rPr>
                <w:bCs/>
                <w:sz w:val="24"/>
              </w:rPr>
            </w:pPr>
            <w:r>
              <w:rPr>
                <w:bCs/>
                <w:sz w:val="24"/>
              </w:rPr>
              <w:t>⑰废专业擦拭纸（遮蔽纸）：在喷漆过程中使用产生的废专业擦拭纸（遮蔽纸）为12卷（20cm*38cm/张、200张/卷），按每卷重量4kg，则预计产生48kg/a的废专业擦拭纸（遮蔽纸）。</w:t>
            </w:r>
            <w:r>
              <w:rPr>
                <w:rFonts w:hint="eastAsia"/>
                <w:bCs/>
                <w:sz w:val="24"/>
              </w:rPr>
              <w:t>根据《国家危险废物名录》（2021版），</w:t>
            </w:r>
            <w:r>
              <w:rPr>
                <w:bCs/>
                <w:sz w:val="24"/>
              </w:rPr>
              <w:t>该部分固废属于危险废物HW12（900-041-49），经危废暂存间暂存后委托有废物经营许可证的单位进行处理。</w:t>
            </w:r>
          </w:p>
          <w:p>
            <w:pPr>
              <w:tabs>
                <w:tab w:val="left" w:pos="3930"/>
              </w:tabs>
              <w:spacing w:line="360" w:lineRule="auto"/>
              <w:ind w:firstLine="480" w:firstLineChars="200"/>
              <w:jc w:val="left"/>
              <w:rPr>
                <w:bCs/>
                <w:sz w:val="24"/>
              </w:rPr>
            </w:pPr>
            <w:r>
              <w:rPr>
                <w:bCs/>
                <w:sz w:val="24"/>
              </w:rPr>
              <w:t>项目运营过程中产生的固体废弃物全部得到了妥善的处理处置，固废控制率为100%，不会造成二次污染。</w:t>
            </w:r>
          </w:p>
          <w:p>
            <w:pPr>
              <w:tabs>
                <w:tab w:val="left" w:pos="3930"/>
              </w:tabs>
              <w:spacing w:line="360" w:lineRule="auto"/>
              <w:ind w:firstLine="480" w:firstLineChars="200"/>
              <w:jc w:val="left"/>
              <w:rPr>
                <w:bCs/>
                <w:sz w:val="24"/>
              </w:rPr>
            </w:pPr>
            <w:r>
              <w:rPr>
                <w:bCs/>
                <w:sz w:val="24"/>
              </w:rPr>
              <w:t>项目固体废物分析结果汇总表见表5-8。</w:t>
            </w:r>
          </w:p>
          <w:p>
            <w:pPr>
              <w:snapToGrid w:val="0"/>
              <w:jc w:val="center"/>
              <w:rPr>
                <w:b/>
                <w:szCs w:val="21"/>
              </w:rPr>
            </w:pPr>
            <w:r>
              <w:rPr>
                <w:b/>
                <w:szCs w:val="21"/>
              </w:rPr>
              <w:t>表5-8  项目固体废物分析结果汇总表</w:t>
            </w:r>
          </w:p>
          <w:tbl>
            <w:tblPr>
              <w:tblStyle w:val="20"/>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603"/>
              <w:gridCol w:w="870"/>
              <w:gridCol w:w="1248"/>
              <w:gridCol w:w="3092"/>
              <w:gridCol w:w="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b/>
                      <w:szCs w:val="21"/>
                    </w:rPr>
                  </w:pPr>
                  <w:r>
                    <w:rPr>
                      <w:b/>
                      <w:szCs w:val="21"/>
                    </w:rPr>
                    <w:t>序号</w:t>
                  </w:r>
                </w:p>
              </w:tc>
              <w:tc>
                <w:tcPr>
                  <w:tcW w:w="1603" w:type="dxa"/>
                  <w:tcBorders>
                    <w:tl2br w:val="nil"/>
                    <w:tr2bl w:val="nil"/>
                  </w:tcBorders>
                  <w:vAlign w:val="center"/>
                </w:tcPr>
                <w:p>
                  <w:pPr>
                    <w:jc w:val="center"/>
                    <w:rPr>
                      <w:b/>
                      <w:szCs w:val="21"/>
                    </w:rPr>
                  </w:pPr>
                  <w:r>
                    <w:rPr>
                      <w:b/>
                      <w:szCs w:val="21"/>
                    </w:rPr>
                    <w:t>固废名称</w:t>
                  </w:r>
                </w:p>
              </w:tc>
              <w:tc>
                <w:tcPr>
                  <w:tcW w:w="870" w:type="dxa"/>
                  <w:tcBorders>
                    <w:tl2br w:val="nil"/>
                    <w:tr2bl w:val="nil"/>
                  </w:tcBorders>
                  <w:vAlign w:val="center"/>
                </w:tcPr>
                <w:p>
                  <w:pPr>
                    <w:jc w:val="center"/>
                    <w:rPr>
                      <w:b/>
                      <w:szCs w:val="21"/>
                    </w:rPr>
                  </w:pPr>
                  <w:r>
                    <w:rPr>
                      <w:b/>
                      <w:szCs w:val="21"/>
                    </w:rPr>
                    <w:t>属性</w:t>
                  </w:r>
                </w:p>
              </w:tc>
              <w:tc>
                <w:tcPr>
                  <w:tcW w:w="1248" w:type="dxa"/>
                  <w:tcBorders>
                    <w:tl2br w:val="nil"/>
                    <w:tr2bl w:val="nil"/>
                  </w:tcBorders>
                  <w:vAlign w:val="center"/>
                </w:tcPr>
                <w:p>
                  <w:pPr>
                    <w:autoSpaceDE w:val="0"/>
                    <w:autoSpaceDN w:val="0"/>
                    <w:adjustRightInd w:val="0"/>
                    <w:jc w:val="center"/>
                    <w:rPr>
                      <w:b/>
                      <w:kern w:val="0"/>
                      <w:szCs w:val="21"/>
                    </w:rPr>
                  </w:pPr>
                  <w:r>
                    <w:rPr>
                      <w:b/>
                      <w:kern w:val="0"/>
                      <w:szCs w:val="21"/>
                    </w:rPr>
                    <w:t>废物类别</w:t>
                  </w:r>
                </w:p>
                <w:p>
                  <w:pPr>
                    <w:autoSpaceDE w:val="0"/>
                    <w:autoSpaceDN w:val="0"/>
                    <w:adjustRightInd w:val="0"/>
                    <w:jc w:val="center"/>
                    <w:rPr>
                      <w:b/>
                      <w:kern w:val="0"/>
                      <w:szCs w:val="21"/>
                    </w:rPr>
                  </w:pPr>
                  <w:r>
                    <w:rPr>
                      <w:b/>
                      <w:kern w:val="0"/>
                      <w:szCs w:val="21"/>
                    </w:rPr>
                    <w:t>及代码</w:t>
                  </w:r>
                </w:p>
              </w:tc>
              <w:tc>
                <w:tcPr>
                  <w:tcW w:w="3092" w:type="dxa"/>
                  <w:tcBorders>
                    <w:tl2br w:val="nil"/>
                    <w:tr2bl w:val="nil"/>
                  </w:tcBorders>
                  <w:vAlign w:val="center"/>
                </w:tcPr>
                <w:p>
                  <w:pPr>
                    <w:autoSpaceDE w:val="0"/>
                    <w:autoSpaceDN w:val="0"/>
                    <w:adjustRightInd w:val="0"/>
                    <w:jc w:val="center"/>
                    <w:rPr>
                      <w:b/>
                      <w:kern w:val="0"/>
                      <w:szCs w:val="21"/>
                    </w:rPr>
                  </w:pPr>
                  <w:r>
                    <w:rPr>
                      <w:b/>
                      <w:kern w:val="0"/>
                      <w:szCs w:val="21"/>
                    </w:rPr>
                    <w:t>处置措施</w:t>
                  </w:r>
                </w:p>
              </w:tc>
              <w:tc>
                <w:tcPr>
                  <w:tcW w:w="923" w:type="dxa"/>
                  <w:tcBorders>
                    <w:tl2br w:val="nil"/>
                    <w:tr2bl w:val="nil"/>
                  </w:tcBorders>
                  <w:vAlign w:val="center"/>
                </w:tcPr>
                <w:p>
                  <w:pPr>
                    <w:autoSpaceDE w:val="0"/>
                    <w:autoSpaceDN w:val="0"/>
                    <w:adjustRightInd w:val="0"/>
                    <w:jc w:val="center"/>
                    <w:rPr>
                      <w:b/>
                      <w:kern w:val="0"/>
                      <w:szCs w:val="21"/>
                    </w:rPr>
                  </w:pPr>
                  <w:r>
                    <w:rPr>
                      <w:b/>
                      <w:kern w:val="0"/>
                      <w:szCs w:val="21"/>
                    </w:rPr>
                    <w:t>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szCs w:val="21"/>
                    </w:rPr>
                  </w:pPr>
                  <w:r>
                    <w:rPr>
                      <w:szCs w:val="21"/>
                    </w:rPr>
                    <w:t>1</w:t>
                  </w:r>
                </w:p>
              </w:tc>
              <w:tc>
                <w:tcPr>
                  <w:tcW w:w="1603" w:type="dxa"/>
                  <w:tcBorders>
                    <w:tl2br w:val="nil"/>
                    <w:tr2bl w:val="nil"/>
                  </w:tcBorders>
                  <w:vAlign w:val="center"/>
                </w:tcPr>
                <w:p>
                  <w:pPr>
                    <w:jc w:val="center"/>
                    <w:rPr>
                      <w:szCs w:val="21"/>
                    </w:rPr>
                  </w:pPr>
                  <w:r>
                    <w:rPr>
                      <w:szCs w:val="21"/>
                    </w:rPr>
                    <w:t>废零部件</w:t>
                  </w:r>
                </w:p>
              </w:tc>
              <w:tc>
                <w:tcPr>
                  <w:tcW w:w="870" w:type="dxa"/>
                  <w:vMerge w:val="restart"/>
                  <w:tcBorders>
                    <w:tl2br w:val="nil"/>
                    <w:tr2bl w:val="nil"/>
                  </w:tcBorders>
                  <w:vAlign w:val="center"/>
                </w:tcPr>
                <w:p>
                  <w:pPr>
                    <w:jc w:val="center"/>
                    <w:rPr>
                      <w:szCs w:val="21"/>
                    </w:rPr>
                  </w:pPr>
                  <w:r>
                    <w:rPr>
                      <w:szCs w:val="21"/>
                    </w:rPr>
                    <w:t>一般固废</w:t>
                  </w:r>
                </w:p>
              </w:tc>
              <w:tc>
                <w:tcPr>
                  <w:tcW w:w="1248" w:type="dxa"/>
                  <w:tcBorders>
                    <w:tl2br w:val="nil"/>
                    <w:tr2bl w:val="nil"/>
                  </w:tcBorders>
                  <w:vAlign w:val="center"/>
                </w:tcPr>
                <w:p>
                  <w:pPr>
                    <w:jc w:val="center"/>
                    <w:rPr>
                      <w:szCs w:val="21"/>
                    </w:rPr>
                  </w:pPr>
                  <w:r>
                    <w:rPr>
                      <w:szCs w:val="21"/>
                    </w:rPr>
                    <w:t>--</w:t>
                  </w:r>
                </w:p>
              </w:tc>
              <w:tc>
                <w:tcPr>
                  <w:tcW w:w="3092" w:type="dxa"/>
                  <w:tcBorders>
                    <w:tl2br w:val="nil"/>
                    <w:tr2bl w:val="nil"/>
                  </w:tcBorders>
                  <w:vAlign w:val="center"/>
                </w:tcPr>
                <w:p>
                  <w:pPr>
                    <w:jc w:val="center"/>
                    <w:rPr>
                      <w:szCs w:val="21"/>
                    </w:rPr>
                  </w:pPr>
                  <w:r>
                    <w:rPr>
                      <w:szCs w:val="21"/>
                    </w:rPr>
                    <w:t>无法再利用的予以外售，进行综合利用；可维修后再利用的，予以返厂维修</w:t>
                  </w:r>
                </w:p>
              </w:tc>
              <w:tc>
                <w:tcPr>
                  <w:tcW w:w="923" w:type="dxa"/>
                  <w:tcBorders>
                    <w:tl2br w:val="nil"/>
                    <w:tr2bl w:val="nil"/>
                  </w:tcBorders>
                  <w:vAlign w:val="center"/>
                </w:tcPr>
                <w:p>
                  <w:pPr>
                    <w:jc w:val="center"/>
                    <w:rPr>
                      <w:szCs w:val="21"/>
                    </w:rPr>
                  </w:pPr>
                  <w:r>
                    <w:rPr>
                      <w:rFonts w:hint="eastAsia"/>
                      <w:szCs w:val="21"/>
                    </w:rPr>
                    <w:t>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szCs w:val="21"/>
                    </w:rPr>
                  </w:pPr>
                  <w:r>
                    <w:rPr>
                      <w:szCs w:val="21"/>
                    </w:rPr>
                    <w:t>2</w:t>
                  </w: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废旧轮胎</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w:t>
                  </w:r>
                </w:p>
              </w:tc>
              <w:tc>
                <w:tcPr>
                  <w:tcW w:w="3092" w:type="dxa"/>
                  <w:tcBorders>
                    <w:tl2br w:val="nil"/>
                    <w:tr2bl w:val="nil"/>
                  </w:tcBorders>
                  <w:vAlign w:val="center"/>
                </w:tcPr>
                <w:p>
                  <w:pPr>
                    <w:jc w:val="center"/>
                    <w:rPr>
                      <w:szCs w:val="21"/>
                    </w:rPr>
                  </w:pPr>
                  <w:r>
                    <w:rPr>
                      <w:szCs w:val="21"/>
                    </w:rPr>
                    <w:t>收集后外售</w:t>
                  </w:r>
                </w:p>
              </w:tc>
              <w:tc>
                <w:tcPr>
                  <w:tcW w:w="923" w:type="dxa"/>
                  <w:tcBorders>
                    <w:tl2br w:val="nil"/>
                    <w:tr2bl w:val="nil"/>
                  </w:tcBorders>
                  <w:vAlign w:val="center"/>
                </w:tcPr>
                <w:p>
                  <w:pPr>
                    <w:jc w:val="center"/>
                    <w:rPr>
                      <w:szCs w:val="21"/>
                    </w:rPr>
                  </w:pPr>
                  <w:r>
                    <w:rPr>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szCs w:val="21"/>
                    </w:rPr>
                  </w:pPr>
                  <w:r>
                    <w:rPr>
                      <w:szCs w:val="21"/>
                    </w:rPr>
                    <w:t>3</w:t>
                  </w: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集尘灰</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w:t>
                  </w:r>
                </w:p>
              </w:tc>
              <w:tc>
                <w:tcPr>
                  <w:tcW w:w="3092" w:type="dxa"/>
                  <w:vMerge w:val="restar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收集后交由环卫部门处置</w:t>
                  </w:r>
                </w:p>
              </w:tc>
              <w:tc>
                <w:tcPr>
                  <w:tcW w:w="923" w:type="dxa"/>
                  <w:tcBorders>
                    <w:tl2br w:val="nil"/>
                    <w:tr2bl w:val="nil"/>
                  </w:tcBorders>
                  <w:vAlign w:val="center"/>
                </w:tcPr>
                <w:p>
                  <w:pPr>
                    <w:jc w:val="center"/>
                    <w:rPr>
                      <w:szCs w:val="21"/>
                    </w:rPr>
                  </w:pPr>
                  <w:r>
                    <w:rPr>
                      <w:szCs w:val="21"/>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1603"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废抹布、废手套</w:t>
                  </w:r>
                </w:p>
              </w:tc>
              <w:tc>
                <w:tcPr>
                  <w:tcW w:w="870" w:type="dxa"/>
                  <w:vMerge w:val="continue"/>
                  <w:tcBorders>
                    <w:tl2br w:val="nil"/>
                    <w:tr2bl w:val="nil"/>
                  </w:tcBorders>
                  <w:vAlign w:val="center"/>
                </w:tcPr>
                <w:p>
                  <w:pPr>
                    <w:jc w:val="center"/>
                    <w:rPr>
                      <w:rFonts w:ascii="Times New Roman" w:hAnsi="Times New Roman" w:eastAsia="宋体" w:cs="Times New Roman"/>
                      <w:kern w:val="2"/>
                      <w:sz w:val="21"/>
                      <w:szCs w:val="21"/>
                      <w:lang w:val="en-US" w:eastAsia="zh-CN" w:bidi="ar-SA"/>
                    </w:rPr>
                  </w:pPr>
                </w:p>
              </w:tc>
              <w:tc>
                <w:tcPr>
                  <w:tcW w:w="1248" w:type="dxa"/>
                  <w:tcBorders>
                    <w:tl2br w:val="nil"/>
                    <w:tr2bl w:val="nil"/>
                  </w:tcBorders>
                  <w:vAlign w:val="center"/>
                </w:tcPr>
                <w:p>
                  <w:pPr>
                    <w:pStyle w:val="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3092" w:type="dxa"/>
                  <w:vMerge w:val="continue"/>
                  <w:tcBorders>
                    <w:tl2br w:val="nil"/>
                    <w:tr2bl w:val="nil"/>
                  </w:tcBorders>
                  <w:vAlign w:val="center"/>
                </w:tcPr>
                <w:p>
                  <w:pPr>
                    <w:jc w:val="center"/>
                    <w:rPr>
                      <w:rFonts w:ascii="Times New Roman" w:hAnsi="Times New Roman" w:eastAsia="宋体" w:cs="Times New Roman"/>
                      <w:kern w:val="2"/>
                      <w:sz w:val="21"/>
                      <w:szCs w:val="21"/>
                      <w:lang w:val="en-US" w:eastAsia="zh-CN" w:bidi="ar-SA"/>
                    </w:rPr>
                  </w:pPr>
                </w:p>
              </w:tc>
              <w:tc>
                <w:tcPr>
                  <w:tcW w:w="923"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1603" w:type="dxa"/>
                  <w:tcBorders>
                    <w:tl2br w:val="nil"/>
                    <w:tr2bl w:val="nil"/>
                  </w:tcBorders>
                  <w:vAlign w:val="center"/>
                </w:tcPr>
                <w:p>
                  <w:pPr>
                    <w:autoSpaceDE w:val="0"/>
                    <w:autoSpaceDN w:val="0"/>
                    <w:adjustRightInd w:val="0"/>
                    <w:jc w:val="center"/>
                    <w:rPr>
                      <w:rFonts w:ascii="Times New Roman" w:hAnsi="Times New Roman" w:eastAsia="宋体" w:cs="Times New Roman"/>
                      <w:kern w:val="0"/>
                      <w:sz w:val="21"/>
                      <w:szCs w:val="21"/>
                      <w:lang w:val="en-US" w:eastAsia="zh-CN" w:bidi="ar-SA"/>
                    </w:rPr>
                  </w:pPr>
                  <w:r>
                    <w:rPr>
                      <w:kern w:val="0"/>
                      <w:szCs w:val="21"/>
                    </w:rPr>
                    <w:t>废三元催化器</w:t>
                  </w:r>
                </w:p>
              </w:tc>
              <w:tc>
                <w:tcPr>
                  <w:tcW w:w="870" w:type="dxa"/>
                  <w:vMerge w:val="continue"/>
                  <w:tcBorders>
                    <w:tl2br w:val="nil"/>
                    <w:tr2bl w:val="nil"/>
                  </w:tcBorders>
                  <w:vAlign w:val="center"/>
                </w:tcPr>
                <w:p>
                  <w:pPr>
                    <w:jc w:val="center"/>
                    <w:rPr>
                      <w:rFonts w:ascii="Times New Roman" w:hAnsi="Times New Roman" w:eastAsia="宋体" w:cs="Times New Roman"/>
                      <w:kern w:val="2"/>
                      <w:sz w:val="21"/>
                      <w:szCs w:val="21"/>
                      <w:lang w:val="en-US" w:eastAsia="zh-CN" w:bidi="ar-SA"/>
                    </w:rPr>
                  </w:pPr>
                </w:p>
              </w:tc>
              <w:tc>
                <w:tcPr>
                  <w:tcW w:w="1248" w:type="dxa"/>
                  <w:tcBorders>
                    <w:tl2br w:val="nil"/>
                    <w:tr2bl w:val="nil"/>
                  </w:tcBorders>
                  <w:vAlign w:val="center"/>
                </w:tcPr>
                <w:p>
                  <w:pPr>
                    <w:pStyle w:val="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3092" w:type="dxa"/>
                  <w:vMerge w:val="continue"/>
                  <w:tcBorders>
                    <w:tl2br w:val="nil"/>
                    <w:tr2bl w:val="nil"/>
                  </w:tcBorders>
                  <w:vAlign w:val="center"/>
                </w:tcPr>
                <w:p>
                  <w:pPr>
                    <w:jc w:val="center"/>
                    <w:rPr>
                      <w:rFonts w:ascii="Times New Roman" w:hAnsi="Times New Roman" w:eastAsia="宋体" w:cs="Times New Roman"/>
                      <w:kern w:val="2"/>
                      <w:sz w:val="21"/>
                      <w:szCs w:val="21"/>
                      <w:lang w:val="en-US" w:eastAsia="zh-CN" w:bidi="ar-SA"/>
                    </w:rPr>
                  </w:pPr>
                </w:p>
              </w:tc>
              <w:tc>
                <w:tcPr>
                  <w:tcW w:w="923"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0.0</w:t>
                  </w:r>
                  <w:r>
                    <w:rPr>
                      <w:rFonts w:hint="eastAsia"/>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eastAsia="宋体"/>
                      <w:szCs w:val="21"/>
                      <w:lang w:eastAsia="zh-CN"/>
                    </w:rPr>
                  </w:pPr>
                  <w:r>
                    <w:rPr>
                      <w:rFonts w:hint="eastAsia"/>
                      <w:szCs w:val="21"/>
                      <w:lang w:val="en-US" w:eastAsia="zh-CN"/>
                    </w:rPr>
                    <w:t>6</w:t>
                  </w:r>
                </w:p>
              </w:tc>
              <w:tc>
                <w:tcPr>
                  <w:tcW w:w="1603" w:type="dxa"/>
                  <w:tcBorders>
                    <w:tl2br w:val="nil"/>
                    <w:tr2bl w:val="nil"/>
                  </w:tcBorders>
                  <w:vAlign w:val="center"/>
                </w:tcPr>
                <w:p>
                  <w:pPr>
                    <w:jc w:val="center"/>
                    <w:rPr>
                      <w:kern w:val="0"/>
                      <w:szCs w:val="21"/>
                    </w:rPr>
                  </w:pPr>
                  <w:r>
                    <w:rPr>
                      <w:szCs w:val="21"/>
                    </w:rPr>
                    <w:t>废机油、废刹车油</w:t>
                  </w:r>
                </w:p>
              </w:tc>
              <w:tc>
                <w:tcPr>
                  <w:tcW w:w="870" w:type="dxa"/>
                  <w:vMerge w:val="restart"/>
                  <w:tcBorders>
                    <w:tl2br w:val="nil"/>
                    <w:tr2bl w:val="nil"/>
                  </w:tcBorders>
                  <w:vAlign w:val="center"/>
                </w:tcPr>
                <w:p>
                  <w:pPr>
                    <w:jc w:val="center"/>
                    <w:rPr>
                      <w:szCs w:val="21"/>
                    </w:rPr>
                  </w:pPr>
                  <w:r>
                    <w:rPr>
                      <w:szCs w:val="21"/>
                    </w:rPr>
                    <w:t>危险废物</w:t>
                  </w:r>
                </w:p>
              </w:tc>
              <w:tc>
                <w:tcPr>
                  <w:tcW w:w="1248" w:type="dxa"/>
                  <w:tcBorders>
                    <w:tl2br w:val="nil"/>
                    <w:tr2bl w:val="nil"/>
                  </w:tcBorders>
                  <w:vAlign w:val="center"/>
                </w:tcPr>
                <w:p>
                  <w:pPr>
                    <w:jc w:val="center"/>
                    <w:rPr>
                      <w:szCs w:val="21"/>
                    </w:rPr>
                  </w:pPr>
                  <w:r>
                    <w:rPr>
                      <w:szCs w:val="21"/>
                    </w:rPr>
                    <w:t>HW08</w:t>
                  </w:r>
                </w:p>
                <w:p>
                  <w:pPr>
                    <w:pStyle w:val="2"/>
                    <w:jc w:val="center"/>
                    <w:rPr>
                      <w:szCs w:val="21"/>
                    </w:rPr>
                  </w:pPr>
                  <w:r>
                    <w:rPr>
                      <w:szCs w:val="21"/>
                    </w:rPr>
                    <w:t>900-214-08</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eastAsia="宋体"/>
                      <w:szCs w:val="21"/>
                      <w:lang w:eastAsia="zh-CN"/>
                    </w:rPr>
                  </w:pPr>
                  <w:r>
                    <w:rPr>
                      <w:rFonts w:hint="eastAsia"/>
                      <w:szCs w:val="21"/>
                      <w:lang w:val="en-US" w:eastAsia="zh-CN"/>
                    </w:rPr>
                    <w:t>7</w:t>
                  </w:r>
                </w:p>
              </w:tc>
              <w:tc>
                <w:tcPr>
                  <w:tcW w:w="1603" w:type="dxa"/>
                  <w:tcBorders>
                    <w:tl2br w:val="nil"/>
                    <w:tr2bl w:val="nil"/>
                  </w:tcBorders>
                  <w:vAlign w:val="center"/>
                </w:tcPr>
                <w:p>
                  <w:pPr>
                    <w:jc w:val="center"/>
                    <w:rPr>
                      <w:szCs w:val="21"/>
                    </w:rPr>
                  </w:pPr>
                  <w:r>
                    <w:rPr>
                      <w:szCs w:val="21"/>
                    </w:rPr>
                    <w:t>废蓄电池</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HW49</w:t>
                  </w:r>
                </w:p>
                <w:p>
                  <w:pPr>
                    <w:pStyle w:val="2"/>
                    <w:jc w:val="center"/>
                    <w:rPr>
                      <w:szCs w:val="21"/>
                    </w:rPr>
                  </w:pPr>
                  <w:r>
                    <w:rPr>
                      <w:szCs w:val="21"/>
                    </w:rPr>
                    <w:t>900-044-49</w:t>
                  </w:r>
                </w:p>
              </w:tc>
              <w:tc>
                <w:tcPr>
                  <w:tcW w:w="3092" w:type="dxa"/>
                  <w:tcBorders>
                    <w:tl2br w:val="nil"/>
                    <w:tr2bl w:val="nil"/>
                  </w:tcBorders>
                  <w:vAlign w:val="center"/>
                </w:tcPr>
                <w:p>
                  <w:pPr>
                    <w:jc w:val="center"/>
                    <w:rPr>
                      <w:szCs w:val="21"/>
                    </w:rPr>
                  </w:pPr>
                  <w:r>
                    <w:rPr>
                      <w:szCs w:val="21"/>
                    </w:rPr>
                    <w:t>危废暂存间+返厂综合利用或维修</w:t>
                  </w:r>
                </w:p>
              </w:tc>
              <w:tc>
                <w:tcPr>
                  <w:tcW w:w="923" w:type="dxa"/>
                  <w:tcBorders>
                    <w:tl2br w:val="nil"/>
                    <w:tr2bl w:val="nil"/>
                  </w:tcBorders>
                  <w:vAlign w:val="center"/>
                </w:tcPr>
                <w:p>
                  <w:pPr>
                    <w:jc w:val="center"/>
                    <w:rPr>
                      <w:szCs w:val="21"/>
                    </w:rPr>
                  </w:pPr>
                  <w:r>
                    <w:rPr>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eastAsia="宋体"/>
                      <w:szCs w:val="21"/>
                      <w:lang w:eastAsia="zh-CN"/>
                    </w:rPr>
                  </w:pPr>
                  <w:r>
                    <w:rPr>
                      <w:rFonts w:hint="eastAsia"/>
                      <w:szCs w:val="21"/>
                      <w:lang w:val="en-US" w:eastAsia="zh-CN"/>
                    </w:rPr>
                    <w:t>8</w:t>
                  </w:r>
                </w:p>
              </w:tc>
              <w:tc>
                <w:tcPr>
                  <w:tcW w:w="1603" w:type="dxa"/>
                  <w:tcBorders>
                    <w:tl2br w:val="nil"/>
                    <w:tr2bl w:val="nil"/>
                  </w:tcBorders>
                  <w:vAlign w:val="center"/>
                </w:tcPr>
                <w:p>
                  <w:pPr>
                    <w:autoSpaceDE w:val="0"/>
                    <w:autoSpaceDN w:val="0"/>
                    <w:adjustRightInd w:val="0"/>
                    <w:jc w:val="center"/>
                    <w:rPr>
                      <w:szCs w:val="21"/>
                    </w:rPr>
                  </w:pPr>
                  <w:r>
                    <w:rPr>
                      <w:kern w:val="0"/>
                      <w:szCs w:val="21"/>
                    </w:rPr>
                    <w:t>废防冻液</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HW06</w:t>
                  </w:r>
                </w:p>
                <w:p>
                  <w:pPr>
                    <w:pStyle w:val="2"/>
                    <w:jc w:val="center"/>
                    <w:rPr>
                      <w:szCs w:val="21"/>
                    </w:rPr>
                  </w:pPr>
                  <w:r>
                    <w:rPr>
                      <w:kern w:val="0"/>
                      <w:szCs w:val="21"/>
                    </w:rPr>
                    <w:t>900-404-06</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rFonts w:hint="eastAsia"/>
                      <w:szCs w:val="21"/>
                    </w:rPr>
                    <w:t>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eastAsia="宋体"/>
                      <w:szCs w:val="21"/>
                      <w:lang w:eastAsia="zh-CN"/>
                    </w:rPr>
                  </w:pPr>
                  <w:r>
                    <w:rPr>
                      <w:rFonts w:hint="eastAsia"/>
                      <w:szCs w:val="21"/>
                      <w:lang w:val="en-US" w:eastAsia="zh-CN"/>
                    </w:rPr>
                    <w:t>9</w:t>
                  </w:r>
                </w:p>
              </w:tc>
              <w:tc>
                <w:tcPr>
                  <w:tcW w:w="1603" w:type="dxa"/>
                  <w:tcBorders>
                    <w:tl2br w:val="nil"/>
                    <w:tr2bl w:val="nil"/>
                  </w:tcBorders>
                  <w:vAlign w:val="center"/>
                </w:tcPr>
                <w:p>
                  <w:pPr>
                    <w:jc w:val="center"/>
                    <w:rPr>
                      <w:kern w:val="0"/>
                      <w:szCs w:val="21"/>
                    </w:rPr>
                  </w:pPr>
                  <w:r>
                    <w:rPr>
                      <w:szCs w:val="21"/>
                    </w:rPr>
                    <w:t>废过滤棉与废活性炭</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废过滤棉HW49</w:t>
                  </w:r>
                </w:p>
                <w:p>
                  <w:pPr>
                    <w:jc w:val="center"/>
                    <w:rPr>
                      <w:szCs w:val="21"/>
                    </w:rPr>
                  </w:pPr>
                  <w:r>
                    <w:rPr>
                      <w:szCs w:val="21"/>
                    </w:rPr>
                    <w:t>900-041-49废活性炭HW49</w:t>
                  </w:r>
                </w:p>
                <w:p>
                  <w:pPr>
                    <w:pStyle w:val="2"/>
                    <w:jc w:val="center"/>
                    <w:rPr>
                      <w:kern w:val="0"/>
                      <w:szCs w:val="21"/>
                    </w:rPr>
                  </w:pPr>
                  <w:r>
                    <w:rPr>
                      <w:rFonts w:hint="eastAsia"/>
                      <w:bCs/>
                      <w:szCs w:val="21"/>
                    </w:rPr>
                    <w:t>900-039-49</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rFonts w:hint="eastAsia"/>
                      <w:szCs w:val="21"/>
                    </w:rPr>
                    <w:t>4.066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10</w:t>
                  </w:r>
                </w:p>
              </w:tc>
              <w:tc>
                <w:tcPr>
                  <w:tcW w:w="1603" w:type="dxa"/>
                  <w:tcBorders>
                    <w:tl2br w:val="nil"/>
                    <w:tr2bl w:val="nil"/>
                  </w:tcBorders>
                  <w:vAlign w:val="center"/>
                </w:tcPr>
                <w:p>
                  <w:pPr>
                    <w:jc w:val="center"/>
                    <w:rPr>
                      <w:kern w:val="0"/>
                      <w:szCs w:val="21"/>
                    </w:rPr>
                  </w:pPr>
                  <w:r>
                    <w:rPr>
                      <w:szCs w:val="21"/>
                    </w:rPr>
                    <w:t>废UV灯管</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HW29</w:t>
                  </w:r>
                </w:p>
                <w:p>
                  <w:pPr>
                    <w:pStyle w:val="2"/>
                    <w:jc w:val="center"/>
                    <w:rPr>
                      <w:szCs w:val="21"/>
                    </w:rPr>
                  </w:pPr>
                  <w:r>
                    <w:rPr>
                      <w:szCs w:val="21"/>
                    </w:rPr>
                    <w:t>900-023-29</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rFonts w:hint="eastAsia"/>
                      <w:szCs w:val="21"/>
                    </w:rPr>
                    <w:t>12根/年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11</w:t>
                  </w:r>
                </w:p>
              </w:tc>
              <w:tc>
                <w:tcPr>
                  <w:tcW w:w="1603" w:type="dxa"/>
                  <w:tcBorders>
                    <w:tl2br w:val="nil"/>
                    <w:tr2bl w:val="nil"/>
                  </w:tcBorders>
                  <w:vAlign w:val="center"/>
                </w:tcPr>
                <w:p>
                  <w:pPr>
                    <w:jc w:val="center"/>
                    <w:rPr>
                      <w:szCs w:val="21"/>
                    </w:rPr>
                  </w:pPr>
                  <w:r>
                    <w:rPr>
                      <w:szCs w:val="21"/>
                    </w:rPr>
                    <w:t>废油漆桶（含废稀释剂桶）</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HW49</w:t>
                  </w:r>
                </w:p>
                <w:p>
                  <w:pPr>
                    <w:pStyle w:val="2"/>
                    <w:jc w:val="center"/>
                    <w:rPr>
                      <w:szCs w:val="21"/>
                    </w:rPr>
                  </w:pPr>
                  <w:r>
                    <w:rPr>
                      <w:szCs w:val="21"/>
                    </w:rPr>
                    <w:t>900-041-49</w:t>
                  </w:r>
                </w:p>
              </w:tc>
              <w:tc>
                <w:tcPr>
                  <w:tcW w:w="3092" w:type="dxa"/>
                  <w:tcBorders>
                    <w:tl2br w:val="nil"/>
                    <w:tr2bl w:val="nil"/>
                  </w:tcBorders>
                  <w:vAlign w:val="center"/>
                </w:tcPr>
                <w:p>
                  <w:pPr>
                    <w:jc w:val="center"/>
                    <w:rPr>
                      <w:szCs w:val="21"/>
                    </w:rPr>
                  </w:pPr>
                  <w:r>
                    <w:rPr>
                      <w:szCs w:val="21"/>
                    </w:rPr>
                    <w:t>危废暂存间+</w:t>
                  </w:r>
                  <w:r>
                    <w:rPr>
                      <w:bCs/>
                      <w:szCs w:val="21"/>
                    </w:rPr>
                    <w:t>由具有资质的单位直接进行收集、转运和处置</w:t>
                  </w:r>
                </w:p>
              </w:tc>
              <w:tc>
                <w:tcPr>
                  <w:tcW w:w="923" w:type="dxa"/>
                  <w:tcBorders>
                    <w:tl2br w:val="nil"/>
                    <w:tr2bl w:val="nil"/>
                  </w:tcBorders>
                  <w:vAlign w:val="center"/>
                </w:tcPr>
                <w:p>
                  <w:pPr>
                    <w:jc w:val="center"/>
                    <w:rPr>
                      <w:szCs w:val="21"/>
                    </w:rPr>
                  </w:pPr>
                  <w:r>
                    <w:rPr>
                      <w:szCs w:val="21"/>
                    </w:rPr>
                    <w:t>0.0</w:t>
                  </w:r>
                  <w:r>
                    <w:rPr>
                      <w:rFonts w:hint="eastAsia"/>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eastAsia="宋体"/>
                      <w:szCs w:val="21"/>
                      <w:lang w:eastAsia="zh-CN"/>
                    </w:rPr>
                  </w:pPr>
                  <w:r>
                    <w:rPr>
                      <w:szCs w:val="21"/>
                    </w:rPr>
                    <w:t>1</w:t>
                  </w:r>
                  <w:r>
                    <w:rPr>
                      <w:rFonts w:hint="eastAsia"/>
                      <w:szCs w:val="21"/>
                      <w:lang w:val="en-US" w:eastAsia="zh-CN"/>
                    </w:rPr>
                    <w:t>2</w:t>
                  </w:r>
                </w:p>
              </w:tc>
              <w:tc>
                <w:tcPr>
                  <w:tcW w:w="1603" w:type="dxa"/>
                  <w:tcBorders>
                    <w:tl2br w:val="nil"/>
                    <w:tr2bl w:val="nil"/>
                  </w:tcBorders>
                  <w:vAlign w:val="center"/>
                </w:tcPr>
                <w:p>
                  <w:pPr>
                    <w:jc w:val="center"/>
                    <w:rPr>
                      <w:szCs w:val="21"/>
                    </w:rPr>
                  </w:pPr>
                  <w:r>
                    <w:rPr>
                      <w:szCs w:val="21"/>
                    </w:rPr>
                    <w:t>废漆渣</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jc w:val="center"/>
                    <w:rPr>
                      <w:szCs w:val="21"/>
                    </w:rPr>
                  </w:pPr>
                  <w:r>
                    <w:rPr>
                      <w:szCs w:val="21"/>
                    </w:rPr>
                    <w:t>HW12</w:t>
                  </w:r>
                </w:p>
                <w:p>
                  <w:pPr>
                    <w:pStyle w:val="2"/>
                    <w:jc w:val="center"/>
                    <w:rPr>
                      <w:szCs w:val="21"/>
                    </w:rPr>
                  </w:pPr>
                  <w:r>
                    <w:rPr>
                      <w:szCs w:val="21"/>
                    </w:rPr>
                    <w:t>900-252-12</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szCs w:val="21"/>
                    </w:rPr>
                    <w:t>0.00</w:t>
                  </w:r>
                  <w:r>
                    <w:rPr>
                      <w:rFonts w:hint="eastAsia"/>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46" w:type="dxa"/>
                  <w:tcBorders>
                    <w:tl2br w:val="nil"/>
                    <w:tr2bl w:val="nil"/>
                  </w:tcBorders>
                  <w:vAlign w:val="center"/>
                </w:tcPr>
                <w:p>
                  <w:pPr>
                    <w:jc w:val="center"/>
                    <w:rPr>
                      <w:rFonts w:hint="eastAsia" w:eastAsia="宋体"/>
                      <w:szCs w:val="21"/>
                      <w:lang w:eastAsia="zh-CN"/>
                    </w:rPr>
                  </w:pPr>
                  <w:r>
                    <w:rPr>
                      <w:szCs w:val="21"/>
                    </w:rPr>
                    <w:t>1</w:t>
                  </w:r>
                  <w:r>
                    <w:rPr>
                      <w:rFonts w:hint="eastAsia"/>
                      <w:szCs w:val="21"/>
                      <w:lang w:val="en-US" w:eastAsia="zh-CN"/>
                    </w:rPr>
                    <w:t>3</w:t>
                  </w:r>
                </w:p>
              </w:tc>
              <w:tc>
                <w:tcPr>
                  <w:tcW w:w="1603" w:type="dxa"/>
                  <w:tcBorders>
                    <w:tl2br w:val="nil"/>
                    <w:tr2bl w:val="nil"/>
                  </w:tcBorders>
                  <w:vAlign w:val="center"/>
                </w:tcPr>
                <w:p>
                  <w:pPr>
                    <w:autoSpaceDE w:val="0"/>
                    <w:autoSpaceDN w:val="0"/>
                    <w:adjustRightInd w:val="0"/>
                    <w:jc w:val="center"/>
                    <w:rPr>
                      <w:szCs w:val="21"/>
                    </w:rPr>
                  </w:pPr>
                  <w:r>
                    <w:rPr>
                      <w:kern w:val="0"/>
                      <w:szCs w:val="21"/>
                    </w:rPr>
                    <w:t>生活垃圾</w:t>
                  </w:r>
                </w:p>
              </w:tc>
              <w:tc>
                <w:tcPr>
                  <w:tcW w:w="870" w:type="dxa"/>
                  <w:tcBorders>
                    <w:tl2br w:val="nil"/>
                    <w:tr2bl w:val="nil"/>
                  </w:tcBorders>
                  <w:vAlign w:val="center"/>
                </w:tcPr>
                <w:p>
                  <w:pPr>
                    <w:jc w:val="center"/>
                    <w:rPr>
                      <w:szCs w:val="21"/>
                    </w:rPr>
                  </w:pPr>
                  <w:r>
                    <w:rPr>
                      <w:szCs w:val="21"/>
                    </w:rPr>
                    <w:t>一般固废</w:t>
                  </w:r>
                </w:p>
              </w:tc>
              <w:tc>
                <w:tcPr>
                  <w:tcW w:w="1248" w:type="dxa"/>
                  <w:tcBorders>
                    <w:tl2br w:val="nil"/>
                    <w:tr2bl w:val="nil"/>
                  </w:tcBorders>
                  <w:vAlign w:val="center"/>
                </w:tcPr>
                <w:p>
                  <w:pPr>
                    <w:jc w:val="center"/>
                    <w:rPr>
                      <w:szCs w:val="21"/>
                    </w:rPr>
                  </w:pPr>
                  <w:r>
                    <w:rPr>
                      <w:szCs w:val="21"/>
                    </w:rPr>
                    <w:t>--</w:t>
                  </w:r>
                </w:p>
              </w:tc>
              <w:tc>
                <w:tcPr>
                  <w:tcW w:w="3092" w:type="dxa"/>
                  <w:tcBorders>
                    <w:tl2br w:val="nil"/>
                    <w:tr2bl w:val="nil"/>
                  </w:tcBorders>
                  <w:vAlign w:val="center"/>
                </w:tcPr>
                <w:p>
                  <w:pPr>
                    <w:jc w:val="center"/>
                    <w:rPr>
                      <w:szCs w:val="21"/>
                    </w:rPr>
                  </w:pPr>
                  <w:r>
                    <w:rPr>
                      <w:szCs w:val="21"/>
                    </w:rPr>
                    <w:t>环卫部门处置</w:t>
                  </w:r>
                </w:p>
              </w:tc>
              <w:tc>
                <w:tcPr>
                  <w:tcW w:w="923" w:type="dxa"/>
                  <w:tcBorders>
                    <w:tl2br w:val="nil"/>
                    <w:tr2bl w:val="nil"/>
                  </w:tcBorders>
                  <w:vAlign w:val="center"/>
                </w:tcPr>
                <w:p>
                  <w:pPr>
                    <w:jc w:val="center"/>
                    <w:rPr>
                      <w:szCs w:val="21"/>
                    </w:rPr>
                  </w:pPr>
                  <w:r>
                    <w:rPr>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6" w:type="dxa"/>
                  <w:vMerge w:val="restart"/>
                  <w:tcBorders>
                    <w:tl2br w:val="nil"/>
                    <w:tr2bl w:val="nil"/>
                  </w:tcBorders>
                  <w:vAlign w:val="center"/>
                </w:tcPr>
                <w:p>
                  <w:pPr>
                    <w:jc w:val="center"/>
                    <w:rPr>
                      <w:rFonts w:hint="eastAsia" w:eastAsia="宋体"/>
                      <w:szCs w:val="21"/>
                      <w:lang w:eastAsia="zh-CN"/>
                    </w:rPr>
                  </w:pPr>
                  <w:r>
                    <w:rPr>
                      <w:szCs w:val="21"/>
                    </w:rPr>
                    <w:t>1</w:t>
                  </w:r>
                  <w:r>
                    <w:rPr>
                      <w:rFonts w:hint="eastAsia"/>
                      <w:szCs w:val="21"/>
                      <w:lang w:val="en-US" w:eastAsia="zh-CN"/>
                    </w:rPr>
                    <w:t>4</w:t>
                  </w: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隔油池废水处理产生的污泥</w:t>
                  </w:r>
                </w:p>
              </w:tc>
              <w:tc>
                <w:tcPr>
                  <w:tcW w:w="870" w:type="dxa"/>
                  <w:vMerge w:val="restart"/>
                  <w:tcBorders>
                    <w:tl2br w:val="nil"/>
                    <w:tr2bl w:val="nil"/>
                  </w:tcBorders>
                  <w:vAlign w:val="center"/>
                </w:tcPr>
                <w:p>
                  <w:pPr>
                    <w:jc w:val="center"/>
                    <w:rPr>
                      <w:szCs w:val="21"/>
                    </w:rPr>
                  </w:pPr>
                  <w:r>
                    <w:rPr>
                      <w:szCs w:val="21"/>
                    </w:rPr>
                    <w:t>危险废物</w:t>
                  </w:r>
                </w:p>
              </w:tc>
              <w:tc>
                <w:tcPr>
                  <w:tcW w:w="1248" w:type="dxa"/>
                  <w:vMerge w:val="restart"/>
                  <w:tcBorders>
                    <w:tl2br w:val="nil"/>
                    <w:tr2bl w:val="nil"/>
                  </w:tcBorders>
                  <w:vAlign w:val="center"/>
                </w:tcPr>
                <w:p>
                  <w:pPr>
                    <w:jc w:val="center"/>
                    <w:rPr>
                      <w:szCs w:val="21"/>
                    </w:rPr>
                  </w:pPr>
                  <w:r>
                    <w:rPr>
                      <w:szCs w:val="21"/>
                    </w:rPr>
                    <w:t>HW08</w:t>
                  </w:r>
                </w:p>
                <w:p>
                  <w:pPr>
                    <w:pStyle w:val="2"/>
                    <w:jc w:val="center"/>
                    <w:rPr>
                      <w:szCs w:val="21"/>
                    </w:rPr>
                  </w:pPr>
                  <w:r>
                    <w:rPr>
                      <w:szCs w:val="21"/>
                    </w:rPr>
                    <w:t>900-210-08</w:t>
                  </w:r>
                </w:p>
              </w:tc>
              <w:tc>
                <w:tcPr>
                  <w:tcW w:w="3092" w:type="dxa"/>
                  <w:vMerge w:val="restart"/>
                  <w:tcBorders>
                    <w:tl2br w:val="nil"/>
                    <w:tr2bl w:val="nil"/>
                  </w:tcBorders>
                  <w:vAlign w:val="center"/>
                </w:tcPr>
                <w:p>
                  <w:pPr>
                    <w:jc w:val="center"/>
                    <w:rPr>
                      <w:szCs w:val="21"/>
                    </w:rPr>
                  </w:pPr>
                  <w:r>
                    <w:rPr>
                      <w:bCs/>
                      <w:szCs w:val="21"/>
                    </w:rPr>
                    <w:t>由具有资质的单位直接进行收集、转运和处置</w:t>
                  </w:r>
                </w:p>
              </w:tc>
              <w:tc>
                <w:tcPr>
                  <w:tcW w:w="923" w:type="dxa"/>
                  <w:tcBorders>
                    <w:tl2br w:val="nil"/>
                    <w:tr2bl w:val="nil"/>
                  </w:tcBorders>
                  <w:vAlign w:val="center"/>
                </w:tcPr>
                <w:p>
                  <w:pPr>
                    <w:jc w:val="center"/>
                    <w:rPr>
                      <w:szCs w:val="21"/>
                    </w:rPr>
                  </w:pPr>
                  <w:r>
                    <w:rPr>
                      <w:rFonts w:hint="eastAsia"/>
                      <w:szCs w:val="21"/>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6" w:type="dxa"/>
                  <w:vMerge w:val="continue"/>
                  <w:tcBorders>
                    <w:tl2br w:val="nil"/>
                    <w:tr2bl w:val="nil"/>
                  </w:tcBorders>
                  <w:vAlign w:val="center"/>
                </w:tcPr>
                <w:p>
                  <w:pPr>
                    <w:jc w:val="center"/>
                    <w:rPr>
                      <w:szCs w:val="21"/>
                    </w:rPr>
                  </w:pP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隔油池废水处理产生的废油</w:t>
                  </w:r>
                </w:p>
              </w:tc>
              <w:tc>
                <w:tcPr>
                  <w:tcW w:w="870" w:type="dxa"/>
                  <w:vMerge w:val="continue"/>
                  <w:tcBorders>
                    <w:tl2br w:val="nil"/>
                    <w:tr2bl w:val="nil"/>
                  </w:tcBorders>
                  <w:vAlign w:val="center"/>
                </w:tcPr>
                <w:p>
                  <w:pPr>
                    <w:jc w:val="center"/>
                    <w:rPr>
                      <w:szCs w:val="21"/>
                    </w:rPr>
                  </w:pPr>
                </w:p>
              </w:tc>
              <w:tc>
                <w:tcPr>
                  <w:tcW w:w="1248" w:type="dxa"/>
                  <w:vMerge w:val="continue"/>
                  <w:tcBorders>
                    <w:tl2br w:val="nil"/>
                    <w:tr2bl w:val="nil"/>
                  </w:tcBorders>
                  <w:vAlign w:val="center"/>
                </w:tcPr>
                <w:p>
                  <w:pPr>
                    <w:jc w:val="center"/>
                    <w:rPr>
                      <w:szCs w:val="21"/>
                    </w:rPr>
                  </w:pPr>
                </w:p>
              </w:tc>
              <w:tc>
                <w:tcPr>
                  <w:tcW w:w="3092" w:type="dxa"/>
                  <w:vMerge w:val="continue"/>
                  <w:tcBorders>
                    <w:tl2br w:val="nil"/>
                    <w:tr2bl w:val="nil"/>
                  </w:tcBorders>
                  <w:vAlign w:val="center"/>
                </w:tcPr>
                <w:p>
                  <w:pPr>
                    <w:jc w:val="center"/>
                    <w:rPr>
                      <w:szCs w:val="21"/>
                    </w:rPr>
                  </w:pPr>
                </w:p>
              </w:tc>
              <w:tc>
                <w:tcPr>
                  <w:tcW w:w="923" w:type="dxa"/>
                  <w:tcBorders>
                    <w:tl2br w:val="nil"/>
                    <w:tr2bl w:val="nil"/>
                  </w:tcBorders>
                  <w:vAlign w:val="center"/>
                </w:tcPr>
                <w:p>
                  <w:pPr>
                    <w:jc w:val="center"/>
                    <w:rPr>
                      <w:szCs w:val="21"/>
                    </w:rPr>
                  </w:pPr>
                  <w:r>
                    <w:rPr>
                      <w:szCs w:val="21"/>
                    </w:rPr>
                    <w:t>0.001</w:t>
                  </w: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6" w:type="dxa"/>
                  <w:tcBorders>
                    <w:tl2br w:val="nil"/>
                    <w:tr2bl w:val="nil"/>
                  </w:tcBorders>
                  <w:vAlign w:val="center"/>
                </w:tcPr>
                <w:p>
                  <w:pPr>
                    <w:jc w:val="center"/>
                    <w:rPr>
                      <w:szCs w:val="21"/>
                    </w:rPr>
                  </w:pPr>
                  <w:r>
                    <w:rPr>
                      <w:szCs w:val="21"/>
                    </w:rPr>
                    <w:t>15</w:t>
                  </w: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废机油瓶</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pStyle w:val="2"/>
                    <w:jc w:val="center"/>
                    <w:rPr>
                      <w:szCs w:val="21"/>
                    </w:rPr>
                  </w:pPr>
                  <w:r>
                    <w:rPr>
                      <w:szCs w:val="21"/>
                    </w:rPr>
                    <w:t>HW49</w:t>
                  </w:r>
                </w:p>
                <w:p>
                  <w:pPr>
                    <w:pStyle w:val="2"/>
                    <w:jc w:val="center"/>
                    <w:rPr>
                      <w:szCs w:val="21"/>
                    </w:rPr>
                  </w:pPr>
                  <w:r>
                    <w:rPr>
                      <w:szCs w:val="21"/>
                    </w:rPr>
                    <w:t>900-01-49</w:t>
                  </w:r>
                </w:p>
              </w:tc>
              <w:tc>
                <w:tcPr>
                  <w:tcW w:w="3092" w:type="dxa"/>
                  <w:tcBorders>
                    <w:tl2br w:val="nil"/>
                    <w:tr2bl w:val="nil"/>
                  </w:tcBorders>
                  <w:vAlign w:val="center"/>
                </w:tcPr>
                <w:p>
                  <w:pPr>
                    <w:jc w:val="center"/>
                    <w:rPr>
                      <w:szCs w:val="21"/>
                    </w:rPr>
                  </w:pPr>
                  <w:r>
                    <w:rPr>
                      <w:szCs w:val="21"/>
                    </w:rPr>
                    <w:t>危废暂存间+</w:t>
                  </w:r>
                  <w:r>
                    <w:rPr>
                      <w:bCs/>
                      <w:szCs w:val="21"/>
                    </w:rPr>
                    <w:t>由具有资质的单位直接进行收集、转运和处置</w:t>
                  </w:r>
                </w:p>
              </w:tc>
              <w:tc>
                <w:tcPr>
                  <w:tcW w:w="923" w:type="dxa"/>
                  <w:tcBorders>
                    <w:tl2br w:val="nil"/>
                    <w:tr2bl w:val="nil"/>
                  </w:tcBorders>
                  <w:vAlign w:val="center"/>
                </w:tcPr>
                <w:p>
                  <w:pPr>
                    <w:jc w:val="center"/>
                    <w:rPr>
                      <w:szCs w:val="21"/>
                    </w:rPr>
                  </w:pPr>
                  <w:r>
                    <w:rPr>
                      <w:szCs w:val="21"/>
                    </w:rPr>
                    <w:t>0.0</w:t>
                  </w:r>
                  <w:r>
                    <w:rPr>
                      <w:rFonts w:hint="eastAsia"/>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6" w:type="dxa"/>
                  <w:tcBorders>
                    <w:tl2br w:val="nil"/>
                    <w:tr2bl w:val="nil"/>
                  </w:tcBorders>
                  <w:vAlign w:val="center"/>
                </w:tcPr>
                <w:p>
                  <w:pPr>
                    <w:jc w:val="center"/>
                    <w:rPr>
                      <w:szCs w:val="21"/>
                    </w:rPr>
                  </w:pPr>
                  <w:r>
                    <w:rPr>
                      <w:szCs w:val="21"/>
                    </w:rPr>
                    <w:t>16</w:t>
                  </w: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废机油滤芯</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pStyle w:val="2"/>
                    <w:jc w:val="center"/>
                    <w:rPr>
                      <w:szCs w:val="21"/>
                    </w:rPr>
                  </w:pPr>
                  <w:r>
                    <w:rPr>
                      <w:szCs w:val="21"/>
                    </w:rPr>
                    <w:t>HW49</w:t>
                  </w:r>
                </w:p>
                <w:p>
                  <w:pPr>
                    <w:pStyle w:val="2"/>
                    <w:jc w:val="center"/>
                    <w:rPr>
                      <w:szCs w:val="21"/>
                    </w:rPr>
                  </w:pPr>
                  <w:r>
                    <w:rPr>
                      <w:szCs w:val="21"/>
                    </w:rPr>
                    <w:t>900-</w:t>
                  </w:r>
                  <w:r>
                    <w:rPr>
                      <w:rFonts w:hint="eastAsia"/>
                      <w:szCs w:val="21"/>
                    </w:rPr>
                    <w:t>041-49</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szCs w:val="21"/>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6" w:type="dxa"/>
                  <w:tcBorders>
                    <w:tl2br w:val="nil"/>
                    <w:tr2bl w:val="nil"/>
                  </w:tcBorders>
                  <w:vAlign w:val="center"/>
                </w:tcPr>
                <w:p>
                  <w:pPr>
                    <w:jc w:val="center"/>
                    <w:rPr>
                      <w:szCs w:val="21"/>
                    </w:rPr>
                  </w:pPr>
                  <w:r>
                    <w:rPr>
                      <w:szCs w:val="21"/>
                    </w:rPr>
                    <w:t>17</w:t>
                  </w:r>
                </w:p>
              </w:tc>
              <w:tc>
                <w:tcPr>
                  <w:tcW w:w="1603" w:type="dxa"/>
                  <w:tcBorders>
                    <w:tl2br w:val="nil"/>
                    <w:tr2bl w:val="nil"/>
                  </w:tcBorders>
                  <w:vAlign w:val="center"/>
                </w:tcPr>
                <w:p>
                  <w:pPr>
                    <w:autoSpaceDE w:val="0"/>
                    <w:autoSpaceDN w:val="0"/>
                    <w:adjustRightInd w:val="0"/>
                    <w:jc w:val="center"/>
                    <w:rPr>
                      <w:kern w:val="0"/>
                      <w:szCs w:val="21"/>
                    </w:rPr>
                  </w:pPr>
                  <w:r>
                    <w:rPr>
                      <w:kern w:val="0"/>
                      <w:szCs w:val="21"/>
                    </w:rPr>
                    <w:t>废专业擦拭纸（遮蔽纸）</w:t>
                  </w:r>
                </w:p>
              </w:tc>
              <w:tc>
                <w:tcPr>
                  <w:tcW w:w="870" w:type="dxa"/>
                  <w:vMerge w:val="continue"/>
                  <w:tcBorders>
                    <w:tl2br w:val="nil"/>
                    <w:tr2bl w:val="nil"/>
                  </w:tcBorders>
                  <w:vAlign w:val="center"/>
                </w:tcPr>
                <w:p>
                  <w:pPr>
                    <w:jc w:val="center"/>
                    <w:rPr>
                      <w:szCs w:val="21"/>
                    </w:rPr>
                  </w:pPr>
                </w:p>
              </w:tc>
              <w:tc>
                <w:tcPr>
                  <w:tcW w:w="1248" w:type="dxa"/>
                  <w:tcBorders>
                    <w:tl2br w:val="nil"/>
                    <w:tr2bl w:val="nil"/>
                  </w:tcBorders>
                  <w:vAlign w:val="center"/>
                </w:tcPr>
                <w:p>
                  <w:pPr>
                    <w:pStyle w:val="2"/>
                    <w:jc w:val="center"/>
                    <w:rPr>
                      <w:szCs w:val="21"/>
                    </w:rPr>
                  </w:pPr>
                  <w:r>
                    <w:rPr>
                      <w:szCs w:val="21"/>
                    </w:rPr>
                    <w:t>HW12</w:t>
                  </w:r>
                </w:p>
                <w:p>
                  <w:pPr>
                    <w:pStyle w:val="2"/>
                    <w:jc w:val="center"/>
                    <w:rPr>
                      <w:szCs w:val="21"/>
                    </w:rPr>
                  </w:pPr>
                  <w:r>
                    <w:rPr>
                      <w:szCs w:val="21"/>
                    </w:rPr>
                    <w:t>900-041-49</w:t>
                  </w:r>
                </w:p>
              </w:tc>
              <w:tc>
                <w:tcPr>
                  <w:tcW w:w="3092" w:type="dxa"/>
                  <w:tcBorders>
                    <w:tl2br w:val="nil"/>
                    <w:tr2bl w:val="nil"/>
                  </w:tcBorders>
                  <w:vAlign w:val="center"/>
                </w:tcPr>
                <w:p>
                  <w:pPr>
                    <w:jc w:val="center"/>
                    <w:rPr>
                      <w:szCs w:val="21"/>
                    </w:rPr>
                  </w:pPr>
                  <w:r>
                    <w:rPr>
                      <w:szCs w:val="21"/>
                    </w:rPr>
                    <w:t>危废暂存间+资质单位无害化处置</w:t>
                  </w:r>
                </w:p>
              </w:tc>
              <w:tc>
                <w:tcPr>
                  <w:tcW w:w="923" w:type="dxa"/>
                  <w:tcBorders>
                    <w:tl2br w:val="nil"/>
                    <w:tr2bl w:val="nil"/>
                  </w:tcBorders>
                  <w:vAlign w:val="center"/>
                </w:tcPr>
                <w:p>
                  <w:pPr>
                    <w:jc w:val="center"/>
                    <w:rPr>
                      <w:szCs w:val="21"/>
                    </w:rPr>
                  </w:pPr>
                  <w:r>
                    <w:rPr>
                      <w:szCs w:val="21"/>
                    </w:rPr>
                    <w:t>0.048</w:t>
                  </w:r>
                </w:p>
              </w:tc>
            </w:tr>
          </w:tbl>
          <w:p>
            <w:pPr>
              <w:pStyle w:val="26"/>
              <w:adjustRightInd/>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表5-9  项目危险废物情况统计表</w:t>
            </w:r>
          </w:p>
          <w:tbl>
            <w:tblPr>
              <w:tblStyle w:val="20"/>
              <w:tblW w:w="8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0"/>
              <w:gridCol w:w="623"/>
              <w:gridCol w:w="759"/>
              <w:gridCol w:w="1167"/>
              <w:gridCol w:w="852"/>
              <w:gridCol w:w="624"/>
              <w:gridCol w:w="421"/>
              <w:gridCol w:w="624"/>
              <w:gridCol w:w="624"/>
              <w:gridCol w:w="981"/>
              <w:gridCol w:w="557"/>
              <w:gridCol w:w="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序号</w:t>
                  </w:r>
                </w:p>
              </w:tc>
              <w:tc>
                <w:tcPr>
                  <w:tcW w:w="623"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危废名称</w:t>
                  </w:r>
                </w:p>
              </w:tc>
              <w:tc>
                <w:tcPr>
                  <w:tcW w:w="759"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危废类别</w:t>
                  </w:r>
                </w:p>
              </w:tc>
              <w:tc>
                <w:tcPr>
                  <w:tcW w:w="1167"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危废</w:t>
                  </w:r>
                </w:p>
                <w:p>
                  <w:pPr>
                    <w:pStyle w:val="46"/>
                    <w:adjustRightInd/>
                    <w:contextualSpacing/>
                    <w:rPr>
                      <w:rFonts w:ascii="Times New Roman"/>
                      <w:b/>
                      <w:sz w:val="21"/>
                      <w:szCs w:val="21"/>
                    </w:rPr>
                  </w:pPr>
                  <w:r>
                    <w:rPr>
                      <w:rFonts w:ascii="Times New Roman"/>
                      <w:b/>
                      <w:sz w:val="21"/>
                      <w:szCs w:val="21"/>
                    </w:rPr>
                    <w:t>代码</w:t>
                  </w:r>
                </w:p>
              </w:tc>
              <w:tc>
                <w:tcPr>
                  <w:tcW w:w="852"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产生量（t/a）</w:t>
                  </w:r>
                </w:p>
              </w:tc>
              <w:tc>
                <w:tcPr>
                  <w:tcW w:w="624"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产生工序及装置</w:t>
                  </w:r>
                </w:p>
              </w:tc>
              <w:tc>
                <w:tcPr>
                  <w:tcW w:w="421"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形态</w:t>
                  </w:r>
                </w:p>
              </w:tc>
              <w:tc>
                <w:tcPr>
                  <w:tcW w:w="624"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主要成分</w:t>
                  </w:r>
                </w:p>
              </w:tc>
              <w:tc>
                <w:tcPr>
                  <w:tcW w:w="624"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有害成分</w:t>
                  </w:r>
                </w:p>
              </w:tc>
              <w:tc>
                <w:tcPr>
                  <w:tcW w:w="981"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产废</w:t>
                  </w:r>
                </w:p>
                <w:p>
                  <w:pPr>
                    <w:pStyle w:val="46"/>
                    <w:adjustRightInd/>
                    <w:contextualSpacing/>
                    <w:rPr>
                      <w:rFonts w:ascii="Times New Roman"/>
                      <w:b/>
                      <w:sz w:val="21"/>
                      <w:szCs w:val="21"/>
                    </w:rPr>
                  </w:pPr>
                  <w:r>
                    <w:rPr>
                      <w:rFonts w:ascii="Times New Roman"/>
                      <w:b/>
                      <w:sz w:val="21"/>
                      <w:szCs w:val="21"/>
                    </w:rPr>
                    <w:t>周期</w:t>
                  </w:r>
                </w:p>
              </w:tc>
              <w:tc>
                <w:tcPr>
                  <w:tcW w:w="557"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危险特性</w:t>
                  </w:r>
                </w:p>
              </w:tc>
              <w:tc>
                <w:tcPr>
                  <w:tcW w:w="624" w:type="dxa"/>
                  <w:tcBorders>
                    <w:tl2br w:val="nil"/>
                    <w:tr2bl w:val="nil"/>
                  </w:tcBorders>
                  <w:vAlign w:val="center"/>
                </w:tcPr>
                <w:p>
                  <w:pPr>
                    <w:pStyle w:val="46"/>
                    <w:adjustRightInd/>
                    <w:contextualSpacing/>
                    <w:rPr>
                      <w:rFonts w:ascii="Times New Roman"/>
                      <w:b/>
                      <w:sz w:val="21"/>
                      <w:szCs w:val="21"/>
                    </w:rPr>
                  </w:pPr>
                  <w:r>
                    <w:rPr>
                      <w:rFonts w:ascii="Times New Roman"/>
                      <w:b/>
                      <w:sz w:val="21"/>
                      <w:szCs w:val="21"/>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tcBorders>
                    <w:tl2br w:val="nil"/>
                    <w:tr2bl w:val="nil"/>
                  </w:tcBorders>
                  <w:vAlign w:val="center"/>
                </w:tcPr>
                <w:p>
                  <w:pPr>
                    <w:pStyle w:val="46"/>
                    <w:adjustRightInd/>
                    <w:contextualSpacing/>
                    <w:rPr>
                      <w:rFonts w:ascii="Times New Roman"/>
                      <w:b/>
                      <w:sz w:val="21"/>
                      <w:szCs w:val="21"/>
                    </w:rPr>
                  </w:pPr>
                  <w:r>
                    <w:rPr>
                      <w:rFonts w:ascii="Times New Roman"/>
                      <w:bCs/>
                      <w:sz w:val="21"/>
                      <w:szCs w:val="21"/>
                    </w:rPr>
                    <w:t>1</w:t>
                  </w:r>
                </w:p>
              </w:tc>
              <w:tc>
                <w:tcPr>
                  <w:tcW w:w="623" w:type="dxa"/>
                  <w:tcBorders>
                    <w:tl2br w:val="nil"/>
                    <w:tr2bl w:val="nil"/>
                  </w:tcBorders>
                  <w:vAlign w:val="center"/>
                </w:tcPr>
                <w:p>
                  <w:pPr>
                    <w:jc w:val="center"/>
                    <w:rPr>
                      <w:b/>
                      <w:szCs w:val="21"/>
                    </w:rPr>
                  </w:pPr>
                  <w:r>
                    <w:rPr>
                      <w:szCs w:val="21"/>
                    </w:rPr>
                    <w:t>废蓄电池</w:t>
                  </w:r>
                </w:p>
              </w:tc>
              <w:tc>
                <w:tcPr>
                  <w:tcW w:w="759" w:type="dxa"/>
                  <w:tcBorders>
                    <w:tl2br w:val="nil"/>
                    <w:tr2bl w:val="nil"/>
                  </w:tcBorders>
                  <w:vAlign w:val="center"/>
                </w:tcPr>
                <w:p>
                  <w:pPr>
                    <w:jc w:val="center"/>
                    <w:rPr>
                      <w:b/>
                      <w:szCs w:val="21"/>
                    </w:rPr>
                  </w:pPr>
                  <w:r>
                    <w:rPr>
                      <w:szCs w:val="21"/>
                    </w:rPr>
                    <w:t>HW49</w:t>
                  </w:r>
                </w:p>
              </w:tc>
              <w:tc>
                <w:tcPr>
                  <w:tcW w:w="1167" w:type="dxa"/>
                  <w:tcBorders>
                    <w:tl2br w:val="nil"/>
                    <w:tr2bl w:val="nil"/>
                  </w:tcBorders>
                  <w:vAlign w:val="center"/>
                </w:tcPr>
                <w:p>
                  <w:pPr>
                    <w:jc w:val="center"/>
                    <w:rPr>
                      <w:szCs w:val="21"/>
                    </w:rPr>
                  </w:pPr>
                  <w:r>
                    <w:rPr>
                      <w:szCs w:val="21"/>
                    </w:rPr>
                    <w:t>HW49</w:t>
                  </w:r>
                </w:p>
                <w:p>
                  <w:pPr>
                    <w:pStyle w:val="2"/>
                    <w:jc w:val="center"/>
                    <w:rPr>
                      <w:b/>
                      <w:szCs w:val="21"/>
                    </w:rPr>
                  </w:pPr>
                  <w:r>
                    <w:rPr>
                      <w:szCs w:val="21"/>
                    </w:rPr>
                    <w:t>900-044-49</w:t>
                  </w:r>
                </w:p>
              </w:tc>
              <w:tc>
                <w:tcPr>
                  <w:tcW w:w="852" w:type="dxa"/>
                  <w:tcBorders>
                    <w:tl2br w:val="nil"/>
                    <w:tr2bl w:val="nil"/>
                  </w:tcBorders>
                  <w:vAlign w:val="center"/>
                </w:tcPr>
                <w:p>
                  <w:pPr>
                    <w:jc w:val="center"/>
                    <w:rPr>
                      <w:b/>
                      <w:szCs w:val="21"/>
                    </w:rPr>
                  </w:pPr>
                  <w:r>
                    <w:rPr>
                      <w:szCs w:val="21"/>
                    </w:rPr>
                    <w:t>1.0</w:t>
                  </w:r>
                </w:p>
              </w:tc>
              <w:tc>
                <w:tcPr>
                  <w:tcW w:w="624" w:type="dxa"/>
                  <w:tcBorders>
                    <w:tl2br w:val="nil"/>
                    <w:tr2bl w:val="nil"/>
                  </w:tcBorders>
                  <w:vAlign w:val="center"/>
                </w:tcPr>
                <w:p>
                  <w:pPr>
                    <w:jc w:val="center"/>
                    <w:rPr>
                      <w:b/>
                      <w:szCs w:val="21"/>
                    </w:rPr>
                  </w:pPr>
                  <w:r>
                    <w:rPr>
                      <w:szCs w:val="21"/>
                    </w:rPr>
                    <w:t>维修、维护</w:t>
                  </w:r>
                </w:p>
              </w:tc>
              <w:tc>
                <w:tcPr>
                  <w:tcW w:w="421" w:type="dxa"/>
                  <w:tcBorders>
                    <w:tl2br w:val="nil"/>
                    <w:tr2bl w:val="nil"/>
                  </w:tcBorders>
                  <w:vAlign w:val="center"/>
                </w:tcPr>
                <w:p>
                  <w:pPr>
                    <w:pStyle w:val="46"/>
                    <w:adjustRightInd/>
                    <w:contextualSpacing/>
                    <w:rPr>
                      <w:rFonts w:ascii="Times New Roman"/>
                      <w:b/>
                      <w:sz w:val="21"/>
                      <w:szCs w:val="21"/>
                    </w:rPr>
                  </w:pPr>
                  <w:r>
                    <w:rPr>
                      <w:rFonts w:ascii="Times New Roman"/>
                      <w:sz w:val="21"/>
                      <w:szCs w:val="21"/>
                    </w:rPr>
                    <w:t>固态</w:t>
                  </w:r>
                </w:p>
              </w:tc>
              <w:tc>
                <w:tcPr>
                  <w:tcW w:w="624" w:type="dxa"/>
                  <w:tcBorders>
                    <w:tl2br w:val="nil"/>
                    <w:tr2bl w:val="nil"/>
                  </w:tcBorders>
                  <w:vAlign w:val="center"/>
                </w:tcPr>
                <w:p>
                  <w:pPr>
                    <w:pStyle w:val="46"/>
                    <w:adjustRightInd/>
                    <w:contextualSpacing/>
                    <w:rPr>
                      <w:rFonts w:ascii="Times New Roman"/>
                      <w:b/>
                      <w:sz w:val="21"/>
                      <w:szCs w:val="21"/>
                    </w:rPr>
                  </w:pPr>
                  <w:r>
                    <w:rPr>
                      <w:rFonts w:ascii="Times New Roman"/>
                      <w:sz w:val="21"/>
                      <w:szCs w:val="21"/>
                    </w:rPr>
                    <w:t>电极、电容物等</w:t>
                  </w:r>
                </w:p>
              </w:tc>
              <w:tc>
                <w:tcPr>
                  <w:tcW w:w="624" w:type="dxa"/>
                  <w:tcBorders>
                    <w:tl2br w:val="nil"/>
                    <w:tr2bl w:val="nil"/>
                  </w:tcBorders>
                  <w:vAlign w:val="center"/>
                </w:tcPr>
                <w:p>
                  <w:pPr>
                    <w:pStyle w:val="46"/>
                    <w:adjustRightInd/>
                    <w:contextualSpacing/>
                    <w:rPr>
                      <w:rFonts w:ascii="Times New Roman"/>
                      <w:b/>
                      <w:sz w:val="21"/>
                      <w:szCs w:val="21"/>
                    </w:rPr>
                  </w:pPr>
                  <w:r>
                    <w:rPr>
                      <w:rFonts w:ascii="Times New Roman"/>
                      <w:sz w:val="21"/>
                      <w:szCs w:val="21"/>
                    </w:rPr>
                    <w:t>镍及其他电容物</w:t>
                  </w:r>
                </w:p>
              </w:tc>
              <w:tc>
                <w:tcPr>
                  <w:tcW w:w="981" w:type="dxa"/>
                  <w:tcBorders>
                    <w:tl2br w:val="nil"/>
                    <w:tr2bl w:val="nil"/>
                  </w:tcBorders>
                  <w:vAlign w:val="center"/>
                </w:tcPr>
                <w:p>
                  <w:pPr>
                    <w:jc w:val="center"/>
                    <w:rPr>
                      <w:b/>
                      <w:szCs w:val="21"/>
                    </w:rPr>
                  </w:pPr>
                  <w:r>
                    <w:rPr>
                      <w:szCs w:val="21"/>
                    </w:rPr>
                    <w:t>1.0t/a</w:t>
                  </w:r>
                </w:p>
              </w:tc>
              <w:tc>
                <w:tcPr>
                  <w:tcW w:w="557" w:type="dxa"/>
                  <w:tcBorders>
                    <w:tl2br w:val="nil"/>
                    <w:tr2bl w:val="nil"/>
                  </w:tcBorders>
                  <w:vAlign w:val="center"/>
                </w:tcPr>
                <w:p>
                  <w:pPr>
                    <w:contextualSpacing/>
                    <w:jc w:val="center"/>
                    <w:rPr>
                      <w:b/>
                      <w:szCs w:val="21"/>
                    </w:rPr>
                  </w:pPr>
                  <w:r>
                    <w:rPr>
                      <w:szCs w:val="21"/>
                    </w:rPr>
                    <w:t>C、T、I</w:t>
                  </w:r>
                </w:p>
              </w:tc>
              <w:tc>
                <w:tcPr>
                  <w:tcW w:w="624" w:type="dxa"/>
                  <w:tcBorders>
                    <w:tl2br w:val="nil"/>
                    <w:tr2bl w:val="nil"/>
                  </w:tcBorders>
                  <w:vAlign w:val="center"/>
                </w:tcPr>
                <w:p>
                  <w:pPr>
                    <w:jc w:val="center"/>
                    <w:rPr>
                      <w:b/>
                      <w:szCs w:val="21"/>
                    </w:rPr>
                  </w:pPr>
                  <w:r>
                    <w:rPr>
                      <w:szCs w:val="21"/>
                    </w:rPr>
                    <w:t>危废暂存间+返厂综合利用或维修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tcBorders>
                    <w:tl2br w:val="nil"/>
                    <w:tr2bl w:val="nil"/>
                  </w:tcBorders>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2</w:t>
                  </w:r>
                </w:p>
              </w:tc>
              <w:tc>
                <w:tcPr>
                  <w:tcW w:w="623" w:type="dxa"/>
                  <w:tcBorders>
                    <w:tl2br w:val="nil"/>
                    <w:tr2bl w:val="nil"/>
                  </w:tcBorders>
                  <w:vAlign w:val="center"/>
                </w:tcPr>
                <w:p>
                  <w:pPr>
                    <w:jc w:val="center"/>
                    <w:rPr>
                      <w:szCs w:val="21"/>
                    </w:rPr>
                  </w:pPr>
                  <w:r>
                    <w:rPr>
                      <w:szCs w:val="21"/>
                    </w:rPr>
                    <w:t>废机油、废刹车油</w:t>
                  </w:r>
                </w:p>
              </w:tc>
              <w:tc>
                <w:tcPr>
                  <w:tcW w:w="759" w:type="dxa"/>
                  <w:tcBorders>
                    <w:tl2br w:val="nil"/>
                    <w:tr2bl w:val="nil"/>
                  </w:tcBorders>
                  <w:vAlign w:val="center"/>
                </w:tcPr>
                <w:p>
                  <w:pPr>
                    <w:jc w:val="center"/>
                    <w:rPr>
                      <w:szCs w:val="21"/>
                    </w:rPr>
                  </w:pPr>
                  <w:r>
                    <w:rPr>
                      <w:szCs w:val="21"/>
                    </w:rPr>
                    <w:t>HW08</w:t>
                  </w:r>
                </w:p>
              </w:tc>
              <w:tc>
                <w:tcPr>
                  <w:tcW w:w="1167" w:type="dxa"/>
                  <w:tcBorders>
                    <w:tl2br w:val="nil"/>
                    <w:tr2bl w:val="nil"/>
                  </w:tcBorders>
                  <w:vAlign w:val="center"/>
                </w:tcPr>
                <w:p>
                  <w:pPr>
                    <w:jc w:val="center"/>
                    <w:rPr>
                      <w:szCs w:val="21"/>
                    </w:rPr>
                  </w:pPr>
                  <w:r>
                    <w:rPr>
                      <w:szCs w:val="21"/>
                    </w:rPr>
                    <w:t>HW08</w:t>
                  </w:r>
                </w:p>
                <w:p>
                  <w:pPr>
                    <w:pStyle w:val="2"/>
                    <w:jc w:val="center"/>
                    <w:rPr>
                      <w:szCs w:val="21"/>
                    </w:rPr>
                  </w:pPr>
                  <w:r>
                    <w:rPr>
                      <w:szCs w:val="21"/>
                    </w:rPr>
                    <w:t>900-214-08</w:t>
                  </w:r>
                </w:p>
              </w:tc>
              <w:tc>
                <w:tcPr>
                  <w:tcW w:w="852" w:type="dxa"/>
                  <w:tcBorders>
                    <w:tl2br w:val="nil"/>
                    <w:tr2bl w:val="nil"/>
                  </w:tcBorders>
                  <w:vAlign w:val="center"/>
                </w:tcPr>
                <w:p>
                  <w:pPr>
                    <w:jc w:val="center"/>
                    <w:rPr>
                      <w:szCs w:val="21"/>
                    </w:rPr>
                  </w:pPr>
                  <w:r>
                    <w:rPr>
                      <w:szCs w:val="21"/>
                    </w:rPr>
                    <w:t>7</w:t>
                  </w:r>
                </w:p>
              </w:tc>
              <w:tc>
                <w:tcPr>
                  <w:tcW w:w="624" w:type="dxa"/>
                  <w:tcBorders>
                    <w:tl2br w:val="nil"/>
                    <w:tr2bl w:val="nil"/>
                  </w:tcBorders>
                  <w:vAlign w:val="center"/>
                </w:tcPr>
                <w:p>
                  <w:pPr>
                    <w:jc w:val="center"/>
                    <w:rPr>
                      <w:szCs w:val="21"/>
                    </w:rPr>
                  </w:pPr>
                  <w:r>
                    <w:rPr>
                      <w:szCs w:val="21"/>
                    </w:rPr>
                    <w:t>维修、维护</w:t>
                  </w:r>
                </w:p>
              </w:tc>
              <w:tc>
                <w:tcPr>
                  <w:tcW w:w="421" w:type="dxa"/>
                  <w:tcBorders>
                    <w:tl2br w:val="nil"/>
                    <w:tr2bl w:val="nil"/>
                  </w:tcBorders>
                  <w:vAlign w:val="center"/>
                </w:tcPr>
                <w:p>
                  <w:pPr>
                    <w:pStyle w:val="46"/>
                    <w:adjustRightInd/>
                    <w:contextualSpacing/>
                    <w:rPr>
                      <w:rFonts w:ascii="Times New Roman"/>
                      <w:sz w:val="21"/>
                      <w:szCs w:val="21"/>
                    </w:rPr>
                  </w:pPr>
                  <w:r>
                    <w:rPr>
                      <w:rFonts w:ascii="Times New Roman"/>
                      <w:sz w:val="21"/>
                      <w:szCs w:val="21"/>
                    </w:rPr>
                    <w:t>液态</w:t>
                  </w:r>
                </w:p>
              </w:tc>
              <w:tc>
                <w:tcPr>
                  <w:tcW w:w="624" w:type="dxa"/>
                  <w:tcBorders>
                    <w:tl2br w:val="nil"/>
                    <w:tr2bl w:val="nil"/>
                  </w:tcBorders>
                  <w:vAlign w:val="center"/>
                </w:tcPr>
                <w:p>
                  <w:pPr>
                    <w:pStyle w:val="46"/>
                    <w:adjustRightInd/>
                    <w:contextualSpacing/>
                    <w:rPr>
                      <w:rFonts w:ascii="Times New Roman"/>
                      <w:sz w:val="21"/>
                      <w:szCs w:val="21"/>
                    </w:rPr>
                  </w:pPr>
                  <w:r>
                    <w:rPr>
                      <w:rFonts w:ascii="Times New Roman"/>
                      <w:sz w:val="21"/>
                      <w:szCs w:val="21"/>
                    </w:rPr>
                    <w:t>废矿物油</w:t>
                  </w:r>
                </w:p>
              </w:tc>
              <w:tc>
                <w:tcPr>
                  <w:tcW w:w="624" w:type="dxa"/>
                  <w:tcBorders>
                    <w:tl2br w:val="nil"/>
                    <w:tr2bl w:val="nil"/>
                  </w:tcBorders>
                  <w:vAlign w:val="center"/>
                </w:tcPr>
                <w:p>
                  <w:pPr>
                    <w:pStyle w:val="46"/>
                    <w:adjustRightInd/>
                    <w:contextualSpacing/>
                    <w:rPr>
                      <w:rFonts w:ascii="Times New Roman"/>
                      <w:sz w:val="21"/>
                      <w:szCs w:val="21"/>
                    </w:rPr>
                  </w:pPr>
                  <w:r>
                    <w:rPr>
                      <w:rFonts w:ascii="Times New Roman"/>
                      <w:sz w:val="21"/>
                      <w:szCs w:val="21"/>
                    </w:rPr>
                    <w:t>废矿物油</w:t>
                  </w:r>
                </w:p>
              </w:tc>
              <w:tc>
                <w:tcPr>
                  <w:tcW w:w="981" w:type="dxa"/>
                  <w:tcBorders>
                    <w:tl2br w:val="nil"/>
                    <w:tr2bl w:val="nil"/>
                  </w:tcBorders>
                  <w:vAlign w:val="center"/>
                </w:tcPr>
                <w:p>
                  <w:pPr>
                    <w:jc w:val="center"/>
                    <w:rPr>
                      <w:szCs w:val="21"/>
                    </w:rPr>
                  </w:pPr>
                  <w:r>
                    <w:rPr>
                      <w:szCs w:val="21"/>
                    </w:rPr>
                    <w:t>7t/a</w:t>
                  </w:r>
                </w:p>
              </w:tc>
              <w:tc>
                <w:tcPr>
                  <w:tcW w:w="557" w:type="dxa"/>
                  <w:tcBorders>
                    <w:tl2br w:val="nil"/>
                    <w:tr2bl w:val="nil"/>
                  </w:tcBorders>
                  <w:vAlign w:val="center"/>
                </w:tcPr>
                <w:p>
                  <w:pPr>
                    <w:contextualSpacing/>
                    <w:jc w:val="center"/>
                    <w:rPr>
                      <w:szCs w:val="21"/>
                    </w:rPr>
                  </w:pPr>
                  <w:r>
                    <w:rPr>
                      <w:szCs w:val="21"/>
                    </w:rPr>
                    <w:t>T、I</w:t>
                  </w:r>
                </w:p>
              </w:tc>
              <w:tc>
                <w:tcPr>
                  <w:tcW w:w="624" w:type="dxa"/>
                  <w:vMerge w:val="restart"/>
                  <w:tcBorders>
                    <w:tl2br w:val="nil"/>
                    <w:tr2bl w:val="nil"/>
                  </w:tcBorders>
                  <w:vAlign w:val="center"/>
                </w:tcPr>
                <w:p>
                  <w:pPr>
                    <w:jc w:val="center"/>
                    <w:rPr>
                      <w:szCs w:val="21"/>
                    </w:rPr>
                  </w:pPr>
                  <w:r>
                    <w:rPr>
                      <w:szCs w:val="21"/>
                    </w:rPr>
                    <w:t>危废暂存间+资质单位无害化处置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3</w:t>
                  </w:r>
                </w:p>
              </w:tc>
              <w:tc>
                <w:tcPr>
                  <w:tcW w:w="623" w:type="dxa"/>
                  <w:vAlign w:val="center"/>
                </w:tcPr>
                <w:p>
                  <w:pPr>
                    <w:autoSpaceDE w:val="0"/>
                    <w:autoSpaceDN w:val="0"/>
                    <w:adjustRightInd w:val="0"/>
                    <w:jc w:val="center"/>
                    <w:rPr>
                      <w:szCs w:val="21"/>
                    </w:rPr>
                  </w:pPr>
                  <w:r>
                    <w:rPr>
                      <w:kern w:val="0"/>
                      <w:szCs w:val="21"/>
                    </w:rPr>
                    <w:t>废防冻液</w:t>
                  </w:r>
                </w:p>
              </w:tc>
              <w:tc>
                <w:tcPr>
                  <w:tcW w:w="759" w:type="dxa"/>
                  <w:vAlign w:val="center"/>
                </w:tcPr>
                <w:p>
                  <w:pPr>
                    <w:jc w:val="center"/>
                    <w:rPr>
                      <w:szCs w:val="21"/>
                    </w:rPr>
                  </w:pPr>
                  <w:r>
                    <w:rPr>
                      <w:szCs w:val="21"/>
                    </w:rPr>
                    <w:t>HW06</w:t>
                  </w:r>
                </w:p>
              </w:tc>
              <w:tc>
                <w:tcPr>
                  <w:tcW w:w="1167" w:type="dxa"/>
                  <w:vAlign w:val="center"/>
                </w:tcPr>
                <w:p>
                  <w:pPr>
                    <w:jc w:val="center"/>
                    <w:rPr>
                      <w:szCs w:val="21"/>
                    </w:rPr>
                  </w:pPr>
                  <w:r>
                    <w:rPr>
                      <w:szCs w:val="21"/>
                    </w:rPr>
                    <w:t>HW06</w:t>
                  </w:r>
                </w:p>
                <w:p>
                  <w:pPr>
                    <w:pStyle w:val="2"/>
                    <w:jc w:val="center"/>
                    <w:rPr>
                      <w:szCs w:val="21"/>
                    </w:rPr>
                  </w:pPr>
                  <w:r>
                    <w:rPr>
                      <w:kern w:val="0"/>
                      <w:szCs w:val="21"/>
                    </w:rPr>
                    <w:t>900-404-06</w:t>
                  </w:r>
                </w:p>
              </w:tc>
              <w:tc>
                <w:tcPr>
                  <w:tcW w:w="852" w:type="dxa"/>
                  <w:vAlign w:val="center"/>
                </w:tcPr>
                <w:p>
                  <w:pPr>
                    <w:jc w:val="center"/>
                    <w:rPr>
                      <w:szCs w:val="21"/>
                    </w:rPr>
                  </w:pPr>
                  <w:r>
                    <w:rPr>
                      <w:rFonts w:hint="eastAsia"/>
                      <w:szCs w:val="21"/>
                    </w:rPr>
                    <w:t>0.75</w:t>
                  </w:r>
                </w:p>
              </w:tc>
              <w:tc>
                <w:tcPr>
                  <w:tcW w:w="624" w:type="dxa"/>
                  <w:vAlign w:val="center"/>
                </w:tcPr>
                <w:p>
                  <w:pPr>
                    <w:jc w:val="center"/>
                    <w:rPr>
                      <w:szCs w:val="21"/>
                    </w:rPr>
                  </w:pPr>
                  <w:r>
                    <w:rPr>
                      <w:szCs w:val="21"/>
                    </w:rPr>
                    <w:t>维修、维护</w:t>
                  </w:r>
                </w:p>
              </w:tc>
              <w:tc>
                <w:tcPr>
                  <w:tcW w:w="421" w:type="dxa"/>
                  <w:vAlign w:val="center"/>
                </w:tcPr>
                <w:p>
                  <w:pPr>
                    <w:pStyle w:val="46"/>
                    <w:adjustRightInd/>
                    <w:contextualSpacing/>
                    <w:rPr>
                      <w:rFonts w:ascii="Times New Roman"/>
                      <w:sz w:val="21"/>
                      <w:szCs w:val="21"/>
                    </w:rPr>
                  </w:pPr>
                  <w:r>
                    <w:rPr>
                      <w:rFonts w:ascii="Times New Roman"/>
                      <w:sz w:val="21"/>
                      <w:szCs w:val="21"/>
                    </w:rPr>
                    <w:t>液态</w:t>
                  </w:r>
                </w:p>
              </w:tc>
              <w:tc>
                <w:tcPr>
                  <w:tcW w:w="624" w:type="dxa"/>
                  <w:vAlign w:val="center"/>
                </w:tcPr>
                <w:p>
                  <w:pPr>
                    <w:pStyle w:val="46"/>
                    <w:adjustRightInd/>
                    <w:contextualSpacing/>
                    <w:rPr>
                      <w:rFonts w:ascii="Times New Roman"/>
                      <w:sz w:val="21"/>
                      <w:szCs w:val="21"/>
                    </w:rPr>
                  </w:pPr>
                  <w:r>
                    <w:rPr>
                      <w:rFonts w:ascii="Times New Roman"/>
                      <w:sz w:val="21"/>
                      <w:szCs w:val="21"/>
                    </w:rPr>
                    <w:t>有机溶剂</w:t>
                  </w:r>
                </w:p>
              </w:tc>
              <w:tc>
                <w:tcPr>
                  <w:tcW w:w="624" w:type="dxa"/>
                  <w:vAlign w:val="center"/>
                </w:tcPr>
                <w:p>
                  <w:pPr>
                    <w:pStyle w:val="46"/>
                    <w:adjustRightInd/>
                    <w:contextualSpacing/>
                    <w:rPr>
                      <w:rFonts w:ascii="Times New Roman"/>
                      <w:sz w:val="21"/>
                      <w:szCs w:val="21"/>
                    </w:rPr>
                  </w:pPr>
                  <w:r>
                    <w:rPr>
                      <w:rFonts w:ascii="Times New Roman"/>
                      <w:sz w:val="21"/>
                      <w:szCs w:val="21"/>
                    </w:rPr>
                    <w:t>乙二醇</w:t>
                  </w:r>
                </w:p>
              </w:tc>
              <w:tc>
                <w:tcPr>
                  <w:tcW w:w="981" w:type="dxa"/>
                  <w:vAlign w:val="center"/>
                </w:tcPr>
                <w:p>
                  <w:pPr>
                    <w:jc w:val="center"/>
                    <w:rPr>
                      <w:szCs w:val="21"/>
                    </w:rPr>
                  </w:pPr>
                  <w:r>
                    <w:rPr>
                      <w:rFonts w:hint="eastAsia"/>
                      <w:szCs w:val="21"/>
                    </w:rPr>
                    <w:t>0.75</w:t>
                  </w:r>
                  <w:r>
                    <w:rPr>
                      <w:szCs w:val="21"/>
                    </w:rPr>
                    <w:t>t/a</w:t>
                  </w:r>
                </w:p>
              </w:tc>
              <w:tc>
                <w:tcPr>
                  <w:tcW w:w="557" w:type="dxa"/>
                  <w:vAlign w:val="center"/>
                </w:tcPr>
                <w:p>
                  <w:pPr>
                    <w:contextualSpacing/>
                    <w:jc w:val="center"/>
                    <w:rPr>
                      <w:szCs w:val="21"/>
                    </w:rPr>
                  </w:pPr>
                  <w:r>
                    <w:rPr>
                      <w:szCs w:val="21"/>
                    </w:rPr>
                    <w:t>T、I</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4</w:t>
                  </w:r>
                </w:p>
              </w:tc>
              <w:tc>
                <w:tcPr>
                  <w:tcW w:w="623" w:type="dxa"/>
                  <w:vAlign w:val="center"/>
                </w:tcPr>
                <w:p>
                  <w:pPr>
                    <w:jc w:val="center"/>
                    <w:rPr>
                      <w:szCs w:val="21"/>
                    </w:rPr>
                  </w:pPr>
                  <w:r>
                    <w:rPr>
                      <w:szCs w:val="21"/>
                    </w:rPr>
                    <w:t>废过滤棉与废活性炭</w:t>
                  </w:r>
                </w:p>
              </w:tc>
              <w:tc>
                <w:tcPr>
                  <w:tcW w:w="759" w:type="dxa"/>
                  <w:vAlign w:val="center"/>
                </w:tcPr>
                <w:p>
                  <w:pPr>
                    <w:jc w:val="center"/>
                    <w:rPr>
                      <w:szCs w:val="21"/>
                    </w:rPr>
                  </w:pPr>
                  <w:r>
                    <w:rPr>
                      <w:szCs w:val="21"/>
                    </w:rPr>
                    <w:t>HW49</w:t>
                  </w:r>
                </w:p>
              </w:tc>
              <w:tc>
                <w:tcPr>
                  <w:tcW w:w="1167" w:type="dxa"/>
                  <w:vAlign w:val="center"/>
                </w:tcPr>
                <w:p>
                  <w:pPr>
                    <w:jc w:val="center"/>
                    <w:rPr>
                      <w:szCs w:val="21"/>
                    </w:rPr>
                  </w:pPr>
                  <w:r>
                    <w:rPr>
                      <w:szCs w:val="21"/>
                    </w:rPr>
                    <w:t>废过滤棉HW49</w:t>
                  </w:r>
                </w:p>
                <w:p>
                  <w:pPr>
                    <w:jc w:val="center"/>
                    <w:rPr>
                      <w:szCs w:val="21"/>
                    </w:rPr>
                  </w:pPr>
                  <w:r>
                    <w:rPr>
                      <w:szCs w:val="21"/>
                    </w:rPr>
                    <w:t>900-041-49废活性炭HW49</w:t>
                  </w:r>
                </w:p>
                <w:p>
                  <w:pPr>
                    <w:pStyle w:val="2"/>
                    <w:jc w:val="center"/>
                    <w:rPr>
                      <w:szCs w:val="21"/>
                    </w:rPr>
                  </w:pPr>
                  <w:r>
                    <w:rPr>
                      <w:rFonts w:hint="eastAsia"/>
                      <w:bCs/>
                      <w:szCs w:val="21"/>
                    </w:rPr>
                    <w:t>900-039-49</w:t>
                  </w:r>
                </w:p>
              </w:tc>
              <w:tc>
                <w:tcPr>
                  <w:tcW w:w="852" w:type="dxa"/>
                  <w:vAlign w:val="center"/>
                </w:tcPr>
                <w:p>
                  <w:pPr>
                    <w:jc w:val="center"/>
                    <w:rPr>
                      <w:szCs w:val="21"/>
                    </w:rPr>
                  </w:pPr>
                  <w:r>
                    <w:rPr>
                      <w:szCs w:val="21"/>
                    </w:rPr>
                    <w:t>2.0139</w:t>
                  </w:r>
                </w:p>
              </w:tc>
              <w:tc>
                <w:tcPr>
                  <w:tcW w:w="624" w:type="dxa"/>
                  <w:vAlign w:val="center"/>
                </w:tcPr>
                <w:p>
                  <w:pPr>
                    <w:jc w:val="center"/>
                    <w:rPr>
                      <w:szCs w:val="21"/>
                    </w:rPr>
                  </w:pPr>
                  <w:r>
                    <w:rPr>
                      <w:szCs w:val="21"/>
                    </w:rPr>
                    <w:t>废气处理设施</w:t>
                  </w:r>
                </w:p>
              </w:tc>
              <w:tc>
                <w:tcPr>
                  <w:tcW w:w="421" w:type="dxa"/>
                  <w:vAlign w:val="center"/>
                </w:tcPr>
                <w:p>
                  <w:pPr>
                    <w:pStyle w:val="46"/>
                    <w:adjustRightInd/>
                    <w:contextualSpacing/>
                    <w:rPr>
                      <w:rFonts w:ascii="Times New Roman"/>
                      <w:sz w:val="21"/>
                      <w:szCs w:val="21"/>
                    </w:rPr>
                  </w:pPr>
                  <w:r>
                    <w:rPr>
                      <w:rFonts w:ascii="Times New Roman"/>
                      <w:sz w:val="21"/>
                      <w:szCs w:val="21"/>
                    </w:rPr>
                    <w:t>固态</w:t>
                  </w:r>
                </w:p>
              </w:tc>
              <w:tc>
                <w:tcPr>
                  <w:tcW w:w="624" w:type="dxa"/>
                  <w:vAlign w:val="center"/>
                </w:tcPr>
                <w:p>
                  <w:pPr>
                    <w:pStyle w:val="46"/>
                    <w:adjustRightInd/>
                    <w:contextualSpacing/>
                    <w:rPr>
                      <w:rFonts w:ascii="Times New Roman"/>
                      <w:sz w:val="21"/>
                      <w:szCs w:val="21"/>
                    </w:rPr>
                  </w:pPr>
                  <w:r>
                    <w:rPr>
                      <w:rFonts w:ascii="Times New Roman"/>
                      <w:sz w:val="21"/>
                      <w:szCs w:val="21"/>
                    </w:rPr>
                    <w:t>过滤棉和活性炭</w:t>
                  </w:r>
                </w:p>
              </w:tc>
              <w:tc>
                <w:tcPr>
                  <w:tcW w:w="624" w:type="dxa"/>
                  <w:vAlign w:val="center"/>
                </w:tcPr>
                <w:p>
                  <w:pPr>
                    <w:pStyle w:val="46"/>
                    <w:adjustRightInd/>
                    <w:contextualSpacing/>
                    <w:rPr>
                      <w:rFonts w:ascii="Times New Roman"/>
                      <w:sz w:val="21"/>
                      <w:szCs w:val="21"/>
                    </w:rPr>
                  </w:pPr>
                  <w:r>
                    <w:rPr>
                      <w:rFonts w:ascii="Times New Roman"/>
                      <w:sz w:val="21"/>
                      <w:szCs w:val="21"/>
                    </w:rPr>
                    <w:t>吸附的有机废气</w:t>
                  </w:r>
                </w:p>
              </w:tc>
              <w:tc>
                <w:tcPr>
                  <w:tcW w:w="981" w:type="dxa"/>
                  <w:vAlign w:val="center"/>
                </w:tcPr>
                <w:p>
                  <w:pPr>
                    <w:jc w:val="center"/>
                    <w:rPr>
                      <w:szCs w:val="21"/>
                    </w:rPr>
                  </w:pPr>
                  <w:r>
                    <w:rPr>
                      <w:rFonts w:hint="eastAsia"/>
                      <w:szCs w:val="21"/>
                    </w:rPr>
                    <w:t>4.066</w:t>
                  </w:r>
                  <w:r>
                    <w:rPr>
                      <w:szCs w:val="21"/>
                    </w:rPr>
                    <w:t>t/a</w:t>
                  </w:r>
                </w:p>
              </w:tc>
              <w:tc>
                <w:tcPr>
                  <w:tcW w:w="557" w:type="dxa"/>
                  <w:vAlign w:val="center"/>
                </w:tcPr>
                <w:p>
                  <w:pPr>
                    <w:contextualSpacing/>
                    <w:jc w:val="center"/>
                    <w:rPr>
                      <w:szCs w:val="21"/>
                    </w:rPr>
                  </w:pPr>
                  <w:r>
                    <w:rPr>
                      <w:szCs w:val="21"/>
                    </w:rPr>
                    <w:t>T</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5</w:t>
                  </w:r>
                </w:p>
              </w:tc>
              <w:tc>
                <w:tcPr>
                  <w:tcW w:w="623" w:type="dxa"/>
                  <w:vAlign w:val="center"/>
                </w:tcPr>
                <w:p>
                  <w:pPr>
                    <w:jc w:val="center"/>
                    <w:rPr>
                      <w:szCs w:val="21"/>
                    </w:rPr>
                  </w:pPr>
                  <w:r>
                    <w:rPr>
                      <w:szCs w:val="21"/>
                    </w:rPr>
                    <w:t>废UV灯管</w:t>
                  </w:r>
                </w:p>
              </w:tc>
              <w:tc>
                <w:tcPr>
                  <w:tcW w:w="759" w:type="dxa"/>
                  <w:vAlign w:val="center"/>
                </w:tcPr>
                <w:p>
                  <w:pPr>
                    <w:jc w:val="center"/>
                    <w:rPr>
                      <w:szCs w:val="21"/>
                    </w:rPr>
                  </w:pPr>
                  <w:r>
                    <w:rPr>
                      <w:szCs w:val="21"/>
                    </w:rPr>
                    <w:t>HW29</w:t>
                  </w:r>
                </w:p>
              </w:tc>
              <w:tc>
                <w:tcPr>
                  <w:tcW w:w="1167" w:type="dxa"/>
                  <w:vAlign w:val="center"/>
                </w:tcPr>
                <w:p>
                  <w:pPr>
                    <w:jc w:val="center"/>
                    <w:rPr>
                      <w:szCs w:val="21"/>
                    </w:rPr>
                  </w:pPr>
                  <w:r>
                    <w:rPr>
                      <w:szCs w:val="21"/>
                    </w:rPr>
                    <w:t>HW29</w:t>
                  </w:r>
                </w:p>
                <w:p>
                  <w:pPr>
                    <w:pStyle w:val="2"/>
                    <w:jc w:val="center"/>
                    <w:rPr>
                      <w:szCs w:val="21"/>
                    </w:rPr>
                  </w:pPr>
                  <w:r>
                    <w:rPr>
                      <w:szCs w:val="21"/>
                    </w:rPr>
                    <w:t>900-023-29</w:t>
                  </w:r>
                </w:p>
              </w:tc>
              <w:tc>
                <w:tcPr>
                  <w:tcW w:w="852" w:type="dxa"/>
                  <w:vAlign w:val="center"/>
                </w:tcPr>
                <w:p>
                  <w:pPr>
                    <w:jc w:val="center"/>
                    <w:rPr>
                      <w:szCs w:val="21"/>
                    </w:rPr>
                  </w:pPr>
                  <w:r>
                    <w:rPr>
                      <w:rFonts w:hint="eastAsia"/>
                      <w:szCs w:val="21"/>
                    </w:rPr>
                    <w:t>12根/年</w:t>
                  </w:r>
                </w:p>
              </w:tc>
              <w:tc>
                <w:tcPr>
                  <w:tcW w:w="624" w:type="dxa"/>
                  <w:vAlign w:val="center"/>
                </w:tcPr>
                <w:p>
                  <w:pPr>
                    <w:jc w:val="center"/>
                    <w:rPr>
                      <w:szCs w:val="21"/>
                    </w:rPr>
                  </w:pPr>
                  <w:r>
                    <w:rPr>
                      <w:szCs w:val="21"/>
                    </w:rPr>
                    <w:t>维修、维护</w:t>
                  </w:r>
                </w:p>
              </w:tc>
              <w:tc>
                <w:tcPr>
                  <w:tcW w:w="421" w:type="dxa"/>
                  <w:vAlign w:val="center"/>
                </w:tcPr>
                <w:p>
                  <w:pPr>
                    <w:pStyle w:val="46"/>
                    <w:adjustRightInd/>
                    <w:contextualSpacing/>
                    <w:rPr>
                      <w:rFonts w:ascii="Times New Roman"/>
                      <w:sz w:val="21"/>
                      <w:szCs w:val="21"/>
                    </w:rPr>
                  </w:pPr>
                  <w:r>
                    <w:rPr>
                      <w:rFonts w:ascii="Times New Roman"/>
                      <w:sz w:val="21"/>
                      <w:szCs w:val="21"/>
                    </w:rPr>
                    <w:t>固态</w:t>
                  </w:r>
                </w:p>
              </w:tc>
              <w:tc>
                <w:tcPr>
                  <w:tcW w:w="624" w:type="dxa"/>
                  <w:vAlign w:val="center"/>
                </w:tcPr>
                <w:p>
                  <w:pPr>
                    <w:pStyle w:val="46"/>
                    <w:adjustRightInd/>
                    <w:contextualSpacing/>
                    <w:rPr>
                      <w:rFonts w:ascii="Times New Roman"/>
                      <w:sz w:val="21"/>
                      <w:szCs w:val="21"/>
                    </w:rPr>
                  </w:pPr>
                  <w:r>
                    <w:rPr>
                      <w:rFonts w:ascii="Times New Roman"/>
                      <w:sz w:val="21"/>
                      <w:szCs w:val="21"/>
                    </w:rPr>
                    <w:t>UV灯管</w:t>
                  </w:r>
                </w:p>
              </w:tc>
              <w:tc>
                <w:tcPr>
                  <w:tcW w:w="624" w:type="dxa"/>
                  <w:vAlign w:val="center"/>
                </w:tcPr>
                <w:p>
                  <w:pPr>
                    <w:pStyle w:val="46"/>
                    <w:adjustRightInd/>
                    <w:contextualSpacing/>
                    <w:rPr>
                      <w:rFonts w:ascii="Times New Roman"/>
                      <w:sz w:val="21"/>
                      <w:szCs w:val="21"/>
                    </w:rPr>
                  </w:pPr>
                  <w:r>
                    <w:rPr>
                      <w:rFonts w:ascii="Times New Roman"/>
                      <w:sz w:val="21"/>
                      <w:szCs w:val="21"/>
                    </w:rPr>
                    <w:t>汞</w:t>
                  </w:r>
                </w:p>
              </w:tc>
              <w:tc>
                <w:tcPr>
                  <w:tcW w:w="981" w:type="dxa"/>
                  <w:vAlign w:val="center"/>
                </w:tcPr>
                <w:p>
                  <w:pPr>
                    <w:jc w:val="center"/>
                    <w:rPr>
                      <w:szCs w:val="21"/>
                    </w:rPr>
                  </w:pPr>
                  <w:r>
                    <w:rPr>
                      <w:rFonts w:hint="eastAsia"/>
                      <w:szCs w:val="21"/>
                    </w:rPr>
                    <w:t>12根/年</w:t>
                  </w:r>
                </w:p>
              </w:tc>
              <w:tc>
                <w:tcPr>
                  <w:tcW w:w="557" w:type="dxa"/>
                  <w:vAlign w:val="center"/>
                </w:tcPr>
                <w:p>
                  <w:pPr>
                    <w:contextualSpacing/>
                    <w:jc w:val="center"/>
                    <w:rPr>
                      <w:szCs w:val="21"/>
                    </w:rPr>
                  </w:pPr>
                  <w:r>
                    <w:rPr>
                      <w:szCs w:val="21"/>
                    </w:rPr>
                    <w:t>T</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6</w:t>
                  </w:r>
                </w:p>
              </w:tc>
              <w:tc>
                <w:tcPr>
                  <w:tcW w:w="623" w:type="dxa"/>
                  <w:vAlign w:val="center"/>
                </w:tcPr>
                <w:p>
                  <w:pPr>
                    <w:jc w:val="center"/>
                    <w:rPr>
                      <w:szCs w:val="21"/>
                    </w:rPr>
                  </w:pPr>
                  <w:r>
                    <w:rPr>
                      <w:szCs w:val="21"/>
                    </w:rPr>
                    <w:t>废漆渣</w:t>
                  </w:r>
                </w:p>
              </w:tc>
              <w:tc>
                <w:tcPr>
                  <w:tcW w:w="759" w:type="dxa"/>
                  <w:vAlign w:val="center"/>
                </w:tcPr>
                <w:p>
                  <w:pPr>
                    <w:jc w:val="center"/>
                    <w:rPr>
                      <w:szCs w:val="21"/>
                    </w:rPr>
                  </w:pPr>
                  <w:r>
                    <w:rPr>
                      <w:szCs w:val="21"/>
                    </w:rPr>
                    <w:t>HW12</w:t>
                  </w:r>
                </w:p>
              </w:tc>
              <w:tc>
                <w:tcPr>
                  <w:tcW w:w="1167" w:type="dxa"/>
                  <w:vAlign w:val="center"/>
                </w:tcPr>
                <w:p>
                  <w:pPr>
                    <w:jc w:val="center"/>
                    <w:rPr>
                      <w:szCs w:val="21"/>
                    </w:rPr>
                  </w:pPr>
                  <w:r>
                    <w:rPr>
                      <w:szCs w:val="21"/>
                    </w:rPr>
                    <w:t>HW12</w:t>
                  </w:r>
                </w:p>
                <w:p>
                  <w:pPr>
                    <w:pStyle w:val="2"/>
                    <w:jc w:val="center"/>
                    <w:rPr>
                      <w:szCs w:val="21"/>
                    </w:rPr>
                  </w:pPr>
                  <w:r>
                    <w:rPr>
                      <w:szCs w:val="21"/>
                    </w:rPr>
                    <w:t>900-252-12</w:t>
                  </w:r>
                </w:p>
              </w:tc>
              <w:tc>
                <w:tcPr>
                  <w:tcW w:w="852" w:type="dxa"/>
                  <w:vAlign w:val="center"/>
                </w:tcPr>
                <w:p>
                  <w:pPr>
                    <w:jc w:val="center"/>
                    <w:rPr>
                      <w:szCs w:val="21"/>
                    </w:rPr>
                  </w:pPr>
                  <w:r>
                    <w:rPr>
                      <w:szCs w:val="21"/>
                    </w:rPr>
                    <w:t>0.0006</w:t>
                  </w:r>
                </w:p>
              </w:tc>
              <w:tc>
                <w:tcPr>
                  <w:tcW w:w="624" w:type="dxa"/>
                  <w:vAlign w:val="center"/>
                </w:tcPr>
                <w:p>
                  <w:pPr>
                    <w:jc w:val="center"/>
                    <w:rPr>
                      <w:szCs w:val="21"/>
                    </w:rPr>
                  </w:pPr>
                  <w:r>
                    <w:rPr>
                      <w:szCs w:val="21"/>
                    </w:rPr>
                    <w:t>喷烤漆</w:t>
                  </w:r>
                </w:p>
              </w:tc>
              <w:tc>
                <w:tcPr>
                  <w:tcW w:w="421" w:type="dxa"/>
                  <w:vAlign w:val="center"/>
                </w:tcPr>
                <w:p>
                  <w:pPr>
                    <w:pStyle w:val="46"/>
                    <w:adjustRightInd/>
                    <w:contextualSpacing/>
                    <w:rPr>
                      <w:rFonts w:ascii="Times New Roman"/>
                      <w:sz w:val="21"/>
                      <w:szCs w:val="21"/>
                    </w:rPr>
                  </w:pPr>
                  <w:r>
                    <w:rPr>
                      <w:rFonts w:ascii="Times New Roman"/>
                      <w:sz w:val="21"/>
                      <w:szCs w:val="21"/>
                    </w:rPr>
                    <w:t>固态</w:t>
                  </w:r>
                </w:p>
              </w:tc>
              <w:tc>
                <w:tcPr>
                  <w:tcW w:w="624" w:type="dxa"/>
                  <w:vAlign w:val="center"/>
                </w:tcPr>
                <w:p>
                  <w:pPr>
                    <w:pStyle w:val="46"/>
                    <w:adjustRightInd/>
                    <w:contextualSpacing/>
                    <w:rPr>
                      <w:rFonts w:ascii="Times New Roman"/>
                      <w:sz w:val="21"/>
                      <w:szCs w:val="21"/>
                    </w:rPr>
                  </w:pPr>
                  <w:r>
                    <w:rPr>
                      <w:rFonts w:ascii="Times New Roman"/>
                      <w:sz w:val="21"/>
                      <w:szCs w:val="21"/>
                    </w:rPr>
                    <w:t>漆渣</w:t>
                  </w:r>
                </w:p>
              </w:tc>
              <w:tc>
                <w:tcPr>
                  <w:tcW w:w="624" w:type="dxa"/>
                  <w:vAlign w:val="center"/>
                </w:tcPr>
                <w:p>
                  <w:pPr>
                    <w:pStyle w:val="46"/>
                    <w:adjustRightInd/>
                    <w:contextualSpacing/>
                    <w:rPr>
                      <w:rFonts w:ascii="Times New Roman"/>
                      <w:sz w:val="21"/>
                      <w:szCs w:val="21"/>
                    </w:rPr>
                  </w:pPr>
                  <w:r>
                    <w:rPr>
                      <w:rFonts w:ascii="Times New Roman"/>
                      <w:sz w:val="21"/>
                      <w:szCs w:val="21"/>
                    </w:rPr>
                    <w:t>漆渣</w:t>
                  </w:r>
                </w:p>
              </w:tc>
              <w:tc>
                <w:tcPr>
                  <w:tcW w:w="981" w:type="dxa"/>
                  <w:vAlign w:val="center"/>
                </w:tcPr>
                <w:p>
                  <w:pPr>
                    <w:jc w:val="center"/>
                    <w:rPr>
                      <w:szCs w:val="21"/>
                    </w:rPr>
                  </w:pPr>
                  <w:r>
                    <w:rPr>
                      <w:szCs w:val="21"/>
                    </w:rPr>
                    <w:t>0.00</w:t>
                  </w:r>
                  <w:r>
                    <w:rPr>
                      <w:rFonts w:hint="eastAsia"/>
                      <w:szCs w:val="21"/>
                    </w:rPr>
                    <w:t>12</w:t>
                  </w:r>
                  <w:r>
                    <w:rPr>
                      <w:szCs w:val="21"/>
                    </w:rPr>
                    <w:t>t/a</w:t>
                  </w:r>
                </w:p>
              </w:tc>
              <w:tc>
                <w:tcPr>
                  <w:tcW w:w="557" w:type="dxa"/>
                  <w:vAlign w:val="center"/>
                </w:tcPr>
                <w:p>
                  <w:pPr>
                    <w:contextualSpacing/>
                    <w:jc w:val="center"/>
                    <w:rPr>
                      <w:szCs w:val="21"/>
                    </w:rPr>
                  </w:pPr>
                  <w:r>
                    <w:rPr>
                      <w:szCs w:val="21"/>
                    </w:rPr>
                    <w:t>T</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7</w:t>
                  </w:r>
                </w:p>
              </w:tc>
              <w:tc>
                <w:tcPr>
                  <w:tcW w:w="623" w:type="dxa"/>
                  <w:vAlign w:val="center"/>
                </w:tcPr>
                <w:p>
                  <w:pPr>
                    <w:autoSpaceDE w:val="0"/>
                    <w:autoSpaceDN w:val="0"/>
                    <w:adjustRightInd w:val="0"/>
                    <w:jc w:val="center"/>
                    <w:rPr>
                      <w:szCs w:val="21"/>
                    </w:rPr>
                  </w:pPr>
                  <w:r>
                    <w:rPr>
                      <w:kern w:val="0"/>
                      <w:szCs w:val="21"/>
                    </w:rPr>
                    <w:t>废机油滤芯</w:t>
                  </w:r>
                </w:p>
              </w:tc>
              <w:tc>
                <w:tcPr>
                  <w:tcW w:w="759" w:type="dxa"/>
                  <w:vAlign w:val="center"/>
                </w:tcPr>
                <w:p>
                  <w:pPr>
                    <w:jc w:val="center"/>
                    <w:rPr>
                      <w:szCs w:val="21"/>
                    </w:rPr>
                  </w:pPr>
                  <w:r>
                    <w:rPr>
                      <w:szCs w:val="21"/>
                    </w:rPr>
                    <w:t>HW49</w:t>
                  </w:r>
                </w:p>
              </w:tc>
              <w:tc>
                <w:tcPr>
                  <w:tcW w:w="1167" w:type="dxa"/>
                  <w:vAlign w:val="center"/>
                </w:tcPr>
                <w:p>
                  <w:pPr>
                    <w:pStyle w:val="2"/>
                    <w:jc w:val="center"/>
                    <w:rPr>
                      <w:szCs w:val="21"/>
                    </w:rPr>
                  </w:pPr>
                  <w:r>
                    <w:rPr>
                      <w:szCs w:val="21"/>
                    </w:rPr>
                    <w:t>HW49</w:t>
                  </w:r>
                </w:p>
                <w:p>
                  <w:pPr>
                    <w:pStyle w:val="2"/>
                    <w:jc w:val="center"/>
                    <w:rPr>
                      <w:szCs w:val="21"/>
                    </w:rPr>
                  </w:pPr>
                  <w:r>
                    <w:rPr>
                      <w:szCs w:val="21"/>
                    </w:rPr>
                    <w:t>900-</w:t>
                  </w:r>
                  <w:r>
                    <w:rPr>
                      <w:rFonts w:hint="eastAsia"/>
                      <w:szCs w:val="21"/>
                    </w:rPr>
                    <w:t>041-49</w:t>
                  </w:r>
                </w:p>
              </w:tc>
              <w:tc>
                <w:tcPr>
                  <w:tcW w:w="852" w:type="dxa"/>
                  <w:vAlign w:val="center"/>
                </w:tcPr>
                <w:p>
                  <w:pPr>
                    <w:jc w:val="center"/>
                    <w:rPr>
                      <w:szCs w:val="21"/>
                    </w:rPr>
                  </w:pPr>
                  <w:r>
                    <w:rPr>
                      <w:szCs w:val="21"/>
                    </w:rPr>
                    <w:t>1.04</w:t>
                  </w:r>
                </w:p>
              </w:tc>
              <w:tc>
                <w:tcPr>
                  <w:tcW w:w="624" w:type="dxa"/>
                  <w:vAlign w:val="center"/>
                </w:tcPr>
                <w:p>
                  <w:pPr>
                    <w:jc w:val="center"/>
                    <w:rPr>
                      <w:szCs w:val="21"/>
                    </w:rPr>
                  </w:pPr>
                  <w:r>
                    <w:rPr>
                      <w:szCs w:val="21"/>
                    </w:rPr>
                    <w:t>维修、维护</w:t>
                  </w:r>
                </w:p>
              </w:tc>
              <w:tc>
                <w:tcPr>
                  <w:tcW w:w="421" w:type="dxa"/>
                  <w:vAlign w:val="center"/>
                </w:tcPr>
                <w:p>
                  <w:pPr>
                    <w:pStyle w:val="46"/>
                    <w:adjustRightInd/>
                    <w:contextualSpacing/>
                    <w:rPr>
                      <w:rFonts w:ascii="Times New Roman"/>
                      <w:sz w:val="21"/>
                      <w:szCs w:val="21"/>
                    </w:rPr>
                  </w:pPr>
                  <w:r>
                    <w:rPr>
                      <w:rFonts w:ascii="Times New Roman"/>
                      <w:sz w:val="21"/>
                      <w:szCs w:val="21"/>
                    </w:rPr>
                    <w:t>固液混合</w:t>
                  </w:r>
                </w:p>
              </w:tc>
              <w:tc>
                <w:tcPr>
                  <w:tcW w:w="624" w:type="dxa"/>
                  <w:vAlign w:val="center"/>
                </w:tcPr>
                <w:p>
                  <w:pPr>
                    <w:autoSpaceDE w:val="0"/>
                    <w:autoSpaceDN w:val="0"/>
                    <w:adjustRightInd w:val="0"/>
                    <w:jc w:val="center"/>
                    <w:rPr>
                      <w:szCs w:val="21"/>
                    </w:rPr>
                  </w:pPr>
                  <w:r>
                    <w:rPr>
                      <w:kern w:val="0"/>
                      <w:szCs w:val="21"/>
                    </w:rPr>
                    <w:t>废机油滤芯</w:t>
                  </w:r>
                </w:p>
              </w:tc>
              <w:tc>
                <w:tcPr>
                  <w:tcW w:w="624" w:type="dxa"/>
                  <w:vAlign w:val="center"/>
                </w:tcPr>
                <w:p>
                  <w:pPr>
                    <w:autoSpaceDE w:val="0"/>
                    <w:autoSpaceDN w:val="0"/>
                    <w:adjustRightInd w:val="0"/>
                    <w:jc w:val="center"/>
                    <w:rPr>
                      <w:szCs w:val="21"/>
                    </w:rPr>
                  </w:pPr>
                  <w:r>
                    <w:rPr>
                      <w:kern w:val="0"/>
                      <w:szCs w:val="21"/>
                    </w:rPr>
                    <w:t>废机油滤芯</w:t>
                  </w:r>
                </w:p>
              </w:tc>
              <w:tc>
                <w:tcPr>
                  <w:tcW w:w="981" w:type="dxa"/>
                  <w:vAlign w:val="center"/>
                </w:tcPr>
                <w:p>
                  <w:pPr>
                    <w:jc w:val="center"/>
                    <w:rPr>
                      <w:szCs w:val="21"/>
                    </w:rPr>
                  </w:pPr>
                  <w:r>
                    <w:rPr>
                      <w:szCs w:val="21"/>
                    </w:rPr>
                    <w:t>1.04t/a</w:t>
                  </w:r>
                </w:p>
              </w:tc>
              <w:tc>
                <w:tcPr>
                  <w:tcW w:w="557" w:type="dxa"/>
                  <w:vAlign w:val="center"/>
                </w:tcPr>
                <w:p>
                  <w:pPr>
                    <w:contextualSpacing/>
                    <w:jc w:val="center"/>
                    <w:rPr>
                      <w:szCs w:val="21"/>
                    </w:rPr>
                  </w:pPr>
                  <w:r>
                    <w:rPr>
                      <w:szCs w:val="21"/>
                    </w:rPr>
                    <w:t>T、I</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8</w:t>
                  </w:r>
                </w:p>
              </w:tc>
              <w:tc>
                <w:tcPr>
                  <w:tcW w:w="623" w:type="dxa"/>
                  <w:vAlign w:val="center"/>
                </w:tcPr>
                <w:p>
                  <w:pPr>
                    <w:autoSpaceDE w:val="0"/>
                    <w:autoSpaceDN w:val="0"/>
                    <w:adjustRightInd w:val="0"/>
                    <w:jc w:val="center"/>
                    <w:rPr>
                      <w:szCs w:val="21"/>
                    </w:rPr>
                  </w:pPr>
                  <w:r>
                    <w:rPr>
                      <w:kern w:val="0"/>
                      <w:szCs w:val="21"/>
                    </w:rPr>
                    <w:t>废专业擦拭纸（遮蔽纸）</w:t>
                  </w:r>
                </w:p>
              </w:tc>
              <w:tc>
                <w:tcPr>
                  <w:tcW w:w="759" w:type="dxa"/>
                  <w:vAlign w:val="center"/>
                </w:tcPr>
                <w:p>
                  <w:pPr>
                    <w:jc w:val="center"/>
                    <w:rPr>
                      <w:szCs w:val="21"/>
                    </w:rPr>
                  </w:pPr>
                  <w:r>
                    <w:rPr>
                      <w:szCs w:val="21"/>
                    </w:rPr>
                    <w:t>HW12</w:t>
                  </w:r>
                </w:p>
              </w:tc>
              <w:tc>
                <w:tcPr>
                  <w:tcW w:w="1167" w:type="dxa"/>
                  <w:vAlign w:val="center"/>
                </w:tcPr>
                <w:p>
                  <w:pPr>
                    <w:pStyle w:val="2"/>
                    <w:jc w:val="center"/>
                    <w:rPr>
                      <w:szCs w:val="21"/>
                    </w:rPr>
                  </w:pPr>
                  <w:r>
                    <w:rPr>
                      <w:szCs w:val="21"/>
                    </w:rPr>
                    <w:t>HW12</w:t>
                  </w:r>
                </w:p>
                <w:p>
                  <w:pPr>
                    <w:pStyle w:val="2"/>
                    <w:jc w:val="center"/>
                    <w:rPr>
                      <w:szCs w:val="21"/>
                    </w:rPr>
                  </w:pPr>
                  <w:r>
                    <w:rPr>
                      <w:szCs w:val="21"/>
                    </w:rPr>
                    <w:t>900-041-49</w:t>
                  </w:r>
                </w:p>
              </w:tc>
              <w:tc>
                <w:tcPr>
                  <w:tcW w:w="852" w:type="dxa"/>
                  <w:vAlign w:val="center"/>
                </w:tcPr>
                <w:p>
                  <w:pPr>
                    <w:jc w:val="center"/>
                    <w:rPr>
                      <w:szCs w:val="21"/>
                    </w:rPr>
                  </w:pPr>
                  <w:r>
                    <w:rPr>
                      <w:szCs w:val="21"/>
                    </w:rPr>
                    <w:t>0.048</w:t>
                  </w:r>
                </w:p>
              </w:tc>
              <w:tc>
                <w:tcPr>
                  <w:tcW w:w="624" w:type="dxa"/>
                  <w:vAlign w:val="center"/>
                </w:tcPr>
                <w:p>
                  <w:pPr>
                    <w:jc w:val="center"/>
                    <w:rPr>
                      <w:szCs w:val="21"/>
                    </w:rPr>
                  </w:pPr>
                  <w:r>
                    <w:rPr>
                      <w:szCs w:val="21"/>
                    </w:rPr>
                    <w:t>维修、维护、喷烤漆</w:t>
                  </w:r>
                </w:p>
              </w:tc>
              <w:tc>
                <w:tcPr>
                  <w:tcW w:w="421" w:type="dxa"/>
                  <w:vAlign w:val="center"/>
                </w:tcPr>
                <w:p>
                  <w:pPr>
                    <w:pStyle w:val="46"/>
                    <w:adjustRightInd/>
                    <w:contextualSpacing/>
                    <w:rPr>
                      <w:rFonts w:ascii="Times New Roman"/>
                      <w:sz w:val="21"/>
                      <w:szCs w:val="21"/>
                    </w:rPr>
                  </w:pPr>
                  <w:r>
                    <w:rPr>
                      <w:rFonts w:ascii="Times New Roman"/>
                      <w:sz w:val="21"/>
                      <w:szCs w:val="21"/>
                    </w:rPr>
                    <w:t>固态</w:t>
                  </w:r>
                </w:p>
              </w:tc>
              <w:tc>
                <w:tcPr>
                  <w:tcW w:w="624" w:type="dxa"/>
                  <w:vAlign w:val="center"/>
                </w:tcPr>
                <w:p>
                  <w:pPr>
                    <w:autoSpaceDE w:val="0"/>
                    <w:autoSpaceDN w:val="0"/>
                    <w:adjustRightInd w:val="0"/>
                    <w:jc w:val="center"/>
                    <w:rPr>
                      <w:szCs w:val="21"/>
                    </w:rPr>
                  </w:pPr>
                  <w:r>
                    <w:rPr>
                      <w:kern w:val="0"/>
                      <w:szCs w:val="21"/>
                    </w:rPr>
                    <w:t>废专业擦拭纸（遮蔽纸）</w:t>
                  </w:r>
                </w:p>
              </w:tc>
              <w:tc>
                <w:tcPr>
                  <w:tcW w:w="624" w:type="dxa"/>
                  <w:vAlign w:val="center"/>
                </w:tcPr>
                <w:p>
                  <w:pPr>
                    <w:autoSpaceDE w:val="0"/>
                    <w:autoSpaceDN w:val="0"/>
                    <w:adjustRightInd w:val="0"/>
                    <w:jc w:val="center"/>
                    <w:rPr>
                      <w:szCs w:val="21"/>
                    </w:rPr>
                  </w:pPr>
                  <w:r>
                    <w:rPr>
                      <w:kern w:val="0"/>
                      <w:szCs w:val="21"/>
                    </w:rPr>
                    <w:t>废专业擦拭纸（遮蔽纸）</w:t>
                  </w:r>
                </w:p>
              </w:tc>
              <w:tc>
                <w:tcPr>
                  <w:tcW w:w="981" w:type="dxa"/>
                  <w:vAlign w:val="center"/>
                </w:tcPr>
                <w:p>
                  <w:pPr>
                    <w:jc w:val="center"/>
                    <w:rPr>
                      <w:szCs w:val="21"/>
                    </w:rPr>
                  </w:pPr>
                  <w:r>
                    <w:rPr>
                      <w:szCs w:val="21"/>
                    </w:rPr>
                    <w:t>0.048t/a</w:t>
                  </w:r>
                </w:p>
              </w:tc>
              <w:tc>
                <w:tcPr>
                  <w:tcW w:w="557" w:type="dxa"/>
                  <w:vAlign w:val="center"/>
                </w:tcPr>
                <w:p>
                  <w:pPr>
                    <w:contextualSpacing/>
                    <w:jc w:val="center"/>
                    <w:rPr>
                      <w:szCs w:val="21"/>
                    </w:rPr>
                  </w:pPr>
                  <w:r>
                    <w:rPr>
                      <w:szCs w:val="21"/>
                    </w:rPr>
                    <w:t>T、I</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hint="eastAsia" w:ascii="Times New Roman"/>
                      <w:sz w:val="21"/>
                      <w:szCs w:val="21"/>
                      <w:lang w:val="en-US" w:eastAsia="zh-CN"/>
                    </w:rPr>
                    <w:t>9</w:t>
                  </w:r>
                </w:p>
              </w:tc>
              <w:tc>
                <w:tcPr>
                  <w:tcW w:w="623" w:type="dxa"/>
                  <w:vAlign w:val="center"/>
                </w:tcPr>
                <w:p>
                  <w:pPr>
                    <w:jc w:val="center"/>
                    <w:rPr>
                      <w:szCs w:val="21"/>
                    </w:rPr>
                  </w:pPr>
                  <w:r>
                    <w:rPr>
                      <w:szCs w:val="21"/>
                    </w:rPr>
                    <w:t>废油漆桶（含废稀释剂桶）</w:t>
                  </w:r>
                </w:p>
              </w:tc>
              <w:tc>
                <w:tcPr>
                  <w:tcW w:w="759" w:type="dxa"/>
                  <w:vAlign w:val="center"/>
                </w:tcPr>
                <w:p>
                  <w:pPr>
                    <w:jc w:val="center"/>
                    <w:rPr>
                      <w:szCs w:val="21"/>
                    </w:rPr>
                  </w:pPr>
                  <w:r>
                    <w:rPr>
                      <w:szCs w:val="21"/>
                    </w:rPr>
                    <w:t>HW49</w:t>
                  </w:r>
                </w:p>
              </w:tc>
              <w:tc>
                <w:tcPr>
                  <w:tcW w:w="1167" w:type="dxa"/>
                  <w:vAlign w:val="center"/>
                </w:tcPr>
                <w:p>
                  <w:pPr>
                    <w:jc w:val="center"/>
                    <w:rPr>
                      <w:szCs w:val="21"/>
                    </w:rPr>
                  </w:pPr>
                  <w:r>
                    <w:rPr>
                      <w:szCs w:val="21"/>
                    </w:rPr>
                    <w:t>HW49</w:t>
                  </w:r>
                </w:p>
                <w:p>
                  <w:pPr>
                    <w:pStyle w:val="2"/>
                    <w:jc w:val="center"/>
                    <w:rPr>
                      <w:szCs w:val="21"/>
                    </w:rPr>
                  </w:pPr>
                  <w:r>
                    <w:rPr>
                      <w:szCs w:val="21"/>
                    </w:rPr>
                    <w:t>900-041-49</w:t>
                  </w:r>
                </w:p>
              </w:tc>
              <w:tc>
                <w:tcPr>
                  <w:tcW w:w="852" w:type="dxa"/>
                  <w:vAlign w:val="center"/>
                </w:tcPr>
                <w:p>
                  <w:pPr>
                    <w:jc w:val="center"/>
                    <w:rPr>
                      <w:szCs w:val="21"/>
                    </w:rPr>
                  </w:pPr>
                  <w:r>
                    <w:rPr>
                      <w:szCs w:val="21"/>
                    </w:rPr>
                    <w:t>0.0225</w:t>
                  </w:r>
                </w:p>
              </w:tc>
              <w:tc>
                <w:tcPr>
                  <w:tcW w:w="624" w:type="dxa"/>
                  <w:vAlign w:val="center"/>
                </w:tcPr>
                <w:p>
                  <w:pPr>
                    <w:jc w:val="center"/>
                    <w:rPr>
                      <w:szCs w:val="21"/>
                    </w:rPr>
                  </w:pPr>
                  <w:r>
                    <w:rPr>
                      <w:szCs w:val="21"/>
                    </w:rPr>
                    <w:t>维修、维护、喷烤漆</w:t>
                  </w:r>
                </w:p>
              </w:tc>
              <w:tc>
                <w:tcPr>
                  <w:tcW w:w="421" w:type="dxa"/>
                  <w:vAlign w:val="center"/>
                </w:tcPr>
                <w:p>
                  <w:pPr>
                    <w:pStyle w:val="46"/>
                    <w:adjustRightInd/>
                    <w:contextualSpacing/>
                    <w:rPr>
                      <w:rFonts w:ascii="Times New Roman"/>
                      <w:sz w:val="21"/>
                      <w:szCs w:val="21"/>
                    </w:rPr>
                  </w:pPr>
                  <w:r>
                    <w:rPr>
                      <w:rFonts w:ascii="Times New Roman"/>
                      <w:sz w:val="21"/>
                      <w:szCs w:val="21"/>
                    </w:rPr>
                    <w:t>固液混合</w:t>
                  </w:r>
                </w:p>
              </w:tc>
              <w:tc>
                <w:tcPr>
                  <w:tcW w:w="624" w:type="dxa"/>
                  <w:vAlign w:val="center"/>
                </w:tcPr>
                <w:p>
                  <w:pPr>
                    <w:pStyle w:val="46"/>
                    <w:adjustRightInd/>
                    <w:contextualSpacing/>
                    <w:rPr>
                      <w:rFonts w:ascii="Times New Roman"/>
                      <w:sz w:val="21"/>
                      <w:szCs w:val="21"/>
                    </w:rPr>
                  </w:pPr>
                  <w:r>
                    <w:rPr>
                      <w:rFonts w:ascii="Times New Roman"/>
                      <w:sz w:val="21"/>
                      <w:szCs w:val="21"/>
                    </w:rPr>
                    <w:t>油漆、稀释剂</w:t>
                  </w:r>
                </w:p>
              </w:tc>
              <w:tc>
                <w:tcPr>
                  <w:tcW w:w="624" w:type="dxa"/>
                  <w:vAlign w:val="center"/>
                </w:tcPr>
                <w:p>
                  <w:pPr>
                    <w:pStyle w:val="46"/>
                    <w:adjustRightInd/>
                    <w:contextualSpacing/>
                    <w:rPr>
                      <w:rFonts w:ascii="Times New Roman"/>
                      <w:sz w:val="21"/>
                      <w:szCs w:val="21"/>
                    </w:rPr>
                  </w:pPr>
                  <w:r>
                    <w:rPr>
                      <w:rFonts w:ascii="Times New Roman"/>
                      <w:sz w:val="21"/>
                      <w:szCs w:val="21"/>
                    </w:rPr>
                    <w:t>油漆、稀释剂</w:t>
                  </w:r>
                </w:p>
              </w:tc>
              <w:tc>
                <w:tcPr>
                  <w:tcW w:w="981" w:type="dxa"/>
                  <w:vAlign w:val="center"/>
                </w:tcPr>
                <w:p>
                  <w:pPr>
                    <w:jc w:val="center"/>
                    <w:rPr>
                      <w:szCs w:val="21"/>
                    </w:rPr>
                  </w:pPr>
                  <w:r>
                    <w:rPr>
                      <w:szCs w:val="21"/>
                    </w:rPr>
                    <w:t>0.0</w:t>
                  </w:r>
                  <w:r>
                    <w:rPr>
                      <w:rFonts w:hint="eastAsia"/>
                      <w:szCs w:val="21"/>
                    </w:rPr>
                    <w:t>3</w:t>
                  </w:r>
                  <w:r>
                    <w:rPr>
                      <w:szCs w:val="21"/>
                    </w:rPr>
                    <w:t>t/a</w:t>
                  </w:r>
                </w:p>
              </w:tc>
              <w:tc>
                <w:tcPr>
                  <w:tcW w:w="557" w:type="dxa"/>
                  <w:vAlign w:val="center"/>
                </w:tcPr>
                <w:p>
                  <w:pPr>
                    <w:contextualSpacing/>
                    <w:jc w:val="center"/>
                    <w:rPr>
                      <w:szCs w:val="21"/>
                    </w:rPr>
                  </w:pPr>
                  <w:r>
                    <w:rPr>
                      <w:szCs w:val="21"/>
                    </w:rPr>
                    <w:t>T、I</w:t>
                  </w:r>
                </w:p>
              </w:tc>
              <w:tc>
                <w:tcPr>
                  <w:tcW w:w="624" w:type="dxa"/>
                  <w:vMerge w:val="restart"/>
                  <w:vAlign w:val="center"/>
                </w:tcPr>
                <w:p>
                  <w:pPr>
                    <w:jc w:val="center"/>
                    <w:rPr>
                      <w:szCs w:val="21"/>
                    </w:rPr>
                  </w:pPr>
                  <w:r>
                    <w:rPr>
                      <w:szCs w:val="21"/>
                    </w:rPr>
                    <w:t>危废暂存间+</w:t>
                  </w:r>
                  <w:r>
                    <w:rPr>
                      <w:bCs/>
                      <w:szCs w:val="21"/>
                    </w:rPr>
                    <w:t>由具有资质的单位直接进行收集、转运和处置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ascii="Times New Roman"/>
                      <w:sz w:val="21"/>
                      <w:szCs w:val="21"/>
                    </w:rPr>
                    <w:t>1</w:t>
                  </w:r>
                  <w:r>
                    <w:rPr>
                      <w:rFonts w:hint="eastAsia" w:ascii="Times New Roman"/>
                      <w:sz w:val="21"/>
                      <w:szCs w:val="21"/>
                      <w:lang w:val="en-US" w:eastAsia="zh-CN"/>
                    </w:rPr>
                    <w:t>0</w:t>
                  </w:r>
                </w:p>
              </w:tc>
              <w:tc>
                <w:tcPr>
                  <w:tcW w:w="623" w:type="dxa"/>
                  <w:vAlign w:val="center"/>
                </w:tcPr>
                <w:p>
                  <w:pPr>
                    <w:autoSpaceDE w:val="0"/>
                    <w:autoSpaceDN w:val="0"/>
                    <w:adjustRightInd w:val="0"/>
                    <w:jc w:val="center"/>
                    <w:rPr>
                      <w:szCs w:val="21"/>
                    </w:rPr>
                  </w:pPr>
                  <w:r>
                    <w:rPr>
                      <w:kern w:val="0"/>
                      <w:szCs w:val="21"/>
                    </w:rPr>
                    <w:t>废机油瓶</w:t>
                  </w:r>
                </w:p>
              </w:tc>
              <w:tc>
                <w:tcPr>
                  <w:tcW w:w="759" w:type="dxa"/>
                  <w:vAlign w:val="center"/>
                </w:tcPr>
                <w:p>
                  <w:pPr>
                    <w:jc w:val="center"/>
                    <w:rPr>
                      <w:szCs w:val="21"/>
                    </w:rPr>
                  </w:pPr>
                  <w:r>
                    <w:rPr>
                      <w:szCs w:val="21"/>
                    </w:rPr>
                    <w:t>HW49</w:t>
                  </w:r>
                </w:p>
              </w:tc>
              <w:tc>
                <w:tcPr>
                  <w:tcW w:w="1167" w:type="dxa"/>
                  <w:vAlign w:val="center"/>
                </w:tcPr>
                <w:p>
                  <w:pPr>
                    <w:pStyle w:val="2"/>
                    <w:jc w:val="center"/>
                    <w:rPr>
                      <w:szCs w:val="21"/>
                    </w:rPr>
                  </w:pPr>
                  <w:r>
                    <w:rPr>
                      <w:szCs w:val="21"/>
                    </w:rPr>
                    <w:t>HW49</w:t>
                  </w:r>
                </w:p>
                <w:p>
                  <w:pPr>
                    <w:pStyle w:val="2"/>
                    <w:jc w:val="center"/>
                    <w:rPr>
                      <w:szCs w:val="21"/>
                    </w:rPr>
                  </w:pPr>
                  <w:r>
                    <w:rPr>
                      <w:szCs w:val="21"/>
                    </w:rPr>
                    <w:t>900-01-49</w:t>
                  </w:r>
                </w:p>
              </w:tc>
              <w:tc>
                <w:tcPr>
                  <w:tcW w:w="852" w:type="dxa"/>
                  <w:vAlign w:val="center"/>
                </w:tcPr>
                <w:p>
                  <w:pPr>
                    <w:jc w:val="center"/>
                    <w:rPr>
                      <w:szCs w:val="21"/>
                    </w:rPr>
                  </w:pPr>
                  <w:r>
                    <w:rPr>
                      <w:szCs w:val="21"/>
                    </w:rPr>
                    <w:t>0.08</w:t>
                  </w:r>
                </w:p>
              </w:tc>
              <w:tc>
                <w:tcPr>
                  <w:tcW w:w="624" w:type="dxa"/>
                  <w:vAlign w:val="center"/>
                </w:tcPr>
                <w:p>
                  <w:pPr>
                    <w:jc w:val="center"/>
                    <w:rPr>
                      <w:szCs w:val="21"/>
                    </w:rPr>
                  </w:pPr>
                  <w:r>
                    <w:rPr>
                      <w:szCs w:val="21"/>
                    </w:rPr>
                    <w:t>维修、维护</w:t>
                  </w:r>
                </w:p>
              </w:tc>
              <w:tc>
                <w:tcPr>
                  <w:tcW w:w="421" w:type="dxa"/>
                  <w:vAlign w:val="center"/>
                </w:tcPr>
                <w:p>
                  <w:pPr>
                    <w:pStyle w:val="46"/>
                    <w:adjustRightInd/>
                    <w:contextualSpacing/>
                    <w:rPr>
                      <w:rFonts w:ascii="Times New Roman"/>
                      <w:sz w:val="21"/>
                      <w:szCs w:val="21"/>
                    </w:rPr>
                  </w:pPr>
                  <w:r>
                    <w:rPr>
                      <w:rFonts w:ascii="Times New Roman"/>
                      <w:sz w:val="21"/>
                      <w:szCs w:val="21"/>
                    </w:rPr>
                    <w:t>固液混合</w:t>
                  </w:r>
                </w:p>
              </w:tc>
              <w:tc>
                <w:tcPr>
                  <w:tcW w:w="624" w:type="dxa"/>
                  <w:vAlign w:val="center"/>
                </w:tcPr>
                <w:p>
                  <w:pPr>
                    <w:autoSpaceDE w:val="0"/>
                    <w:autoSpaceDN w:val="0"/>
                    <w:adjustRightInd w:val="0"/>
                    <w:jc w:val="center"/>
                    <w:rPr>
                      <w:szCs w:val="21"/>
                    </w:rPr>
                  </w:pPr>
                  <w:r>
                    <w:rPr>
                      <w:kern w:val="0"/>
                      <w:szCs w:val="21"/>
                    </w:rPr>
                    <w:t>废机油瓶</w:t>
                  </w:r>
                </w:p>
              </w:tc>
              <w:tc>
                <w:tcPr>
                  <w:tcW w:w="624" w:type="dxa"/>
                  <w:vAlign w:val="center"/>
                </w:tcPr>
                <w:p>
                  <w:pPr>
                    <w:pStyle w:val="46"/>
                    <w:adjustRightInd/>
                    <w:contextualSpacing/>
                    <w:rPr>
                      <w:rFonts w:ascii="Times New Roman"/>
                      <w:sz w:val="21"/>
                      <w:szCs w:val="21"/>
                    </w:rPr>
                  </w:pPr>
                  <w:r>
                    <w:rPr>
                      <w:rFonts w:ascii="Times New Roman"/>
                      <w:sz w:val="21"/>
                      <w:szCs w:val="21"/>
                    </w:rPr>
                    <w:t>废机油</w:t>
                  </w:r>
                </w:p>
              </w:tc>
              <w:tc>
                <w:tcPr>
                  <w:tcW w:w="981" w:type="dxa"/>
                  <w:vAlign w:val="center"/>
                </w:tcPr>
                <w:p>
                  <w:pPr>
                    <w:jc w:val="center"/>
                    <w:rPr>
                      <w:szCs w:val="21"/>
                    </w:rPr>
                  </w:pPr>
                  <w:r>
                    <w:rPr>
                      <w:szCs w:val="21"/>
                    </w:rPr>
                    <w:t>0.0</w:t>
                  </w:r>
                  <w:r>
                    <w:rPr>
                      <w:rFonts w:hint="eastAsia"/>
                      <w:szCs w:val="21"/>
                    </w:rPr>
                    <w:t>6</w:t>
                  </w:r>
                  <w:r>
                    <w:rPr>
                      <w:szCs w:val="21"/>
                    </w:rPr>
                    <w:t>t/a</w:t>
                  </w:r>
                </w:p>
              </w:tc>
              <w:tc>
                <w:tcPr>
                  <w:tcW w:w="557" w:type="dxa"/>
                  <w:vAlign w:val="center"/>
                </w:tcPr>
                <w:p>
                  <w:pPr>
                    <w:contextualSpacing/>
                    <w:jc w:val="center"/>
                    <w:rPr>
                      <w:szCs w:val="21"/>
                    </w:rPr>
                  </w:pPr>
                  <w:r>
                    <w:rPr>
                      <w:szCs w:val="21"/>
                    </w:rPr>
                    <w:t>T、I</w:t>
                  </w:r>
                </w:p>
              </w:tc>
              <w:tc>
                <w:tcPr>
                  <w:tcW w:w="624"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ascii="Times New Roman"/>
                      <w:sz w:val="21"/>
                      <w:szCs w:val="21"/>
                    </w:rPr>
                    <w:t>1</w:t>
                  </w:r>
                  <w:r>
                    <w:rPr>
                      <w:rFonts w:hint="eastAsia" w:ascii="Times New Roman"/>
                      <w:sz w:val="21"/>
                      <w:szCs w:val="21"/>
                      <w:lang w:val="en-US" w:eastAsia="zh-CN"/>
                    </w:rPr>
                    <w:t>1</w:t>
                  </w:r>
                </w:p>
              </w:tc>
              <w:tc>
                <w:tcPr>
                  <w:tcW w:w="623" w:type="dxa"/>
                  <w:vAlign w:val="center"/>
                </w:tcPr>
                <w:p>
                  <w:pPr>
                    <w:autoSpaceDE w:val="0"/>
                    <w:autoSpaceDN w:val="0"/>
                    <w:adjustRightInd w:val="0"/>
                    <w:jc w:val="center"/>
                    <w:rPr>
                      <w:szCs w:val="21"/>
                    </w:rPr>
                  </w:pPr>
                  <w:r>
                    <w:rPr>
                      <w:kern w:val="0"/>
                      <w:szCs w:val="21"/>
                    </w:rPr>
                    <w:t>隔油池废水处理产生的污泥</w:t>
                  </w:r>
                </w:p>
              </w:tc>
              <w:tc>
                <w:tcPr>
                  <w:tcW w:w="759" w:type="dxa"/>
                  <w:vMerge w:val="restart"/>
                  <w:vAlign w:val="center"/>
                </w:tcPr>
                <w:p>
                  <w:pPr>
                    <w:jc w:val="center"/>
                    <w:rPr>
                      <w:szCs w:val="21"/>
                    </w:rPr>
                  </w:pPr>
                  <w:r>
                    <w:rPr>
                      <w:szCs w:val="21"/>
                    </w:rPr>
                    <w:t>HW08</w:t>
                  </w:r>
                </w:p>
              </w:tc>
              <w:tc>
                <w:tcPr>
                  <w:tcW w:w="1167" w:type="dxa"/>
                  <w:vMerge w:val="restart"/>
                  <w:vAlign w:val="center"/>
                </w:tcPr>
                <w:p>
                  <w:pPr>
                    <w:jc w:val="center"/>
                    <w:rPr>
                      <w:szCs w:val="21"/>
                    </w:rPr>
                  </w:pPr>
                  <w:r>
                    <w:rPr>
                      <w:szCs w:val="21"/>
                    </w:rPr>
                    <w:t>HW08</w:t>
                  </w:r>
                </w:p>
                <w:p>
                  <w:pPr>
                    <w:pStyle w:val="2"/>
                    <w:jc w:val="center"/>
                    <w:rPr>
                      <w:szCs w:val="21"/>
                    </w:rPr>
                  </w:pPr>
                  <w:r>
                    <w:rPr>
                      <w:szCs w:val="21"/>
                    </w:rPr>
                    <w:t>900-210-08</w:t>
                  </w:r>
                </w:p>
              </w:tc>
              <w:tc>
                <w:tcPr>
                  <w:tcW w:w="852" w:type="dxa"/>
                  <w:vAlign w:val="center"/>
                </w:tcPr>
                <w:p>
                  <w:pPr>
                    <w:jc w:val="center"/>
                    <w:rPr>
                      <w:szCs w:val="21"/>
                    </w:rPr>
                  </w:pPr>
                  <w:r>
                    <w:rPr>
                      <w:szCs w:val="21"/>
                    </w:rPr>
                    <w:t>0.</w:t>
                  </w:r>
                  <w:r>
                    <w:rPr>
                      <w:rFonts w:hint="eastAsia"/>
                      <w:szCs w:val="21"/>
                    </w:rPr>
                    <w:t>0015</w:t>
                  </w:r>
                  <w:r>
                    <w:rPr>
                      <w:szCs w:val="21"/>
                    </w:rPr>
                    <w:t>（含水率90%）</w:t>
                  </w:r>
                </w:p>
              </w:tc>
              <w:tc>
                <w:tcPr>
                  <w:tcW w:w="624" w:type="dxa"/>
                  <w:vMerge w:val="restart"/>
                  <w:vAlign w:val="center"/>
                </w:tcPr>
                <w:p>
                  <w:pPr>
                    <w:jc w:val="center"/>
                    <w:rPr>
                      <w:szCs w:val="21"/>
                    </w:rPr>
                  </w:pPr>
                  <w:r>
                    <w:rPr>
                      <w:szCs w:val="21"/>
                    </w:rPr>
                    <w:t>废水处理设施</w:t>
                  </w:r>
                </w:p>
              </w:tc>
              <w:tc>
                <w:tcPr>
                  <w:tcW w:w="421" w:type="dxa"/>
                  <w:vAlign w:val="center"/>
                </w:tcPr>
                <w:p>
                  <w:pPr>
                    <w:pStyle w:val="46"/>
                    <w:adjustRightInd/>
                    <w:contextualSpacing/>
                    <w:rPr>
                      <w:rFonts w:ascii="Times New Roman"/>
                      <w:sz w:val="21"/>
                      <w:szCs w:val="21"/>
                    </w:rPr>
                  </w:pPr>
                  <w:r>
                    <w:rPr>
                      <w:rFonts w:ascii="Times New Roman"/>
                      <w:sz w:val="21"/>
                      <w:szCs w:val="21"/>
                    </w:rPr>
                    <w:t>固液混合</w:t>
                  </w:r>
                </w:p>
              </w:tc>
              <w:tc>
                <w:tcPr>
                  <w:tcW w:w="624" w:type="dxa"/>
                  <w:vAlign w:val="center"/>
                </w:tcPr>
                <w:p>
                  <w:pPr>
                    <w:pStyle w:val="46"/>
                    <w:adjustRightInd/>
                    <w:contextualSpacing/>
                    <w:rPr>
                      <w:rFonts w:ascii="Times New Roman"/>
                      <w:sz w:val="21"/>
                      <w:szCs w:val="21"/>
                    </w:rPr>
                  </w:pPr>
                  <w:r>
                    <w:rPr>
                      <w:rFonts w:ascii="Times New Roman"/>
                      <w:sz w:val="21"/>
                      <w:szCs w:val="21"/>
                    </w:rPr>
                    <w:t>含油污泥</w:t>
                  </w:r>
                </w:p>
              </w:tc>
              <w:tc>
                <w:tcPr>
                  <w:tcW w:w="624" w:type="dxa"/>
                  <w:vAlign w:val="center"/>
                </w:tcPr>
                <w:p>
                  <w:pPr>
                    <w:pStyle w:val="46"/>
                    <w:adjustRightInd/>
                    <w:contextualSpacing/>
                    <w:rPr>
                      <w:rFonts w:ascii="Times New Roman"/>
                      <w:sz w:val="21"/>
                      <w:szCs w:val="21"/>
                    </w:rPr>
                  </w:pPr>
                  <w:r>
                    <w:rPr>
                      <w:rFonts w:ascii="Times New Roman"/>
                      <w:sz w:val="21"/>
                      <w:szCs w:val="21"/>
                    </w:rPr>
                    <w:t>含油污泥</w:t>
                  </w:r>
                </w:p>
              </w:tc>
              <w:tc>
                <w:tcPr>
                  <w:tcW w:w="981" w:type="dxa"/>
                  <w:vAlign w:val="center"/>
                </w:tcPr>
                <w:p>
                  <w:pPr>
                    <w:jc w:val="center"/>
                    <w:rPr>
                      <w:szCs w:val="21"/>
                    </w:rPr>
                  </w:pPr>
                  <w:r>
                    <w:rPr>
                      <w:szCs w:val="21"/>
                    </w:rPr>
                    <w:t>0.</w:t>
                  </w:r>
                  <w:r>
                    <w:rPr>
                      <w:rFonts w:hint="eastAsia"/>
                      <w:szCs w:val="21"/>
                    </w:rPr>
                    <w:t>0015</w:t>
                  </w:r>
                  <w:r>
                    <w:rPr>
                      <w:szCs w:val="21"/>
                    </w:rPr>
                    <w:t>t/a（含水率90%）</w:t>
                  </w:r>
                </w:p>
              </w:tc>
              <w:tc>
                <w:tcPr>
                  <w:tcW w:w="557" w:type="dxa"/>
                  <w:vAlign w:val="center"/>
                </w:tcPr>
                <w:p>
                  <w:pPr>
                    <w:contextualSpacing/>
                    <w:jc w:val="center"/>
                    <w:rPr>
                      <w:szCs w:val="21"/>
                    </w:rPr>
                  </w:pPr>
                  <w:r>
                    <w:rPr>
                      <w:szCs w:val="21"/>
                    </w:rPr>
                    <w:t>T</w:t>
                  </w:r>
                </w:p>
              </w:tc>
              <w:tc>
                <w:tcPr>
                  <w:tcW w:w="624" w:type="dxa"/>
                  <w:vMerge w:val="restart"/>
                  <w:vAlign w:val="center"/>
                </w:tcPr>
                <w:p>
                  <w:pPr>
                    <w:jc w:val="center"/>
                    <w:rPr>
                      <w:szCs w:val="21"/>
                    </w:rPr>
                  </w:pPr>
                  <w:r>
                    <w:rPr>
                      <w:bCs/>
                      <w:szCs w:val="21"/>
                    </w:rPr>
                    <w:t>由具有资质的单位直接进行收集、转运和处置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0" w:type="dxa"/>
                  <w:vAlign w:val="center"/>
                </w:tcPr>
                <w:p>
                  <w:pPr>
                    <w:pStyle w:val="46"/>
                    <w:adjustRightInd/>
                    <w:contextualSpacing/>
                    <w:rPr>
                      <w:rFonts w:hint="eastAsia" w:ascii="Times New Roman" w:eastAsia="宋体"/>
                      <w:sz w:val="21"/>
                      <w:szCs w:val="21"/>
                      <w:lang w:eastAsia="zh-CN"/>
                    </w:rPr>
                  </w:pPr>
                  <w:r>
                    <w:rPr>
                      <w:rFonts w:ascii="Times New Roman"/>
                      <w:sz w:val="21"/>
                      <w:szCs w:val="21"/>
                    </w:rPr>
                    <w:t>1</w:t>
                  </w:r>
                  <w:r>
                    <w:rPr>
                      <w:rFonts w:hint="eastAsia" w:ascii="Times New Roman"/>
                      <w:sz w:val="21"/>
                      <w:szCs w:val="21"/>
                      <w:lang w:val="en-US" w:eastAsia="zh-CN"/>
                    </w:rPr>
                    <w:t>2</w:t>
                  </w:r>
                </w:p>
              </w:tc>
              <w:tc>
                <w:tcPr>
                  <w:tcW w:w="623" w:type="dxa"/>
                  <w:vAlign w:val="center"/>
                </w:tcPr>
                <w:p>
                  <w:pPr>
                    <w:autoSpaceDE w:val="0"/>
                    <w:autoSpaceDN w:val="0"/>
                    <w:adjustRightInd w:val="0"/>
                    <w:jc w:val="center"/>
                    <w:rPr>
                      <w:szCs w:val="21"/>
                    </w:rPr>
                  </w:pPr>
                  <w:r>
                    <w:rPr>
                      <w:kern w:val="0"/>
                      <w:szCs w:val="21"/>
                    </w:rPr>
                    <w:t>隔油池废水处理产生的废油</w:t>
                  </w:r>
                </w:p>
              </w:tc>
              <w:tc>
                <w:tcPr>
                  <w:tcW w:w="759" w:type="dxa"/>
                  <w:vMerge w:val="continue"/>
                  <w:vAlign w:val="center"/>
                </w:tcPr>
                <w:p>
                  <w:pPr>
                    <w:jc w:val="center"/>
                    <w:rPr>
                      <w:szCs w:val="21"/>
                    </w:rPr>
                  </w:pPr>
                </w:p>
              </w:tc>
              <w:tc>
                <w:tcPr>
                  <w:tcW w:w="1167" w:type="dxa"/>
                  <w:vMerge w:val="continue"/>
                  <w:vAlign w:val="center"/>
                </w:tcPr>
                <w:p>
                  <w:pPr>
                    <w:pStyle w:val="2"/>
                    <w:jc w:val="center"/>
                    <w:rPr>
                      <w:szCs w:val="21"/>
                    </w:rPr>
                  </w:pPr>
                </w:p>
              </w:tc>
              <w:tc>
                <w:tcPr>
                  <w:tcW w:w="852" w:type="dxa"/>
                  <w:vAlign w:val="center"/>
                </w:tcPr>
                <w:p>
                  <w:pPr>
                    <w:jc w:val="center"/>
                    <w:rPr>
                      <w:szCs w:val="21"/>
                    </w:rPr>
                  </w:pPr>
                  <w:r>
                    <w:rPr>
                      <w:szCs w:val="21"/>
                    </w:rPr>
                    <w:t>0.00</w:t>
                  </w:r>
                  <w:r>
                    <w:rPr>
                      <w:rFonts w:hint="eastAsia"/>
                      <w:szCs w:val="21"/>
                    </w:rPr>
                    <w:t>15</w:t>
                  </w:r>
                </w:p>
              </w:tc>
              <w:tc>
                <w:tcPr>
                  <w:tcW w:w="624" w:type="dxa"/>
                  <w:vMerge w:val="continue"/>
                  <w:vAlign w:val="center"/>
                </w:tcPr>
                <w:p>
                  <w:pPr>
                    <w:jc w:val="center"/>
                    <w:rPr>
                      <w:szCs w:val="21"/>
                    </w:rPr>
                  </w:pPr>
                </w:p>
              </w:tc>
              <w:tc>
                <w:tcPr>
                  <w:tcW w:w="421" w:type="dxa"/>
                  <w:vAlign w:val="center"/>
                </w:tcPr>
                <w:p>
                  <w:pPr>
                    <w:pStyle w:val="46"/>
                    <w:adjustRightInd/>
                    <w:contextualSpacing/>
                    <w:rPr>
                      <w:rFonts w:ascii="Times New Roman"/>
                      <w:sz w:val="21"/>
                      <w:szCs w:val="21"/>
                    </w:rPr>
                  </w:pPr>
                  <w:r>
                    <w:rPr>
                      <w:rFonts w:ascii="Times New Roman"/>
                      <w:sz w:val="21"/>
                      <w:szCs w:val="21"/>
                    </w:rPr>
                    <w:t>液态</w:t>
                  </w:r>
                </w:p>
              </w:tc>
              <w:tc>
                <w:tcPr>
                  <w:tcW w:w="624" w:type="dxa"/>
                  <w:vAlign w:val="center"/>
                </w:tcPr>
                <w:p>
                  <w:pPr>
                    <w:pStyle w:val="46"/>
                    <w:adjustRightInd/>
                    <w:contextualSpacing/>
                    <w:rPr>
                      <w:rFonts w:ascii="Times New Roman"/>
                      <w:sz w:val="21"/>
                      <w:szCs w:val="21"/>
                    </w:rPr>
                  </w:pPr>
                  <w:r>
                    <w:rPr>
                      <w:rFonts w:ascii="Times New Roman"/>
                      <w:sz w:val="21"/>
                      <w:szCs w:val="21"/>
                    </w:rPr>
                    <w:t>废油</w:t>
                  </w:r>
                </w:p>
              </w:tc>
              <w:tc>
                <w:tcPr>
                  <w:tcW w:w="624" w:type="dxa"/>
                  <w:vAlign w:val="center"/>
                </w:tcPr>
                <w:p>
                  <w:pPr>
                    <w:pStyle w:val="46"/>
                    <w:adjustRightInd/>
                    <w:contextualSpacing/>
                    <w:rPr>
                      <w:rFonts w:ascii="Times New Roman"/>
                      <w:sz w:val="21"/>
                      <w:szCs w:val="21"/>
                    </w:rPr>
                  </w:pPr>
                  <w:r>
                    <w:rPr>
                      <w:rFonts w:ascii="Times New Roman"/>
                      <w:sz w:val="21"/>
                      <w:szCs w:val="21"/>
                    </w:rPr>
                    <w:t>废油</w:t>
                  </w:r>
                </w:p>
              </w:tc>
              <w:tc>
                <w:tcPr>
                  <w:tcW w:w="981" w:type="dxa"/>
                  <w:vAlign w:val="center"/>
                </w:tcPr>
                <w:p>
                  <w:pPr>
                    <w:jc w:val="center"/>
                    <w:rPr>
                      <w:szCs w:val="21"/>
                    </w:rPr>
                  </w:pPr>
                  <w:r>
                    <w:rPr>
                      <w:szCs w:val="21"/>
                    </w:rPr>
                    <w:t>0.001</w:t>
                  </w:r>
                  <w:r>
                    <w:rPr>
                      <w:rFonts w:hint="eastAsia"/>
                      <w:szCs w:val="21"/>
                    </w:rPr>
                    <w:t>5</w:t>
                  </w:r>
                  <w:r>
                    <w:rPr>
                      <w:szCs w:val="21"/>
                    </w:rPr>
                    <w:t>t/a</w:t>
                  </w:r>
                </w:p>
              </w:tc>
              <w:tc>
                <w:tcPr>
                  <w:tcW w:w="557" w:type="dxa"/>
                  <w:vAlign w:val="center"/>
                </w:tcPr>
                <w:p>
                  <w:pPr>
                    <w:contextualSpacing/>
                    <w:jc w:val="center"/>
                    <w:rPr>
                      <w:szCs w:val="21"/>
                    </w:rPr>
                  </w:pPr>
                  <w:r>
                    <w:rPr>
                      <w:szCs w:val="21"/>
                    </w:rPr>
                    <w:t>T</w:t>
                  </w:r>
                </w:p>
              </w:tc>
              <w:tc>
                <w:tcPr>
                  <w:tcW w:w="624" w:type="dxa"/>
                  <w:vMerge w:val="continue"/>
                  <w:vAlign w:val="center"/>
                </w:tcPr>
                <w:p>
                  <w:pPr>
                    <w:jc w:val="center"/>
                    <w:rPr>
                      <w:szCs w:val="21"/>
                    </w:rPr>
                  </w:pPr>
                </w:p>
              </w:tc>
            </w:tr>
          </w:tbl>
          <w:p>
            <w:pPr>
              <w:snapToGrid w:val="0"/>
              <w:spacing w:beforeLines="50" w:line="360" w:lineRule="auto"/>
              <w:ind w:firstLine="480" w:firstLineChars="200"/>
              <w:rPr>
                <w:rFonts w:hAnsi="宋体"/>
                <w:sz w:val="24"/>
              </w:rPr>
            </w:pPr>
            <w:r>
              <w:rPr>
                <w:rFonts w:hint="eastAsia" w:hAnsi="宋体"/>
                <w:sz w:val="24"/>
              </w:rPr>
              <w:t>①现状措施</w:t>
            </w:r>
            <w:r>
              <w:rPr>
                <w:rFonts w:hint="eastAsia" w:hAnsi="宋体"/>
                <w:sz w:val="24"/>
                <w:lang w:eastAsia="zh-CN"/>
              </w:rPr>
              <w:t>：</w:t>
            </w:r>
            <w:r>
              <w:rPr>
                <w:rFonts w:hint="eastAsia" w:hAnsi="宋体"/>
                <w:sz w:val="24"/>
              </w:rPr>
              <w:t>生活垃圾：目前，厂内设置了垃圾收集桶，定期由环卫部门清运，能满足环保管理要求。</w:t>
            </w:r>
          </w:p>
          <w:p>
            <w:pPr>
              <w:snapToGrid w:val="0"/>
              <w:spacing w:line="360" w:lineRule="auto"/>
              <w:ind w:firstLine="480" w:firstLineChars="200"/>
              <w:rPr>
                <w:rFonts w:hAnsi="宋体"/>
                <w:sz w:val="24"/>
                <w:szCs w:val="24"/>
              </w:rPr>
            </w:pPr>
            <w:r>
              <w:rPr>
                <w:rFonts w:hint="eastAsia" w:hAnsi="宋体"/>
                <w:sz w:val="24"/>
                <w:szCs w:val="24"/>
              </w:rPr>
              <w:t>危险废物：</w:t>
            </w:r>
            <w:r>
              <w:rPr>
                <w:rFonts w:hint="eastAsia" w:hAnsi="宋体"/>
                <w:sz w:val="24"/>
              </w:rPr>
              <w:t>目前，厂内设置单独危险废物废物暂存间，且企业尚已确定危废处置单位，已签订危废处理协议，已建立危废储存管理、责任人等制度。但</w:t>
            </w:r>
            <w:r>
              <w:rPr>
                <w:rFonts w:hAnsi="宋体"/>
                <w:sz w:val="24"/>
              </w:rPr>
              <w:t>危险暂存间</w:t>
            </w:r>
            <w:r>
              <w:rPr>
                <w:rFonts w:hint="eastAsia" w:hAnsi="宋体"/>
                <w:sz w:val="24"/>
              </w:rPr>
              <w:t>中</w:t>
            </w:r>
            <w:r>
              <w:rPr>
                <w:rFonts w:hAnsi="宋体"/>
                <w:sz w:val="24"/>
              </w:rPr>
              <w:t>相关标识标牌</w:t>
            </w:r>
            <w:r>
              <w:rPr>
                <w:rFonts w:hint="eastAsia" w:hAnsi="宋体"/>
                <w:sz w:val="24"/>
              </w:rPr>
              <w:t>错误。</w:t>
            </w:r>
          </w:p>
          <w:p>
            <w:pPr>
              <w:snapToGrid w:val="0"/>
              <w:spacing w:line="360" w:lineRule="auto"/>
              <w:ind w:firstLine="480" w:firstLineChars="200"/>
              <w:rPr>
                <w:rFonts w:hAnsi="宋体"/>
                <w:sz w:val="24"/>
                <w:szCs w:val="24"/>
              </w:rPr>
            </w:pPr>
            <w:r>
              <w:rPr>
                <w:rFonts w:hint="eastAsia" w:hAnsi="宋体"/>
                <w:sz w:val="24"/>
                <w:szCs w:val="24"/>
              </w:rPr>
              <w:t>一般废物（废车辆配件等）在店内</w:t>
            </w:r>
            <w:r>
              <w:rPr>
                <w:rFonts w:hAnsi="宋体"/>
                <w:sz w:val="24"/>
                <w:szCs w:val="24"/>
              </w:rPr>
              <w:t>随意堆放</w:t>
            </w:r>
            <w:r>
              <w:rPr>
                <w:rFonts w:hint="eastAsia" w:hAnsi="宋体"/>
                <w:sz w:val="24"/>
                <w:szCs w:val="24"/>
              </w:rPr>
              <w:t>，</w:t>
            </w:r>
            <w:r>
              <w:rPr>
                <w:rFonts w:hint="eastAsia" w:hAnsi="宋体"/>
                <w:sz w:val="24"/>
              </w:rPr>
              <w:t>目前，厂内无单独一般废物废物暂存间。</w:t>
            </w:r>
          </w:p>
          <w:p>
            <w:pPr>
              <w:snapToGrid w:val="0"/>
              <w:spacing w:line="360" w:lineRule="auto"/>
              <w:ind w:firstLine="480" w:firstLineChars="200"/>
              <w:rPr>
                <w:rFonts w:hAnsi="宋体"/>
                <w:sz w:val="24"/>
                <w:szCs w:val="24"/>
              </w:rPr>
            </w:pPr>
            <w:r>
              <w:rPr>
                <w:rFonts w:hint="eastAsia" w:hAnsi="宋体"/>
                <w:sz w:val="24"/>
              </w:rPr>
              <w:t>②整改建议</w:t>
            </w:r>
            <w:r>
              <w:rPr>
                <w:rFonts w:hint="eastAsia" w:hAnsi="宋体"/>
                <w:sz w:val="24"/>
                <w:lang w:eastAsia="zh-CN"/>
              </w:rPr>
              <w:t>：</w:t>
            </w:r>
            <w:r>
              <w:rPr>
                <w:rFonts w:hint="eastAsia" w:hAnsi="宋体"/>
                <w:sz w:val="24"/>
                <w:szCs w:val="24"/>
              </w:rPr>
              <w:t>危险废物暂存间</w:t>
            </w:r>
            <w:r>
              <w:rPr>
                <w:rFonts w:hAnsi="宋体"/>
                <w:sz w:val="24"/>
              </w:rPr>
              <w:t>标识标牌</w:t>
            </w:r>
            <w:r>
              <w:rPr>
                <w:rFonts w:hint="eastAsia" w:hAnsi="宋体"/>
                <w:sz w:val="24"/>
                <w:szCs w:val="24"/>
              </w:rPr>
              <w:t>根据</w:t>
            </w:r>
            <w:r>
              <w:rPr>
                <w:rFonts w:hAnsi="宋体"/>
                <w:sz w:val="24"/>
                <w:szCs w:val="24"/>
              </w:rPr>
              <w:t>《环境保护图形标志—排放口（源）》和国家环保总局《排污口规范化整治要求》（试行）的技术要求</w:t>
            </w:r>
            <w:r>
              <w:rPr>
                <w:rFonts w:hint="eastAsia" w:hAnsi="宋体"/>
                <w:sz w:val="24"/>
                <w:szCs w:val="24"/>
              </w:rPr>
              <w:t>，</w:t>
            </w:r>
            <w:r>
              <w:rPr>
                <w:rFonts w:hAnsi="宋体"/>
                <w:sz w:val="24"/>
                <w:szCs w:val="24"/>
              </w:rPr>
              <w:t>绘制企业排污口分布图，排污口的规范化要符合有关环保要求</w:t>
            </w:r>
            <w:r>
              <w:rPr>
                <w:rFonts w:hint="eastAsia" w:hAnsi="宋体"/>
                <w:sz w:val="24"/>
                <w:szCs w:val="24"/>
              </w:rPr>
              <w:t>。</w:t>
            </w:r>
          </w:p>
          <w:p>
            <w:pPr>
              <w:snapToGrid w:val="0"/>
              <w:spacing w:line="360" w:lineRule="auto"/>
              <w:ind w:firstLine="480" w:firstLineChars="200"/>
              <w:rPr>
                <w:vertAlign w:val="baseline"/>
              </w:rPr>
            </w:pPr>
            <w:r>
              <w:rPr>
                <w:rFonts w:hint="eastAsia" w:hAnsi="宋体"/>
                <w:sz w:val="24"/>
              </w:rPr>
              <w:t>本次新建一间10m</w:t>
            </w:r>
            <w:r>
              <w:rPr>
                <w:rFonts w:hint="eastAsia" w:hAnsi="宋体"/>
                <w:sz w:val="24"/>
                <w:vertAlign w:val="superscript"/>
              </w:rPr>
              <w:t>3</w:t>
            </w:r>
            <w:r>
              <w:rPr>
                <w:rFonts w:hint="eastAsia" w:hAnsi="宋体"/>
                <w:sz w:val="24"/>
              </w:rPr>
              <w:t>的一般废物暂存间；</w:t>
            </w:r>
            <w:r>
              <w:rPr>
                <w:rFonts w:hint="eastAsia"/>
                <w:sz w:val="24"/>
                <w:szCs w:val="24"/>
              </w:rPr>
              <w:t>新设的一般废物暂存间必须严格按照</w:t>
            </w:r>
            <w:r>
              <w:rPr>
                <w:kern w:val="0"/>
                <w:sz w:val="24"/>
                <w:szCs w:val="24"/>
              </w:rPr>
              <w:t>《一般工业固体废物贮存、处置场污染控制标准》（GB18599-2001）</w:t>
            </w:r>
            <w:r>
              <w:rPr>
                <w:rFonts w:hint="eastAsia"/>
                <w:kern w:val="0"/>
                <w:sz w:val="24"/>
                <w:szCs w:val="24"/>
              </w:rPr>
              <w:t>及修改单。</w:t>
            </w:r>
          </w:p>
        </w:tc>
      </w:tr>
    </w:tbl>
    <w:p>
      <w:pPr>
        <w:pStyle w:val="3"/>
        <w:pBdr>
          <w:top w:val="none" w:color="auto" w:sz="0" w:space="0"/>
          <w:left w:val="none" w:color="auto" w:sz="0" w:space="0"/>
          <w:bottom w:val="none" w:color="auto" w:sz="0" w:space="0"/>
          <w:right w:val="none" w:color="auto" w:sz="0" w:space="0"/>
          <w:between w:val="none" w:color="auto" w:sz="0" w:space="0"/>
        </w:pBdr>
      </w:pPr>
    </w:p>
    <w:p>
      <w:pPr>
        <w:pStyle w:val="3"/>
        <w:pBdr>
          <w:top w:val="none" w:color="auto" w:sz="0" w:space="0"/>
          <w:left w:val="none" w:color="auto" w:sz="0" w:space="0"/>
          <w:bottom w:val="none" w:color="auto" w:sz="0" w:space="0"/>
          <w:right w:val="none" w:color="auto" w:sz="0" w:space="0"/>
          <w:between w:val="none" w:color="auto" w:sz="0" w:space="0"/>
        </w:pBdr>
      </w:pPr>
    </w:p>
    <w:p>
      <w:pPr>
        <w:pStyle w:val="3"/>
        <w:pBdr>
          <w:top w:val="none" w:color="auto" w:sz="0" w:space="0"/>
          <w:left w:val="none" w:color="auto" w:sz="0" w:space="0"/>
          <w:bottom w:val="none" w:color="auto" w:sz="0" w:space="0"/>
          <w:right w:val="none" w:color="auto" w:sz="0" w:space="0"/>
          <w:between w:val="none" w:color="auto" w:sz="0" w:space="0"/>
        </w:pBdr>
      </w:pPr>
    </w:p>
    <w:p>
      <w:pPr>
        <w:pStyle w:val="3"/>
        <w:pBdr>
          <w:top w:val="none" w:color="auto" w:sz="0" w:space="0"/>
          <w:left w:val="none" w:color="auto" w:sz="0" w:space="0"/>
          <w:bottom w:val="none" w:color="auto" w:sz="0" w:space="0"/>
          <w:right w:val="none" w:color="auto" w:sz="0" w:space="0"/>
          <w:between w:val="none" w:color="auto" w:sz="0" w:space="0"/>
        </w:pBdr>
      </w:pPr>
    </w:p>
    <w:p>
      <w:pPr>
        <w:pStyle w:val="3"/>
        <w:pBdr>
          <w:top w:val="none" w:color="auto" w:sz="0" w:space="0"/>
          <w:left w:val="none" w:color="auto" w:sz="0" w:space="0"/>
          <w:bottom w:val="none" w:color="auto" w:sz="0" w:space="0"/>
          <w:right w:val="none" w:color="auto" w:sz="0" w:space="0"/>
          <w:between w:val="none" w:color="auto" w:sz="0" w:space="0"/>
        </w:pBdr>
      </w:pPr>
    </w:p>
    <w:p>
      <w:pPr>
        <w:pStyle w:val="3"/>
        <w:pBdr>
          <w:top w:val="none" w:color="auto" w:sz="0" w:space="0"/>
          <w:left w:val="none" w:color="auto" w:sz="0" w:space="0"/>
          <w:bottom w:val="none" w:color="auto" w:sz="0" w:space="0"/>
          <w:right w:val="none" w:color="auto" w:sz="0" w:space="0"/>
          <w:between w:val="none" w:color="auto" w:sz="0" w:space="0"/>
        </w:pBdr>
      </w:pPr>
    </w:p>
    <w:p>
      <w:pPr>
        <w:adjustRightInd w:val="0"/>
        <w:snapToGrid w:val="0"/>
        <w:outlineLvl w:val="0"/>
        <w:rPr>
          <w:b/>
          <w:sz w:val="32"/>
          <w:szCs w:val="32"/>
        </w:rPr>
      </w:pPr>
      <w:bookmarkStart w:id="71" w:name="_Toc13214"/>
      <w:r>
        <w:rPr>
          <w:sz w:val="32"/>
        </w:rPr>
        <w:t>六、</w:t>
      </w:r>
      <w:r>
        <w:rPr>
          <w:b/>
          <w:sz w:val="32"/>
          <w:szCs w:val="32"/>
        </w:rPr>
        <w:t>项目主要污染物产生及排放情况</w:t>
      </w:r>
      <w:bookmarkEnd w:id="71"/>
    </w:p>
    <w:tbl>
      <w:tblPr>
        <w:tblStyle w:val="20"/>
        <w:tblW w:w="85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337"/>
        <w:gridCol w:w="1591"/>
        <w:gridCol w:w="2251"/>
        <w:gridCol w:w="2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32" w:type="dxa"/>
            <w:tcBorders>
              <w:tl2br w:val="nil"/>
              <w:tr2bl w:val="nil"/>
            </w:tcBorders>
            <w:vAlign w:val="center"/>
          </w:tcPr>
          <w:p>
            <w:pPr>
              <w:ind w:firstLine="316" w:firstLineChars="150"/>
              <w:jc w:val="center"/>
              <w:rPr>
                <w:b/>
                <w:szCs w:val="21"/>
              </w:rPr>
            </w:pPr>
            <w:r>
              <w:rPr>
                <w:b/>
                <w:szCs w:val="21"/>
              </w:rPr>
              <w:t>内容</w:t>
            </w:r>
          </w:p>
          <w:p>
            <w:pPr>
              <w:jc w:val="center"/>
              <w:rPr>
                <w:b/>
                <w:szCs w:val="21"/>
              </w:rPr>
            </w:pPr>
            <w:r>
              <w:rPr>
                <w:b/>
                <w:szCs w:val="21"/>
              </w:rPr>
              <w:t>类型</w:t>
            </w:r>
          </w:p>
        </w:tc>
        <w:tc>
          <w:tcPr>
            <w:tcW w:w="1337" w:type="dxa"/>
            <w:tcBorders>
              <w:tl2br w:val="nil"/>
              <w:tr2bl w:val="nil"/>
            </w:tcBorders>
            <w:vAlign w:val="center"/>
          </w:tcPr>
          <w:p>
            <w:pPr>
              <w:jc w:val="center"/>
              <w:rPr>
                <w:b/>
                <w:szCs w:val="21"/>
              </w:rPr>
            </w:pPr>
            <w:r>
              <w:rPr>
                <w:b/>
                <w:szCs w:val="21"/>
              </w:rPr>
              <w:t>产生工序</w:t>
            </w:r>
          </w:p>
          <w:p>
            <w:pPr>
              <w:jc w:val="center"/>
              <w:rPr>
                <w:b/>
                <w:szCs w:val="21"/>
              </w:rPr>
            </w:pPr>
            <w:r>
              <w:rPr>
                <w:b/>
                <w:szCs w:val="21"/>
              </w:rPr>
              <w:t>（编号）</w:t>
            </w:r>
          </w:p>
        </w:tc>
        <w:tc>
          <w:tcPr>
            <w:tcW w:w="1591" w:type="dxa"/>
            <w:tcBorders>
              <w:tl2br w:val="nil"/>
              <w:tr2bl w:val="nil"/>
            </w:tcBorders>
            <w:vAlign w:val="center"/>
          </w:tcPr>
          <w:p>
            <w:pPr>
              <w:jc w:val="center"/>
              <w:rPr>
                <w:b/>
                <w:szCs w:val="21"/>
              </w:rPr>
            </w:pPr>
            <w:r>
              <w:rPr>
                <w:b/>
                <w:szCs w:val="21"/>
              </w:rPr>
              <w:t>污染物</w:t>
            </w:r>
          </w:p>
          <w:p>
            <w:pPr>
              <w:jc w:val="center"/>
              <w:rPr>
                <w:b/>
                <w:szCs w:val="21"/>
              </w:rPr>
            </w:pPr>
            <w:r>
              <w:rPr>
                <w:b/>
                <w:szCs w:val="21"/>
              </w:rPr>
              <w:t>名称</w:t>
            </w:r>
          </w:p>
        </w:tc>
        <w:tc>
          <w:tcPr>
            <w:tcW w:w="2251" w:type="dxa"/>
            <w:tcBorders>
              <w:tl2br w:val="nil"/>
              <w:tr2bl w:val="nil"/>
            </w:tcBorders>
            <w:vAlign w:val="center"/>
          </w:tcPr>
          <w:p>
            <w:pPr>
              <w:jc w:val="center"/>
              <w:rPr>
                <w:b/>
                <w:szCs w:val="21"/>
              </w:rPr>
            </w:pPr>
            <w:r>
              <w:rPr>
                <w:b/>
                <w:szCs w:val="21"/>
              </w:rPr>
              <w:t>处理前产生浓度及产生量（单位）</w:t>
            </w:r>
          </w:p>
        </w:tc>
        <w:tc>
          <w:tcPr>
            <w:tcW w:w="2314" w:type="dxa"/>
            <w:tcBorders>
              <w:tl2br w:val="nil"/>
              <w:tr2bl w:val="nil"/>
            </w:tcBorders>
            <w:vAlign w:val="center"/>
          </w:tcPr>
          <w:p>
            <w:pPr>
              <w:jc w:val="center"/>
              <w:rPr>
                <w:b/>
                <w:szCs w:val="21"/>
              </w:rPr>
            </w:pPr>
            <w:r>
              <w:rPr>
                <w:b/>
                <w:szCs w:val="21"/>
              </w:rPr>
              <w:t>处理后排放浓度及</w:t>
            </w:r>
          </w:p>
          <w:p>
            <w:pPr>
              <w:jc w:val="center"/>
              <w:rPr>
                <w:b/>
                <w:szCs w:val="21"/>
              </w:rPr>
            </w:pPr>
            <w:r>
              <w:rPr>
                <w:b/>
                <w:szCs w:val="21"/>
              </w:rPr>
              <w:t>排放量（单位）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32" w:type="dxa"/>
            <w:vMerge w:val="restart"/>
            <w:tcBorders>
              <w:tl2br w:val="nil"/>
              <w:tr2bl w:val="nil"/>
            </w:tcBorders>
            <w:vAlign w:val="center"/>
          </w:tcPr>
          <w:p>
            <w:pPr>
              <w:jc w:val="center"/>
              <w:rPr>
                <w:szCs w:val="21"/>
              </w:rPr>
            </w:pPr>
            <w:r>
              <w:rPr>
                <w:szCs w:val="21"/>
              </w:rPr>
              <w:t>大气污染物</w:t>
            </w:r>
          </w:p>
        </w:tc>
        <w:tc>
          <w:tcPr>
            <w:tcW w:w="1337" w:type="dxa"/>
            <w:tcBorders>
              <w:tl2br w:val="nil"/>
              <w:tr2bl w:val="nil"/>
            </w:tcBorders>
            <w:vAlign w:val="center"/>
          </w:tcPr>
          <w:p>
            <w:pPr>
              <w:jc w:val="center"/>
              <w:rPr>
                <w:szCs w:val="21"/>
              </w:rPr>
            </w:pPr>
            <w:r>
              <w:rPr>
                <w:szCs w:val="21"/>
              </w:rPr>
              <w:t>汽车尾气</w:t>
            </w:r>
          </w:p>
        </w:tc>
        <w:tc>
          <w:tcPr>
            <w:tcW w:w="1591" w:type="dxa"/>
            <w:tcBorders>
              <w:tl2br w:val="nil"/>
              <w:tr2bl w:val="nil"/>
            </w:tcBorders>
            <w:vAlign w:val="center"/>
          </w:tcPr>
          <w:p>
            <w:pPr>
              <w:jc w:val="center"/>
              <w:rPr>
                <w:szCs w:val="21"/>
                <w:vertAlign w:val="subscript"/>
              </w:rPr>
            </w:pPr>
            <w:r>
              <w:rPr>
                <w:szCs w:val="21"/>
              </w:rPr>
              <w:t>CO、THC、NO</w:t>
            </w:r>
            <w:r>
              <w:rPr>
                <w:szCs w:val="21"/>
                <w:vertAlign w:val="subscript"/>
              </w:rPr>
              <w:t>X</w:t>
            </w:r>
          </w:p>
        </w:tc>
        <w:tc>
          <w:tcPr>
            <w:tcW w:w="2251" w:type="dxa"/>
            <w:tcBorders>
              <w:tl2br w:val="nil"/>
              <w:tr2bl w:val="nil"/>
            </w:tcBorders>
            <w:vAlign w:val="center"/>
          </w:tcPr>
          <w:p>
            <w:pPr>
              <w:jc w:val="center"/>
              <w:rPr>
                <w:szCs w:val="21"/>
              </w:rPr>
            </w:pPr>
            <w:r>
              <w:rPr>
                <w:szCs w:val="21"/>
              </w:rPr>
              <w:t>少量无组织排放</w:t>
            </w:r>
          </w:p>
        </w:tc>
        <w:tc>
          <w:tcPr>
            <w:tcW w:w="2314" w:type="dxa"/>
            <w:tcBorders>
              <w:tl2br w:val="nil"/>
              <w:tr2bl w:val="nil"/>
            </w:tcBorders>
            <w:vAlign w:val="center"/>
          </w:tcPr>
          <w:p>
            <w:pPr>
              <w:jc w:val="center"/>
              <w:rPr>
                <w:szCs w:val="21"/>
              </w:rPr>
            </w:pPr>
            <w:r>
              <w:rPr>
                <w:szCs w:val="21"/>
              </w:rPr>
              <w:t>少量无组织排放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rPr>
                <w:szCs w:val="21"/>
              </w:rPr>
            </w:pPr>
          </w:p>
        </w:tc>
        <w:tc>
          <w:tcPr>
            <w:tcW w:w="1337" w:type="dxa"/>
            <w:vMerge w:val="restart"/>
            <w:tcBorders>
              <w:tl2br w:val="nil"/>
              <w:tr2bl w:val="nil"/>
            </w:tcBorders>
            <w:vAlign w:val="center"/>
          </w:tcPr>
          <w:p>
            <w:pPr>
              <w:jc w:val="center"/>
              <w:rPr>
                <w:szCs w:val="21"/>
              </w:rPr>
            </w:pPr>
            <w:r>
              <w:rPr>
                <w:szCs w:val="21"/>
              </w:rPr>
              <w:t>烤漆</w:t>
            </w:r>
          </w:p>
          <w:p>
            <w:pPr>
              <w:jc w:val="center"/>
              <w:rPr>
                <w:szCs w:val="21"/>
              </w:rPr>
            </w:pPr>
            <w:r>
              <w:rPr>
                <w:szCs w:val="21"/>
              </w:rPr>
              <w:t>车间</w:t>
            </w:r>
          </w:p>
        </w:tc>
        <w:tc>
          <w:tcPr>
            <w:tcW w:w="1591" w:type="dxa"/>
            <w:vMerge w:val="restart"/>
            <w:tcBorders>
              <w:tl2br w:val="nil"/>
              <w:tr2bl w:val="nil"/>
            </w:tcBorders>
            <w:vAlign w:val="center"/>
          </w:tcPr>
          <w:p>
            <w:pPr>
              <w:jc w:val="center"/>
              <w:rPr>
                <w:szCs w:val="21"/>
              </w:rPr>
            </w:pPr>
            <w:r>
              <w:rPr>
                <w:rFonts w:hint="eastAsia"/>
                <w:szCs w:val="21"/>
              </w:rPr>
              <w:t>甲苯</w:t>
            </w:r>
          </w:p>
        </w:tc>
        <w:tc>
          <w:tcPr>
            <w:tcW w:w="2251" w:type="dxa"/>
            <w:vMerge w:val="restart"/>
            <w:tcBorders>
              <w:tl2br w:val="nil"/>
              <w:tr2bl w:val="nil"/>
            </w:tcBorders>
            <w:vAlign w:val="center"/>
          </w:tcPr>
          <w:p>
            <w:pPr>
              <w:jc w:val="center"/>
              <w:rPr>
                <w:szCs w:val="21"/>
              </w:rPr>
            </w:pPr>
            <w:r>
              <w:rPr>
                <w:rFonts w:hint="eastAsia"/>
                <w:szCs w:val="21"/>
              </w:rPr>
              <w:t>4.18mg/m</w:t>
            </w:r>
            <w:r>
              <w:rPr>
                <w:rFonts w:hint="eastAsia"/>
                <w:szCs w:val="21"/>
                <w:vertAlign w:val="superscript"/>
              </w:rPr>
              <w:t>3</w:t>
            </w:r>
            <w:r>
              <w:rPr>
                <w:rFonts w:hint="eastAsia"/>
                <w:szCs w:val="21"/>
              </w:rPr>
              <w:t>，0.02544t/a</w:t>
            </w:r>
          </w:p>
        </w:tc>
        <w:tc>
          <w:tcPr>
            <w:tcW w:w="2314" w:type="dxa"/>
            <w:tcBorders>
              <w:tl2br w:val="nil"/>
              <w:tr2bl w:val="nil"/>
            </w:tcBorders>
            <w:vAlign w:val="center"/>
          </w:tcPr>
          <w:p>
            <w:pPr>
              <w:jc w:val="center"/>
              <w:rPr>
                <w:szCs w:val="21"/>
              </w:rPr>
            </w:pPr>
            <w:r>
              <w:rPr>
                <w:rFonts w:hint="eastAsia"/>
                <w:szCs w:val="21"/>
              </w:rPr>
              <w:t>有组织：0.418mg/m</w:t>
            </w:r>
            <w:r>
              <w:rPr>
                <w:rFonts w:hint="eastAsia"/>
                <w:szCs w:val="21"/>
                <w:vertAlign w:val="superscript"/>
              </w:rPr>
              <w:t>3</w:t>
            </w:r>
            <w:r>
              <w:rPr>
                <w:rFonts w:hint="eastAsia"/>
                <w:szCs w:val="21"/>
              </w:rPr>
              <w:t>，0.002544t/a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pPr>
          </w:p>
        </w:tc>
        <w:tc>
          <w:tcPr>
            <w:tcW w:w="1337" w:type="dxa"/>
            <w:vMerge w:val="continue"/>
            <w:tcBorders>
              <w:tl2br w:val="nil"/>
              <w:tr2bl w:val="nil"/>
            </w:tcBorders>
            <w:vAlign w:val="center"/>
          </w:tcPr>
          <w:p>
            <w:pPr>
              <w:jc w:val="center"/>
            </w:pPr>
          </w:p>
        </w:tc>
        <w:tc>
          <w:tcPr>
            <w:tcW w:w="1591" w:type="dxa"/>
            <w:vMerge w:val="continue"/>
            <w:tcBorders>
              <w:tl2br w:val="nil"/>
              <w:tr2bl w:val="nil"/>
            </w:tcBorders>
            <w:vAlign w:val="center"/>
          </w:tcPr>
          <w:p>
            <w:pPr>
              <w:jc w:val="center"/>
              <w:rPr>
                <w:szCs w:val="21"/>
              </w:rPr>
            </w:pPr>
          </w:p>
        </w:tc>
        <w:tc>
          <w:tcPr>
            <w:tcW w:w="2251" w:type="dxa"/>
            <w:vMerge w:val="continue"/>
            <w:tcBorders>
              <w:tl2br w:val="nil"/>
              <w:tr2bl w:val="nil"/>
            </w:tcBorders>
            <w:vAlign w:val="center"/>
          </w:tcPr>
          <w:p>
            <w:pPr>
              <w:jc w:val="center"/>
              <w:rPr>
                <w:szCs w:val="21"/>
              </w:rPr>
            </w:pPr>
          </w:p>
        </w:tc>
        <w:tc>
          <w:tcPr>
            <w:tcW w:w="2314" w:type="dxa"/>
            <w:tcBorders>
              <w:tl2br w:val="nil"/>
              <w:tr2bl w:val="nil"/>
            </w:tcBorders>
            <w:vAlign w:val="center"/>
          </w:tcPr>
          <w:p>
            <w:pPr>
              <w:jc w:val="center"/>
              <w:rPr>
                <w:szCs w:val="21"/>
              </w:rPr>
            </w:pPr>
            <w:r>
              <w:rPr>
                <w:rFonts w:hint="eastAsia"/>
                <w:szCs w:val="21"/>
              </w:rPr>
              <w:t>无组织：ND（低于检出限）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vMerge w:val="restart"/>
            <w:tcBorders>
              <w:tl2br w:val="nil"/>
              <w:tr2bl w:val="nil"/>
            </w:tcBorders>
            <w:vAlign w:val="center"/>
          </w:tcPr>
          <w:p>
            <w:pPr>
              <w:jc w:val="center"/>
              <w:rPr>
                <w:szCs w:val="21"/>
              </w:rPr>
            </w:pPr>
            <w:r>
              <w:rPr>
                <w:rFonts w:hint="eastAsia"/>
                <w:szCs w:val="21"/>
              </w:rPr>
              <w:t>对/间二甲苯</w:t>
            </w:r>
          </w:p>
        </w:tc>
        <w:tc>
          <w:tcPr>
            <w:tcW w:w="2251" w:type="dxa"/>
            <w:vMerge w:val="restart"/>
            <w:tcBorders>
              <w:tl2br w:val="nil"/>
              <w:tr2bl w:val="nil"/>
            </w:tcBorders>
            <w:vAlign w:val="center"/>
          </w:tcPr>
          <w:p>
            <w:pPr>
              <w:jc w:val="center"/>
              <w:rPr>
                <w:szCs w:val="21"/>
              </w:rPr>
            </w:pPr>
            <w:r>
              <w:rPr>
                <w:rFonts w:hint="eastAsia"/>
                <w:szCs w:val="21"/>
              </w:rPr>
              <w:t>3.05mg/m</w:t>
            </w:r>
            <w:r>
              <w:rPr>
                <w:rFonts w:hint="eastAsia"/>
                <w:szCs w:val="21"/>
                <w:vertAlign w:val="superscript"/>
              </w:rPr>
              <w:t>3</w:t>
            </w:r>
            <w:r>
              <w:rPr>
                <w:rFonts w:hint="eastAsia"/>
                <w:szCs w:val="21"/>
              </w:rPr>
              <w:t>，0.036t/a</w:t>
            </w:r>
          </w:p>
        </w:tc>
        <w:tc>
          <w:tcPr>
            <w:tcW w:w="2314" w:type="dxa"/>
            <w:tcBorders>
              <w:tl2br w:val="nil"/>
              <w:tr2bl w:val="nil"/>
            </w:tcBorders>
            <w:vAlign w:val="center"/>
          </w:tcPr>
          <w:p>
            <w:pPr>
              <w:jc w:val="center"/>
              <w:rPr>
                <w:szCs w:val="21"/>
              </w:rPr>
            </w:pPr>
            <w:r>
              <w:rPr>
                <w:rFonts w:hint="eastAsia"/>
                <w:szCs w:val="21"/>
              </w:rPr>
              <w:t>有组织：0.305mg/m</w:t>
            </w:r>
            <w:r>
              <w:rPr>
                <w:rFonts w:hint="eastAsia"/>
                <w:szCs w:val="21"/>
                <w:vertAlign w:val="superscript"/>
              </w:rPr>
              <w:t>3</w:t>
            </w:r>
            <w:r>
              <w:rPr>
                <w:rFonts w:hint="eastAsia"/>
                <w:szCs w:val="21"/>
              </w:rPr>
              <w:t>，0.0036t/a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32" w:type="dxa"/>
            <w:vMerge w:val="continue"/>
            <w:tcBorders>
              <w:tl2br w:val="nil"/>
              <w:tr2bl w:val="nil"/>
            </w:tcBorders>
            <w:vAlign w:val="center"/>
          </w:tcPr>
          <w:p>
            <w:pPr>
              <w:jc w:val="center"/>
            </w:pPr>
          </w:p>
        </w:tc>
        <w:tc>
          <w:tcPr>
            <w:tcW w:w="1337" w:type="dxa"/>
            <w:vMerge w:val="continue"/>
            <w:tcBorders>
              <w:tl2br w:val="nil"/>
              <w:tr2bl w:val="nil"/>
            </w:tcBorders>
            <w:vAlign w:val="center"/>
          </w:tcPr>
          <w:p>
            <w:pPr>
              <w:jc w:val="center"/>
            </w:pPr>
          </w:p>
        </w:tc>
        <w:tc>
          <w:tcPr>
            <w:tcW w:w="1591" w:type="dxa"/>
            <w:vMerge w:val="continue"/>
            <w:tcBorders>
              <w:tl2br w:val="nil"/>
              <w:tr2bl w:val="nil"/>
            </w:tcBorders>
            <w:vAlign w:val="center"/>
          </w:tcPr>
          <w:p>
            <w:pPr>
              <w:jc w:val="center"/>
              <w:rPr>
                <w:szCs w:val="21"/>
              </w:rPr>
            </w:pPr>
          </w:p>
        </w:tc>
        <w:tc>
          <w:tcPr>
            <w:tcW w:w="2251" w:type="dxa"/>
            <w:vMerge w:val="continue"/>
            <w:tcBorders>
              <w:tl2br w:val="nil"/>
              <w:tr2bl w:val="nil"/>
            </w:tcBorders>
            <w:vAlign w:val="center"/>
          </w:tcPr>
          <w:p>
            <w:pPr>
              <w:jc w:val="center"/>
              <w:rPr>
                <w:szCs w:val="21"/>
              </w:rPr>
            </w:pPr>
          </w:p>
        </w:tc>
        <w:tc>
          <w:tcPr>
            <w:tcW w:w="2314" w:type="dxa"/>
            <w:tcBorders>
              <w:tl2br w:val="nil"/>
              <w:tr2bl w:val="nil"/>
            </w:tcBorders>
            <w:vAlign w:val="center"/>
          </w:tcPr>
          <w:p>
            <w:pPr>
              <w:jc w:val="center"/>
              <w:rPr>
                <w:szCs w:val="21"/>
              </w:rPr>
            </w:pPr>
            <w:r>
              <w:rPr>
                <w:rFonts w:hint="eastAsia"/>
                <w:szCs w:val="21"/>
              </w:rPr>
              <w:t>无组织：ND（低于检出限）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vMerge w:val="restart"/>
            <w:tcBorders>
              <w:tl2br w:val="nil"/>
              <w:tr2bl w:val="nil"/>
            </w:tcBorders>
            <w:vAlign w:val="center"/>
          </w:tcPr>
          <w:p>
            <w:pPr>
              <w:jc w:val="center"/>
              <w:rPr>
                <w:szCs w:val="21"/>
              </w:rPr>
            </w:pPr>
            <w:r>
              <w:rPr>
                <w:rFonts w:hint="eastAsia"/>
                <w:szCs w:val="21"/>
              </w:rPr>
              <w:t>邻二甲苯</w:t>
            </w:r>
          </w:p>
        </w:tc>
        <w:tc>
          <w:tcPr>
            <w:tcW w:w="2251" w:type="dxa"/>
            <w:vMerge w:val="restart"/>
            <w:tcBorders>
              <w:tl2br w:val="nil"/>
              <w:tr2bl w:val="nil"/>
            </w:tcBorders>
            <w:vAlign w:val="center"/>
          </w:tcPr>
          <w:p>
            <w:pPr>
              <w:jc w:val="center"/>
              <w:rPr>
                <w:szCs w:val="21"/>
              </w:rPr>
            </w:pPr>
            <w:r>
              <w:rPr>
                <w:rFonts w:hint="eastAsia"/>
                <w:szCs w:val="21"/>
              </w:rPr>
              <w:t>3.45mg/m</w:t>
            </w:r>
            <w:r>
              <w:rPr>
                <w:rFonts w:hint="eastAsia"/>
                <w:szCs w:val="21"/>
                <w:vertAlign w:val="superscript"/>
              </w:rPr>
              <w:t>3</w:t>
            </w:r>
            <w:r>
              <w:rPr>
                <w:rFonts w:hint="eastAsia"/>
                <w:szCs w:val="21"/>
              </w:rPr>
              <w:t>，0.027792t/a</w:t>
            </w:r>
          </w:p>
        </w:tc>
        <w:tc>
          <w:tcPr>
            <w:tcW w:w="2314" w:type="dxa"/>
            <w:tcBorders>
              <w:tl2br w:val="nil"/>
              <w:tr2bl w:val="nil"/>
            </w:tcBorders>
            <w:vAlign w:val="center"/>
          </w:tcPr>
          <w:p>
            <w:pPr>
              <w:jc w:val="center"/>
              <w:rPr>
                <w:szCs w:val="21"/>
              </w:rPr>
            </w:pPr>
            <w:r>
              <w:rPr>
                <w:rFonts w:hint="eastAsia"/>
                <w:szCs w:val="21"/>
              </w:rPr>
              <w:t>有组织：0.345mg/m</w:t>
            </w:r>
            <w:r>
              <w:rPr>
                <w:rFonts w:hint="eastAsia"/>
                <w:szCs w:val="21"/>
                <w:vertAlign w:val="superscript"/>
              </w:rPr>
              <w:t>3</w:t>
            </w:r>
            <w:r>
              <w:rPr>
                <w:rFonts w:hint="eastAsia"/>
                <w:szCs w:val="21"/>
              </w:rPr>
              <w:t>，0.0027792t/a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pPr>
          </w:p>
        </w:tc>
        <w:tc>
          <w:tcPr>
            <w:tcW w:w="1337" w:type="dxa"/>
            <w:vMerge w:val="continue"/>
            <w:tcBorders>
              <w:tl2br w:val="nil"/>
              <w:tr2bl w:val="nil"/>
            </w:tcBorders>
            <w:vAlign w:val="center"/>
          </w:tcPr>
          <w:p>
            <w:pPr>
              <w:jc w:val="center"/>
            </w:pPr>
          </w:p>
        </w:tc>
        <w:tc>
          <w:tcPr>
            <w:tcW w:w="1591" w:type="dxa"/>
            <w:vMerge w:val="continue"/>
            <w:tcBorders>
              <w:tl2br w:val="nil"/>
              <w:tr2bl w:val="nil"/>
            </w:tcBorders>
            <w:vAlign w:val="center"/>
          </w:tcPr>
          <w:p>
            <w:pPr>
              <w:jc w:val="center"/>
              <w:rPr>
                <w:szCs w:val="21"/>
              </w:rPr>
            </w:pPr>
          </w:p>
        </w:tc>
        <w:tc>
          <w:tcPr>
            <w:tcW w:w="2251" w:type="dxa"/>
            <w:vMerge w:val="continue"/>
            <w:tcBorders>
              <w:tl2br w:val="nil"/>
              <w:tr2bl w:val="nil"/>
            </w:tcBorders>
            <w:vAlign w:val="center"/>
          </w:tcPr>
          <w:p>
            <w:pPr>
              <w:jc w:val="center"/>
              <w:rPr>
                <w:szCs w:val="21"/>
              </w:rPr>
            </w:pPr>
          </w:p>
        </w:tc>
        <w:tc>
          <w:tcPr>
            <w:tcW w:w="2314" w:type="dxa"/>
            <w:tcBorders>
              <w:tl2br w:val="nil"/>
              <w:tr2bl w:val="nil"/>
            </w:tcBorders>
            <w:vAlign w:val="center"/>
          </w:tcPr>
          <w:p>
            <w:pPr>
              <w:jc w:val="center"/>
              <w:rPr>
                <w:szCs w:val="21"/>
              </w:rPr>
            </w:pPr>
            <w:r>
              <w:rPr>
                <w:rFonts w:hint="eastAsia"/>
                <w:szCs w:val="21"/>
              </w:rPr>
              <w:t>无组织：ND（低于检出限）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pPr>
          </w:p>
        </w:tc>
        <w:tc>
          <w:tcPr>
            <w:tcW w:w="1337" w:type="dxa"/>
            <w:vMerge w:val="continue"/>
            <w:tcBorders>
              <w:tl2br w:val="nil"/>
              <w:tr2bl w:val="nil"/>
            </w:tcBorders>
            <w:vAlign w:val="center"/>
          </w:tcPr>
          <w:p>
            <w:pPr>
              <w:jc w:val="center"/>
            </w:pPr>
          </w:p>
        </w:tc>
        <w:tc>
          <w:tcPr>
            <w:tcW w:w="1591" w:type="dxa"/>
            <w:vMerge w:val="restart"/>
            <w:tcBorders>
              <w:tl2br w:val="nil"/>
              <w:tr2bl w:val="nil"/>
            </w:tcBorders>
            <w:vAlign w:val="center"/>
          </w:tcPr>
          <w:p>
            <w:pPr>
              <w:jc w:val="center"/>
              <w:rPr>
                <w:szCs w:val="21"/>
              </w:rPr>
            </w:pPr>
            <w:r>
              <w:rPr>
                <w:rFonts w:hint="eastAsia"/>
                <w:szCs w:val="21"/>
              </w:rPr>
              <w:t>挥发性有机物</w:t>
            </w:r>
          </w:p>
        </w:tc>
        <w:tc>
          <w:tcPr>
            <w:tcW w:w="2251" w:type="dxa"/>
            <w:vMerge w:val="restart"/>
            <w:tcBorders>
              <w:tl2br w:val="nil"/>
              <w:tr2bl w:val="nil"/>
            </w:tcBorders>
            <w:vAlign w:val="center"/>
          </w:tcPr>
          <w:p>
            <w:pPr>
              <w:jc w:val="center"/>
              <w:rPr>
                <w:szCs w:val="21"/>
              </w:rPr>
            </w:pPr>
            <w:r>
              <w:rPr>
                <w:rFonts w:hint="eastAsia"/>
                <w:szCs w:val="21"/>
              </w:rPr>
              <w:t>15.2mg/m</w:t>
            </w:r>
            <w:r>
              <w:rPr>
                <w:rFonts w:hint="eastAsia"/>
                <w:szCs w:val="21"/>
                <w:vertAlign w:val="superscript"/>
              </w:rPr>
              <w:t>3</w:t>
            </w:r>
            <w:r>
              <w:rPr>
                <w:rFonts w:hint="eastAsia"/>
                <w:szCs w:val="21"/>
              </w:rPr>
              <w:t>，0.12192t/a</w:t>
            </w:r>
          </w:p>
        </w:tc>
        <w:tc>
          <w:tcPr>
            <w:tcW w:w="2314" w:type="dxa"/>
            <w:tcBorders>
              <w:tl2br w:val="nil"/>
              <w:tr2bl w:val="nil"/>
            </w:tcBorders>
            <w:vAlign w:val="center"/>
          </w:tcPr>
          <w:p>
            <w:pPr>
              <w:jc w:val="center"/>
              <w:rPr>
                <w:szCs w:val="21"/>
              </w:rPr>
            </w:pPr>
            <w:r>
              <w:rPr>
                <w:rFonts w:hint="eastAsia"/>
                <w:szCs w:val="21"/>
              </w:rPr>
              <w:t>有组织：1.52mg/m</w:t>
            </w:r>
            <w:r>
              <w:rPr>
                <w:rFonts w:hint="eastAsia"/>
                <w:szCs w:val="21"/>
                <w:vertAlign w:val="superscript"/>
              </w:rPr>
              <w:t>3</w:t>
            </w:r>
            <w:r>
              <w:rPr>
                <w:rFonts w:hint="eastAsia"/>
                <w:szCs w:val="21"/>
              </w:rPr>
              <w:t>，0.012192t/a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pPr>
          </w:p>
        </w:tc>
        <w:tc>
          <w:tcPr>
            <w:tcW w:w="1337" w:type="dxa"/>
            <w:vMerge w:val="continue"/>
            <w:tcBorders>
              <w:tl2br w:val="nil"/>
              <w:tr2bl w:val="nil"/>
            </w:tcBorders>
            <w:vAlign w:val="center"/>
          </w:tcPr>
          <w:p>
            <w:pPr>
              <w:jc w:val="center"/>
            </w:pPr>
          </w:p>
        </w:tc>
        <w:tc>
          <w:tcPr>
            <w:tcW w:w="1591" w:type="dxa"/>
            <w:vMerge w:val="continue"/>
            <w:tcBorders>
              <w:tl2br w:val="nil"/>
              <w:tr2bl w:val="nil"/>
            </w:tcBorders>
            <w:vAlign w:val="center"/>
          </w:tcPr>
          <w:p>
            <w:pPr>
              <w:jc w:val="center"/>
              <w:rPr>
                <w:szCs w:val="21"/>
              </w:rPr>
            </w:pPr>
          </w:p>
        </w:tc>
        <w:tc>
          <w:tcPr>
            <w:tcW w:w="2251" w:type="dxa"/>
            <w:vMerge w:val="continue"/>
            <w:tcBorders>
              <w:tl2br w:val="nil"/>
              <w:tr2bl w:val="nil"/>
            </w:tcBorders>
            <w:vAlign w:val="center"/>
          </w:tcPr>
          <w:p>
            <w:pPr>
              <w:jc w:val="center"/>
              <w:rPr>
                <w:szCs w:val="21"/>
              </w:rPr>
            </w:pPr>
          </w:p>
        </w:tc>
        <w:tc>
          <w:tcPr>
            <w:tcW w:w="2314" w:type="dxa"/>
            <w:tcBorders>
              <w:tl2br w:val="nil"/>
              <w:tr2bl w:val="nil"/>
            </w:tcBorders>
            <w:vAlign w:val="center"/>
          </w:tcPr>
          <w:p>
            <w:pPr>
              <w:jc w:val="center"/>
              <w:rPr>
                <w:szCs w:val="21"/>
              </w:rPr>
            </w:pPr>
            <w:r>
              <w:rPr>
                <w:rFonts w:hint="eastAsia"/>
                <w:szCs w:val="21"/>
              </w:rPr>
              <w:t>无组织：0.239mg/m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32" w:type="dxa"/>
            <w:vMerge w:val="continue"/>
            <w:tcBorders>
              <w:tl2br w:val="nil"/>
              <w:tr2bl w:val="nil"/>
            </w:tcBorders>
            <w:vAlign w:val="center"/>
          </w:tcPr>
          <w:p>
            <w:pPr>
              <w:jc w:val="center"/>
            </w:pPr>
          </w:p>
        </w:tc>
        <w:tc>
          <w:tcPr>
            <w:tcW w:w="1337" w:type="dxa"/>
            <w:vMerge w:val="continue"/>
            <w:tcBorders>
              <w:tl2br w:val="nil"/>
              <w:tr2bl w:val="nil"/>
            </w:tcBorders>
            <w:vAlign w:val="center"/>
          </w:tcPr>
          <w:p>
            <w:pPr>
              <w:jc w:val="center"/>
            </w:pPr>
          </w:p>
        </w:tc>
        <w:tc>
          <w:tcPr>
            <w:tcW w:w="1591" w:type="dxa"/>
            <w:tcBorders>
              <w:tl2br w:val="nil"/>
              <w:tr2bl w:val="nil"/>
            </w:tcBorders>
            <w:vAlign w:val="center"/>
          </w:tcPr>
          <w:p>
            <w:pPr>
              <w:jc w:val="center"/>
              <w:rPr>
                <w:szCs w:val="21"/>
              </w:rPr>
            </w:pPr>
            <w:r>
              <w:rPr>
                <w:szCs w:val="21"/>
              </w:rPr>
              <w:t>漆雾（颗粒物）</w:t>
            </w:r>
          </w:p>
        </w:tc>
        <w:tc>
          <w:tcPr>
            <w:tcW w:w="2251" w:type="dxa"/>
            <w:tcBorders>
              <w:tl2br w:val="nil"/>
              <w:tr2bl w:val="nil"/>
            </w:tcBorders>
            <w:vAlign w:val="center"/>
          </w:tcPr>
          <w:p>
            <w:pPr>
              <w:jc w:val="center"/>
              <w:rPr>
                <w:kern w:val="0"/>
                <w:szCs w:val="21"/>
              </w:rPr>
            </w:pPr>
            <w:r>
              <w:rPr>
                <w:rFonts w:hint="eastAsia"/>
                <w:kern w:val="0"/>
                <w:szCs w:val="21"/>
              </w:rPr>
              <w:t>少量</w:t>
            </w:r>
          </w:p>
        </w:tc>
        <w:tc>
          <w:tcPr>
            <w:tcW w:w="2314" w:type="dxa"/>
            <w:tcBorders>
              <w:tl2br w:val="nil"/>
              <w:tr2bl w:val="nil"/>
            </w:tcBorders>
            <w:vAlign w:val="center"/>
          </w:tcPr>
          <w:p>
            <w:pPr>
              <w:jc w:val="center"/>
              <w:rPr>
                <w:szCs w:val="21"/>
              </w:rPr>
            </w:pPr>
            <w:r>
              <w:rPr>
                <w:rFonts w:hint="eastAsia"/>
                <w:szCs w:val="21"/>
              </w:rPr>
              <w:t>＜20mg/m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32" w:type="dxa"/>
            <w:vMerge w:val="continue"/>
            <w:tcBorders>
              <w:tl2br w:val="nil"/>
              <w:tr2bl w:val="nil"/>
            </w:tcBorders>
            <w:vAlign w:val="center"/>
          </w:tcPr>
          <w:p>
            <w:pPr>
              <w:jc w:val="center"/>
              <w:rPr>
                <w:szCs w:val="21"/>
              </w:rPr>
            </w:pPr>
          </w:p>
        </w:tc>
        <w:tc>
          <w:tcPr>
            <w:tcW w:w="1337" w:type="dxa"/>
            <w:tcBorders>
              <w:tl2br w:val="nil"/>
              <w:tr2bl w:val="nil"/>
            </w:tcBorders>
            <w:vAlign w:val="center"/>
          </w:tcPr>
          <w:p>
            <w:pPr>
              <w:jc w:val="center"/>
              <w:rPr>
                <w:szCs w:val="21"/>
              </w:rPr>
            </w:pPr>
            <w:r>
              <w:rPr>
                <w:szCs w:val="21"/>
              </w:rPr>
              <w:t>焊接工序</w:t>
            </w:r>
          </w:p>
        </w:tc>
        <w:tc>
          <w:tcPr>
            <w:tcW w:w="1591" w:type="dxa"/>
            <w:tcBorders>
              <w:tl2br w:val="nil"/>
              <w:tr2bl w:val="nil"/>
            </w:tcBorders>
            <w:vAlign w:val="center"/>
          </w:tcPr>
          <w:p>
            <w:pPr>
              <w:jc w:val="center"/>
              <w:rPr>
                <w:szCs w:val="21"/>
              </w:rPr>
            </w:pPr>
            <w:r>
              <w:rPr>
                <w:szCs w:val="21"/>
              </w:rPr>
              <w:t>焊烟</w:t>
            </w:r>
          </w:p>
        </w:tc>
        <w:tc>
          <w:tcPr>
            <w:tcW w:w="2251" w:type="dxa"/>
            <w:tcBorders>
              <w:tl2br w:val="nil"/>
              <w:tr2bl w:val="nil"/>
            </w:tcBorders>
            <w:vAlign w:val="center"/>
          </w:tcPr>
          <w:p>
            <w:pPr>
              <w:jc w:val="center"/>
              <w:rPr>
                <w:szCs w:val="21"/>
              </w:rPr>
            </w:pPr>
            <w:r>
              <w:rPr>
                <w:szCs w:val="21"/>
              </w:rPr>
              <w:t>少量无组织排放</w:t>
            </w:r>
          </w:p>
        </w:tc>
        <w:tc>
          <w:tcPr>
            <w:tcW w:w="2314" w:type="dxa"/>
            <w:tcBorders>
              <w:tl2br w:val="nil"/>
              <w:tr2bl w:val="nil"/>
            </w:tcBorders>
            <w:vAlign w:val="center"/>
          </w:tcPr>
          <w:p>
            <w:pPr>
              <w:jc w:val="center"/>
              <w:rPr>
                <w:szCs w:val="21"/>
              </w:rPr>
            </w:pPr>
            <w:r>
              <w:rPr>
                <w:szCs w:val="21"/>
              </w:rPr>
              <w:t>少量无组织排放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rPr>
                <w:szCs w:val="21"/>
              </w:rPr>
            </w:pPr>
          </w:p>
        </w:tc>
        <w:tc>
          <w:tcPr>
            <w:tcW w:w="1337" w:type="dxa"/>
            <w:tcBorders>
              <w:tl2br w:val="nil"/>
              <w:tr2bl w:val="nil"/>
            </w:tcBorders>
            <w:vAlign w:val="center"/>
          </w:tcPr>
          <w:p>
            <w:pPr>
              <w:jc w:val="center"/>
              <w:rPr>
                <w:szCs w:val="21"/>
              </w:rPr>
            </w:pPr>
            <w:r>
              <w:rPr>
                <w:szCs w:val="21"/>
              </w:rPr>
              <w:t>打磨工序</w:t>
            </w:r>
          </w:p>
        </w:tc>
        <w:tc>
          <w:tcPr>
            <w:tcW w:w="1591" w:type="dxa"/>
            <w:tcBorders>
              <w:tl2br w:val="nil"/>
              <w:tr2bl w:val="nil"/>
            </w:tcBorders>
            <w:vAlign w:val="center"/>
          </w:tcPr>
          <w:p>
            <w:pPr>
              <w:jc w:val="center"/>
              <w:rPr>
                <w:szCs w:val="21"/>
              </w:rPr>
            </w:pPr>
            <w:r>
              <w:rPr>
                <w:szCs w:val="21"/>
              </w:rPr>
              <w:t>粉尘</w:t>
            </w:r>
          </w:p>
        </w:tc>
        <w:tc>
          <w:tcPr>
            <w:tcW w:w="2251" w:type="dxa"/>
            <w:tcBorders>
              <w:tl2br w:val="nil"/>
              <w:tr2bl w:val="nil"/>
            </w:tcBorders>
            <w:vAlign w:val="center"/>
          </w:tcPr>
          <w:p>
            <w:pPr>
              <w:jc w:val="center"/>
              <w:rPr>
                <w:szCs w:val="21"/>
              </w:rPr>
            </w:pPr>
            <w:r>
              <w:rPr>
                <w:szCs w:val="21"/>
              </w:rPr>
              <w:t>少量</w:t>
            </w:r>
          </w:p>
        </w:tc>
        <w:tc>
          <w:tcPr>
            <w:tcW w:w="2314" w:type="dxa"/>
            <w:tcBorders>
              <w:tl2br w:val="nil"/>
              <w:tr2bl w:val="nil"/>
            </w:tcBorders>
            <w:vAlign w:val="center"/>
          </w:tcPr>
          <w:p>
            <w:pPr>
              <w:jc w:val="center"/>
              <w:rPr>
                <w:szCs w:val="21"/>
              </w:rPr>
            </w:pPr>
            <w:r>
              <w:rPr>
                <w:szCs w:val="21"/>
              </w:rPr>
              <w:t>自带吸尘装置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2" w:type="dxa"/>
            <w:vMerge w:val="continue"/>
            <w:tcBorders>
              <w:tl2br w:val="nil"/>
              <w:tr2bl w:val="nil"/>
            </w:tcBorders>
            <w:vAlign w:val="center"/>
          </w:tcPr>
          <w:p>
            <w:pPr>
              <w:jc w:val="center"/>
              <w:rPr>
                <w:szCs w:val="21"/>
              </w:rPr>
            </w:pPr>
          </w:p>
        </w:tc>
        <w:tc>
          <w:tcPr>
            <w:tcW w:w="1337" w:type="dxa"/>
            <w:tcBorders>
              <w:tl2br w:val="nil"/>
              <w:tr2bl w:val="nil"/>
            </w:tcBorders>
            <w:vAlign w:val="center"/>
          </w:tcPr>
          <w:p>
            <w:pPr>
              <w:jc w:val="center"/>
              <w:rPr>
                <w:szCs w:val="21"/>
              </w:rPr>
            </w:pPr>
            <w:r>
              <w:rPr>
                <w:szCs w:val="21"/>
              </w:rPr>
              <w:t>食堂油烟</w:t>
            </w:r>
          </w:p>
        </w:tc>
        <w:tc>
          <w:tcPr>
            <w:tcW w:w="1591" w:type="dxa"/>
            <w:tcBorders>
              <w:tl2br w:val="nil"/>
              <w:tr2bl w:val="nil"/>
            </w:tcBorders>
            <w:vAlign w:val="center"/>
          </w:tcPr>
          <w:p>
            <w:pPr>
              <w:jc w:val="center"/>
              <w:rPr>
                <w:szCs w:val="21"/>
              </w:rPr>
            </w:pPr>
            <w:r>
              <w:rPr>
                <w:szCs w:val="21"/>
              </w:rPr>
              <w:t>油烟废气</w:t>
            </w:r>
          </w:p>
        </w:tc>
        <w:tc>
          <w:tcPr>
            <w:tcW w:w="2251" w:type="dxa"/>
            <w:tcBorders>
              <w:tl2br w:val="nil"/>
              <w:tr2bl w:val="nil"/>
            </w:tcBorders>
            <w:vAlign w:val="center"/>
          </w:tcPr>
          <w:p>
            <w:pPr>
              <w:jc w:val="center"/>
              <w:rPr>
                <w:szCs w:val="21"/>
              </w:rPr>
            </w:pPr>
            <w:r>
              <w:rPr>
                <w:szCs w:val="21"/>
              </w:rPr>
              <w:t>少量</w:t>
            </w:r>
          </w:p>
        </w:tc>
        <w:tc>
          <w:tcPr>
            <w:tcW w:w="2314" w:type="dxa"/>
            <w:tcBorders>
              <w:tl2br w:val="nil"/>
              <w:tr2bl w:val="nil"/>
            </w:tcBorders>
            <w:vAlign w:val="center"/>
          </w:tcPr>
          <w:p>
            <w:pPr>
              <w:jc w:val="center"/>
              <w:rPr>
                <w:szCs w:val="21"/>
              </w:rPr>
            </w:pPr>
            <w:r>
              <w:rPr>
                <w:rFonts w:hint="eastAsia"/>
                <w:szCs w:val="21"/>
              </w:rPr>
              <w:t>油烟净化装置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32" w:type="dxa"/>
            <w:vMerge w:val="restart"/>
            <w:tcBorders>
              <w:tl2br w:val="nil"/>
              <w:tr2bl w:val="nil"/>
            </w:tcBorders>
            <w:vAlign w:val="center"/>
          </w:tcPr>
          <w:p>
            <w:pPr>
              <w:jc w:val="center"/>
              <w:rPr>
                <w:szCs w:val="21"/>
              </w:rPr>
            </w:pPr>
            <w:r>
              <w:rPr>
                <w:szCs w:val="21"/>
              </w:rPr>
              <w:t>水污染物</w:t>
            </w:r>
          </w:p>
        </w:tc>
        <w:tc>
          <w:tcPr>
            <w:tcW w:w="1337" w:type="dxa"/>
            <w:vMerge w:val="restart"/>
            <w:tcBorders>
              <w:tl2br w:val="nil"/>
              <w:tr2bl w:val="nil"/>
            </w:tcBorders>
            <w:vAlign w:val="center"/>
          </w:tcPr>
          <w:p>
            <w:pPr>
              <w:jc w:val="center"/>
              <w:rPr>
                <w:szCs w:val="21"/>
              </w:rPr>
            </w:pPr>
            <w:r>
              <w:rPr>
                <w:szCs w:val="21"/>
              </w:rPr>
              <w:t>生活污水</w:t>
            </w:r>
          </w:p>
        </w:tc>
        <w:tc>
          <w:tcPr>
            <w:tcW w:w="1591" w:type="dxa"/>
            <w:tcBorders>
              <w:tl2br w:val="nil"/>
              <w:tr2bl w:val="nil"/>
            </w:tcBorders>
            <w:vAlign w:val="center"/>
          </w:tcPr>
          <w:p>
            <w:pPr>
              <w:widowControl/>
              <w:jc w:val="center"/>
              <w:textAlignment w:val="center"/>
              <w:rPr>
                <w:szCs w:val="21"/>
              </w:rPr>
            </w:pPr>
            <w:r>
              <w:rPr>
                <w:kern w:val="0"/>
                <w:szCs w:val="21"/>
              </w:rPr>
              <w:t>废水量</w:t>
            </w:r>
          </w:p>
        </w:tc>
        <w:tc>
          <w:tcPr>
            <w:tcW w:w="2251" w:type="dxa"/>
            <w:tcBorders>
              <w:tl2br w:val="nil"/>
              <w:tr2bl w:val="nil"/>
            </w:tcBorders>
            <w:vAlign w:val="center"/>
          </w:tcPr>
          <w:p>
            <w:pPr>
              <w:ind w:right="480" w:firstLine="420" w:firstLineChars="200"/>
              <w:jc w:val="center"/>
              <w:rPr>
                <w:szCs w:val="21"/>
              </w:rPr>
            </w:pPr>
            <w:r>
              <w:rPr>
                <w:rFonts w:hint="eastAsia"/>
                <w:szCs w:val="21"/>
              </w:rPr>
              <w:t>3032</w:t>
            </w:r>
            <w:r>
              <w:rPr>
                <w:szCs w:val="21"/>
              </w:rPr>
              <w:t>t/a</w:t>
            </w:r>
          </w:p>
        </w:tc>
        <w:tc>
          <w:tcPr>
            <w:tcW w:w="2314" w:type="dxa"/>
            <w:tcBorders>
              <w:tl2br w:val="nil"/>
              <w:tr2bl w:val="nil"/>
            </w:tcBorders>
            <w:vAlign w:val="center"/>
          </w:tcPr>
          <w:p>
            <w:pPr>
              <w:widowControl/>
              <w:jc w:val="center"/>
              <w:textAlignment w:val="center"/>
              <w:rPr>
                <w:szCs w:val="21"/>
              </w:rPr>
            </w:pPr>
            <w:r>
              <w:rPr>
                <w:rFonts w:hint="eastAsia"/>
                <w:szCs w:val="21"/>
              </w:rPr>
              <w:t>3032</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COD</w:t>
            </w:r>
          </w:p>
        </w:tc>
        <w:tc>
          <w:tcPr>
            <w:tcW w:w="2251" w:type="dxa"/>
            <w:tcBorders>
              <w:tl2br w:val="nil"/>
              <w:tr2bl w:val="nil"/>
            </w:tcBorders>
            <w:vAlign w:val="center"/>
          </w:tcPr>
          <w:p>
            <w:pPr>
              <w:jc w:val="center"/>
              <w:rPr>
                <w:szCs w:val="21"/>
              </w:rPr>
            </w:pPr>
            <w:r>
              <w:rPr>
                <w:rFonts w:hint="eastAsia"/>
                <w:kern w:val="0"/>
                <w:szCs w:val="21"/>
              </w:rPr>
              <w:t>0.9096</w:t>
            </w:r>
            <w:r>
              <w:rPr>
                <w:szCs w:val="21"/>
              </w:rPr>
              <w:t>t/a，300mg/L</w:t>
            </w:r>
          </w:p>
        </w:tc>
        <w:tc>
          <w:tcPr>
            <w:tcW w:w="2314" w:type="dxa"/>
            <w:tcBorders>
              <w:tl2br w:val="nil"/>
              <w:tr2bl w:val="nil"/>
            </w:tcBorders>
            <w:vAlign w:val="center"/>
          </w:tcPr>
          <w:p>
            <w:pPr>
              <w:widowControl/>
              <w:jc w:val="center"/>
              <w:textAlignment w:val="center"/>
              <w:rPr>
                <w:szCs w:val="21"/>
              </w:rPr>
            </w:pPr>
            <w:r>
              <w:rPr>
                <w:rFonts w:hint="eastAsia"/>
                <w:kern w:val="0"/>
                <w:szCs w:val="21"/>
              </w:rPr>
              <w:t>0.209</w:t>
            </w:r>
            <w:r>
              <w:rPr>
                <w:szCs w:val="21"/>
              </w:rPr>
              <w:t>t/a，</w:t>
            </w:r>
            <w:r>
              <w:rPr>
                <w:rFonts w:hint="eastAsia"/>
                <w:szCs w:val="21"/>
              </w:rPr>
              <w:t>69</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kern w:val="0"/>
                <w:szCs w:val="21"/>
              </w:rPr>
            </w:pPr>
            <w:r>
              <w:rPr>
                <w:szCs w:val="21"/>
              </w:rPr>
              <w:t>BOD</w:t>
            </w:r>
            <w:r>
              <w:rPr>
                <w:szCs w:val="21"/>
                <w:vertAlign w:val="subscript"/>
              </w:rPr>
              <w:t>5</w:t>
            </w:r>
          </w:p>
        </w:tc>
        <w:tc>
          <w:tcPr>
            <w:tcW w:w="2251" w:type="dxa"/>
            <w:tcBorders>
              <w:tl2br w:val="nil"/>
              <w:tr2bl w:val="nil"/>
            </w:tcBorders>
            <w:vAlign w:val="center"/>
          </w:tcPr>
          <w:p>
            <w:pPr>
              <w:jc w:val="center"/>
              <w:rPr>
                <w:szCs w:val="21"/>
              </w:rPr>
            </w:pPr>
            <w:r>
              <w:rPr>
                <w:rFonts w:hint="eastAsia"/>
                <w:kern w:val="0"/>
                <w:szCs w:val="21"/>
              </w:rPr>
              <w:t>0.4548</w:t>
            </w:r>
            <w:r>
              <w:rPr>
                <w:szCs w:val="21"/>
              </w:rPr>
              <w:t>t/a，150mg/L</w:t>
            </w:r>
          </w:p>
        </w:tc>
        <w:tc>
          <w:tcPr>
            <w:tcW w:w="2314" w:type="dxa"/>
            <w:tcBorders>
              <w:tl2br w:val="nil"/>
              <w:tr2bl w:val="nil"/>
            </w:tcBorders>
            <w:vAlign w:val="center"/>
          </w:tcPr>
          <w:p>
            <w:pPr>
              <w:widowControl/>
              <w:jc w:val="center"/>
              <w:textAlignment w:val="center"/>
              <w:rPr>
                <w:kern w:val="0"/>
                <w:szCs w:val="21"/>
              </w:rPr>
            </w:pPr>
            <w:r>
              <w:rPr>
                <w:rFonts w:hint="eastAsia"/>
                <w:kern w:val="0"/>
                <w:szCs w:val="21"/>
              </w:rPr>
              <w:t>0.0427</w:t>
            </w:r>
            <w:r>
              <w:rPr>
                <w:kern w:val="0"/>
                <w:szCs w:val="21"/>
              </w:rPr>
              <w:t>t/a，</w:t>
            </w:r>
            <w:r>
              <w:rPr>
                <w:rFonts w:hint="eastAsia"/>
                <w:kern w:val="0"/>
                <w:szCs w:val="21"/>
              </w:rPr>
              <w:t>14.1</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氨氮</w:t>
            </w:r>
          </w:p>
        </w:tc>
        <w:tc>
          <w:tcPr>
            <w:tcW w:w="2251" w:type="dxa"/>
            <w:tcBorders>
              <w:tl2br w:val="nil"/>
              <w:tr2bl w:val="nil"/>
            </w:tcBorders>
            <w:vAlign w:val="center"/>
          </w:tcPr>
          <w:p>
            <w:pPr>
              <w:jc w:val="center"/>
              <w:rPr>
                <w:szCs w:val="21"/>
              </w:rPr>
            </w:pPr>
            <w:r>
              <w:rPr>
                <w:rFonts w:hint="eastAsia"/>
                <w:kern w:val="0"/>
                <w:szCs w:val="21"/>
              </w:rPr>
              <w:t>0.0758</w:t>
            </w:r>
            <w:r>
              <w:rPr>
                <w:szCs w:val="21"/>
              </w:rPr>
              <w:t>t/a，25mg/L</w:t>
            </w:r>
          </w:p>
        </w:tc>
        <w:tc>
          <w:tcPr>
            <w:tcW w:w="2314" w:type="dxa"/>
            <w:tcBorders>
              <w:tl2br w:val="nil"/>
              <w:tr2bl w:val="nil"/>
            </w:tcBorders>
            <w:vAlign w:val="center"/>
          </w:tcPr>
          <w:p>
            <w:pPr>
              <w:widowControl/>
              <w:jc w:val="center"/>
              <w:textAlignment w:val="center"/>
              <w:rPr>
                <w:szCs w:val="21"/>
              </w:rPr>
            </w:pPr>
            <w:r>
              <w:rPr>
                <w:rFonts w:hint="eastAsia"/>
                <w:kern w:val="0"/>
                <w:szCs w:val="21"/>
              </w:rPr>
              <w:t>0.0028</w:t>
            </w:r>
            <w:r>
              <w:rPr>
                <w:kern w:val="0"/>
                <w:szCs w:val="21"/>
              </w:rPr>
              <w:t>t/a，</w:t>
            </w:r>
            <w:r>
              <w:rPr>
                <w:rFonts w:hint="eastAsia"/>
                <w:szCs w:val="21"/>
              </w:rPr>
              <w:t>0.944</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SS</w:t>
            </w:r>
          </w:p>
        </w:tc>
        <w:tc>
          <w:tcPr>
            <w:tcW w:w="2251" w:type="dxa"/>
            <w:tcBorders>
              <w:tl2br w:val="nil"/>
              <w:tr2bl w:val="nil"/>
            </w:tcBorders>
            <w:vAlign w:val="center"/>
          </w:tcPr>
          <w:p>
            <w:pPr>
              <w:jc w:val="center"/>
              <w:rPr>
                <w:szCs w:val="21"/>
              </w:rPr>
            </w:pPr>
            <w:r>
              <w:rPr>
                <w:rFonts w:hint="eastAsia"/>
                <w:kern w:val="0"/>
                <w:szCs w:val="21"/>
              </w:rPr>
              <w:t>0.6064</w:t>
            </w:r>
            <w:r>
              <w:rPr>
                <w:szCs w:val="21"/>
              </w:rPr>
              <w:t>t/a，200mg/L</w:t>
            </w:r>
          </w:p>
        </w:tc>
        <w:tc>
          <w:tcPr>
            <w:tcW w:w="2314" w:type="dxa"/>
            <w:tcBorders>
              <w:tl2br w:val="nil"/>
              <w:tr2bl w:val="nil"/>
            </w:tcBorders>
            <w:vAlign w:val="center"/>
          </w:tcPr>
          <w:p>
            <w:pPr>
              <w:widowControl/>
              <w:jc w:val="center"/>
              <w:textAlignment w:val="center"/>
              <w:rPr>
                <w:szCs w:val="21"/>
              </w:rPr>
            </w:pPr>
            <w:r>
              <w:rPr>
                <w:rFonts w:hint="eastAsia"/>
                <w:kern w:val="0"/>
                <w:szCs w:val="21"/>
              </w:rPr>
              <w:t>0.28804</w:t>
            </w:r>
            <w:r>
              <w:rPr>
                <w:kern w:val="0"/>
                <w:szCs w:val="21"/>
              </w:rPr>
              <w:t>t/a，</w:t>
            </w:r>
            <w:r>
              <w:rPr>
                <w:rFonts w:hint="eastAsia"/>
                <w:szCs w:val="21"/>
              </w:rPr>
              <w:t>95</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动植物油</w:t>
            </w:r>
          </w:p>
        </w:tc>
        <w:tc>
          <w:tcPr>
            <w:tcW w:w="2251" w:type="dxa"/>
            <w:tcBorders>
              <w:tl2br w:val="nil"/>
              <w:tr2bl w:val="nil"/>
            </w:tcBorders>
            <w:vAlign w:val="center"/>
          </w:tcPr>
          <w:p>
            <w:pPr>
              <w:jc w:val="center"/>
              <w:rPr>
                <w:szCs w:val="21"/>
              </w:rPr>
            </w:pPr>
            <w:r>
              <w:rPr>
                <w:rFonts w:hint="eastAsia"/>
                <w:kern w:val="0"/>
                <w:szCs w:val="21"/>
              </w:rPr>
              <w:t>0.1212</w:t>
            </w:r>
            <w:r>
              <w:rPr>
                <w:szCs w:val="21"/>
              </w:rPr>
              <w:t>t/a，40mg/L</w:t>
            </w:r>
          </w:p>
        </w:tc>
        <w:tc>
          <w:tcPr>
            <w:tcW w:w="2314" w:type="dxa"/>
            <w:tcBorders>
              <w:tl2br w:val="nil"/>
              <w:tr2bl w:val="nil"/>
            </w:tcBorders>
            <w:vAlign w:val="center"/>
          </w:tcPr>
          <w:p>
            <w:pPr>
              <w:widowControl/>
              <w:jc w:val="center"/>
              <w:textAlignment w:val="center"/>
              <w:rPr>
                <w:szCs w:val="21"/>
              </w:rPr>
            </w:pPr>
            <w:r>
              <w:rPr>
                <w:rFonts w:hint="eastAsia"/>
                <w:kern w:val="0"/>
                <w:szCs w:val="21"/>
              </w:rPr>
              <w:t>0.10302</w:t>
            </w:r>
            <w:r>
              <w:rPr>
                <w:kern w:val="0"/>
                <w:szCs w:val="21"/>
              </w:rPr>
              <w:t>t/a，</w:t>
            </w:r>
            <w:r>
              <w:rPr>
                <w:szCs w:val="21"/>
              </w:rPr>
              <w:t>34mg/L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032" w:type="dxa"/>
            <w:vMerge w:val="continue"/>
            <w:tcBorders>
              <w:tl2br w:val="nil"/>
              <w:tr2bl w:val="nil"/>
            </w:tcBorders>
            <w:vAlign w:val="center"/>
          </w:tcPr>
          <w:p>
            <w:pPr>
              <w:jc w:val="center"/>
              <w:rPr>
                <w:szCs w:val="21"/>
              </w:rPr>
            </w:pPr>
          </w:p>
        </w:tc>
        <w:tc>
          <w:tcPr>
            <w:tcW w:w="1337" w:type="dxa"/>
            <w:vMerge w:val="restart"/>
            <w:tcBorders>
              <w:tl2br w:val="nil"/>
              <w:tr2bl w:val="nil"/>
            </w:tcBorders>
            <w:vAlign w:val="center"/>
          </w:tcPr>
          <w:p>
            <w:pPr>
              <w:jc w:val="center"/>
              <w:rPr>
                <w:szCs w:val="21"/>
              </w:rPr>
            </w:pPr>
            <w:r>
              <w:rPr>
                <w:szCs w:val="21"/>
              </w:rPr>
              <w:t>地面清洗废水和汽车清洗废水</w:t>
            </w:r>
          </w:p>
        </w:tc>
        <w:tc>
          <w:tcPr>
            <w:tcW w:w="1591" w:type="dxa"/>
            <w:tcBorders>
              <w:tl2br w:val="nil"/>
              <w:tr2bl w:val="nil"/>
            </w:tcBorders>
            <w:vAlign w:val="center"/>
          </w:tcPr>
          <w:p>
            <w:pPr>
              <w:widowControl/>
              <w:jc w:val="center"/>
              <w:textAlignment w:val="center"/>
              <w:rPr>
                <w:szCs w:val="21"/>
              </w:rPr>
            </w:pPr>
            <w:r>
              <w:rPr>
                <w:kern w:val="0"/>
                <w:szCs w:val="21"/>
              </w:rPr>
              <w:t>废</w:t>
            </w:r>
            <w:r>
              <w:rPr>
                <w:rStyle w:val="34"/>
                <w:color w:val="auto"/>
              </w:rPr>
              <w:t>水量</w:t>
            </w:r>
          </w:p>
        </w:tc>
        <w:tc>
          <w:tcPr>
            <w:tcW w:w="2251" w:type="dxa"/>
            <w:tcBorders>
              <w:tl2br w:val="nil"/>
              <w:tr2bl w:val="nil"/>
            </w:tcBorders>
            <w:vAlign w:val="center"/>
          </w:tcPr>
          <w:p>
            <w:pPr>
              <w:jc w:val="center"/>
              <w:rPr>
                <w:szCs w:val="21"/>
              </w:rPr>
            </w:pPr>
            <w:r>
              <w:rPr>
                <w:rFonts w:hint="eastAsia"/>
                <w:szCs w:val="21"/>
              </w:rPr>
              <w:t>76.92</w:t>
            </w:r>
            <w:r>
              <w:rPr>
                <w:szCs w:val="21"/>
              </w:rPr>
              <w:t>t/a</w:t>
            </w:r>
          </w:p>
        </w:tc>
        <w:tc>
          <w:tcPr>
            <w:tcW w:w="2314" w:type="dxa"/>
            <w:tcBorders>
              <w:tl2br w:val="nil"/>
              <w:tr2bl w:val="nil"/>
            </w:tcBorders>
            <w:vAlign w:val="center"/>
          </w:tcPr>
          <w:p>
            <w:pPr>
              <w:jc w:val="center"/>
              <w:rPr>
                <w:szCs w:val="21"/>
              </w:rPr>
            </w:pPr>
            <w:r>
              <w:rPr>
                <w:rFonts w:hint="eastAsia"/>
                <w:szCs w:val="21"/>
              </w:rPr>
              <w:t>76.92</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COD</w:t>
            </w:r>
          </w:p>
        </w:tc>
        <w:tc>
          <w:tcPr>
            <w:tcW w:w="2251" w:type="dxa"/>
            <w:tcBorders>
              <w:tl2br w:val="nil"/>
              <w:tr2bl w:val="nil"/>
            </w:tcBorders>
            <w:vAlign w:val="center"/>
          </w:tcPr>
          <w:p>
            <w:pPr>
              <w:jc w:val="center"/>
              <w:rPr>
                <w:szCs w:val="21"/>
              </w:rPr>
            </w:pPr>
            <w:r>
              <w:rPr>
                <w:kern w:val="0"/>
                <w:szCs w:val="21"/>
              </w:rPr>
              <w:t>0.01923</w:t>
            </w:r>
            <w:r>
              <w:rPr>
                <w:szCs w:val="21"/>
              </w:rPr>
              <w:t>t/a，250mg/L</w:t>
            </w:r>
          </w:p>
        </w:tc>
        <w:tc>
          <w:tcPr>
            <w:tcW w:w="2314" w:type="dxa"/>
            <w:tcBorders>
              <w:tl2br w:val="nil"/>
              <w:tr2bl w:val="nil"/>
            </w:tcBorders>
            <w:vAlign w:val="center"/>
          </w:tcPr>
          <w:p>
            <w:pPr>
              <w:jc w:val="center"/>
              <w:rPr>
                <w:szCs w:val="21"/>
              </w:rPr>
            </w:pPr>
            <w:r>
              <w:rPr>
                <w:rFonts w:hint="eastAsia"/>
                <w:kern w:val="0"/>
                <w:szCs w:val="21"/>
              </w:rPr>
              <w:t>0.0053</w:t>
            </w:r>
            <w:r>
              <w:rPr>
                <w:szCs w:val="21"/>
              </w:rPr>
              <w:t>t/a，</w:t>
            </w:r>
            <w:r>
              <w:rPr>
                <w:rFonts w:hint="eastAsia"/>
                <w:szCs w:val="21"/>
              </w:rPr>
              <w:t>69</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kern w:val="0"/>
                <w:szCs w:val="21"/>
              </w:rPr>
            </w:pPr>
            <w:r>
              <w:rPr>
                <w:szCs w:val="21"/>
              </w:rPr>
              <w:t>BOD</w:t>
            </w:r>
            <w:r>
              <w:rPr>
                <w:szCs w:val="21"/>
                <w:vertAlign w:val="subscript"/>
              </w:rPr>
              <w:t>5</w:t>
            </w:r>
          </w:p>
        </w:tc>
        <w:tc>
          <w:tcPr>
            <w:tcW w:w="2251" w:type="dxa"/>
            <w:tcBorders>
              <w:tl2br w:val="nil"/>
              <w:tr2bl w:val="nil"/>
            </w:tcBorders>
            <w:vAlign w:val="center"/>
          </w:tcPr>
          <w:p>
            <w:pPr>
              <w:jc w:val="center"/>
              <w:rPr>
                <w:szCs w:val="21"/>
              </w:rPr>
            </w:pPr>
            <w:r>
              <w:rPr>
                <w:kern w:val="0"/>
                <w:sz w:val="22"/>
                <w:szCs w:val="22"/>
              </w:rPr>
              <w:t>0.007692</w:t>
            </w:r>
            <w:r>
              <w:rPr>
                <w:szCs w:val="21"/>
              </w:rPr>
              <w:t>t/a，100mg/L</w:t>
            </w:r>
          </w:p>
        </w:tc>
        <w:tc>
          <w:tcPr>
            <w:tcW w:w="2314" w:type="dxa"/>
            <w:tcBorders>
              <w:tl2br w:val="nil"/>
              <w:tr2bl w:val="nil"/>
            </w:tcBorders>
            <w:vAlign w:val="center"/>
          </w:tcPr>
          <w:p>
            <w:pPr>
              <w:jc w:val="center"/>
              <w:rPr>
                <w:szCs w:val="21"/>
              </w:rPr>
            </w:pPr>
            <w:r>
              <w:rPr>
                <w:kern w:val="0"/>
                <w:sz w:val="22"/>
                <w:szCs w:val="22"/>
              </w:rPr>
              <w:t>0.</w:t>
            </w:r>
            <w:r>
              <w:rPr>
                <w:rFonts w:hint="eastAsia"/>
                <w:kern w:val="0"/>
                <w:sz w:val="22"/>
                <w:szCs w:val="22"/>
              </w:rPr>
              <w:t>00108</w:t>
            </w:r>
            <w:r>
              <w:rPr>
                <w:szCs w:val="21"/>
              </w:rPr>
              <w:t>t/a，</w:t>
            </w:r>
            <w:r>
              <w:rPr>
                <w:rFonts w:hint="eastAsia"/>
                <w:szCs w:val="21"/>
              </w:rPr>
              <w:t>14.1</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氨氮</w:t>
            </w:r>
          </w:p>
        </w:tc>
        <w:tc>
          <w:tcPr>
            <w:tcW w:w="2251" w:type="dxa"/>
            <w:tcBorders>
              <w:tl2br w:val="nil"/>
              <w:tr2bl w:val="nil"/>
            </w:tcBorders>
            <w:vAlign w:val="center"/>
          </w:tcPr>
          <w:p>
            <w:pPr>
              <w:jc w:val="center"/>
              <w:rPr>
                <w:szCs w:val="21"/>
              </w:rPr>
            </w:pPr>
            <w:r>
              <w:rPr>
                <w:kern w:val="0"/>
                <w:sz w:val="22"/>
                <w:szCs w:val="22"/>
              </w:rPr>
              <w:t>0.001923</w:t>
            </w:r>
            <w:r>
              <w:rPr>
                <w:szCs w:val="21"/>
              </w:rPr>
              <w:t>t/a，25mg/L</w:t>
            </w:r>
          </w:p>
        </w:tc>
        <w:tc>
          <w:tcPr>
            <w:tcW w:w="2314" w:type="dxa"/>
            <w:tcBorders>
              <w:tl2br w:val="nil"/>
              <w:tr2bl w:val="nil"/>
            </w:tcBorders>
            <w:vAlign w:val="center"/>
          </w:tcPr>
          <w:p>
            <w:pPr>
              <w:jc w:val="center"/>
              <w:rPr>
                <w:szCs w:val="21"/>
              </w:rPr>
            </w:pPr>
            <w:r>
              <w:rPr>
                <w:kern w:val="0"/>
                <w:sz w:val="22"/>
                <w:szCs w:val="22"/>
              </w:rPr>
              <w:t>0.00</w:t>
            </w:r>
            <w:r>
              <w:rPr>
                <w:rFonts w:hint="eastAsia"/>
                <w:kern w:val="0"/>
                <w:sz w:val="22"/>
                <w:szCs w:val="22"/>
              </w:rPr>
              <w:t>0072</w:t>
            </w:r>
            <w:r>
              <w:rPr>
                <w:szCs w:val="21"/>
              </w:rPr>
              <w:t>t/a，</w:t>
            </w:r>
            <w:r>
              <w:rPr>
                <w:rFonts w:hint="eastAsia"/>
                <w:szCs w:val="21"/>
              </w:rPr>
              <w:t>0.944</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SS</w:t>
            </w:r>
          </w:p>
        </w:tc>
        <w:tc>
          <w:tcPr>
            <w:tcW w:w="2251" w:type="dxa"/>
            <w:tcBorders>
              <w:tl2br w:val="nil"/>
              <w:tr2bl w:val="nil"/>
            </w:tcBorders>
            <w:vAlign w:val="center"/>
          </w:tcPr>
          <w:p>
            <w:pPr>
              <w:jc w:val="center"/>
              <w:rPr>
                <w:szCs w:val="21"/>
              </w:rPr>
            </w:pPr>
            <w:r>
              <w:rPr>
                <w:kern w:val="0"/>
                <w:sz w:val="22"/>
                <w:szCs w:val="22"/>
              </w:rPr>
              <w:t>0.015384</w:t>
            </w:r>
            <w:r>
              <w:rPr>
                <w:szCs w:val="21"/>
              </w:rPr>
              <w:t>t/a，200mg/L</w:t>
            </w:r>
          </w:p>
        </w:tc>
        <w:tc>
          <w:tcPr>
            <w:tcW w:w="2314" w:type="dxa"/>
            <w:tcBorders>
              <w:tl2br w:val="nil"/>
              <w:tr2bl w:val="nil"/>
            </w:tcBorders>
            <w:vAlign w:val="center"/>
          </w:tcPr>
          <w:p>
            <w:pPr>
              <w:jc w:val="center"/>
              <w:rPr>
                <w:kern w:val="0"/>
                <w:szCs w:val="21"/>
              </w:rPr>
            </w:pPr>
            <w:r>
              <w:rPr>
                <w:kern w:val="0"/>
                <w:sz w:val="22"/>
                <w:szCs w:val="22"/>
              </w:rPr>
              <w:t>0.00</w:t>
            </w:r>
            <w:r>
              <w:rPr>
                <w:rFonts w:hint="eastAsia"/>
                <w:kern w:val="0"/>
                <w:sz w:val="22"/>
                <w:szCs w:val="22"/>
              </w:rPr>
              <w:t>73</w:t>
            </w:r>
            <w:r>
              <w:rPr>
                <w:szCs w:val="21"/>
              </w:rPr>
              <w:t>t/a，</w:t>
            </w:r>
            <w:r>
              <w:rPr>
                <w:rFonts w:hint="eastAsia"/>
                <w:szCs w:val="21"/>
              </w:rPr>
              <w:t>95</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szCs w:val="21"/>
              </w:rPr>
            </w:pPr>
            <w:r>
              <w:rPr>
                <w:kern w:val="0"/>
                <w:szCs w:val="21"/>
              </w:rPr>
              <w:t>石油类</w:t>
            </w:r>
          </w:p>
        </w:tc>
        <w:tc>
          <w:tcPr>
            <w:tcW w:w="2251" w:type="dxa"/>
            <w:tcBorders>
              <w:tl2br w:val="nil"/>
              <w:tr2bl w:val="nil"/>
            </w:tcBorders>
            <w:vAlign w:val="center"/>
          </w:tcPr>
          <w:p>
            <w:pPr>
              <w:jc w:val="center"/>
              <w:rPr>
                <w:szCs w:val="21"/>
              </w:rPr>
            </w:pPr>
            <w:r>
              <w:rPr>
                <w:kern w:val="0"/>
                <w:sz w:val="22"/>
                <w:szCs w:val="22"/>
              </w:rPr>
              <w:t>0.0015384</w:t>
            </w:r>
            <w:r>
              <w:rPr>
                <w:szCs w:val="21"/>
              </w:rPr>
              <w:t>t/a，20mg/L</w:t>
            </w:r>
          </w:p>
        </w:tc>
        <w:tc>
          <w:tcPr>
            <w:tcW w:w="2314" w:type="dxa"/>
            <w:tcBorders>
              <w:tl2br w:val="nil"/>
              <w:tr2bl w:val="nil"/>
            </w:tcBorders>
            <w:vAlign w:val="center"/>
          </w:tcPr>
          <w:p>
            <w:pPr>
              <w:jc w:val="center"/>
              <w:rPr>
                <w:kern w:val="0"/>
                <w:szCs w:val="21"/>
              </w:rPr>
            </w:pPr>
            <w:r>
              <w:rPr>
                <w:kern w:val="0"/>
                <w:sz w:val="22"/>
                <w:szCs w:val="22"/>
              </w:rPr>
              <w:t>0.0001</w:t>
            </w:r>
            <w:r>
              <w:rPr>
                <w:rFonts w:hint="eastAsia"/>
                <w:kern w:val="0"/>
                <w:sz w:val="22"/>
                <w:szCs w:val="22"/>
              </w:rPr>
              <w:t>69</w:t>
            </w:r>
            <w:r>
              <w:rPr>
                <w:szCs w:val="21"/>
              </w:rPr>
              <w:t>t/a，</w:t>
            </w:r>
            <w:r>
              <w:rPr>
                <w:rFonts w:hint="eastAsia"/>
                <w:szCs w:val="21"/>
              </w:rPr>
              <w:t>2.21</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32" w:type="dxa"/>
            <w:vMerge w:val="continue"/>
            <w:tcBorders>
              <w:tl2br w:val="nil"/>
              <w:tr2bl w:val="nil"/>
            </w:tcBorders>
            <w:vAlign w:val="center"/>
          </w:tcPr>
          <w:p>
            <w:pPr>
              <w:jc w:val="center"/>
              <w:rPr>
                <w:szCs w:val="21"/>
              </w:rPr>
            </w:pPr>
          </w:p>
        </w:tc>
        <w:tc>
          <w:tcPr>
            <w:tcW w:w="1337" w:type="dxa"/>
            <w:vMerge w:val="continue"/>
            <w:tcBorders>
              <w:tl2br w:val="nil"/>
              <w:tr2bl w:val="nil"/>
            </w:tcBorders>
            <w:vAlign w:val="center"/>
          </w:tcPr>
          <w:p>
            <w:pPr>
              <w:jc w:val="center"/>
              <w:rPr>
                <w:szCs w:val="21"/>
              </w:rPr>
            </w:pPr>
          </w:p>
        </w:tc>
        <w:tc>
          <w:tcPr>
            <w:tcW w:w="1591" w:type="dxa"/>
            <w:tcBorders>
              <w:tl2br w:val="nil"/>
              <w:tr2bl w:val="nil"/>
            </w:tcBorders>
            <w:vAlign w:val="center"/>
          </w:tcPr>
          <w:p>
            <w:pPr>
              <w:widowControl/>
              <w:jc w:val="center"/>
              <w:textAlignment w:val="center"/>
              <w:rPr>
                <w:kern w:val="0"/>
                <w:szCs w:val="21"/>
              </w:rPr>
            </w:pPr>
            <w:r>
              <w:rPr>
                <w:kern w:val="0"/>
                <w:szCs w:val="21"/>
              </w:rPr>
              <w:t>LAS</w:t>
            </w:r>
          </w:p>
        </w:tc>
        <w:tc>
          <w:tcPr>
            <w:tcW w:w="2251" w:type="dxa"/>
            <w:tcBorders>
              <w:tl2br w:val="nil"/>
              <w:tr2bl w:val="nil"/>
            </w:tcBorders>
            <w:vAlign w:val="center"/>
          </w:tcPr>
          <w:p>
            <w:pPr>
              <w:jc w:val="left"/>
              <w:rPr>
                <w:szCs w:val="21"/>
              </w:rPr>
            </w:pPr>
            <w:r>
              <w:rPr>
                <w:kern w:val="0"/>
                <w:sz w:val="22"/>
                <w:szCs w:val="22"/>
              </w:rPr>
              <w:t>0.001</w:t>
            </w:r>
            <w:r>
              <w:rPr>
                <w:rFonts w:hint="eastAsia"/>
                <w:kern w:val="0"/>
                <w:sz w:val="22"/>
                <w:szCs w:val="22"/>
              </w:rPr>
              <w:t>38</w:t>
            </w:r>
            <w:r>
              <w:rPr>
                <w:szCs w:val="21"/>
              </w:rPr>
              <w:t>t/a</w:t>
            </w:r>
            <w:r>
              <w:rPr>
                <w:rFonts w:hint="eastAsia"/>
                <w:szCs w:val="21"/>
              </w:rPr>
              <w:t>，</w:t>
            </w:r>
            <w:r>
              <w:rPr>
                <w:szCs w:val="21"/>
              </w:rPr>
              <w:t>1</w:t>
            </w:r>
            <w:r>
              <w:rPr>
                <w:rFonts w:hint="eastAsia"/>
                <w:szCs w:val="21"/>
              </w:rPr>
              <w:t>7</w:t>
            </w:r>
            <w:r>
              <w:rPr>
                <w:szCs w:val="21"/>
              </w:rPr>
              <w:t>.98mg/L</w:t>
            </w:r>
          </w:p>
        </w:tc>
        <w:tc>
          <w:tcPr>
            <w:tcW w:w="2314" w:type="dxa"/>
            <w:tcBorders>
              <w:tl2br w:val="nil"/>
              <w:tr2bl w:val="nil"/>
            </w:tcBorders>
            <w:vAlign w:val="center"/>
          </w:tcPr>
          <w:p>
            <w:pPr>
              <w:jc w:val="left"/>
              <w:rPr>
                <w:szCs w:val="21"/>
              </w:rPr>
            </w:pPr>
            <w:r>
              <w:rPr>
                <w:kern w:val="0"/>
                <w:sz w:val="22"/>
                <w:szCs w:val="22"/>
              </w:rPr>
              <w:t>0.000</w:t>
            </w:r>
            <w:r>
              <w:rPr>
                <w:rFonts w:hint="eastAsia"/>
                <w:kern w:val="0"/>
                <w:sz w:val="22"/>
                <w:szCs w:val="22"/>
              </w:rPr>
              <w:t>59</w:t>
            </w:r>
            <w:r>
              <w:rPr>
                <w:szCs w:val="21"/>
              </w:rPr>
              <w:t>t/a</w:t>
            </w:r>
            <w:r>
              <w:rPr>
                <w:rFonts w:hint="eastAsia"/>
                <w:szCs w:val="21"/>
              </w:rPr>
              <w:t>,7.68</w:t>
            </w:r>
            <w:r>
              <w:rPr>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 w:type="dxa"/>
            <w:vMerge w:val="restart"/>
            <w:tcBorders>
              <w:tl2br w:val="nil"/>
              <w:tr2bl w:val="nil"/>
            </w:tcBorders>
            <w:vAlign w:val="center"/>
          </w:tcPr>
          <w:p>
            <w:pPr>
              <w:jc w:val="center"/>
              <w:rPr>
                <w:szCs w:val="21"/>
              </w:rPr>
            </w:pPr>
            <w:r>
              <w:rPr>
                <w:szCs w:val="21"/>
              </w:rPr>
              <w:t>固体废物</w:t>
            </w:r>
          </w:p>
        </w:tc>
        <w:tc>
          <w:tcPr>
            <w:tcW w:w="2928" w:type="dxa"/>
            <w:gridSpan w:val="2"/>
            <w:tcBorders>
              <w:tl2br w:val="nil"/>
              <w:tr2bl w:val="nil"/>
            </w:tcBorders>
            <w:vAlign w:val="center"/>
          </w:tcPr>
          <w:p>
            <w:pPr>
              <w:jc w:val="center"/>
              <w:rPr>
                <w:spacing w:val="-10"/>
                <w:szCs w:val="21"/>
              </w:rPr>
            </w:pPr>
            <w:r>
              <w:rPr>
                <w:szCs w:val="21"/>
              </w:rPr>
              <w:t>废零部件</w:t>
            </w:r>
          </w:p>
        </w:tc>
        <w:tc>
          <w:tcPr>
            <w:tcW w:w="2251" w:type="dxa"/>
            <w:tcBorders>
              <w:tl2br w:val="nil"/>
              <w:tr2bl w:val="nil"/>
            </w:tcBorders>
            <w:vAlign w:val="center"/>
          </w:tcPr>
          <w:p>
            <w:pPr>
              <w:jc w:val="center"/>
              <w:rPr>
                <w:szCs w:val="21"/>
              </w:rPr>
            </w:pPr>
            <w:r>
              <w:rPr>
                <w:rFonts w:hint="eastAsia"/>
                <w:szCs w:val="21"/>
              </w:rPr>
              <w:t>3.75t/a</w:t>
            </w:r>
          </w:p>
        </w:tc>
        <w:tc>
          <w:tcPr>
            <w:tcW w:w="2314" w:type="dxa"/>
            <w:tcBorders>
              <w:tl2br w:val="nil"/>
              <w:tr2bl w:val="nil"/>
            </w:tcBorders>
            <w:vAlign w:val="center"/>
          </w:tcPr>
          <w:p>
            <w:pPr>
              <w:jc w:val="center"/>
              <w:rPr>
                <w:szCs w:val="21"/>
              </w:rPr>
            </w:pPr>
            <w:r>
              <w:rPr>
                <w:szCs w:val="21"/>
              </w:rPr>
              <w:t>无法再利用的予以外售，进行综合利用；可维修后再利用的，予以返厂维修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pacing w:val="-10"/>
                <w:szCs w:val="21"/>
              </w:rPr>
            </w:pPr>
            <w:r>
              <w:rPr>
                <w:kern w:val="0"/>
                <w:szCs w:val="21"/>
              </w:rPr>
              <w:t>废旧轮胎</w:t>
            </w:r>
          </w:p>
        </w:tc>
        <w:tc>
          <w:tcPr>
            <w:tcW w:w="2251" w:type="dxa"/>
            <w:tcBorders>
              <w:tl2br w:val="nil"/>
              <w:tr2bl w:val="nil"/>
            </w:tcBorders>
            <w:vAlign w:val="center"/>
          </w:tcPr>
          <w:p>
            <w:pPr>
              <w:jc w:val="center"/>
              <w:rPr>
                <w:szCs w:val="21"/>
              </w:rPr>
            </w:pPr>
            <w:r>
              <w:rPr>
                <w:szCs w:val="21"/>
              </w:rPr>
              <w:t>4.0</w:t>
            </w:r>
            <w:r>
              <w:rPr>
                <w:rFonts w:hint="eastAsia"/>
                <w:szCs w:val="21"/>
              </w:rPr>
              <w:t>t/a</w:t>
            </w:r>
          </w:p>
        </w:tc>
        <w:tc>
          <w:tcPr>
            <w:tcW w:w="2314" w:type="dxa"/>
            <w:tcBorders>
              <w:tl2br w:val="nil"/>
              <w:tr2bl w:val="nil"/>
            </w:tcBorders>
            <w:vAlign w:val="center"/>
          </w:tcPr>
          <w:p>
            <w:pPr>
              <w:jc w:val="center"/>
              <w:rPr>
                <w:szCs w:val="21"/>
              </w:rPr>
            </w:pPr>
            <w:r>
              <w:rPr>
                <w:szCs w:val="21"/>
              </w:rPr>
              <w:t>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集尘灰</w:t>
            </w:r>
          </w:p>
        </w:tc>
        <w:tc>
          <w:tcPr>
            <w:tcW w:w="2251" w:type="dxa"/>
            <w:tcBorders>
              <w:tl2br w:val="nil"/>
              <w:tr2bl w:val="nil"/>
            </w:tcBorders>
            <w:vAlign w:val="center"/>
          </w:tcPr>
          <w:p>
            <w:pPr>
              <w:jc w:val="center"/>
              <w:rPr>
                <w:szCs w:val="21"/>
              </w:rPr>
            </w:pPr>
            <w:r>
              <w:rPr>
                <w:szCs w:val="21"/>
              </w:rPr>
              <w:t>0.2</w:t>
            </w:r>
            <w:r>
              <w:rPr>
                <w:rFonts w:hint="eastAsia"/>
                <w:szCs w:val="21"/>
              </w:rPr>
              <w:t>t/a</w:t>
            </w:r>
          </w:p>
        </w:tc>
        <w:tc>
          <w:tcPr>
            <w:tcW w:w="2314" w:type="dxa"/>
            <w:vMerge w:val="restart"/>
            <w:tcBorders>
              <w:tl2br w:val="nil"/>
              <w:tr2bl w:val="nil"/>
            </w:tcBorders>
            <w:vAlign w:val="center"/>
          </w:tcPr>
          <w:p>
            <w:pPr>
              <w:jc w:val="center"/>
              <w:rPr>
                <w:szCs w:val="21"/>
              </w:rPr>
            </w:pPr>
            <w:r>
              <w:rPr>
                <w:szCs w:val="21"/>
              </w:rPr>
              <w:t>收集后交由环卫部门处置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废抹布、废手套</w:t>
            </w:r>
          </w:p>
        </w:tc>
        <w:tc>
          <w:tcPr>
            <w:tcW w:w="225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0.4</w:t>
            </w:r>
            <w:r>
              <w:rPr>
                <w:rFonts w:hint="eastAsia"/>
                <w:szCs w:val="21"/>
              </w:rPr>
              <w:t>t/a</w:t>
            </w:r>
          </w:p>
        </w:tc>
        <w:tc>
          <w:tcPr>
            <w:tcW w:w="2314"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rFonts w:ascii="Times New Roman" w:hAnsi="Times New Roman" w:eastAsia="宋体" w:cs="Times New Roman"/>
                <w:kern w:val="2"/>
                <w:sz w:val="21"/>
                <w:szCs w:val="21"/>
                <w:lang w:val="en-US" w:eastAsia="zh-CN" w:bidi="ar-SA"/>
              </w:rPr>
            </w:pPr>
            <w:r>
              <w:rPr>
                <w:kern w:val="0"/>
                <w:szCs w:val="21"/>
              </w:rPr>
              <w:t>废三元催化器</w:t>
            </w:r>
          </w:p>
        </w:tc>
        <w:tc>
          <w:tcPr>
            <w:tcW w:w="2251"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0.0</w:t>
            </w:r>
            <w:r>
              <w:rPr>
                <w:rFonts w:hint="eastAsia"/>
                <w:szCs w:val="21"/>
              </w:rPr>
              <w:t>6t/a</w:t>
            </w:r>
          </w:p>
        </w:tc>
        <w:tc>
          <w:tcPr>
            <w:tcW w:w="2314"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szCs w:val="21"/>
              </w:rPr>
            </w:pPr>
            <w:r>
              <w:rPr>
                <w:szCs w:val="21"/>
              </w:rPr>
              <w:t>废机油、废刹车油</w:t>
            </w:r>
          </w:p>
        </w:tc>
        <w:tc>
          <w:tcPr>
            <w:tcW w:w="2251" w:type="dxa"/>
            <w:tcBorders>
              <w:tl2br w:val="nil"/>
              <w:tr2bl w:val="nil"/>
            </w:tcBorders>
            <w:vAlign w:val="center"/>
          </w:tcPr>
          <w:p>
            <w:pPr>
              <w:jc w:val="center"/>
              <w:rPr>
                <w:szCs w:val="21"/>
              </w:rPr>
            </w:pPr>
            <w:r>
              <w:rPr>
                <w:szCs w:val="21"/>
              </w:rPr>
              <w:t>7</w:t>
            </w:r>
            <w:r>
              <w:rPr>
                <w:rFonts w:hint="eastAsia"/>
                <w:szCs w:val="21"/>
              </w:rPr>
              <w:t>t/a</w:t>
            </w:r>
          </w:p>
        </w:tc>
        <w:tc>
          <w:tcPr>
            <w:tcW w:w="2314" w:type="dxa"/>
            <w:tcBorders>
              <w:tl2br w:val="nil"/>
              <w:tr2bl w:val="nil"/>
            </w:tcBorders>
            <w:vAlign w:val="center"/>
          </w:tcPr>
          <w:p>
            <w:pPr>
              <w:jc w:val="center"/>
              <w:rPr>
                <w:szCs w:val="21"/>
              </w:rPr>
            </w:pPr>
            <w:r>
              <w:rPr>
                <w:szCs w:val="21"/>
              </w:rPr>
              <w:t>危废暂存间+资质单位无害化处置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szCs w:val="21"/>
              </w:rPr>
            </w:pPr>
            <w:r>
              <w:rPr>
                <w:szCs w:val="21"/>
              </w:rPr>
              <w:t>废蓄电池</w:t>
            </w:r>
          </w:p>
        </w:tc>
        <w:tc>
          <w:tcPr>
            <w:tcW w:w="2251" w:type="dxa"/>
            <w:tcBorders>
              <w:tl2br w:val="nil"/>
              <w:tr2bl w:val="nil"/>
            </w:tcBorders>
            <w:vAlign w:val="center"/>
          </w:tcPr>
          <w:p>
            <w:pPr>
              <w:jc w:val="center"/>
              <w:rPr>
                <w:szCs w:val="21"/>
              </w:rPr>
            </w:pPr>
            <w:r>
              <w:rPr>
                <w:szCs w:val="21"/>
              </w:rPr>
              <w:t>1.0</w:t>
            </w:r>
            <w:r>
              <w:rPr>
                <w:rFonts w:hint="eastAsia"/>
                <w:szCs w:val="21"/>
              </w:rPr>
              <w:t>t/a</w:t>
            </w:r>
          </w:p>
        </w:tc>
        <w:tc>
          <w:tcPr>
            <w:tcW w:w="2314" w:type="dxa"/>
            <w:tcBorders>
              <w:tl2br w:val="nil"/>
              <w:tr2bl w:val="nil"/>
            </w:tcBorders>
            <w:vAlign w:val="center"/>
          </w:tcPr>
          <w:p>
            <w:pPr>
              <w:jc w:val="center"/>
              <w:rPr>
                <w:szCs w:val="21"/>
              </w:rPr>
            </w:pPr>
            <w:r>
              <w:rPr>
                <w:szCs w:val="21"/>
              </w:rPr>
              <w:t>危废暂存间+返厂综合利用或维修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废防冻液</w:t>
            </w:r>
          </w:p>
        </w:tc>
        <w:tc>
          <w:tcPr>
            <w:tcW w:w="2251" w:type="dxa"/>
            <w:tcBorders>
              <w:tl2br w:val="nil"/>
              <w:tr2bl w:val="nil"/>
            </w:tcBorders>
            <w:vAlign w:val="center"/>
          </w:tcPr>
          <w:p>
            <w:pPr>
              <w:jc w:val="center"/>
              <w:rPr>
                <w:szCs w:val="21"/>
              </w:rPr>
            </w:pPr>
            <w:r>
              <w:rPr>
                <w:rFonts w:hint="eastAsia"/>
                <w:szCs w:val="21"/>
              </w:rPr>
              <w:t>0.75t/a</w:t>
            </w:r>
          </w:p>
        </w:tc>
        <w:tc>
          <w:tcPr>
            <w:tcW w:w="2314" w:type="dxa"/>
            <w:vMerge w:val="restart"/>
            <w:tcBorders>
              <w:tl2br w:val="nil"/>
              <w:tr2bl w:val="nil"/>
            </w:tcBorders>
            <w:vAlign w:val="center"/>
          </w:tcPr>
          <w:p>
            <w:pPr>
              <w:jc w:val="center"/>
              <w:rPr>
                <w:szCs w:val="21"/>
              </w:rPr>
            </w:pPr>
            <w:r>
              <w:rPr>
                <w:szCs w:val="21"/>
              </w:rPr>
              <w:t>危废暂存间+资质单位无害化处置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szCs w:val="21"/>
              </w:rPr>
            </w:pPr>
            <w:r>
              <w:rPr>
                <w:szCs w:val="21"/>
              </w:rPr>
              <w:t>废过滤棉与废活性炭</w:t>
            </w:r>
          </w:p>
        </w:tc>
        <w:tc>
          <w:tcPr>
            <w:tcW w:w="2251" w:type="dxa"/>
            <w:tcBorders>
              <w:tl2br w:val="nil"/>
              <w:tr2bl w:val="nil"/>
            </w:tcBorders>
            <w:vAlign w:val="center"/>
          </w:tcPr>
          <w:p>
            <w:pPr>
              <w:jc w:val="center"/>
              <w:rPr>
                <w:szCs w:val="21"/>
              </w:rPr>
            </w:pPr>
            <w:r>
              <w:rPr>
                <w:rFonts w:hint="eastAsia"/>
                <w:szCs w:val="21"/>
              </w:rPr>
              <w:t>4.066t/a</w:t>
            </w:r>
          </w:p>
        </w:tc>
        <w:tc>
          <w:tcPr>
            <w:tcW w:w="2314"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szCs w:val="21"/>
              </w:rPr>
            </w:pPr>
            <w:r>
              <w:rPr>
                <w:szCs w:val="21"/>
              </w:rPr>
              <w:t>废UV灯管</w:t>
            </w:r>
          </w:p>
        </w:tc>
        <w:tc>
          <w:tcPr>
            <w:tcW w:w="2251" w:type="dxa"/>
            <w:tcBorders>
              <w:tl2br w:val="nil"/>
              <w:tr2bl w:val="nil"/>
            </w:tcBorders>
            <w:vAlign w:val="center"/>
          </w:tcPr>
          <w:p>
            <w:pPr>
              <w:jc w:val="center"/>
              <w:rPr>
                <w:szCs w:val="21"/>
              </w:rPr>
            </w:pPr>
            <w:r>
              <w:rPr>
                <w:rFonts w:hint="eastAsia"/>
                <w:szCs w:val="21"/>
              </w:rPr>
              <w:t>12根/年</w:t>
            </w:r>
          </w:p>
        </w:tc>
        <w:tc>
          <w:tcPr>
            <w:tcW w:w="2314"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szCs w:val="21"/>
              </w:rPr>
            </w:pPr>
            <w:r>
              <w:rPr>
                <w:szCs w:val="21"/>
              </w:rPr>
              <w:t>废油漆桶（含废稀释剂桶）</w:t>
            </w:r>
          </w:p>
        </w:tc>
        <w:tc>
          <w:tcPr>
            <w:tcW w:w="2251" w:type="dxa"/>
            <w:tcBorders>
              <w:tl2br w:val="nil"/>
              <w:tr2bl w:val="nil"/>
            </w:tcBorders>
            <w:vAlign w:val="center"/>
          </w:tcPr>
          <w:p>
            <w:pPr>
              <w:jc w:val="center"/>
              <w:rPr>
                <w:szCs w:val="21"/>
              </w:rPr>
            </w:pPr>
            <w:r>
              <w:rPr>
                <w:szCs w:val="21"/>
              </w:rPr>
              <w:t>0.0</w:t>
            </w:r>
            <w:r>
              <w:rPr>
                <w:rFonts w:hint="eastAsia"/>
                <w:szCs w:val="21"/>
              </w:rPr>
              <w:t>3t/a</w:t>
            </w:r>
          </w:p>
        </w:tc>
        <w:tc>
          <w:tcPr>
            <w:tcW w:w="2314" w:type="dxa"/>
            <w:tcBorders>
              <w:tl2br w:val="nil"/>
              <w:tr2bl w:val="nil"/>
            </w:tcBorders>
            <w:vAlign w:val="center"/>
          </w:tcPr>
          <w:p>
            <w:pPr>
              <w:jc w:val="center"/>
              <w:rPr>
                <w:szCs w:val="21"/>
              </w:rPr>
            </w:pPr>
            <w:r>
              <w:rPr>
                <w:szCs w:val="21"/>
              </w:rPr>
              <w:t>危废暂存间+</w:t>
            </w:r>
            <w:r>
              <w:rPr>
                <w:bCs/>
                <w:szCs w:val="21"/>
              </w:rPr>
              <w:t>由具有资质的单位直接进行收集、转运和处置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jc w:val="center"/>
              <w:rPr>
                <w:szCs w:val="21"/>
              </w:rPr>
            </w:pPr>
            <w:r>
              <w:rPr>
                <w:szCs w:val="21"/>
              </w:rPr>
              <w:t>废漆渣</w:t>
            </w:r>
          </w:p>
        </w:tc>
        <w:tc>
          <w:tcPr>
            <w:tcW w:w="2251" w:type="dxa"/>
            <w:tcBorders>
              <w:tl2br w:val="nil"/>
              <w:tr2bl w:val="nil"/>
            </w:tcBorders>
            <w:vAlign w:val="center"/>
          </w:tcPr>
          <w:p>
            <w:pPr>
              <w:jc w:val="center"/>
              <w:rPr>
                <w:szCs w:val="21"/>
              </w:rPr>
            </w:pPr>
            <w:r>
              <w:rPr>
                <w:szCs w:val="21"/>
              </w:rPr>
              <w:t>0.00</w:t>
            </w:r>
            <w:r>
              <w:rPr>
                <w:rFonts w:hint="eastAsia"/>
                <w:szCs w:val="21"/>
              </w:rPr>
              <w:t>12t/a</w:t>
            </w:r>
          </w:p>
        </w:tc>
        <w:tc>
          <w:tcPr>
            <w:tcW w:w="2314" w:type="dxa"/>
            <w:tcBorders>
              <w:tl2br w:val="nil"/>
              <w:tr2bl w:val="nil"/>
            </w:tcBorders>
            <w:vAlign w:val="center"/>
          </w:tcPr>
          <w:p>
            <w:pPr>
              <w:jc w:val="center"/>
              <w:rPr>
                <w:szCs w:val="21"/>
              </w:rPr>
            </w:pPr>
            <w:r>
              <w:rPr>
                <w:szCs w:val="21"/>
              </w:rPr>
              <w:t>危废暂存间+资质单位无害化处置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生活垃圾</w:t>
            </w:r>
          </w:p>
        </w:tc>
        <w:tc>
          <w:tcPr>
            <w:tcW w:w="2251" w:type="dxa"/>
            <w:tcBorders>
              <w:tl2br w:val="nil"/>
              <w:tr2bl w:val="nil"/>
            </w:tcBorders>
            <w:vAlign w:val="center"/>
          </w:tcPr>
          <w:p>
            <w:pPr>
              <w:jc w:val="center"/>
              <w:rPr>
                <w:szCs w:val="21"/>
              </w:rPr>
            </w:pPr>
            <w:r>
              <w:rPr>
                <w:szCs w:val="21"/>
              </w:rPr>
              <w:t>9</w:t>
            </w:r>
            <w:r>
              <w:rPr>
                <w:rFonts w:hint="eastAsia"/>
                <w:szCs w:val="21"/>
              </w:rPr>
              <w:t>t/a</w:t>
            </w:r>
          </w:p>
        </w:tc>
        <w:tc>
          <w:tcPr>
            <w:tcW w:w="2314" w:type="dxa"/>
            <w:tcBorders>
              <w:tl2br w:val="nil"/>
              <w:tr2bl w:val="nil"/>
            </w:tcBorders>
            <w:vAlign w:val="center"/>
          </w:tcPr>
          <w:p>
            <w:pPr>
              <w:jc w:val="center"/>
              <w:rPr>
                <w:szCs w:val="21"/>
              </w:rPr>
            </w:pPr>
            <w:r>
              <w:rPr>
                <w:szCs w:val="21"/>
              </w:rPr>
              <w:t>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隔油池废水处理产生的污泥</w:t>
            </w:r>
          </w:p>
        </w:tc>
        <w:tc>
          <w:tcPr>
            <w:tcW w:w="2251" w:type="dxa"/>
            <w:tcBorders>
              <w:tl2br w:val="nil"/>
              <w:tr2bl w:val="nil"/>
            </w:tcBorders>
            <w:vAlign w:val="center"/>
          </w:tcPr>
          <w:p>
            <w:pPr>
              <w:jc w:val="center"/>
              <w:rPr>
                <w:szCs w:val="21"/>
              </w:rPr>
            </w:pPr>
            <w:r>
              <w:rPr>
                <w:szCs w:val="21"/>
              </w:rPr>
              <w:t>0.</w:t>
            </w:r>
            <w:r>
              <w:rPr>
                <w:rFonts w:hint="eastAsia"/>
                <w:szCs w:val="21"/>
              </w:rPr>
              <w:t>0015</w:t>
            </w:r>
            <w:r>
              <w:rPr>
                <w:szCs w:val="21"/>
              </w:rPr>
              <w:t>（含水率90%）</w:t>
            </w:r>
          </w:p>
        </w:tc>
        <w:tc>
          <w:tcPr>
            <w:tcW w:w="2314" w:type="dxa"/>
            <w:vMerge w:val="restart"/>
            <w:tcBorders>
              <w:tl2br w:val="nil"/>
              <w:tr2bl w:val="nil"/>
            </w:tcBorders>
            <w:vAlign w:val="center"/>
          </w:tcPr>
          <w:p>
            <w:pPr>
              <w:jc w:val="center"/>
              <w:rPr>
                <w:szCs w:val="21"/>
              </w:rPr>
            </w:pPr>
            <w:r>
              <w:rPr>
                <w:bCs/>
                <w:szCs w:val="21"/>
              </w:rPr>
              <w:t>由具有资质的单位直接进行收集、转运和处置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隔油池废水处理产生的废油</w:t>
            </w:r>
          </w:p>
        </w:tc>
        <w:tc>
          <w:tcPr>
            <w:tcW w:w="2251" w:type="dxa"/>
            <w:tcBorders>
              <w:tl2br w:val="nil"/>
              <w:tr2bl w:val="nil"/>
            </w:tcBorders>
            <w:vAlign w:val="center"/>
          </w:tcPr>
          <w:p>
            <w:pPr>
              <w:jc w:val="center"/>
              <w:rPr>
                <w:szCs w:val="21"/>
              </w:rPr>
            </w:pPr>
            <w:r>
              <w:rPr>
                <w:szCs w:val="21"/>
              </w:rPr>
              <w:t>0.001</w:t>
            </w:r>
            <w:r>
              <w:rPr>
                <w:rFonts w:hint="eastAsia"/>
                <w:szCs w:val="21"/>
              </w:rPr>
              <w:t>5</w:t>
            </w:r>
          </w:p>
        </w:tc>
        <w:tc>
          <w:tcPr>
            <w:tcW w:w="2314"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废机油瓶</w:t>
            </w:r>
          </w:p>
        </w:tc>
        <w:tc>
          <w:tcPr>
            <w:tcW w:w="2251" w:type="dxa"/>
            <w:tcBorders>
              <w:tl2br w:val="nil"/>
              <w:tr2bl w:val="nil"/>
            </w:tcBorders>
            <w:vAlign w:val="center"/>
          </w:tcPr>
          <w:p>
            <w:pPr>
              <w:jc w:val="center"/>
              <w:rPr>
                <w:szCs w:val="21"/>
              </w:rPr>
            </w:pPr>
            <w:r>
              <w:rPr>
                <w:szCs w:val="21"/>
              </w:rPr>
              <w:t>0.0</w:t>
            </w:r>
            <w:r>
              <w:rPr>
                <w:rFonts w:hint="eastAsia"/>
                <w:szCs w:val="21"/>
              </w:rPr>
              <w:t>6t/a</w:t>
            </w:r>
          </w:p>
        </w:tc>
        <w:tc>
          <w:tcPr>
            <w:tcW w:w="2314" w:type="dxa"/>
            <w:tcBorders>
              <w:tl2br w:val="nil"/>
              <w:tr2bl w:val="nil"/>
            </w:tcBorders>
            <w:vAlign w:val="center"/>
          </w:tcPr>
          <w:p>
            <w:pPr>
              <w:jc w:val="center"/>
              <w:rPr>
                <w:szCs w:val="21"/>
              </w:rPr>
            </w:pPr>
            <w:r>
              <w:rPr>
                <w:szCs w:val="21"/>
              </w:rPr>
              <w:t>危废暂存间+</w:t>
            </w:r>
            <w:r>
              <w:rPr>
                <w:bCs/>
                <w:szCs w:val="21"/>
              </w:rPr>
              <w:t>由具有资质的单位直接进行收集、转运和处置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废机油滤芯</w:t>
            </w:r>
          </w:p>
        </w:tc>
        <w:tc>
          <w:tcPr>
            <w:tcW w:w="2251" w:type="dxa"/>
            <w:tcBorders>
              <w:tl2br w:val="nil"/>
              <w:tr2bl w:val="nil"/>
            </w:tcBorders>
            <w:vAlign w:val="center"/>
          </w:tcPr>
          <w:p>
            <w:pPr>
              <w:jc w:val="center"/>
              <w:rPr>
                <w:szCs w:val="21"/>
              </w:rPr>
            </w:pPr>
            <w:r>
              <w:rPr>
                <w:szCs w:val="21"/>
              </w:rPr>
              <w:t>1.04</w:t>
            </w:r>
            <w:r>
              <w:rPr>
                <w:rFonts w:hint="eastAsia"/>
                <w:szCs w:val="21"/>
              </w:rPr>
              <w:t>t/a</w:t>
            </w:r>
          </w:p>
        </w:tc>
        <w:tc>
          <w:tcPr>
            <w:tcW w:w="2314" w:type="dxa"/>
            <w:vMerge w:val="restart"/>
            <w:tcBorders>
              <w:tl2br w:val="nil"/>
              <w:tr2bl w:val="nil"/>
            </w:tcBorders>
            <w:vAlign w:val="center"/>
          </w:tcPr>
          <w:p>
            <w:pPr>
              <w:jc w:val="center"/>
              <w:rPr>
                <w:szCs w:val="21"/>
              </w:rPr>
            </w:pPr>
            <w:r>
              <w:rPr>
                <w:szCs w:val="21"/>
              </w:rPr>
              <w:t>危废暂存间+资质单位无害化处置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2" w:type="dxa"/>
            <w:vMerge w:val="continue"/>
            <w:tcBorders>
              <w:tl2br w:val="nil"/>
              <w:tr2bl w:val="nil"/>
            </w:tcBorders>
            <w:vAlign w:val="center"/>
          </w:tcPr>
          <w:p>
            <w:pPr>
              <w:jc w:val="center"/>
              <w:rPr>
                <w:szCs w:val="21"/>
              </w:rPr>
            </w:pPr>
          </w:p>
        </w:tc>
        <w:tc>
          <w:tcPr>
            <w:tcW w:w="2928" w:type="dxa"/>
            <w:gridSpan w:val="2"/>
            <w:tcBorders>
              <w:tl2br w:val="nil"/>
              <w:tr2bl w:val="nil"/>
            </w:tcBorders>
            <w:vAlign w:val="center"/>
          </w:tcPr>
          <w:p>
            <w:pPr>
              <w:autoSpaceDE w:val="0"/>
              <w:autoSpaceDN w:val="0"/>
              <w:adjustRightInd w:val="0"/>
              <w:jc w:val="center"/>
              <w:rPr>
                <w:szCs w:val="21"/>
              </w:rPr>
            </w:pPr>
            <w:r>
              <w:rPr>
                <w:kern w:val="0"/>
                <w:szCs w:val="21"/>
              </w:rPr>
              <w:t>废专业擦拭纸（遮蔽纸）</w:t>
            </w:r>
          </w:p>
        </w:tc>
        <w:tc>
          <w:tcPr>
            <w:tcW w:w="2251" w:type="dxa"/>
            <w:tcBorders>
              <w:tl2br w:val="nil"/>
              <w:tr2bl w:val="nil"/>
            </w:tcBorders>
            <w:vAlign w:val="center"/>
          </w:tcPr>
          <w:p>
            <w:pPr>
              <w:jc w:val="center"/>
              <w:rPr>
                <w:szCs w:val="21"/>
              </w:rPr>
            </w:pPr>
            <w:r>
              <w:rPr>
                <w:szCs w:val="21"/>
              </w:rPr>
              <w:t>0.048</w:t>
            </w:r>
            <w:r>
              <w:rPr>
                <w:rFonts w:hint="eastAsia"/>
                <w:szCs w:val="21"/>
              </w:rPr>
              <w:t>t/a</w:t>
            </w:r>
          </w:p>
        </w:tc>
        <w:tc>
          <w:tcPr>
            <w:tcW w:w="2314"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2" w:type="dxa"/>
            <w:tcBorders>
              <w:tl2br w:val="nil"/>
              <w:tr2bl w:val="nil"/>
            </w:tcBorders>
            <w:vAlign w:val="center"/>
          </w:tcPr>
          <w:p>
            <w:pPr>
              <w:jc w:val="center"/>
              <w:rPr>
                <w:szCs w:val="21"/>
              </w:rPr>
            </w:pPr>
            <w:r>
              <w:rPr>
                <w:szCs w:val="21"/>
              </w:rPr>
              <w:t>噪声</w:t>
            </w:r>
          </w:p>
        </w:tc>
        <w:tc>
          <w:tcPr>
            <w:tcW w:w="7493" w:type="dxa"/>
            <w:gridSpan w:val="4"/>
            <w:tcBorders>
              <w:tl2br w:val="nil"/>
              <w:tr2bl w:val="nil"/>
            </w:tcBorders>
            <w:vAlign w:val="center"/>
          </w:tcPr>
          <w:p>
            <w:pPr>
              <w:pStyle w:val="42"/>
              <w:adjustRightInd w:val="0"/>
              <w:snapToGrid w:val="0"/>
              <w:spacing w:line="240" w:lineRule="auto"/>
              <w:ind w:firstLine="0" w:firstLineChars="0"/>
              <w:jc w:val="center"/>
              <w:rPr>
                <w:sz w:val="21"/>
                <w:szCs w:val="21"/>
              </w:rPr>
            </w:pPr>
            <w:r>
              <w:rPr>
                <w:sz w:val="21"/>
                <w:szCs w:val="21"/>
              </w:rPr>
              <w:t>烤漆房、维修等设备噪声75～85dB(A)，车辆运行噪声（单台车）70dB(A)。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525" w:type="dxa"/>
            <w:gridSpan w:val="5"/>
            <w:tcBorders>
              <w:tl2br w:val="nil"/>
              <w:tr2bl w:val="nil"/>
            </w:tcBorders>
            <w:vAlign w:val="center"/>
          </w:tcPr>
          <w:p>
            <w:pPr>
              <w:spacing w:line="360" w:lineRule="auto"/>
              <w:jc w:val="left"/>
              <w:rPr>
                <w:sz w:val="24"/>
                <w:szCs w:val="24"/>
              </w:rPr>
            </w:pPr>
            <w:r>
              <w:rPr>
                <w:sz w:val="24"/>
                <w:szCs w:val="24"/>
              </w:rPr>
              <w:t>主要生态影响（不够时可附另页）</w:t>
            </w:r>
          </w:p>
          <w:p>
            <w:pPr>
              <w:spacing w:line="360" w:lineRule="auto"/>
              <w:ind w:firstLine="480" w:firstLineChars="200"/>
              <w:jc w:val="left"/>
              <w:rPr>
                <w:sz w:val="24"/>
                <w:szCs w:val="24"/>
              </w:rPr>
            </w:pPr>
            <w:r>
              <w:rPr>
                <w:sz w:val="24"/>
                <w:szCs w:val="24"/>
              </w:rPr>
              <w:t>项目产生的少量焊接烟尘、汽车尾气和</w:t>
            </w:r>
            <w:r>
              <w:rPr>
                <w:rFonts w:hint="eastAsia"/>
                <w:sz w:val="24"/>
                <w:szCs w:val="24"/>
              </w:rPr>
              <w:t>喷烤漆等</w:t>
            </w:r>
            <w:r>
              <w:rPr>
                <w:sz w:val="24"/>
                <w:szCs w:val="24"/>
              </w:rPr>
              <w:t>废气，对外环境影响较小；生活污水</w:t>
            </w:r>
            <w:r>
              <w:rPr>
                <w:rFonts w:hint="eastAsia"/>
                <w:sz w:val="24"/>
                <w:szCs w:val="24"/>
              </w:rPr>
              <w:t>、地面清洁和汽车清洗</w:t>
            </w:r>
            <w:r>
              <w:rPr>
                <w:sz w:val="24"/>
                <w:szCs w:val="24"/>
              </w:rPr>
              <w:t>废水经处理后，对水生生态影响很小；生活垃圾和修理过程产生的固废经妥善处理及安置，对生态环境影响微小；营运期噪声</w:t>
            </w:r>
            <w:r>
              <w:rPr>
                <w:rFonts w:hint="eastAsia"/>
                <w:sz w:val="24"/>
                <w:szCs w:val="24"/>
              </w:rPr>
              <w:t>采取隔声、减震以及距离衰减等，</w:t>
            </w:r>
            <w:r>
              <w:rPr>
                <w:sz w:val="24"/>
                <w:szCs w:val="24"/>
              </w:rPr>
              <w:t>对</w:t>
            </w:r>
            <w:r>
              <w:rPr>
                <w:rFonts w:hint="eastAsia"/>
                <w:sz w:val="24"/>
                <w:szCs w:val="24"/>
              </w:rPr>
              <w:t>环境敏感目标</w:t>
            </w:r>
            <w:r>
              <w:rPr>
                <w:sz w:val="24"/>
                <w:szCs w:val="24"/>
              </w:rPr>
              <w:t>影响不大。</w:t>
            </w:r>
          </w:p>
          <w:p>
            <w:pPr>
              <w:spacing w:line="360" w:lineRule="auto"/>
              <w:ind w:firstLine="480" w:firstLineChars="200"/>
              <w:jc w:val="left"/>
              <w:rPr>
                <w:sz w:val="24"/>
                <w:szCs w:val="24"/>
              </w:rPr>
            </w:pPr>
            <w:r>
              <w:rPr>
                <w:sz w:val="24"/>
                <w:szCs w:val="24"/>
              </w:rPr>
              <w:t>综上，项目营运期污染物均得到有效处理和处置，对生态环境影响不大。</w:t>
            </w:r>
          </w:p>
          <w:p>
            <w:pPr>
              <w:ind w:firstLine="420" w:firstLineChars="200"/>
              <w:jc w:val="center"/>
              <w:rPr>
                <w:szCs w:val="21"/>
              </w:rPr>
            </w:pPr>
          </w:p>
          <w:p>
            <w:pPr>
              <w:jc w:val="center"/>
              <w:rPr>
                <w:szCs w:val="21"/>
              </w:rPr>
            </w:pPr>
          </w:p>
          <w:p>
            <w:pPr>
              <w:pStyle w:val="26"/>
              <w:jc w:val="center"/>
              <w:rPr>
                <w:rFonts w:ascii="Times New Roman" w:hAnsi="Times New Roman" w:eastAsia="宋体" w:cs="Times New Roman"/>
                <w:color w:val="auto"/>
                <w:sz w:val="21"/>
                <w:szCs w:val="21"/>
              </w:rPr>
            </w:pPr>
          </w:p>
          <w:p>
            <w:pPr>
              <w:pStyle w:val="14"/>
            </w:pPr>
          </w:p>
          <w:p/>
          <w:p/>
          <w:p>
            <w:pPr>
              <w:pStyle w:val="14"/>
              <w:spacing w:line="240" w:lineRule="auto"/>
              <w:jc w:val="both"/>
              <w:rPr>
                <w:szCs w:val="21"/>
              </w:rPr>
            </w:pPr>
          </w:p>
        </w:tc>
      </w:tr>
    </w:tbl>
    <w:p/>
    <w:p>
      <w:pPr>
        <w:adjustRightInd w:val="0"/>
        <w:snapToGrid w:val="0"/>
        <w:outlineLvl w:val="0"/>
        <w:rPr>
          <w:b/>
          <w:sz w:val="32"/>
          <w:szCs w:val="32"/>
        </w:rPr>
      </w:pPr>
      <w:bookmarkStart w:id="72" w:name="_Toc22662"/>
      <w:r>
        <w:rPr>
          <w:b/>
          <w:sz w:val="32"/>
          <w:szCs w:val="32"/>
        </w:rPr>
        <w:t>七、环境影响分析</w:t>
      </w:r>
      <w:bookmarkEnd w:id="72"/>
    </w:p>
    <w:tbl>
      <w:tblPr>
        <w:tblStyle w:val="20"/>
        <w:tblW w:w="852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51" w:hRule="atLeast"/>
          <w:jc w:val="center"/>
        </w:trPr>
        <w:tc>
          <w:tcPr>
            <w:tcW w:w="8528" w:type="dxa"/>
          </w:tcPr>
          <w:p>
            <w:pPr>
              <w:snapToGrid w:val="0"/>
              <w:spacing w:line="360" w:lineRule="auto"/>
              <w:rPr>
                <w:b/>
                <w:sz w:val="24"/>
              </w:rPr>
            </w:pPr>
            <w:r>
              <w:rPr>
                <w:b/>
                <w:sz w:val="24"/>
              </w:rPr>
              <w:t>施工期环境影响分析：</w:t>
            </w:r>
          </w:p>
          <w:p>
            <w:pPr>
              <w:pStyle w:val="45"/>
              <w:ind w:firstLine="360" w:firstLineChars="150"/>
              <w:rPr>
                <w:rFonts w:ascii="Times New Roman"/>
              </w:rPr>
            </w:pPr>
            <w:r>
              <w:rPr>
                <w:rFonts w:ascii="Times New Roman"/>
                <w:szCs w:val="22"/>
              </w:rPr>
              <w:t>本项目属于新建项目，所用厂房为租赁已建厂房，已完成相关土建工程</w:t>
            </w:r>
            <w:r>
              <w:rPr>
                <w:rFonts w:ascii="Times New Roman"/>
                <w:bCs/>
              </w:rPr>
              <w:t>，不存在土建和结构施工过程，本次评价不对施工期开展分析</w:t>
            </w:r>
            <w:r>
              <w:rPr>
                <w:rFonts w:ascii="Times New Roman"/>
              </w:rPr>
              <w:t>。</w:t>
            </w:r>
          </w:p>
          <w:p>
            <w:pPr>
              <w:snapToGrid w:val="0"/>
              <w:spacing w:line="360" w:lineRule="auto"/>
              <w:rPr>
                <w:b/>
                <w:sz w:val="24"/>
              </w:rPr>
            </w:pPr>
            <w:r>
              <w:rPr>
                <w:b/>
                <w:sz w:val="24"/>
              </w:rPr>
              <w:t>营运期环境影响分析</w:t>
            </w:r>
          </w:p>
          <w:p>
            <w:pPr>
              <w:snapToGrid w:val="0"/>
              <w:spacing w:line="360" w:lineRule="auto"/>
              <w:rPr>
                <w:b/>
                <w:sz w:val="24"/>
                <w:szCs w:val="24"/>
              </w:rPr>
            </w:pPr>
            <w:r>
              <w:rPr>
                <w:b/>
                <w:sz w:val="24"/>
                <w:szCs w:val="24"/>
              </w:rPr>
              <w:t>一、空气环境影响分析</w:t>
            </w:r>
          </w:p>
          <w:p>
            <w:pPr>
              <w:spacing w:line="360" w:lineRule="auto"/>
              <w:ind w:firstLine="480" w:firstLineChars="200"/>
              <w:rPr>
                <w:sz w:val="24"/>
                <w:szCs w:val="24"/>
              </w:rPr>
            </w:pPr>
            <w:r>
              <w:rPr>
                <w:sz w:val="24"/>
              </w:rPr>
              <w:t>（1）汽车尾气</w:t>
            </w:r>
          </w:p>
          <w:p>
            <w:pPr>
              <w:spacing w:line="360" w:lineRule="auto"/>
              <w:ind w:firstLine="480" w:firstLineChars="200"/>
              <w:rPr>
                <w:sz w:val="24"/>
              </w:rPr>
            </w:pPr>
            <w:r>
              <w:rPr>
                <w:sz w:val="24"/>
              </w:rPr>
              <w:t>项目营运过程纯属商业行为，本身无汽车废气产生。汽车尾气主要是汽车进出厂房及进行试车时，汽车在怠速及慢速状态下的尾气排放，包括排气管尾气、曲轴箱漏气及油箱和化油箱等燃料系统的泄露等。汽车废气中的主要污染因子为CO、THC、NO</w:t>
            </w:r>
            <w:r>
              <w:rPr>
                <w:sz w:val="24"/>
                <w:vertAlign w:val="subscript"/>
              </w:rPr>
              <w:t>X</w:t>
            </w:r>
            <w:r>
              <w:rPr>
                <w:sz w:val="24"/>
              </w:rPr>
              <w:t>等。汽车尾气以无组织形式排放。</w:t>
            </w:r>
          </w:p>
          <w:p>
            <w:pPr>
              <w:spacing w:line="360" w:lineRule="auto"/>
              <w:ind w:firstLine="480" w:firstLineChars="200"/>
              <w:rPr>
                <w:sz w:val="24"/>
                <w:szCs w:val="24"/>
              </w:rPr>
            </w:pPr>
            <w:r>
              <w:rPr>
                <w:rFonts w:hint="eastAsia"/>
                <w:sz w:val="24"/>
              </w:rPr>
              <w:t>根据现状勘查</w:t>
            </w:r>
            <w:r>
              <w:rPr>
                <w:sz w:val="24"/>
                <w:szCs w:val="24"/>
              </w:rPr>
              <w:t>项目场内行驶距离较短，通风条件极好，汽车尾气扩散条件较好，汽车尾气对环境空气的影响较小</w:t>
            </w:r>
            <w:r>
              <w:rPr>
                <w:sz w:val="24"/>
              </w:rPr>
              <w:t>。</w:t>
            </w:r>
          </w:p>
          <w:p>
            <w:pPr>
              <w:spacing w:line="360" w:lineRule="auto"/>
              <w:ind w:firstLine="480" w:firstLineChars="200"/>
              <w:rPr>
                <w:sz w:val="24"/>
                <w:szCs w:val="24"/>
              </w:rPr>
            </w:pPr>
            <w:r>
              <w:rPr>
                <w:sz w:val="24"/>
              </w:rPr>
              <w:t>（2）</w:t>
            </w:r>
            <w:r>
              <w:rPr>
                <w:rFonts w:hint="eastAsia"/>
                <w:kern w:val="0"/>
                <w:sz w:val="24"/>
              </w:rPr>
              <w:t>焊接烟尘、</w:t>
            </w:r>
            <w:r>
              <w:rPr>
                <w:kern w:val="0"/>
                <w:sz w:val="24"/>
              </w:rPr>
              <w:t>打磨粉尘</w:t>
            </w:r>
          </w:p>
          <w:p>
            <w:pPr>
              <w:spacing w:line="360" w:lineRule="auto"/>
              <w:ind w:firstLine="480" w:firstLineChars="200"/>
              <w:rPr>
                <w:kern w:val="0"/>
                <w:sz w:val="24"/>
              </w:rPr>
            </w:pPr>
            <w:r>
              <w:rPr>
                <w:rFonts w:hint="eastAsia"/>
                <w:bCs/>
                <w:sz w:val="24"/>
              </w:rPr>
              <w:t>根据现状调查</w:t>
            </w:r>
            <w:r>
              <w:rPr>
                <w:bCs/>
                <w:sz w:val="24"/>
              </w:rPr>
              <w:t>产生的烟尘经厂房阻隔、通风等作用，外排量极小，对环境影响极小</w:t>
            </w:r>
            <w:r>
              <w:rPr>
                <w:rFonts w:hint="eastAsia"/>
                <w:bCs/>
                <w:sz w:val="24"/>
              </w:rPr>
              <w:t>、打磨粉尘采取</w:t>
            </w:r>
            <w:r>
              <w:rPr>
                <w:kern w:val="0"/>
                <w:sz w:val="24"/>
              </w:rPr>
              <w:t>一体化可移动式集尘口在工作界面对其进行收集</w:t>
            </w:r>
            <w:r>
              <w:rPr>
                <w:rFonts w:hint="eastAsia" w:hAnsi="宋体"/>
                <w:sz w:val="24"/>
              </w:rPr>
              <w:t>处理</w:t>
            </w:r>
            <w:r>
              <w:rPr>
                <w:rFonts w:hint="eastAsia"/>
                <w:sz w:val="24"/>
              </w:rPr>
              <w:t>。</w:t>
            </w:r>
            <w:r>
              <w:rPr>
                <w:rFonts w:hint="eastAsia"/>
                <w:snapToGrid w:val="0"/>
                <w:kern w:val="0"/>
                <w:sz w:val="24"/>
              </w:rPr>
              <w:t>本次在企业正常工况下对企业边界进行了无组织废气（颗粒物）现状监测（无组织废气监测结果详见第一章表1-</w:t>
            </w:r>
            <w:r>
              <w:rPr>
                <w:rFonts w:hint="eastAsia"/>
                <w:snapToGrid w:val="0"/>
                <w:kern w:val="0"/>
                <w:sz w:val="24"/>
                <w:lang w:val="en-US" w:eastAsia="zh-CN"/>
              </w:rPr>
              <w:t>7</w:t>
            </w:r>
            <w:r>
              <w:rPr>
                <w:rFonts w:hint="eastAsia"/>
                <w:snapToGrid w:val="0"/>
                <w:kern w:val="0"/>
                <w:sz w:val="24"/>
              </w:rPr>
              <w:t>），</w:t>
            </w:r>
            <w:r>
              <w:rPr>
                <w:rFonts w:hAnsi="宋体"/>
                <w:sz w:val="24"/>
              </w:rPr>
              <w:t>项目厂界无组织废气中颗粒物的浓度最大值为</w:t>
            </w:r>
            <w:r>
              <w:rPr>
                <w:sz w:val="24"/>
              </w:rPr>
              <w:t>0.1</w:t>
            </w:r>
            <w:r>
              <w:rPr>
                <w:rFonts w:hint="eastAsia"/>
                <w:sz w:val="24"/>
              </w:rPr>
              <w:t>67</w:t>
            </w:r>
            <w:r>
              <w:rPr>
                <w:sz w:val="24"/>
              </w:rPr>
              <w:t>mg/m</w:t>
            </w:r>
            <w:r>
              <w:rPr>
                <w:sz w:val="24"/>
                <w:vertAlign w:val="superscript"/>
              </w:rPr>
              <w:t>3</w:t>
            </w:r>
            <w:r>
              <w:rPr>
                <w:rFonts w:hAnsi="宋体"/>
                <w:sz w:val="24"/>
              </w:rPr>
              <w:t>，</w:t>
            </w:r>
            <w:r>
              <w:rPr>
                <w:rFonts w:hint="eastAsia" w:hAnsi="宋体"/>
                <w:sz w:val="24"/>
              </w:rPr>
              <w:t>满足</w:t>
            </w:r>
            <w:r>
              <w:rPr>
                <w:rFonts w:hAnsi="宋体"/>
                <w:sz w:val="24"/>
              </w:rPr>
              <w:t>《大气污染物综合排放标准》（</w:t>
            </w:r>
            <w:r>
              <w:rPr>
                <w:sz w:val="24"/>
              </w:rPr>
              <w:t>GB16297-1996</w:t>
            </w:r>
            <w:r>
              <w:rPr>
                <w:rFonts w:hAnsi="宋体"/>
                <w:sz w:val="24"/>
              </w:rPr>
              <w:t>）表</w:t>
            </w:r>
            <w:r>
              <w:rPr>
                <w:sz w:val="24"/>
              </w:rPr>
              <w:t>2</w:t>
            </w:r>
            <w:r>
              <w:rPr>
                <w:rFonts w:hAnsi="宋体"/>
                <w:sz w:val="24"/>
              </w:rPr>
              <w:t>中的无组织排放监控浓度限值。</w:t>
            </w:r>
            <w:r>
              <w:rPr>
                <w:rFonts w:hint="eastAsia"/>
                <w:sz w:val="24"/>
              </w:rPr>
              <w:t>废气治理措施合理，能够达标排放。</w:t>
            </w:r>
          </w:p>
          <w:p>
            <w:pPr>
              <w:spacing w:line="360" w:lineRule="auto"/>
              <w:ind w:firstLine="480" w:firstLineChars="200"/>
              <w:rPr>
                <w:sz w:val="24"/>
              </w:rPr>
            </w:pPr>
            <w:r>
              <w:rPr>
                <w:sz w:val="24"/>
              </w:rPr>
              <w:t>（</w:t>
            </w:r>
            <w:r>
              <w:rPr>
                <w:rFonts w:hint="eastAsia"/>
                <w:sz w:val="24"/>
              </w:rPr>
              <w:t>3</w:t>
            </w:r>
            <w:r>
              <w:rPr>
                <w:sz w:val="24"/>
              </w:rPr>
              <w:t>）喷烤有机废气</w:t>
            </w:r>
          </w:p>
          <w:p>
            <w:pPr>
              <w:spacing w:line="360" w:lineRule="auto"/>
              <w:ind w:firstLine="480" w:firstLineChars="200"/>
              <w:rPr>
                <w:rFonts w:hint="eastAsia"/>
                <w:sz w:val="24"/>
                <w:szCs w:val="24"/>
              </w:rPr>
            </w:pPr>
            <w:r>
              <w:rPr>
                <w:sz w:val="24"/>
                <w:szCs w:val="24"/>
              </w:rPr>
              <w:t>项目设置的汽车喷漆烤房</w:t>
            </w:r>
            <w:r>
              <w:rPr>
                <w:rFonts w:hint="eastAsia"/>
                <w:sz w:val="24"/>
                <w:szCs w:val="24"/>
              </w:rPr>
              <w:t>均为</w:t>
            </w:r>
            <w:r>
              <w:rPr>
                <w:sz w:val="24"/>
                <w:szCs w:val="24"/>
              </w:rPr>
              <w:t>是整体式全封闭，喷漆作业和烘干作业期间喷漆烤漆房内均保持负压状态，喷漆、烤漆废气首先经底层过滤棉过滤系统过滤后，再进入配套设置的UV光氧催化+</w:t>
            </w:r>
            <w:r>
              <w:rPr>
                <w:bCs/>
                <w:sz w:val="24"/>
                <w:szCs w:val="24"/>
              </w:rPr>
              <w:t>活性炭吸附系统</w:t>
            </w:r>
            <w:r>
              <w:rPr>
                <w:sz w:val="24"/>
                <w:szCs w:val="24"/>
              </w:rPr>
              <w:t>废气处理装置进行处理，废气经处理后废气经15m高排气筒排放（</w:t>
            </w:r>
            <w:r>
              <w:rPr>
                <w:sz w:val="24"/>
                <w:szCs w:val="22"/>
              </w:rPr>
              <w:t>DA001</w:t>
            </w:r>
            <w:r>
              <w:rPr>
                <w:sz w:val="24"/>
                <w:szCs w:val="24"/>
              </w:rPr>
              <w:t>）。</w:t>
            </w:r>
            <w:r>
              <w:rPr>
                <w:rFonts w:hint="eastAsia"/>
                <w:snapToGrid w:val="0"/>
                <w:kern w:val="0"/>
                <w:sz w:val="24"/>
                <w:szCs w:val="24"/>
              </w:rPr>
              <w:t>本次在企业正常工况下对</w:t>
            </w:r>
            <w:r>
              <w:rPr>
                <w:rFonts w:hint="eastAsia"/>
                <w:snapToGrid w:val="0"/>
                <w:kern w:val="0"/>
                <w:sz w:val="24"/>
              </w:rPr>
              <w:t>废气排气筒</w:t>
            </w:r>
            <w:r>
              <w:rPr>
                <w:rFonts w:hint="eastAsia"/>
                <w:snapToGrid w:val="0"/>
                <w:kern w:val="0"/>
                <w:sz w:val="24"/>
                <w:szCs w:val="24"/>
              </w:rPr>
              <w:t>进行了现状监测（</w:t>
            </w:r>
            <w:r>
              <w:rPr>
                <w:rFonts w:hint="eastAsia"/>
                <w:snapToGrid w:val="0"/>
                <w:kern w:val="0"/>
                <w:sz w:val="24"/>
              </w:rPr>
              <w:t>排气筒</w:t>
            </w:r>
            <w:r>
              <w:rPr>
                <w:rFonts w:hint="eastAsia"/>
                <w:snapToGrid w:val="0"/>
                <w:kern w:val="0"/>
                <w:sz w:val="24"/>
                <w:szCs w:val="24"/>
              </w:rPr>
              <w:t>废气监测结果详见第一章表1-</w:t>
            </w:r>
            <w:r>
              <w:rPr>
                <w:rFonts w:hint="eastAsia"/>
                <w:snapToGrid w:val="0"/>
                <w:kern w:val="0"/>
                <w:sz w:val="24"/>
                <w:lang w:val="en-US" w:eastAsia="zh-CN"/>
              </w:rPr>
              <w:t>6</w:t>
            </w:r>
            <w:r>
              <w:rPr>
                <w:rFonts w:hint="eastAsia"/>
                <w:snapToGrid w:val="0"/>
                <w:kern w:val="0"/>
                <w:sz w:val="24"/>
                <w:szCs w:val="24"/>
              </w:rPr>
              <w:t>），</w:t>
            </w:r>
            <w:r>
              <w:rPr>
                <w:rFonts w:hint="eastAsia"/>
                <w:sz w:val="24"/>
                <w:szCs w:val="24"/>
              </w:rPr>
              <w:t>排气筒</w:t>
            </w:r>
            <w:r>
              <w:rPr>
                <w:rFonts w:hint="eastAsia"/>
                <w:sz w:val="24"/>
              </w:rPr>
              <w:t>废气中的</w:t>
            </w:r>
            <w:r>
              <w:rPr>
                <w:rFonts w:hint="eastAsia"/>
                <w:sz w:val="24"/>
                <w:szCs w:val="24"/>
              </w:rPr>
              <w:t>甲苯、对/间二甲苯、邻二甲苯、挥发性有机物、颗粒物最大的排放浓度分别为0.418</w:t>
            </w:r>
            <w:r>
              <w:rPr>
                <w:sz w:val="24"/>
                <w:szCs w:val="24"/>
              </w:rPr>
              <w:t>mg/m</w:t>
            </w:r>
            <w:r>
              <w:rPr>
                <w:sz w:val="24"/>
                <w:szCs w:val="24"/>
                <w:vertAlign w:val="superscript"/>
              </w:rPr>
              <w:t>3</w:t>
            </w:r>
            <w:r>
              <w:rPr>
                <w:rFonts w:hint="eastAsia"/>
                <w:sz w:val="24"/>
                <w:szCs w:val="24"/>
              </w:rPr>
              <w:t>、0.305</w:t>
            </w:r>
            <w:r>
              <w:rPr>
                <w:sz w:val="24"/>
                <w:szCs w:val="24"/>
              </w:rPr>
              <w:t>mg/m</w:t>
            </w:r>
            <w:r>
              <w:rPr>
                <w:sz w:val="24"/>
                <w:szCs w:val="24"/>
                <w:vertAlign w:val="superscript"/>
              </w:rPr>
              <w:t>3</w:t>
            </w:r>
            <w:r>
              <w:rPr>
                <w:rFonts w:hint="eastAsia"/>
                <w:sz w:val="24"/>
                <w:szCs w:val="24"/>
              </w:rPr>
              <w:t>、0.345</w:t>
            </w:r>
            <w:r>
              <w:rPr>
                <w:sz w:val="24"/>
                <w:szCs w:val="24"/>
              </w:rPr>
              <w:t>mg/m</w:t>
            </w:r>
            <w:r>
              <w:rPr>
                <w:sz w:val="24"/>
                <w:szCs w:val="24"/>
                <w:vertAlign w:val="superscript"/>
              </w:rPr>
              <w:t>3</w:t>
            </w:r>
            <w:r>
              <w:rPr>
                <w:rFonts w:hint="eastAsia"/>
                <w:sz w:val="24"/>
                <w:szCs w:val="24"/>
              </w:rPr>
              <w:t>、1.52</w:t>
            </w:r>
            <w:r>
              <w:rPr>
                <w:sz w:val="24"/>
                <w:szCs w:val="24"/>
              </w:rPr>
              <w:t>mg/m</w:t>
            </w:r>
            <w:r>
              <w:rPr>
                <w:sz w:val="24"/>
                <w:szCs w:val="24"/>
                <w:vertAlign w:val="superscript"/>
              </w:rPr>
              <w:t>3</w:t>
            </w:r>
            <w:r>
              <w:rPr>
                <w:rFonts w:hint="eastAsia"/>
                <w:sz w:val="24"/>
                <w:szCs w:val="24"/>
              </w:rPr>
              <w:t>、&lt;20</w:t>
            </w:r>
            <w:r>
              <w:rPr>
                <w:sz w:val="24"/>
                <w:szCs w:val="24"/>
              </w:rPr>
              <w:t>mg/m</w:t>
            </w:r>
            <w:r>
              <w:rPr>
                <w:sz w:val="24"/>
                <w:szCs w:val="24"/>
                <w:vertAlign w:val="superscript"/>
              </w:rPr>
              <w:t>3</w:t>
            </w:r>
            <w:r>
              <w:rPr>
                <w:rFonts w:hint="eastAsia"/>
                <w:sz w:val="24"/>
                <w:szCs w:val="24"/>
              </w:rPr>
              <w:t>，最大排放速率分别为1.06*10</w:t>
            </w:r>
            <w:r>
              <w:rPr>
                <w:rFonts w:hint="eastAsia"/>
                <w:sz w:val="24"/>
                <w:szCs w:val="24"/>
                <w:vertAlign w:val="superscript"/>
              </w:rPr>
              <w:t>-3</w:t>
            </w:r>
            <w:r>
              <w:rPr>
                <w:sz w:val="24"/>
                <w:szCs w:val="24"/>
              </w:rPr>
              <w:t>kg/h</w:t>
            </w:r>
            <w:r>
              <w:rPr>
                <w:rFonts w:hint="eastAsia"/>
                <w:sz w:val="24"/>
                <w:szCs w:val="24"/>
              </w:rPr>
              <w:t>、1.15*10</w:t>
            </w:r>
            <w:r>
              <w:rPr>
                <w:rFonts w:hint="eastAsia"/>
                <w:sz w:val="24"/>
                <w:szCs w:val="24"/>
                <w:vertAlign w:val="superscript"/>
              </w:rPr>
              <w:t>-3</w:t>
            </w:r>
            <w:r>
              <w:rPr>
                <w:sz w:val="24"/>
                <w:szCs w:val="24"/>
              </w:rPr>
              <w:t>kg/h</w:t>
            </w:r>
            <w:r>
              <w:rPr>
                <w:rFonts w:hint="eastAsia"/>
                <w:sz w:val="24"/>
                <w:szCs w:val="24"/>
              </w:rPr>
              <w:t>、1.158*10</w:t>
            </w:r>
            <w:r>
              <w:rPr>
                <w:rFonts w:hint="eastAsia"/>
                <w:sz w:val="24"/>
                <w:szCs w:val="24"/>
                <w:vertAlign w:val="superscript"/>
              </w:rPr>
              <w:t>-3</w:t>
            </w:r>
            <w:r>
              <w:rPr>
                <w:sz w:val="24"/>
                <w:szCs w:val="24"/>
              </w:rPr>
              <w:t>kg/h</w:t>
            </w:r>
            <w:r>
              <w:rPr>
                <w:rFonts w:hint="eastAsia"/>
                <w:sz w:val="24"/>
                <w:szCs w:val="24"/>
              </w:rPr>
              <w:t>、5.08*10</w:t>
            </w:r>
            <w:r>
              <w:rPr>
                <w:rFonts w:hint="eastAsia"/>
                <w:sz w:val="24"/>
                <w:szCs w:val="24"/>
                <w:vertAlign w:val="superscript"/>
              </w:rPr>
              <w:t>-3</w:t>
            </w:r>
            <w:r>
              <w:rPr>
                <w:sz w:val="24"/>
                <w:szCs w:val="24"/>
              </w:rPr>
              <w:t>kg/h</w:t>
            </w:r>
            <w:r>
              <w:rPr>
                <w:rFonts w:hint="eastAsia"/>
                <w:sz w:val="24"/>
                <w:szCs w:val="24"/>
              </w:rPr>
              <w:t>，外排各污染物浓度能够满足</w:t>
            </w:r>
            <w:r>
              <w:rPr>
                <w:sz w:val="24"/>
                <w:szCs w:val="24"/>
              </w:rPr>
              <w:t>《</w:t>
            </w:r>
            <w:r>
              <w:rPr>
                <w:rFonts w:hint="eastAsia"/>
                <w:sz w:val="24"/>
                <w:szCs w:val="24"/>
              </w:rPr>
              <w:t>表面涂装（汽车制造及维修）挥发性有机物、镍排放标准</w:t>
            </w:r>
            <w:r>
              <w:rPr>
                <w:sz w:val="24"/>
                <w:szCs w:val="24"/>
              </w:rPr>
              <w:t>》</w:t>
            </w:r>
            <w:r>
              <w:rPr>
                <w:rFonts w:hint="eastAsia"/>
                <w:sz w:val="24"/>
                <w:szCs w:val="24"/>
              </w:rPr>
              <w:t>（D</w:t>
            </w:r>
            <w:r>
              <w:rPr>
                <w:sz w:val="24"/>
                <w:szCs w:val="24"/>
              </w:rPr>
              <w:t>B</w:t>
            </w:r>
            <w:r>
              <w:rPr>
                <w:rFonts w:hint="eastAsia"/>
                <w:sz w:val="24"/>
                <w:szCs w:val="24"/>
              </w:rPr>
              <w:t>43/1356</w:t>
            </w:r>
            <w:r>
              <w:rPr>
                <w:sz w:val="24"/>
                <w:szCs w:val="24"/>
              </w:rPr>
              <w:t>-</w:t>
            </w:r>
            <w:r>
              <w:rPr>
                <w:rFonts w:hint="eastAsia"/>
                <w:sz w:val="24"/>
                <w:szCs w:val="24"/>
              </w:rPr>
              <w:t>2017）表1（甲苯</w:t>
            </w:r>
            <w:r>
              <w:rPr>
                <w:sz w:val="24"/>
                <w:szCs w:val="24"/>
              </w:rPr>
              <w:t>≤</w:t>
            </w:r>
            <w:r>
              <w:rPr>
                <w:rFonts w:hint="eastAsia"/>
                <w:sz w:val="24"/>
                <w:szCs w:val="24"/>
              </w:rPr>
              <w:t>3</w:t>
            </w:r>
            <w:r>
              <w:rPr>
                <w:sz w:val="24"/>
                <w:szCs w:val="24"/>
              </w:rPr>
              <w:t>mg/m</w:t>
            </w:r>
            <w:r>
              <w:rPr>
                <w:sz w:val="24"/>
                <w:szCs w:val="24"/>
                <w:vertAlign w:val="superscript"/>
              </w:rPr>
              <w:t>3</w:t>
            </w:r>
            <w:r>
              <w:rPr>
                <w:rFonts w:hint="eastAsia"/>
                <w:sz w:val="24"/>
                <w:szCs w:val="24"/>
              </w:rPr>
              <w:t>、苯系物</w:t>
            </w:r>
            <w:r>
              <w:rPr>
                <w:sz w:val="24"/>
                <w:szCs w:val="24"/>
              </w:rPr>
              <w:t>≤</w:t>
            </w:r>
            <w:r>
              <w:rPr>
                <w:rFonts w:hint="eastAsia"/>
                <w:sz w:val="24"/>
                <w:szCs w:val="24"/>
              </w:rPr>
              <w:t>30</w:t>
            </w:r>
            <w:r>
              <w:rPr>
                <w:sz w:val="24"/>
                <w:szCs w:val="24"/>
              </w:rPr>
              <w:t>mg/m</w:t>
            </w:r>
            <w:r>
              <w:rPr>
                <w:sz w:val="24"/>
                <w:szCs w:val="24"/>
                <w:vertAlign w:val="superscript"/>
              </w:rPr>
              <w:t>3</w:t>
            </w:r>
            <w:r>
              <w:rPr>
                <w:rFonts w:hint="eastAsia"/>
                <w:sz w:val="24"/>
                <w:szCs w:val="24"/>
              </w:rPr>
              <w:t>）标准要求，</w:t>
            </w:r>
            <w:r>
              <w:rPr>
                <w:sz w:val="24"/>
                <w:szCs w:val="24"/>
              </w:rPr>
              <w:t>有组织排放的漆雾（颗粒物）执行《大气污染物综合排放标准》（GB16297-1996）表2中排放标准</w:t>
            </w:r>
            <w:r>
              <w:rPr>
                <w:rFonts w:hint="eastAsia"/>
                <w:sz w:val="24"/>
                <w:szCs w:val="24"/>
              </w:rPr>
              <w:t>（120</w:t>
            </w:r>
            <w:r>
              <w:rPr>
                <w:sz w:val="24"/>
                <w:szCs w:val="24"/>
              </w:rPr>
              <w:t>≤mg/m</w:t>
            </w:r>
            <w:r>
              <w:rPr>
                <w:sz w:val="24"/>
                <w:szCs w:val="24"/>
                <w:vertAlign w:val="superscript"/>
              </w:rPr>
              <w:t>3</w:t>
            </w:r>
            <w:r>
              <w:rPr>
                <w:rFonts w:hint="eastAsia"/>
                <w:sz w:val="24"/>
                <w:szCs w:val="24"/>
              </w:rPr>
              <w:t>、3.5kg/h）</w:t>
            </w:r>
            <w:r>
              <w:rPr>
                <w:sz w:val="24"/>
                <w:szCs w:val="24"/>
              </w:rPr>
              <w:t>；有组织排放的VOCs参照执行天津市《工业企业挥发性有机物排放控制标准》（DB12/524-20</w:t>
            </w:r>
            <w:r>
              <w:rPr>
                <w:rFonts w:hint="eastAsia"/>
                <w:sz w:val="24"/>
                <w:szCs w:val="24"/>
              </w:rPr>
              <w:t>20</w:t>
            </w:r>
            <w:r>
              <w:rPr>
                <w:sz w:val="24"/>
                <w:szCs w:val="24"/>
              </w:rPr>
              <w:t>）表</w:t>
            </w:r>
            <w:r>
              <w:rPr>
                <w:rFonts w:hint="eastAsia"/>
                <w:sz w:val="24"/>
                <w:szCs w:val="24"/>
              </w:rPr>
              <w:t>1</w:t>
            </w:r>
            <w:r>
              <w:rPr>
                <w:sz w:val="24"/>
                <w:szCs w:val="24"/>
              </w:rPr>
              <w:t>中“</w:t>
            </w:r>
            <w:r>
              <w:rPr>
                <w:rFonts w:hint="eastAsia"/>
                <w:sz w:val="24"/>
                <w:szCs w:val="24"/>
              </w:rPr>
              <w:t>表面涂装</w:t>
            </w:r>
            <w:r>
              <w:rPr>
                <w:sz w:val="24"/>
                <w:szCs w:val="24"/>
              </w:rPr>
              <w:t>”标准限值</w:t>
            </w:r>
            <w:r>
              <w:rPr>
                <w:rFonts w:hint="eastAsia"/>
                <w:sz w:val="24"/>
                <w:szCs w:val="24"/>
              </w:rPr>
              <w:t>（60</w:t>
            </w:r>
            <w:r>
              <w:rPr>
                <w:sz w:val="24"/>
                <w:szCs w:val="24"/>
              </w:rPr>
              <w:t>≤mg/m</w:t>
            </w:r>
            <w:r>
              <w:rPr>
                <w:sz w:val="24"/>
                <w:szCs w:val="24"/>
                <w:vertAlign w:val="superscript"/>
              </w:rPr>
              <w:t>3</w:t>
            </w:r>
            <w:r>
              <w:rPr>
                <w:rFonts w:hint="eastAsia"/>
                <w:sz w:val="24"/>
                <w:szCs w:val="24"/>
              </w:rPr>
              <w:t>、1.8kg/h），</w:t>
            </w:r>
            <w:r>
              <w:rPr>
                <w:sz w:val="24"/>
                <w:szCs w:val="24"/>
              </w:rPr>
              <w:t>有组织排放的漆雾（颗粒物）执行《大气污染物综合排放标准》（GB16297-1996）表2中排放标准</w:t>
            </w:r>
            <w:r>
              <w:rPr>
                <w:rFonts w:hint="eastAsia"/>
                <w:sz w:val="24"/>
                <w:szCs w:val="24"/>
              </w:rPr>
              <w:t>（120</w:t>
            </w:r>
            <w:r>
              <w:rPr>
                <w:sz w:val="24"/>
                <w:szCs w:val="24"/>
              </w:rPr>
              <w:t>≤mg/m</w:t>
            </w:r>
            <w:r>
              <w:rPr>
                <w:sz w:val="24"/>
                <w:szCs w:val="24"/>
                <w:vertAlign w:val="superscript"/>
              </w:rPr>
              <w:t>3</w:t>
            </w:r>
            <w:r>
              <w:rPr>
                <w:rFonts w:hint="eastAsia"/>
                <w:sz w:val="24"/>
                <w:szCs w:val="24"/>
              </w:rPr>
              <w:t>、3.5kg/h）</w:t>
            </w:r>
            <w:r>
              <w:rPr>
                <w:sz w:val="24"/>
                <w:szCs w:val="24"/>
              </w:rPr>
              <w:t>；</w:t>
            </w:r>
            <w:r>
              <w:rPr>
                <w:rFonts w:hint="eastAsia"/>
                <w:sz w:val="24"/>
                <w:szCs w:val="24"/>
              </w:rPr>
              <w:t>项目现有废气措施可行。</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u w:val="none"/>
                <w:lang w:val="en-US" w:eastAsia="zh-CN"/>
              </w:rPr>
              <w:t>本次</w:t>
            </w:r>
            <w:r>
              <w:rPr>
                <w:rFonts w:hint="eastAsia"/>
                <w:snapToGrid w:val="0"/>
                <w:kern w:val="0"/>
                <w:sz w:val="24"/>
                <w:u w:val="none"/>
              </w:rPr>
              <w:t>在企业正常工况下对企业边界进行了无组织废气现状监测（无组织废气监测结果详见第一章表1-</w:t>
            </w:r>
            <w:r>
              <w:rPr>
                <w:rFonts w:hint="eastAsia"/>
                <w:snapToGrid w:val="0"/>
                <w:kern w:val="0"/>
                <w:sz w:val="24"/>
                <w:u w:val="none"/>
                <w:lang w:val="en-US" w:eastAsia="zh-CN"/>
              </w:rPr>
              <w:t>7），</w:t>
            </w:r>
            <w:r>
              <w:rPr>
                <w:rFonts w:hint="eastAsia"/>
                <w:sz w:val="24"/>
                <w:szCs w:val="24"/>
              </w:rPr>
              <w:t>甲苯、二甲苯和挥发性有机物最大浓度分别为ND（低于检出限）、ND（低于检出限）、0.239</w:t>
            </w:r>
            <w:r>
              <w:rPr>
                <w:sz w:val="24"/>
                <w:szCs w:val="24"/>
              </w:rPr>
              <w:t>mg/m</w:t>
            </w:r>
            <w:r>
              <w:rPr>
                <w:sz w:val="24"/>
                <w:szCs w:val="24"/>
                <w:vertAlign w:val="superscript"/>
              </w:rPr>
              <w:t>3</w:t>
            </w:r>
            <w:r>
              <w:rPr>
                <w:rFonts w:hint="eastAsia"/>
                <w:sz w:val="24"/>
                <w:szCs w:val="24"/>
              </w:rPr>
              <w:t>，</w:t>
            </w:r>
            <w:r>
              <w:rPr>
                <w:rFonts w:hint="eastAsia"/>
                <w:snapToGrid w:val="0"/>
                <w:kern w:val="0"/>
                <w:sz w:val="24"/>
              </w:rPr>
              <w:t>甲苯、二甲苯</w:t>
            </w:r>
            <w:r>
              <w:rPr>
                <w:rFonts w:hint="eastAsia"/>
                <w:sz w:val="24"/>
                <w:szCs w:val="24"/>
              </w:rPr>
              <w:t>能够满足</w:t>
            </w:r>
            <w:r>
              <w:rPr>
                <w:sz w:val="24"/>
                <w:szCs w:val="24"/>
              </w:rPr>
              <w:t>《</w:t>
            </w:r>
            <w:r>
              <w:rPr>
                <w:rFonts w:hint="eastAsia"/>
                <w:sz w:val="24"/>
                <w:szCs w:val="24"/>
              </w:rPr>
              <w:t>表面涂装（汽车制造及维修）挥发性有机物、镍排放标准</w:t>
            </w:r>
            <w:r>
              <w:rPr>
                <w:sz w:val="24"/>
                <w:szCs w:val="24"/>
              </w:rPr>
              <w:t>》</w:t>
            </w:r>
            <w:r>
              <w:rPr>
                <w:rFonts w:hint="eastAsia"/>
                <w:sz w:val="24"/>
                <w:szCs w:val="24"/>
              </w:rPr>
              <w:t>（D</w:t>
            </w:r>
            <w:r>
              <w:rPr>
                <w:sz w:val="24"/>
                <w:szCs w:val="24"/>
              </w:rPr>
              <w:t>B</w:t>
            </w:r>
            <w:r>
              <w:rPr>
                <w:rFonts w:hint="eastAsia"/>
                <w:sz w:val="24"/>
                <w:szCs w:val="24"/>
              </w:rPr>
              <w:t>43/1356</w:t>
            </w:r>
            <w:r>
              <w:rPr>
                <w:sz w:val="24"/>
                <w:szCs w:val="24"/>
              </w:rPr>
              <w:t>-</w:t>
            </w:r>
            <w:r>
              <w:rPr>
                <w:rFonts w:hint="eastAsia"/>
                <w:sz w:val="24"/>
                <w:szCs w:val="24"/>
              </w:rPr>
              <w:t>2017）表3标准要求，VOCs</w:t>
            </w:r>
            <w:r>
              <w:rPr>
                <w:rFonts w:hint="eastAsia"/>
                <w:sz w:val="24"/>
                <w:szCs w:val="24"/>
                <w:lang w:val="en-US" w:eastAsia="zh-CN"/>
              </w:rPr>
              <w:t>厂界外</w:t>
            </w:r>
            <w:r>
              <w:rPr>
                <w:rFonts w:hint="eastAsia"/>
                <w:sz w:val="24"/>
                <w:szCs w:val="24"/>
              </w:rPr>
              <w:t>满足</w:t>
            </w:r>
            <w:r>
              <w:rPr>
                <w:sz w:val="24"/>
                <w:szCs w:val="24"/>
              </w:rPr>
              <w:t>天津市《工业企业挥发性有机物排放控制标准》（DB12/524-20</w:t>
            </w:r>
            <w:r>
              <w:rPr>
                <w:rFonts w:hint="eastAsia"/>
                <w:sz w:val="24"/>
                <w:szCs w:val="24"/>
              </w:rPr>
              <w:t>20</w:t>
            </w:r>
            <w:r>
              <w:rPr>
                <w:sz w:val="24"/>
                <w:szCs w:val="24"/>
              </w:rPr>
              <w:t>）表</w:t>
            </w:r>
            <w:r>
              <w:rPr>
                <w:rFonts w:hint="eastAsia"/>
                <w:sz w:val="24"/>
                <w:szCs w:val="24"/>
              </w:rPr>
              <w:t>2</w:t>
            </w:r>
            <w:r>
              <w:rPr>
                <w:sz w:val="24"/>
                <w:szCs w:val="24"/>
              </w:rPr>
              <w:t>挥发性有机物无组织排放限值</w:t>
            </w:r>
            <w:r>
              <w:rPr>
                <w:rFonts w:hint="eastAsia"/>
                <w:sz w:val="24"/>
                <w:szCs w:val="24"/>
                <w:lang w:eastAsia="zh-CN"/>
              </w:rPr>
              <w:t>，</w:t>
            </w:r>
            <w:r>
              <w:rPr>
                <w:rFonts w:hint="eastAsia"/>
                <w:sz w:val="24"/>
                <w:szCs w:val="24"/>
              </w:rPr>
              <w:t>VOCs</w:t>
            </w:r>
            <w:r>
              <w:rPr>
                <w:rFonts w:hint="eastAsia"/>
                <w:sz w:val="24"/>
                <w:szCs w:val="24"/>
                <w:lang w:val="en-US" w:eastAsia="zh-CN"/>
              </w:rPr>
              <w:t>厂界内</w:t>
            </w:r>
            <w:r>
              <w:rPr>
                <w:rFonts w:hint="eastAsia"/>
                <w:sz w:val="24"/>
                <w:szCs w:val="24"/>
              </w:rPr>
              <w:t>满足</w:t>
            </w:r>
            <w:r>
              <w:rPr>
                <w:sz w:val="24"/>
                <w:szCs w:val="24"/>
              </w:rPr>
              <w:t>天津市《工业企业挥发性有机物排放控制标准》（DB12/524-20</w:t>
            </w:r>
            <w:r>
              <w:rPr>
                <w:rFonts w:hint="eastAsia"/>
                <w:sz w:val="24"/>
                <w:szCs w:val="24"/>
              </w:rPr>
              <w:t>20</w:t>
            </w:r>
            <w:r>
              <w:rPr>
                <w:sz w:val="24"/>
                <w:szCs w:val="24"/>
              </w:rPr>
              <w:t>）表</w:t>
            </w:r>
            <w:r>
              <w:rPr>
                <w:rFonts w:hint="eastAsia"/>
                <w:sz w:val="24"/>
                <w:szCs w:val="24"/>
              </w:rPr>
              <w:t>2</w:t>
            </w:r>
            <w:r>
              <w:rPr>
                <w:sz w:val="24"/>
                <w:szCs w:val="24"/>
              </w:rPr>
              <w:t>挥发性有机物无组织排放限值</w:t>
            </w:r>
            <w:r>
              <w:rPr>
                <w:rFonts w:hint="eastAsia"/>
                <w:sz w:val="24"/>
                <w:szCs w:val="24"/>
              </w:rPr>
              <w:t>。</w:t>
            </w:r>
          </w:p>
          <w:p>
            <w:pPr>
              <w:spacing w:line="360" w:lineRule="auto"/>
              <w:ind w:firstLine="480" w:firstLineChars="200"/>
              <w:rPr>
                <w:sz w:val="24"/>
              </w:rPr>
            </w:pPr>
            <w:r>
              <w:rPr>
                <w:sz w:val="24"/>
              </w:rPr>
              <w:t>本项目处理喷烤漆废气主要措施为UV光氧催化分解和活性炭吸附，符合《重点行业挥发性有机物综合治理方案》提出的“鼓励企业采用多种技术的组合工艺”，项目所采取的废气处理措施可行性分析如下所述。</w:t>
            </w:r>
          </w:p>
          <w:p>
            <w:pPr>
              <w:pStyle w:val="45"/>
              <w:adjustRightInd/>
              <w:snapToGrid/>
              <w:ind w:firstLine="0" w:firstLineChars="0"/>
              <w:jc w:val="left"/>
              <w:rPr>
                <w:rFonts w:ascii="Times New Roman"/>
                <w:b/>
                <w:bCs/>
                <w:szCs w:val="24"/>
              </w:rPr>
            </w:pPr>
            <w:r>
              <w:rPr>
                <w:rFonts w:ascii="Times New Roman"/>
                <w:b/>
                <w:bCs/>
                <w:szCs w:val="24"/>
              </w:rPr>
              <w:t>UV光氧催化废气处理可行性分析</w:t>
            </w:r>
          </w:p>
          <w:p>
            <w:pPr>
              <w:pStyle w:val="45"/>
              <w:adjustRightInd/>
              <w:snapToGrid/>
              <w:ind w:firstLine="480"/>
              <w:jc w:val="left"/>
              <w:rPr>
                <w:rFonts w:ascii="Times New Roman"/>
                <w:szCs w:val="24"/>
              </w:rPr>
            </w:pPr>
            <w:r>
              <w:rPr>
                <w:rFonts w:ascii="Times New Roman"/>
                <w:szCs w:val="24"/>
              </w:rPr>
              <w:t>①原理</w:t>
            </w:r>
          </w:p>
          <w:p>
            <w:pPr>
              <w:pStyle w:val="45"/>
              <w:adjustRightInd/>
              <w:snapToGrid/>
              <w:ind w:firstLine="480"/>
              <w:jc w:val="left"/>
              <w:rPr>
                <w:rFonts w:ascii="Times New Roman"/>
                <w:szCs w:val="24"/>
              </w:rPr>
            </w:pPr>
            <w:r>
              <w:rPr>
                <w:rFonts w:ascii="Times New Roman"/>
                <w:szCs w:val="24"/>
              </w:rPr>
              <w:t>光催化氧化是在外界可见光的作用下发生催化作用，以半导体为催化剂，以光为能量，将有机物降解为CO</w:t>
            </w:r>
            <w:r>
              <w:rPr>
                <w:rFonts w:ascii="Times New Roman"/>
                <w:szCs w:val="24"/>
                <w:vertAlign w:val="subscript"/>
              </w:rPr>
              <w:t>2</w:t>
            </w:r>
            <w:r>
              <w:rPr>
                <w:rFonts w:ascii="Times New Roman"/>
                <w:szCs w:val="24"/>
              </w:rPr>
              <w:t>和H</w:t>
            </w:r>
            <w:r>
              <w:rPr>
                <w:rFonts w:ascii="Times New Roman"/>
                <w:szCs w:val="24"/>
                <w:vertAlign w:val="subscript"/>
              </w:rPr>
              <w:t>2</w:t>
            </w:r>
            <w:r>
              <w:rPr>
                <w:rFonts w:ascii="Times New Roman"/>
                <w:szCs w:val="24"/>
              </w:rPr>
              <w:t>O及其它无毒无害成份。利用特定紫外线光波作为能源，配合经特殊处理后活性最强、反应效率最高的纳米TiO</w:t>
            </w:r>
            <w:r>
              <w:rPr>
                <w:rFonts w:ascii="Times New Roman"/>
                <w:szCs w:val="24"/>
                <w:vertAlign w:val="subscript"/>
              </w:rPr>
              <w:t>2</w:t>
            </w:r>
            <w:r>
              <w:rPr>
                <w:rFonts w:ascii="Times New Roman"/>
                <w:szCs w:val="24"/>
              </w:rPr>
              <w:t>催化剂，废臭气体经过处理后可达到净化的更理想的效果，其中废气先经过滤棉处理，然后光催化氧化处理后，再经活性炭吸附后，通过排气筒排放，因此不会产生废TiO</w:t>
            </w:r>
            <w:r>
              <w:rPr>
                <w:rFonts w:ascii="Times New Roman"/>
                <w:szCs w:val="24"/>
                <w:vertAlign w:val="subscript"/>
              </w:rPr>
              <w:t>2</w:t>
            </w:r>
            <w:r>
              <w:rPr>
                <w:rFonts w:ascii="Times New Roman"/>
                <w:szCs w:val="24"/>
              </w:rPr>
              <w:t>催化剂。</w:t>
            </w:r>
          </w:p>
          <w:p>
            <w:pPr>
              <w:pStyle w:val="45"/>
              <w:adjustRightInd/>
              <w:snapToGrid/>
              <w:ind w:firstLine="480"/>
              <w:jc w:val="left"/>
              <w:rPr>
                <w:rFonts w:ascii="Times New Roman"/>
                <w:szCs w:val="24"/>
              </w:rPr>
            </w:pPr>
            <w:r>
              <w:rPr>
                <w:rFonts w:ascii="Times New Roman"/>
                <w:szCs w:val="24"/>
              </w:rPr>
              <w:t>在半导体光催化氧化反应中，通过紫外光照射在纳米TiO</w:t>
            </w:r>
            <w:r>
              <w:rPr>
                <w:rFonts w:ascii="Times New Roman"/>
                <w:szCs w:val="24"/>
                <w:vertAlign w:val="subscript"/>
              </w:rPr>
              <w:t>2</w:t>
            </w:r>
            <w:r>
              <w:rPr>
                <w:rFonts w:ascii="Times New Roman"/>
                <w:szCs w:val="24"/>
              </w:rPr>
              <w:t>催化剂上，纳米TiO</w:t>
            </w:r>
            <w:r>
              <w:rPr>
                <w:rFonts w:ascii="Times New Roman"/>
                <w:szCs w:val="24"/>
                <w:vertAlign w:val="subscript"/>
              </w:rPr>
              <w:t>2</w:t>
            </w:r>
            <w:r>
              <w:rPr>
                <w:rFonts w:ascii="Times New Roman"/>
                <w:szCs w:val="24"/>
              </w:rPr>
              <w:t>催化剂吸收光能产生电子跃进和空穴跃进，经过进一步的结合产生电子-空穴对，与废气表面吸附的水分（H</w:t>
            </w:r>
            <w:r>
              <w:rPr>
                <w:rFonts w:ascii="Times New Roman"/>
                <w:szCs w:val="24"/>
                <w:vertAlign w:val="subscript"/>
              </w:rPr>
              <w:t>2</w:t>
            </w:r>
            <w:r>
              <w:rPr>
                <w:rFonts w:ascii="Times New Roman"/>
                <w:szCs w:val="24"/>
              </w:rPr>
              <w:t>O）和氧气（O</w:t>
            </w:r>
            <w:r>
              <w:rPr>
                <w:rFonts w:ascii="Times New Roman"/>
                <w:szCs w:val="24"/>
                <w:vertAlign w:val="subscript"/>
              </w:rPr>
              <w:t>2</w:t>
            </w:r>
            <w:r>
              <w:rPr>
                <w:rFonts w:ascii="Times New Roman"/>
                <w:szCs w:val="24"/>
              </w:rPr>
              <w:t>）反应生成氧化性很活波的自由基和超氧离子自由基。能够把各种有机废气如烃类、醛类、酚类、醇类、硫醇类、苯类、氨类、氮氧化物、硫化物以及其它VOCs类有机物及无机物在光催化氧化的作用下还原成二氧化碳（CO</w:t>
            </w:r>
            <w:r>
              <w:rPr>
                <w:rFonts w:ascii="Times New Roman"/>
                <w:szCs w:val="24"/>
                <w:vertAlign w:val="subscript"/>
              </w:rPr>
              <w:t>2</w:t>
            </w:r>
            <w:r>
              <w:rPr>
                <w:rFonts w:ascii="Times New Roman"/>
                <w:szCs w:val="24"/>
              </w:rPr>
              <w:t>）、水（H</w:t>
            </w:r>
            <w:r>
              <w:rPr>
                <w:rFonts w:ascii="Times New Roman"/>
                <w:szCs w:val="24"/>
                <w:vertAlign w:val="subscript"/>
              </w:rPr>
              <w:t>2</w:t>
            </w:r>
            <w:r>
              <w:rPr>
                <w:rFonts w:ascii="Times New Roman"/>
                <w:szCs w:val="24"/>
              </w:rPr>
              <w:t>O）以及其它无毒无害物质，经过净化之后的废气分子被活化降解，起到了废气净化的作用，同时对管道内滋生的细菌病毒都可以有效的去除，由于在光催化氧化反应过程中无任何添加剂，所以不会产生二次污染，运行成本方面只是用到电能，运行成本低，无需经常更换配件，对于企业来的使用上是相当的节能环保。</w:t>
            </w:r>
          </w:p>
          <w:p>
            <w:pPr>
              <w:pStyle w:val="45"/>
              <w:adjustRightInd/>
              <w:snapToGrid/>
              <w:ind w:firstLine="480"/>
              <w:jc w:val="left"/>
              <w:rPr>
                <w:rFonts w:ascii="Times New Roman"/>
                <w:szCs w:val="24"/>
              </w:rPr>
            </w:pPr>
            <w:r>
              <w:rPr>
                <w:rFonts w:ascii="Times New Roman"/>
                <w:szCs w:val="24"/>
              </w:rPr>
              <w:t>②特性</w:t>
            </w:r>
          </w:p>
          <w:p>
            <w:pPr>
              <w:pStyle w:val="45"/>
              <w:numPr>
                <w:ilvl w:val="0"/>
                <w:numId w:val="6"/>
              </w:numPr>
              <w:adjustRightInd/>
              <w:snapToGrid/>
              <w:ind w:left="0" w:firstLine="480"/>
              <w:jc w:val="left"/>
              <w:rPr>
                <w:rFonts w:ascii="Times New Roman"/>
                <w:szCs w:val="24"/>
              </w:rPr>
            </w:pPr>
            <w:r>
              <w:rPr>
                <w:rFonts w:ascii="Times New Roman"/>
                <w:szCs w:val="24"/>
              </w:rPr>
              <w:t>高效降解有机化学物：能高效去除挥发性有机物（VOC）、无机物、硫化氢、氨气、硫醇类等主要污染物，以及各种恶臭味，效率可达98%甚至更高。</w:t>
            </w:r>
          </w:p>
          <w:p>
            <w:pPr>
              <w:pStyle w:val="45"/>
              <w:numPr>
                <w:ilvl w:val="0"/>
                <w:numId w:val="6"/>
              </w:numPr>
              <w:adjustRightInd/>
              <w:snapToGrid/>
              <w:ind w:left="0" w:firstLine="480"/>
              <w:jc w:val="left"/>
              <w:rPr>
                <w:rFonts w:ascii="Times New Roman"/>
                <w:szCs w:val="24"/>
              </w:rPr>
            </w:pPr>
            <w:r>
              <w:rPr>
                <w:rFonts w:ascii="Times New Roman"/>
                <w:szCs w:val="24"/>
              </w:rPr>
              <w:t>无需添加任何物质：只需要设置相应的排风管道和排风动力，使气体通过本设备进行脱臭分解净化，无需添加任何物质参与化学反应。</w:t>
            </w:r>
          </w:p>
          <w:p>
            <w:pPr>
              <w:pStyle w:val="45"/>
              <w:numPr>
                <w:ilvl w:val="0"/>
                <w:numId w:val="6"/>
              </w:numPr>
              <w:adjustRightInd/>
              <w:snapToGrid/>
              <w:ind w:left="0" w:firstLine="480"/>
              <w:jc w:val="left"/>
              <w:rPr>
                <w:rFonts w:ascii="Times New Roman"/>
                <w:szCs w:val="24"/>
              </w:rPr>
            </w:pPr>
            <w:r>
              <w:rPr>
                <w:rFonts w:ascii="Times New Roman"/>
                <w:szCs w:val="24"/>
              </w:rPr>
              <w:t>适应性强：可适应高浓度，大气量，不同有机化学气体物质的净化处理，可每天24小时连续工作，运行稳定可靠。</w:t>
            </w:r>
          </w:p>
          <w:p>
            <w:pPr>
              <w:pStyle w:val="45"/>
              <w:numPr>
                <w:ilvl w:val="0"/>
                <w:numId w:val="6"/>
              </w:numPr>
              <w:adjustRightInd/>
              <w:snapToGrid/>
              <w:ind w:left="0" w:firstLine="480"/>
              <w:jc w:val="left"/>
              <w:rPr>
                <w:rFonts w:ascii="Times New Roman"/>
                <w:szCs w:val="24"/>
              </w:rPr>
            </w:pPr>
            <w:r>
              <w:rPr>
                <w:rFonts w:ascii="Times New Roman"/>
                <w:szCs w:val="24"/>
              </w:rPr>
              <w:t>运行成本低：本设备无任何机械动作，无噪音，无需专人管理和日常维护，只需作定期检查，本设备能耗低，（每处理1000立方米/小时，仅耗电约0.1度电能），设备风阻极低＜30pa，可节约大量排风动力能耗。</w:t>
            </w:r>
          </w:p>
          <w:p>
            <w:pPr>
              <w:pStyle w:val="45"/>
              <w:numPr>
                <w:ilvl w:val="0"/>
                <w:numId w:val="6"/>
              </w:numPr>
              <w:adjustRightInd/>
              <w:snapToGrid/>
              <w:ind w:left="0" w:firstLine="480"/>
              <w:jc w:val="left"/>
              <w:rPr>
                <w:rFonts w:ascii="Times New Roman"/>
                <w:szCs w:val="24"/>
              </w:rPr>
            </w:pPr>
            <w:r>
              <w:rPr>
                <w:rFonts w:ascii="Times New Roman"/>
                <w:szCs w:val="24"/>
              </w:rPr>
              <w:t>无需预处理：废气无需进行特殊的预处理，如加温、加湿等，设备工作环境温度在摄氏-30</w:t>
            </w:r>
            <w:r>
              <w:rPr>
                <w:rFonts w:hint="eastAsia" w:ascii="Times New Roman"/>
                <w:szCs w:val="24"/>
              </w:rPr>
              <w:t>0</w:t>
            </w:r>
            <w:r>
              <w:rPr>
                <w:rFonts w:ascii="Times New Roman"/>
                <w:szCs w:val="24"/>
              </w:rPr>
              <w:t>－95</w:t>
            </w:r>
            <w:r>
              <w:rPr>
                <w:rFonts w:hint="eastAsia" w:ascii="Times New Roman"/>
                <w:szCs w:val="24"/>
              </w:rPr>
              <w:t>0</w:t>
            </w:r>
            <w:r>
              <w:rPr>
                <w:rFonts w:ascii="Times New Roman"/>
                <w:szCs w:val="24"/>
              </w:rPr>
              <w:t>之间，湿度在40%－98%之间均可正常工作。</w:t>
            </w:r>
          </w:p>
          <w:p>
            <w:pPr>
              <w:pStyle w:val="45"/>
              <w:numPr>
                <w:ilvl w:val="0"/>
                <w:numId w:val="6"/>
              </w:numPr>
              <w:adjustRightInd/>
              <w:snapToGrid/>
              <w:ind w:left="0" w:firstLine="480"/>
              <w:jc w:val="left"/>
              <w:rPr>
                <w:rFonts w:ascii="Times New Roman"/>
                <w:szCs w:val="24"/>
              </w:rPr>
            </w:pPr>
            <w:r>
              <w:rPr>
                <w:rFonts w:ascii="Times New Roman"/>
                <w:szCs w:val="24"/>
              </w:rPr>
              <w:t>设备占地面积小，自重轻：适合于布置紧凑、场地狭小等特殊条件。</w:t>
            </w:r>
          </w:p>
          <w:p>
            <w:pPr>
              <w:pStyle w:val="45"/>
              <w:adjustRightInd/>
              <w:snapToGrid/>
              <w:ind w:firstLine="480"/>
              <w:jc w:val="left"/>
              <w:rPr>
                <w:rFonts w:ascii="Times New Roman"/>
                <w:szCs w:val="24"/>
              </w:rPr>
            </w:pPr>
            <w:r>
              <w:rPr>
                <w:rFonts w:ascii="Times New Roman"/>
                <w:szCs w:val="24"/>
              </w:rPr>
              <w:t>③治理政策可行性</w:t>
            </w:r>
          </w:p>
          <w:p>
            <w:pPr>
              <w:pStyle w:val="45"/>
              <w:adjustRightInd/>
              <w:snapToGrid/>
              <w:ind w:firstLine="480"/>
              <w:jc w:val="left"/>
              <w:rPr>
                <w:rFonts w:ascii="Times New Roman"/>
                <w:szCs w:val="24"/>
              </w:rPr>
            </w:pPr>
            <w:r>
              <w:rPr>
                <w:rFonts w:ascii="Times New Roman"/>
                <w:szCs w:val="24"/>
              </w:rPr>
              <w:t>依据本次评价工程分析可知，本项目产生的有机废气浓度较低。根据《挥发性有机物（VOCs）污染防治技术政策》（环境保护部公告2013年第31号）中“三、末端治理与综合利用”第（十五）中的“不宜回收时，可采用吸附浓缩燃烧技术、生物技术、吸收技术、等离子体技术或紫外光高级氧化技术等净化后达标排放”可知，本项目采用的UV光氧催化废气处理措施是符合相关政策要求的。</w:t>
            </w:r>
          </w:p>
          <w:p>
            <w:pPr>
              <w:pStyle w:val="45"/>
              <w:adjustRightInd/>
              <w:snapToGrid/>
              <w:ind w:firstLine="480"/>
              <w:jc w:val="left"/>
              <w:rPr>
                <w:rFonts w:ascii="Times New Roman"/>
                <w:szCs w:val="24"/>
              </w:rPr>
            </w:pPr>
            <w:r>
              <w:rPr>
                <w:rFonts w:ascii="Times New Roman"/>
                <w:szCs w:val="24"/>
              </w:rPr>
              <w:t>③应用案例</w:t>
            </w:r>
          </w:p>
          <w:p>
            <w:pPr>
              <w:pStyle w:val="45"/>
              <w:adjustRightInd/>
              <w:snapToGrid/>
              <w:ind w:firstLine="480"/>
              <w:jc w:val="left"/>
              <w:rPr>
                <w:rFonts w:ascii="Times New Roman"/>
                <w:szCs w:val="24"/>
              </w:rPr>
            </w:pPr>
            <w:r>
              <w:rPr>
                <w:rFonts w:ascii="Times New Roman"/>
                <w:szCs w:val="24"/>
              </w:rPr>
              <w:t>目前，UV光氧催化废气处理装置已经得到广泛应用，还出现了一些光催化原理的家庭式的空气净化器，其中较大型的光催化空气净化器应用案例如下所示：</w:t>
            </w:r>
          </w:p>
          <w:p>
            <w:pPr>
              <w:pStyle w:val="45"/>
              <w:numPr>
                <w:ilvl w:val="0"/>
                <w:numId w:val="7"/>
              </w:numPr>
              <w:adjustRightInd/>
              <w:snapToGrid/>
              <w:ind w:left="0" w:firstLine="480"/>
              <w:jc w:val="left"/>
              <w:rPr>
                <w:rFonts w:ascii="Times New Roman"/>
                <w:szCs w:val="24"/>
              </w:rPr>
            </w:pPr>
            <w:r>
              <w:rPr>
                <w:rFonts w:ascii="Times New Roman"/>
                <w:szCs w:val="24"/>
              </w:rPr>
              <w:t>1、2008北京奥运会鸟巢空气净化项目（国家重点项目）</w:t>
            </w:r>
          </w:p>
          <w:p>
            <w:pPr>
              <w:pStyle w:val="45"/>
              <w:numPr>
                <w:ilvl w:val="0"/>
                <w:numId w:val="7"/>
              </w:numPr>
              <w:adjustRightInd/>
              <w:snapToGrid/>
              <w:ind w:left="0" w:firstLine="480"/>
              <w:jc w:val="left"/>
              <w:rPr>
                <w:rFonts w:ascii="Times New Roman"/>
                <w:szCs w:val="24"/>
              </w:rPr>
            </w:pPr>
            <w:r>
              <w:rPr>
                <w:rFonts w:ascii="Times New Roman"/>
                <w:szCs w:val="24"/>
              </w:rPr>
              <w:t>2、2008北京奥运赛艇喷漆废气处理（国家重点项目）</w:t>
            </w:r>
          </w:p>
          <w:p>
            <w:pPr>
              <w:pStyle w:val="45"/>
              <w:numPr>
                <w:ilvl w:val="0"/>
                <w:numId w:val="7"/>
              </w:numPr>
              <w:adjustRightInd/>
              <w:snapToGrid/>
              <w:ind w:left="0" w:firstLine="480"/>
              <w:jc w:val="left"/>
              <w:rPr>
                <w:rFonts w:ascii="Times New Roman"/>
                <w:szCs w:val="24"/>
              </w:rPr>
            </w:pPr>
            <w:r>
              <w:rPr>
                <w:rFonts w:ascii="Times New Roman"/>
                <w:szCs w:val="24"/>
              </w:rPr>
              <w:t>3、2009年济南全运会空气净化项目（国家重点项目）</w:t>
            </w:r>
          </w:p>
          <w:p>
            <w:pPr>
              <w:pStyle w:val="45"/>
              <w:numPr>
                <w:ilvl w:val="0"/>
                <w:numId w:val="7"/>
              </w:numPr>
              <w:adjustRightInd/>
              <w:snapToGrid/>
              <w:ind w:left="0" w:firstLine="480"/>
              <w:jc w:val="left"/>
              <w:rPr>
                <w:rFonts w:ascii="Times New Roman"/>
                <w:szCs w:val="24"/>
              </w:rPr>
            </w:pPr>
            <w:r>
              <w:rPr>
                <w:rFonts w:ascii="Times New Roman"/>
                <w:szCs w:val="24"/>
              </w:rPr>
              <w:t>4、2010年上海世博会场馆空气净化项目（国家重点项目）</w:t>
            </w:r>
          </w:p>
          <w:p>
            <w:pPr>
              <w:pStyle w:val="45"/>
              <w:numPr>
                <w:ilvl w:val="0"/>
                <w:numId w:val="7"/>
              </w:numPr>
              <w:adjustRightInd/>
              <w:snapToGrid/>
              <w:ind w:left="0" w:firstLine="480"/>
              <w:jc w:val="left"/>
              <w:rPr>
                <w:rFonts w:ascii="Times New Roman"/>
                <w:szCs w:val="24"/>
              </w:rPr>
            </w:pPr>
            <w:r>
              <w:rPr>
                <w:rFonts w:ascii="Times New Roman"/>
                <w:szCs w:val="24"/>
              </w:rPr>
              <w:t>5、中国石化（上海）废气处理项目（世界五百强企业）</w:t>
            </w:r>
          </w:p>
          <w:p>
            <w:pPr>
              <w:pStyle w:val="45"/>
              <w:numPr>
                <w:ilvl w:val="0"/>
                <w:numId w:val="7"/>
              </w:numPr>
              <w:adjustRightInd/>
              <w:snapToGrid/>
              <w:ind w:left="0" w:firstLine="480"/>
              <w:jc w:val="left"/>
              <w:rPr>
                <w:rFonts w:ascii="Times New Roman"/>
                <w:szCs w:val="24"/>
              </w:rPr>
            </w:pPr>
            <w:r>
              <w:rPr>
                <w:rFonts w:ascii="Times New Roman"/>
                <w:szCs w:val="24"/>
              </w:rPr>
              <w:t>6、韩国LG焊接烟尘车间废气处理（世界五百强企业）</w:t>
            </w:r>
          </w:p>
          <w:p>
            <w:pPr>
              <w:pStyle w:val="45"/>
              <w:numPr>
                <w:ilvl w:val="0"/>
                <w:numId w:val="7"/>
              </w:numPr>
              <w:adjustRightInd/>
              <w:snapToGrid/>
              <w:ind w:left="0" w:firstLine="480"/>
              <w:jc w:val="left"/>
              <w:rPr>
                <w:rFonts w:ascii="Times New Roman"/>
                <w:szCs w:val="24"/>
              </w:rPr>
            </w:pPr>
            <w:r>
              <w:rPr>
                <w:rFonts w:ascii="Times New Roman"/>
                <w:szCs w:val="24"/>
              </w:rPr>
              <w:t>7、中粮集团食品车间废气净化（世界五百强企业）</w:t>
            </w:r>
          </w:p>
          <w:p>
            <w:pPr>
              <w:pStyle w:val="45"/>
              <w:numPr>
                <w:ilvl w:val="0"/>
                <w:numId w:val="7"/>
              </w:numPr>
              <w:adjustRightInd/>
              <w:snapToGrid/>
              <w:ind w:left="0" w:firstLine="480"/>
              <w:jc w:val="left"/>
              <w:rPr>
                <w:rFonts w:ascii="Times New Roman"/>
                <w:szCs w:val="24"/>
              </w:rPr>
            </w:pPr>
            <w:r>
              <w:rPr>
                <w:rFonts w:ascii="Times New Roman"/>
                <w:szCs w:val="24"/>
              </w:rPr>
              <w:t>8、日本高田公司车间废气处理项目（世界五百强企业）</w:t>
            </w:r>
          </w:p>
          <w:p>
            <w:pPr>
              <w:pStyle w:val="45"/>
              <w:adjustRightInd/>
              <w:snapToGrid/>
              <w:ind w:firstLine="480"/>
              <w:jc w:val="left"/>
              <w:rPr>
                <w:rFonts w:ascii="Times New Roman"/>
                <w:szCs w:val="24"/>
              </w:rPr>
            </w:pPr>
            <w:r>
              <w:rPr>
                <w:rFonts w:ascii="Times New Roman"/>
                <w:szCs w:val="24"/>
              </w:rPr>
              <w:t>综上所述，本项目使用的UV光氧催化废气处理装置技术成熟可靠，可有效处理项目喷烤漆过程中产生的有机废气，因此使用UV光氧催化废气处理装置具备可行性。</w:t>
            </w:r>
          </w:p>
          <w:p>
            <w:pPr>
              <w:pStyle w:val="45"/>
              <w:adjustRightInd/>
              <w:snapToGrid/>
              <w:ind w:firstLine="0" w:firstLineChars="0"/>
              <w:jc w:val="left"/>
              <w:rPr>
                <w:rFonts w:ascii="Times New Roman"/>
                <w:szCs w:val="24"/>
              </w:rPr>
            </w:pPr>
            <w:r>
              <w:rPr>
                <w:rFonts w:ascii="Times New Roman"/>
                <w:b/>
                <w:bCs/>
                <w:szCs w:val="24"/>
              </w:rPr>
              <w:t>活性炭处理可行性分析</w:t>
            </w:r>
          </w:p>
          <w:p>
            <w:pPr>
              <w:pStyle w:val="45"/>
              <w:adjustRightInd/>
              <w:snapToGrid/>
              <w:ind w:firstLine="480"/>
              <w:jc w:val="left"/>
              <w:rPr>
                <w:rFonts w:ascii="Times New Roman"/>
              </w:rPr>
            </w:pPr>
            <w:r>
              <w:rPr>
                <w:rFonts w:ascii="Times New Roman"/>
              </w:rPr>
              <w:t>活性炭是一种非常优良的吸附剂，它是利用木炭、各种果壳和优质煤等作为原料，通过物理和化学方法对原料进行破碎、过筛、催化剂活化、漂洗、烘干和筛选等一系列工序加工制造而成。活性炭具有物理吸附和化学吸附的双重特性，可以有选择的吸附气相、液相中的各种物质，以达到脱色精制、消毒除臭和去污提纯等目的。活性炭吸附法就是利用活性炭作为物理吸附剂，把生产过程中产生的有害物质成分，在固相表面进行浓缩，从而使废气得到净化治理。吸附过程是在固相—气相间界面发生的物理过程。活性炭主要是以含炭量较高的物质制成，如木材、煤、果壳、骨、石油残渣等，而以椰子壳为最常用的原料，在同等条件下，椰壳活性炭的活性质量及其它特性是最好的，因其有最大的比表面积。</w:t>
            </w:r>
          </w:p>
          <w:p>
            <w:pPr>
              <w:pStyle w:val="45"/>
              <w:adjustRightInd/>
              <w:snapToGrid/>
              <w:ind w:firstLine="480"/>
              <w:jc w:val="left"/>
              <w:rPr>
                <w:rFonts w:ascii="Times New Roman"/>
              </w:rPr>
            </w:pPr>
            <w:r>
              <w:rPr>
                <w:rFonts w:ascii="Times New Roman"/>
              </w:rPr>
              <w:t>活性炭的吸附原理是：有机废气在流经活性炭层时被比表面积很大的活性炭截留，在其颗粒表面形成一层平衡的表面浓度，并将有机物等吸附到活性炭的细孔，使用初期的吸附效果很高。但时间一长，活性炭的吸附能力会不同程度地减弱，吸附效果也随之下降，因此本次评价要求建设单位定期更换活性，以确保其吸附性。活性炭颗粒的大小对吸附能力也有影响。吸附后的活性炭交由委托有资质的单位进行回收处理，杜绝二次污染。</w:t>
            </w:r>
          </w:p>
          <w:p>
            <w:pPr>
              <w:pStyle w:val="45"/>
              <w:adjustRightInd/>
              <w:snapToGrid/>
              <w:ind w:firstLine="480"/>
              <w:jc w:val="left"/>
              <w:rPr>
                <w:rFonts w:ascii="Times New Roman"/>
                <w:szCs w:val="24"/>
              </w:rPr>
            </w:pPr>
            <w:r>
              <w:rPr>
                <w:rFonts w:ascii="Times New Roman"/>
              </w:rPr>
              <w:t>活性炭吸附法处理工业企业废气现已得到广泛使用，作为本项目喷烤漆废气经UV光氧催化分解后的补充吸附手段，符合环境管理要求，是可行的。</w:t>
            </w:r>
          </w:p>
          <w:p>
            <w:pPr>
              <w:pStyle w:val="45"/>
              <w:adjustRightInd/>
              <w:snapToGrid/>
              <w:ind w:firstLine="480"/>
              <w:jc w:val="left"/>
              <w:rPr>
                <w:rFonts w:ascii="Times New Roman"/>
                <w:szCs w:val="24"/>
              </w:rPr>
            </w:pPr>
            <w:r>
              <w:rPr>
                <w:rFonts w:ascii="Times New Roman"/>
                <w:szCs w:val="24"/>
              </w:rPr>
              <w:t>（</w:t>
            </w:r>
            <w:r>
              <w:rPr>
                <w:rFonts w:hint="eastAsia" w:ascii="Times New Roman"/>
                <w:szCs w:val="24"/>
              </w:rPr>
              <w:t>4</w:t>
            </w:r>
            <w:r>
              <w:rPr>
                <w:rFonts w:ascii="Times New Roman"/>
                <w:szCs w:val="24"/>
              </w:rPr>
              <w:t>）食堂油烟</w:t>
            </w:r>
          </w:p>
          <w:p>
            <w:pPr>
              <w:spacing w:line="360" w:lineRule="auto"/>
              <w:ind w:firstLine="480" w:firstLineChars="200"/>
              <w:rPr>
                <w:sz w:val="24"/>
              </w:rPr>
            </w:pPr>
            <w:r>
              <w:rPr>
                <w:rFonts w:hint="eastAsia"/>
                <w:sz w:val="24"/>
              </w:rPr>
              <w:t>项目食堂已安装油烟净化装置，饮食油烟经处理后引至楼顶排放</w:t>
            </w:r>
            <w:r>
              <w:rPr>
                <w:sz w:val="24"/>
              </w:rPr>
              <w:t>。</w:t>
            </w:r>
          </w:p>
          <w:p>
            <w:pPr>
              <w:spacing w:line="360" w:lineRule="auto"/>
              <w:rPr>
                <w:sz w:val="24"/>
                <w:szCs w:val="24"/>
              </w:rPr>
            </w:pPr>
            <w:r>
              <w:rPr>
                <w:b/>
                <w:sz w:val="24"/>
                <w:szCs w:val="24"/>
              </w:rPr>
              <w:t>二、地表水环境影响分析</w:t>
            </w:r>
          </w:p>
          <w:p>
            <w:pPr>
              <w:spacing w:line="360" w:lineRule="auto"/>
              <w:ind w:firstLine="480" w:firstLineChars="200"/>
              <w:jc w:val="left"/>
              <w:rPr>
                <w:sz w:val="24"/>
              </w:rPr>
            </w:pPr>
            <w:r>
              <w:rPr>
                <w:sz w:val="24"/>
              </w:rPr>
              <w:t>（1）项目废水</w:t>
            </w:r>
          </w:p>
          <w:p>
            <w:pPr>
              <w:spacing w:line="360" w:lineRule="auto"/>
              <w:ind w:firstLine="480" w:firstLineChars="200"/>
              <w:jc w:val="left"/>
              <w:rPr>
                <w:sz w:val="24"/>
              </w:rPr>
            </w:pPr>
            <w:r>
              <w:rPr>
                <w:sz w:val="24"/>
              </w:rPr>
              <w:t>根据本次评价分析，本项目地面清洗废水和汽车清洗废水采用隔油沉淀池预处理；生活污水采用化粪池进行处理，项目废水经预处理达到相关排放标准要求后进入</w:t>
            </w:r>
            <w:r>
              <w:rPr>
                <w:sz w:val="24"/>
                <w:szCs w:val="24"/>
              </w:rPr>
              <w:t>城陵矶新港区污水处理厂深度处理，达到</w:t>
            </w:r>
            <w:r>
              <w:rPr>
                <w:sz w:val="24"/>
              </w:rPr>
              <w:t>《城镇污水处理厂污染物排放标准》（GB18918-2002）一级A标准后，经象骨港汇入长江。</w:t>
            </w:r>
          </w:p>
          <w:p>
            <w:pPr>
              <w:spacing w:line="360" w:lineRule="auto"/>
              <w:ind w:firstLine="480" w:firstLineChars="200"/>
              <w:jc w:val="left"/>
              <w:rPr>
                <w:sz w:val="24"/>
              </w:rPr>
            </w:pPr>
            <w:r>
              <w:rPr>
                <w:sz w:val="24"/>
              </w:rPr>
              <w:t>（2）评价工作等级</w:t>
            </w:r>
          </w:p>
          <w:p>
            <w:pPr>
              <w:spacing w:line="360" w:lineRule="auto"/>
              <w:ind w:firstLine="480" w:firstLineChars="200"/>
              <w:jc w:val="left"/>
              <w:rPr>
                <w:sz w:val="24"/>
                <w:szCs w:val="24"/>
              </w:rPr>
            </w:pPr>
            <w:r>
              <w:rPr>
                <w:sz w:val="24"/>
                <w:szCs w:val="24"/>
              </w:rPr>
              <w:t>项目外排废水预处理后最终送至城陵矶新港区污水处理厂，属于间接排放，根据《环境影响评价技术导则—地表水环境》（HJ2.3-2018），确定项目地表水环境评价等级为三级B，主要评价内容包括水污染控制和水环境影响减缓措施有效性评价（废水达标排放分析）及依托污水处理设施的环境可行性评价。</w:t>
            </w:r>
          </w:p>
          <w:p>
            <w:pPr>
              <w:spacing w:line="360" w:lineRule="auto"/>
              <w:ind w:firstLine="480" w:firstLineChars="200"/>
              <w:jc w:val="left"/>
              <w:rPr>
                <w:sz w:val="24"/>
                <w:szCs w:val="24"/>
              </w:rPr>
            </w:pPr>
            <w:r>
              <w:rPr>
                <w:sz w:val="24"/>
              </w:rPr>
              <w:t>（2）废水</w:t>
            </w:r>
            <w:r>
              <w:rPr>
                <w:rFonts w:hint="eastAsia"/>
                <w:sz w:val="24"/>
              </w:rPr>
              <w:t>现有</w:t>
            </w:r>
            <w:r>
              <w:rPr>
                <w:sz w:val="24"/>
              </w:rPr>
              <w:t>处理措施的有效性及依托污水处理厂的可行性</w:t>
            </w:r>
          </w:p>
          <w:p>
            <w:pPr>
              <w:spacing w:line="360" w:lineRule="auto"/>
              <w:ind w:firstLine="480" w:firstLineChars="200"/>
              <w:jc w:val="left"/>
              <w:rPr>
                <w:sz w:val="24"/>
                <w:u w:val="single"/>
              </w:rPr>
            </w:pPr>
            <w:r>
              <w:rPr>
                <w:sz w:val="24"/>
                <w:u w:val="single"/>
              </w:rPr>
              <w:t>①废水</w:t>
            </w:r>
            <w:r>
              <w:rPr>
                <w:rFonts w:hint="eastAsia"/>
                <w:sz w:val="24"/>
                <w:u w:val="single"/>
              </w:rPr>
              <w:t>现有</w:t>
            </w:r>
            <w:r>
              <w:rPr>
                <w:sz w:val="24"/>
                <w:u w:val="single"/>
              </w:rPr>
              <w:t>处理措施的有效性分析</w:t>
            </w:r>
          </w:p>
          <w:p>
            <w:pPr>
              <w:spacing w:line="360" w:lineRule="auto"/>
              <w:ind w:firstLine="480" w:firstLineChars="200"/>
              <w:jc w:val="left"/>
              <w:rPr>
                <w:sz w:val="24"/>
                <w:szCs w:val="22"/>
                <w:u w:val="single"/>
              </w:rPr>
            </w:pPr>
            <w:r>
              <w:rPr>
                <w:rFonts w:hint="eastAsia"/>
                <w:sz w:val="24"/>
                <w:szCs w:val="24"/>
                <w:u w:val="single"/>
              </w:rPr>
              <w:t>项目生活废水和</w:t>
            </w:r>
            <w:r>
              <w:rPr>
                <w:sz w:val="24"/>
                <w:szCs w:val="24"/>
                <w:u w:val="single"/>
              </w:rPr>
              <w:t>地面清洗废水及汽车清洗废水</w:t>
            </w:r>
            <w:r>
              <w:rPr>
                <w:sz w:val="24"/>
                <w:szCs w:val="22"/>
                <w:u w:val="single"/>
              </w:rPr>
              <w:t>经</w:t>
            </w:r>
            <w:r>
              <w:rPr>
                <w:rFonts w:hint="eastAsia"/>
                <w:sz w:val="24"/>
                <w:szCs w:val="24"/>
                <w:u w:val="single"/>
              </w:rPr>
              <w:t>隔油池</w:t>
            </w:r>
            <w:r>
              <w:rPr>
                <w:sz w:val="24"/>
                <w:szCs w:val="22"/>
                <w:u w:val="single"/>
              </w:rPr>
              <w:t>处理</w:t>
            </w:r>
            <w:r>
              <w:rPr>
                <w:rFonts w:hint="eastAsia"/>
                <w:szCs w:val="24"/>
                <w:u w:val="single"/>
              </w:rPr>
              <w:t>后</w:t>
            </w:r>
            <w:r>
              <w:rPr>
                <w:rFonts w:hint="eastAsia"/>
                <w:sz w:val="24"/>
                <w:szCs w:val="22"/>
                <w:u w:val="single"/>
              </w:rPr>
              <w:t>通过市政污水管网进入</w:t>
            </w:r>
            <w:r>
              <w:rPr>
                <w:sz w:val="24"/>
                <w:szCs w:val="22"/>
                <w:u w:val="single"/>
              </w:rPr>
              <w:t>城陵矶新港区污水处理厂处理达标后排放。</w:t>
            </w:r>
            <w:r>
              <w:rPr>
                <w:rFonts w:hint="eastAsia"/>
                <w:sz w:val="24"/>
                <w:szCs w:val="22"/>
                <w:u w:val="single"/>
              </w:rPr>
              <w:t>本次对</w:t>
            </w:r>
            <w:r>
              <w:rPr>
                <w:rFonts w:hint="eastAsia"/>
                <w:sz w:val="24"/>
                <w:szCs w:val="24"/>
                <w:u w:val="single"/>
              </w:rPr>
              <w:t>项目废水总排放口中各污染物进行了现状监测（详见表1-6），项目处理后生产废水各污染因子能满足《汽车维修业水污染物排放标准》（</w:t>
            </w:r>
            <w:r>
              <w:rPr>
                <w:sz w:val="24"/>
                <w:szCs w:val="24"/>
                <w:u w:val="single"/>
              </w:rPr>
              <w:t>GB26877-2011</w:t>
            </w:r>
            <w:r>
              <w:rPr>
                <w:rFonts w:hint="eastAsia"/>
                <w:sz w:val="24"/>
                <w:szCs w:val="24"/>
                <w:u w:val="single"/>
              </w:rPr>
              <w:t>）中表</w:t>
            </w:r>
            <w:r>
              <w:rPr>
                <w:sz w:val="24"/>
                <w:szCs w:val="24"/>
                <w:u w:val="single"/>
              </w:rPr>
              <w:t>2</w:t>
            </w:r>
            <w:r>
              <w:rPr>
                <w:rFonts w:hint="eastAsia"/>
                <w:sz w:val="24"/>
                <w:szCs w:val="24"/>
                <w:u w:val="single"/>
              </w:rPr>
              <w:t>规定的水污染物排放限值（</w:t>
            </w:r>
            <w:r>
              <w:rPr>
                <w:sz w:val="24"/>
                <w:szCs w:val="24"/>
                <w:u w:val="single"/>
              </w:rPr>
              <w:t>pH</w:t>
            </w:r>
            <w:r>
              <w:rPr>
                <w:rFonts w:hint="eastAsia"/>
                <w:sz w:val="24"/>
                <w:szCs w:val="24"/>
                <w:u w:val="single"/>
              </w:rPr>
              <w:t>：</w:t>
            </w:r>
            <w:r>
              <w:rPr>
                <w:sz w:val="24"/>
                <w:szCs w:val="24"/>
                <w:u w:val="single"/>
              </w:rPr>
              <w:t>6~9</w:t>
            </w:r>
            <w:r>
              <w:rPr>
                <w:rFonts w:hint="eastAsia"/>
                <w:sz w:val="24"/>
                <w:szCs w:val="24"/>
                <w:u w:val="single"/>
              </w:rPr>
              <w:t>、</w:t>
            </w:r>
            <w:r>
              <w:rPr>
                <w:sz w:val="24"/>
                <w:szCs w:val="24"/>
                <w:u w:val="single"/>
              </w:rPr>
              <w:t>COD：</w:t>
            </w:r>
            <w:r>
              <w:rPr>
                <w:rFonts w:hint="eastAsia"/>
                <w:sz w:val="24"/>
                <w:szCs w:val="24"/>
                <w:u w:val="single"/>
              </w:rPr>
              <w:t>300</w:t>
            </w:r>
            <w:r>
              <w:rPr>
                <w:sz w:val="24"/>
                <w:szCs w:val="24"/>
                <w:u w:val="single"/>
              </w:rPr>
              <w:t>mg/L</w:t>
            </w:r>
            <w:r>
              <w:rPr>
                <w:rFonts w:hint="eastAsia"/>
                <w:sz w:val="24"/>
                <w:szCs w:val="24"/>
                <w:u w:val="single"/>
              </w:rPr>
              <w:t>、</w:t>
            </w:r>
            <w:r>
              <w:rPr>
                <w:sz w:val="24"/>
                <w:szCs w:val="24"/>
                <w:u w:val="single"/>
              </w:rPr>
              <w:t>BOD</w:t>
            </w:r>
            <w:r>
              <w:rPr>
                <w:sz w:val="24"/>
                <w:szCs w:val="24"/>
                <w:u w:val="single"/>
                <w:vertAlign w:val="subscript"/>
              </w:rPr>
              <w:t>5</w:t>
            </w:r>
            <w:r>
              <w:rPr>
                <w:sz w:val="24"/>
                <w:szCs w:val="24"/>
                <w:u w:val="single"/>
              </w:rPr>
              <w:t>：</w:t>
            </w:r>
            <w:r>
              <w:rPr>
                <w:rFonts w:hint="eastAsia"/>
                <w:sz w:val="24"/>
                <w:szCs w:val="24"/>
                <w:u w:val="single"/>
              </w:rPr>
              <w:t>150</w:t>
            </w:r>
            <w:r>
              <w:rPr>
                <w:sz w:val="24"/>
                <w:szCs w:val="24"/>
                <w:u w:val="single"/>
              </w:rPr>
              <w:t>mg/L</w:t>
            </w:r>
            <w:r>
              <w:rPr>
                <w:rFonts w:hint="eastAsia"/>
                <w:sz w:val="24"/>
                <w:szCs w:val="24"/>
                <w:u w:val="single"/>
              </w:rPr>
              <w:t>、</w:t>
            </w:r>
            <w:r>
              <w:rPr>
                <w:sz w:val="24"/>
                <w:szCs w:val="24"/>
                <w:u w:val="single"/>
              </w:rPr>
              <w:t>SS：</w:t>
            </w:r>
            <w:r>
              <w:rPr>
                <w:rFonts w:hint="eastAsia"/>
                <w:sz w:val="24"/>
                <w:szCs w:val="24"/>
                <w:u w:val="single"/>
              </w:rPr>
              <w:t>100</w:t>
            </w:r>
            <w:r>
              <w:rPr>
                <w:sz w:val="24"/>
                <w:szCs w:val="24"/>
                <w:u w:val="single"/>
              </w:rPr>
              <w:t>mg/L</w:t>
            </w:r>
            <w:r>
              <w:rPr>
                <w:rFonts w:hint="eastAsia"/>
                <w:sz w:val="24"/>
                <w:szCs w:val="24"/>
                <w:u w:val="single"/>
              </w:rPr>
              <w:t>、</w:t>
            </w:r>
            <w:r>
              <w:rPr>
                <w:sz w:val="24"/>
                <w:szCs w:val="24"/>
                <w:u w:val="single"/>
              </w:rPr>
              <w:t>氨氮：</w:t>
            </w:r>
            <w:r>
              <w:rPr>
                <w:rFonts w:hint="eastAsia"/>
                <w:sz w:val="24"/>
                <w:szCs w:val="24"/>
                <w:u w:val="single"/>
              </w:rPr>
              <w:t>25</w:t>
            </w:r>
            <w:r>
              <w:rPr>
                <w:sz w:val="24"/>
                <w:szCs w:val="24"/>
                <w:u w:val="single"/>
              </w:rPr>
              <w:t>mg/L</w:t>
            </w:r>
            <w:r>
              <w:rPr>
                <w:rFonts w:hint="eastAsia"/>
                <w:sz w:val="24"/>
                <w:szCs w:val="24"/>
                <w:u w:val="single"/>
              </w:rPr>
              <w:t>、</w:t>
            </w:r>
            <w:r>
              <w:rPr>
                <w:sz w:val="24"/>
                <w:szCs w:val="24"/>
                <w:u w:val="single"/>
              </w:rPr>
              <w:t>石油类：</w:t>
            </w:r>
            <w:r>
              <w:rPr>
                <w:rFonts w:hint="eastAsia"/>
                <w:sz w:val="24"/>
                <w:szCs w:val="24"/>
                <w:u w:val="single"/>
              </w:rPr>
              <w:t>10</w:t>
            </w:r>
            <w:r>
              <w:rPr>
                <w:sz w:val="24"/>
                <w:szCs w:val="24"/>
                <w:u w:val="single"/>
              </w:rPr>
              <w:t>mg/L</w:t>
            </w:r>
            <w:r>
              <w:rPr>
                <w:rFonts w:hint="eastAsia"/>
                <w:sz w:val="24"/>
                <w:szCs w:val="24"/>
                <w:u w:val="single"/>
              </w:rPr>
              <w:t>、阴离子表面活性剂</w:t>
            </w:r>
            <w:r>
              <w:rPr>
                <w:sz w:val="24"/>
                <w:szCs w:val="24"/>
                <w:u w:val="single"/>
              </w:rPr>
              <w:t>：</w:t>
            </w:r>
            <w:r>
              <w:rPr>
                <w:rFonts w:hint="eastAsia"/>
                <w:sz w:val="24"/>
                <w:szCs w:val="24"/>
                <w:u w:val="single"/>
              </w:rPr>
              <w:t>10</w:t>
            </w:r>
            <w:r>
              <w:rPr>
                <w:sz w:val="24"/>
                <w:szCs w:val="24"/>
                <w:u w:val="single"/>
              </w:rPr>
              <w:t>mg/L</w:t>
            </w:r>
            <w:r>
              <w:rPr>
                <w:rFonts w:hint="eastAsia"/>
                <w:sz w:val="24"/>
                <w:szCs w:val="24"/>
                <w:u w:val="single"/>
              </w:rPr>
              <w:t>）</w:t>
            </w:r>
            <w:r>
              <w:rPr>
                <w:sz w:val="24"/>
                <w:szCs w:val="24"/>
                <w:u w:val="single"/>
              </w:rPr>
              <w:t>要求</w:t>
            </w:r>
            <w:r>
              <w:rPr>
                <w:rFonts w:hint="eastAsia"/>
                <w:sz w:val="24"/>
                <w:u w:val="single"/>
              </w:rPr>
              <w:t>，同时根据《</w:t>
            </w:r>
            <w:r>
              <w:rPr>
                <w:sz w:val="24"/>
                <w:u w:val="single"/>
              </w:rPr>
              <w:t>&lt;</w:t>
            </w:r>
            <w:r>
              <w:rPr>
                <w:rFonts w:hint="eastAsia"/>
                <w:sz w:val="24"/>
                <w:u w:val="single"/>
              </w:rPr>
              <w:t>汽车修理养护业水污染物排放标准</w:t>
            </w:r>
            <w:r>
              <w:rPr>
                <w:sz w:val="24"/>
                <w:u w:val="single"/>
              </w:rPr>
              <w:t>&gt;</w:t>
            </w:r>
            <w:r>
              <w:rPr>
                <w:rFonts w:hint="eastAsia"/>
                <w:sz w:val="24"/>
                <w:u w:val="single"/>
              </w:rPr>
              <w:t>编制说明》中汽修厂废水处理工艺及处理效果表，汽修厂废水经三级沉淀处理后，</w:t>
            </w:r>
            <w:r>
              <w:rPr>
                <w:sz w:val="24"/>
                <w:u w:val="single"/>
              </w:rPr>
              <w:t>COD</w:t>
            </w:r>
            <w:r>
              <w:rPr>
                <w:rFonts w:hint="eastAsia"/>
                <w:sz w:val="24"/>
                <w:u w:val="single"/>
              </w:rPr>
              <w:t>、氨氮、</w:t>
            </w:r>
            <w:r>
              <w:rPr>
                <w:sz w:val="24"/>
                <w:u w:val="single"/>
              </w:rPr>
              <w:t>SS</w:t>
            </w:r>
            <w:r>
              <w:rPr>
                <w:rFonts w:hint="eastAsia"/>
                <w:sz w:val="24"/>
                <w:u w:val="single"/>
              </w:rPr>
              <w:t>和石油类排放浓度均能达到《汽车维修业水污染物排放标准》（</w:t>
            </w:r>
            <w:r>
              <w:rPr>
                <w:sz w:val="24"/>
                <w:u w:val="single"/>
              </w:rPr>
              <w:t>GB26877-2011</w:t>
            </w:r>
            <w:r>
              <w:rPr>
                <w:rFonts w:hint="eastAsia"/>
                <w:sz w:val="24"/>
                <w:u w:val="single"/>
              </w:rPr>
              <w:t>）中表</w:t>
            </w:r>
            <w:r>
              <w:rPr>
                <w:sz w:val="24"/>
                <w:u w:val="single"/>
              </w:rPr>
              <w:t>2</w:t>
            </w:r>
            <w:r>
              <w:rPr>
                <w:rFonts w:hint="eastAsia"/>
                <w:sz w:val="24"/>
                <w:u w:val="single"/>
              </w:rPr>
              <w:t>间接排放标准，且项目废水排入临港新区污水处理厂，污水处理厂能够满足其接管标准要求，因此，现有</w:t>
            </w:r>
            <w:r>
              <w:rPr>
                <w:rFonts w:hint="eastAsia"/>
                <w:sz w:val="24"/>
                <w:szCs w:val="24"/>
                <w:u w:val="single"/>
              </w:rPr>
              <w:t>措施可行。</w:t>
            </w:r>
          </w:p>
          <w:p>
            <w:pPr>
              <w:spacing w:line="360" w:lineRule="auto"/>
              <w:ind w:firstLine="480" w:firstLineChars="200"/>
              <w:jc w:val="left"/>
              <w:rPr>
                <w:sz w:val="24"/>
                <w:szCs w:val="24"/>
                <w:u w:val="single"/>
              </w:rPr>
            </w:pPr>
            <w:r>
              <w:rPr>
                <w:sz w:val="24"/>
                <w:szCs w:val="24"/>
                <w:u w:val="single"/>
              </w:rPr>
              <w:t>②依托污水处理厂的可行性分析</w:t>
            </w:r>
          </w:p>
          <w:p>
            <w:pPr>
              <w:spacing w:line="360" w:lineRule="auto"/>
              <w:ind w:firstLine="480" w:firstLineChars="200"/>
              <w:rPr>
                <w:sz w:val="24"/>
                <w:szCs w:val="24"/>
                <w:u w:val="single"/>
              </w:rPr>
            </w:pPr>
            <w:r>
              <w:rPr>
                <w:rFonts w:hint="eastAsia"/>
                <w:sz w:val="24"/>
                <w:u w:val="single"/>
              </w:rPr>
              <w:t>本</w:t>
            </w:r>
            <w:r>
              <w:rPr>
                <w:sz w:val="24"/>
                <w:u w:val="single"/>
              </w:rPr>
              <w:t>废水</w:t>
            </w:r>
            <w:r>
              <w:rPr>
                <w:rFonts w:hint="eastAsia"/>
                <w:sz w:val="24"/>
                <w:u w:val="single"/>
              </w:rPr>
              <w:t>已</w:t>
            </w:r>
            <w:r>
              <w:rPr>
                <w:sz w:val="24"/>
                <w:u w:val="single"/>
              </w:rPr>
              <w:t>接排入污水处理厂，且项目所在区域属于其服务范围，因此废水经预处理后直接排入市政污水管网对接排入新区污水处理厂内进一步处理达标外排。</w:t>
            </w:r>
          </w:p>
          <w:p>
            <w:pPr>
              <w:adjustRightInd w:val="0"/>
              <w:snapToGrid w:val="0"/>
              <w:spacing w:line="360" w:lineRule="auto"/>
              <w:ind w:firstLine="480" w:firstLineChars="200"/>
              <w:rPr>
                <w:sz w:val="24"/>
                <w:szCs w:val="24"/>
                <w:u w:val="single"/>
              </w:rPr>
            </w:pPr>
            <w:r>
              <w:rPr>
                <w:sz w:val="24"/>
                <w:szCs w:val="24"/>
                <w:u w:val="single"/>
              </w:rPr>
              <w:t>城陵矶新港区污水处理厂东邻沿江大道，西靠长江大堤，处于云港路与沿江路的交界处，于2014年7月取得岳阳市环境保护局环评批复，2016年建成，设计处理能力3万吨/天，主要采用CASS工艺，出水达《城镇污水处理厂污染物排放标准》（GB18918-2002）一级B排放标准，尾水排至长江。2019年2月完成了《城陵矶新港区污水处理厂一期提标改造工程项目环境影响报告表》的编制，已经通过岳阳市生态环境局城陵矶新港区分局审批（岳港环批〔2019〕4号）</w:t>
            </w:r>
            <w:r>
              <w:rPr>
                <w:sz w:val="24"/>
                <w:u w:val="single"/>
              </w:rPr>
              <w:t>，提标改造规模为3万吨/天。目前已改造完成，管道接纳标准为COD≤500 mg/L、BOD</w:t>
            </w:r>
            <w:r>
              <w:rPr>
                <w:sz w:val="24"/>
                <w:u w:val="single"/>
                <w:vertAlign w:val="subscript"/>
              </w:rPr>
              <w:t>5</w:t>
            </w:r>
            <w:r>
              <w:rPr>
                <w:sz w:val="24"/>
                <w:u w:val="single"/>
              </w:rPr>
              <w:t>≤300 mg/L、SS≤400 mg/L、NH</w:t>
            </w:r>
            <w:r>
              <w:rPr>
                <w:sz w:val="24"/>
                <w:u w:val="single"/>
                <w:vertAlign w:val="subscript"/>
              </w:rPr>
              <w:t>3</w:t>
            </w:r>
            <w:r>
              <w:rPr>
                <w:sz w:val="24"/>
                <w:u w:val="single"/>
              </w:rPr>
              <w:t>-N≤45 mg/L、TN≤70 mg/L、TP≤8 mg/L、石油类≤15 mg/L，出水水质执行《城镇污水处理厂污染物排放标准》（GB18918-2002）一级A标准</w:t>
            </w:r>
            <w:r>
              <w:rPr>
                <w:sz w:val="24"/>
                <w:szCs w:val="24"/>
                <w:u w:val="single"/>
              </w:rPr>
              <w:t>，尾水</w:t>
            </w:r>
            <w:r>
              <w:rPr>
                <w:sz w:val="24"/>
                <w:szCs w:val="22"/>
                <w:u w:val="single"/>
              </w:rPr>
              <w:t>经象骨港汇入长江</w:t>
            </w:r>
            <w:r>
              <w:rPr>
                <w:sz w:val="24"/>
                <w:szCs w:val="24"/>
                <w:u w:val="single"/>
              </w:rPr>
              <w:t>。</w:t>
            </w:r>
          </w:p>
          <w:p>
            <w:pPr>
              <w:adjustRightInd w:val="0"/>
              <w:snapToGrid w:val="0"/>
              <w:spacing w:line="360" w:lineRule="auto"/>
              <w:jc w:val="center"/>
              <w:rPr>
                <w:sz w:val="24"/>
                <w:szCs w:val="24"/>
              </w:rPr>
            </w:pPr>
            <w:r>
              <w:drawing>
                <wp:inline distT="0" distB="0" distL="114300" distR="114300">
                  <wp:extent cx="4198620" cy="1870710"/>
                  <wp:effectExtent l="0" t="0" r="1143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7" cstate="print"/>
                          <a:stretch>
                            <a:fillRect/>
                          </a:stretch>
                        </pic:blipFill>
                        <pic:spPr>
                          <a:xfrm>
                            <a:off x="0" y="0"/>
                            <a:ext cx="4198620" cy="1870710"/>
                          </a:xfrm>
                          <a:prstGeom prst="rect">
                            <a:avLst/>
                          </a:prstGeom>
                          <a:noFill/>
                          <a:ln>
                            <a:noFill/>
                          </a:ln>
                        </pic:spPr>
                      </pic:pic>
                    </a:graphicData>
                  </a:graphic>
                </wp:inline>
              </w:drawing>
            </w:r>
          </w:p>
          <w:p>
            <w:pPr>
              <w:jc w:val="center"/>
              <w:rPr>
                <w:b/>
                <w:bCs/>
                <w:szCs w:val="21"/>
              </w:rPr>
            </w:pPr>
            <w:r>
              <w:rPr>
                <w:b/>
                <w:bCs/>
                <w:szCs w:val="21"/>
              </w:rPr>
              <w:t>图7-1  城陵矶新港区污水处理厂CASS工艺流程图</w:t>
            </w:r>
          </w:p>
          <w:p>
            <w:pPr>
              <w:spacing w:line="360" w:lineRule="auto"/>
              <w:ind w:firstLine="480" w:firstLineChars="200"/>
              <w:rPr>
                <w:sz w:val="24"/>
                <w:u w:val="single"/>
              </w:rPr>
            </w:pPr>
            <w:r>
              <w:rPr>
                <w:sz w:val="24"/>
                <w:szCs w:val="24"/>
                <w:u w:val="single"/>
              </w:rPr>
              <w:t>本项目废水最大排放量约为</w:t>
            </w:r>
            <w:r>
              <w:rPr>
                <w:rFonts w:hint="eastAsia"/>
                <w:sz w:val="24"/>
                <w:szCs w:val="24"/>
                <w:u w:val="single"/>
              </w:rPr>
              <w:t>10.25</w:t>
            </w:r>
            <w:r>
              <w:rPr>
                <w:sz w:val="24"/>
                <w:szCs w:val="24"/>
                <w:u w:val="single"/>
              </w:rPr>
              <w:t>t/d，仅占设计处理能力的的0.0</w:t>
            </w:r>
            <w:r>
              <w:rPr>
                <w:rFonts w:hint="eastAsia"/>
                <w:sz w:val="24"/>
                <w:szCs w:val="24"/>
                <w:u w:val="single"/>
              </w:rPr>
              <w:t>34</w:t>
            </w:r>
            <w:r>
              <w:rPr>
                <w:sz w:val="24"/>
                <w:szCs w:val="24"/>
                <w:u w:val="single"/>
              </w:rPr>
              <w:t>%；项目各类废水经预处理后可满足排放要求，因此不会对城陵矶新港区污水处理厂造成冲击。</w:t>
            </w:r>
          </w:p>
          <w:p>
            <w:pPr>
              <w:spacing w:line="360" w:lineRule="auto"/>
              <w:ind w:firstLine="480" w:firstLineChars="200"/>
              <w:rPr>
                <w:sz w:val="24"/>
                <w:u w:val="single"/>
              </w:rPr>
            </w:pPr>
            <w:r>
              <w:rPr>
                <w:sz w:val="24"/>
                <w:u w:val="single"/>
              </w:rPr>
              <w:t>综上所述可知：本项目采取上述措施后，废水能够达标排放，对纳污水体影响较小，不会降低其水质标准。</w:t>
            </w:r>
          </w:p>
          <w:p>
            <w:pPr>
              <w:spacing w:line="360" w:lineRule="auto"/>
              <w:ind w:firstLine="240" w:firstLineChars="100"/>
              <w:rPr>
                <w:sz w:val="24"/>
              </w:rPr>
            </w:pPr>
            <w:r>
              <w:rPr>
                <w:sz w:val="24"/>
              </w:rPr>
              <w:t>（3）项目废水污染物排放信息表</w:t>
            </w:r>
          </w:p>
          <w:p>
            <w:pPr>
              <w:spacing w:line="360" w:lineRule="auto"/>
              <w:ind w:firstLine="480" w:firstLineChars="200"/>
              <w:rPr>
                <w:sz w:val="24"/>
              </w:rPr>
            </w:pPr>
            <w:r>
              <w:rPr>
                <w:sz w:val="24"/>
              </w:rPr>
              <w:t>根据《环境影响评价技术导则 地表水环境》（HJ 2.3-2018）：间接排放建设项目污染源排放量核算根据依托污水处理设施的控制要求核算确定。项目废水</w:t>
            </w:r>
            <w:r>
              <w:rPr>
                <w:rFonts w:hint="eastAsia"/>
                <w:sz w:val="24"/>
              </w:rPr>
              <w:t>进入</w:t>
            </w:r>
            <w:r>
              <w:rPr>
                <w:sz w:val="24"/>
              </w:rPr>
              <w:t>城陵矶新港区污水处理厂</w:t>
            </w:r>
            <w:r>
              <w:rPr>
                <w:rFonts w:hint="eastAsia"/>
                <w:sz w:val="24"/>
              </w:rPr>
              <w:t>深度</w:t>
            </w:r>
            <w:r>
              <w:rPr>
                <w:sz w:val="24"/>
              </w:rPr>
              <w:t>处置，则项目废水污染排放量按照《城镇污水处理厂污染物排放标准》（GB18918-2002）一级 A 标准进行核算。</w:t>
            </w:r>
          </w:p>
          <w:p>
            <w:pPr>
              <w:spacing w:line="360" w:lineRule="auto"/>
              <w:ind w:firstLine="480" w:firstLineChars="200"/>
              <w:rPr>
                <w:sz w:val="24"/>
              </w:rPr>
            </w:pPr>
            <w:r>
              <w:rPr>
                <w:sz w:val="24"/>
              </w:rPr>
              <w:t>本项目外排废水污染物信息表情况见表7-6至表7-9。</w:t>
            </w:r>
          </w:p>
          <w:p>
            <w:pPr>
              <w:jc w:val="center"/>
              <w:rPr>
                <w:b/>
                <w:bCs/>
                <w:szCs w:val="21"/>
              </w:rPr>
            </w:pPr>
            <w:r>
              <w:rPr>
                <w:b/>
                <w:bCs/>
                <w:szCs w:val="21"/>
              </w:rPr>
              <w:t>表7-6   废水类别、污染物及污染治理设施信息表</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81"/>
              <w:gridCol w:w="1232"/>
              <w:gridCol w:w="566"/>
              <w:gridCol w:w="550"/>
              <w:gridCol w:w="603"/>
              <w:gridCol w:w="652"/>
              <w:gridCol w:w="811"/>
              <w:gridCol w:w="881"/>
              <w:gridCol w:w="886"/>
              <w:gridCol w:w="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51" w:type="dxa"/>
                  <w:vMerge w:val="restart"/>
                  <w:tcBorders>
                    <w:tl2br w:val="nil"/>
                    <w:tr2bl w:val="nil"/>
                  </w:tcBorders>
                  <w:vAlign w:val="center"/>
                </w:tcPr>
                <w:p>
                  <w:pPr>
                    <w:spacing w:line="240" w:lineRule="exact"/>
                    <w:jc w:val="center"/>
                    <w:rPr>
                      <w:b/>
                      <w:bCs/>
                      <w:szCs w:val="21"/>
                    </w:rPr>
                  </w:pPr>
                  <w:r>
                    <w:rPr>
                      <w:b/>
                      <w:bCs/>
                      <w:szCs w:val="21"/>
                    </w:rPr>
                    <w:t>序号</w:t>
                  </w:r>
                </w:p>
              </w:tc>
              <w:tc>
                <w:tcPr>
                  <w:tcW w:w="681" w:type="dxa"/>
                  <w:vMerge w:val="restart"/>
                  <w:tcBorders>
                    <w:tl2br w:val="nil"/>
                    <w:tr2bl w:val="nil"/>
                  </w:tcBorders>
                  <w:vAlign w:val="center"/>
                </w:tcPr>
                <w:p>
                  <w:pPr>
                    <w:spacing w:line="240" w:lineRule="exact"/>
                    <w:jc w:val="center"/>
                    <w:rPr>
                      <w:b/>
                      <w:bCs/>
                      <w:szCs w:val="21"/>
                    </w:rPr>
                  </w:pPr>
                  <w:r>
                    <w:rPr>
                      <w:b/>
                      <w:bCs/>
                      <w:szCs w:val="21"/>
                    </w:rPr>
                    <w:t>废水类别</w:t>
                  </w:r>
                </w:p>
              </w:tc>
              <w:tc>
                <w:tcPr>
                  <w:tcW w:w="1232" w:type="dxa"/>
                  <w:vMerge w:val="restart"/>
                  <w:tcBorders>
                    <w:tl2br w:val="nil"/>
                    <w:tr2bl w:val="nil"/>
                  </w:tcBorders>
                  <w:vAlign w:val="center"/>
                </w:tcPr>
                <w:p>
                  <w:pPr>
                    <w:spacing w:line="240" w:lineRule="exact"/>
                    <w:jc w:val="center"/>
                    <w:rPr>
                      <w:b/>
                      <w:bCs/>
                      <w:szCs w:val="21"/>
                    </w:rPr>
                  </w:pPr>
                  <w:r>
                    <w:rPr>
                      <w:b/>
                      <w:bCs/>
                      <w:szCs w:val="21"/>
                    </w:rPr>
                    <w:t>污染物种类</w:t>
                  </w:r>
                </w:p>
              </w:tc>
              <w:tc>
                <w:tcPr>
                  <w:tcW w:w="566" w:type="dxa"/>
                  <w:vMerge w:val="restart"/>
                  <w:tcBorders>
                    <w:tl2br w:val="nil"/>
                    <w:tr2bl w:val="nil"/>
                  </w:tcBorders>
                  <w:vAlign w:val="center"/>
                </w:tcPr>
                <w:p>
                  <w:pPr>
                    <w:spacing w:line="240" w:lineRule="exact"/>
                    <w:jc w:val="center"/>
                    <w:rPr>
                      <w:b/>
                      <w:bCs/>
                      <w:szCs w:val="21"/>
                    </w:rPr>
                  </w:pPr>
                  <w:r>
                    <w:rPr>
                      <w:b/>
                      <w:bCs/>
                      <w:szCs w:val="21"/>
                    </w:rPr>
                    <w:t>排水去向</w:t>
                  </w:r>
                </w:p>
              </w:tc>
              <w:tc>
                <w:tcPr>
                  <w:tcW w:w="550" w:type="dxa"/>
                  <w:vMerge w:val="restart"/>
                  <w:tcBorders>
                    <w:tl2br w:val="nil"/>
                    <w:tr2bl w:val="nil"/>
                  </w:tcBorders>
                  <w:vAlign w:val="center"/>
                </w:tcPr>
                <w:p>
                  <w:pPr>
                    <w:spacing w:line="240" w:lineRule="exact"/>
                    <w:jc w:val="center"/>
                    <w:rPr>
                      <w:b/>
                      <w:bCs/>
                      <w:szCs w:val="21"/>
                    </w:rPr>
                  </w:pPr>
                  <w:r>
                    <w:rPr>
                      <w:b/>
                      <w:bCs/>
                      <w:szCs w:val="21"/>
                    </w:rPr>
                    <w:t>排放规律性</w:t>
                  </w:r>
                </w:p>
              </w:tc>
              <w:tc>
                <w:tcPr>
                  <w:tcW w:w="2066" w:type="dxa"/>
                  <w:gridSpan w:val="3"/>
                  <w:tcBorders>
                    <w:tl2br w:val="nil"/>
                    <w:tr2bl w:val="nil"/>
                  </w:tcBorders>
                  <w:vAlign w:val="center"/>
                </w:tcPr>
                <w:p>
                  <w:pPr>
                    <w:spacing w:line="240" w:lineRule="exact"/>
                    <w:jc w:val="center"/>
                    <w:rPr>
                      <w:b/>
                      <w:bCs/>
                      <w:szCs w:val="21"/>
                    </w:rPr>
                  </w:pPr>
                  <w:r>
                    <w:rPr>
                      <w:b/>
                      <w:bCs/>
                      <w:szCs w:val="21"/>
                    </w:rPr>
                    <w:t>污染治理设施</w:t>
                  </w:r>
                </w:p>
              </w:tc>
              <w:tc>
                <w:tcPr>
                  <w:tcW w:w="881" w:type="dxa"/>
                  <w:vMerge w:val="restart"/>
                  <w:tcBorders>
                    <w:tl2br w:val="nil"/>
                    <w:tr2bl w:val="nil"/>
                  </w:tcBorders>
                  <w:vAlign w:val="center"/>
                </w:tcPr>
                <w:p>
                  <w:pPr>
                    <w:spacing w:line="240" w:lineRule="exact"/>
                    <w:jc w:val="center"/>
                    <w:rPr>
                      <w:b/>
                      <w:bCs/>
                      <w:szCs w:val="21"/>
                    </w:rPr>
                  </w:pPr>
                  <w:r>
                    <w:rPr>
                      <w:b/>
                      <w:bCs/>
                      <w:szCs w:val="21"/>
                    </w:rPr>
                    <w:t>排放</w:t>
                  </w:r>
                </w:p>
                <w:p>
                  <w:pPr>
                    <w:spacing w:line="240" w:lineRule="exact"/>
                    <w:jc w:val="center"/>
                    <w:rPr>
                      <w:b/>
                      <w:bCs/>
                      <w:szCs w:val="21"/>
                    </w:rPr>
                  </w:pPr>
                  <w:r>
                    <w:rPr>
                      <w:b/>
                      <w:bCs/>
                      <w:szCs w:val="21"/>
                    </w:rPr>
                    <w:t>口编</w:t>
                  </w:r>
                </w:p>
                <w:p>
                  <w:pPr>
                    <w:spacing w:line="240" w:lineRule="exact"/>
                    <w:jc w:val="center"/>
                    <w:rPr>
                      <w:b/>
                      <w:bCs/>
                      <w:szCs w:val="21"/>
                    </w:rPr>
                  </w:pPr>
                  <w:r>
                    <w:rPr>
                      <w:b/>
                      <w:bCs/>
                      <w:szCs w:val="21"/>
                    </w:rPr>
                    <w:t>号</w:t>
                  </w:r>
                </w:p>
              </w:tc>
              <w:tc>
                <w:tcPr>
                  <w:tcW w:w="886" w:type="dxa"/>
                  <w:vMerge w:val="restart"/>
                  <w:tcBorders>
                    <w:tl2br w:val="nil"/>
                    <w:tr2bl w:val="nil"/>
                  </w:tcBorders>
                  <w:vAlign w:val="center"/>
                </w:tcPr>
                <w:p>
                  <w:pPr>
                    <w:spacing w:line="240" w:lineRule="exact"/>
                    <w:jc w:val="center"/>
                    <w:rPr>
                      <w:b/>
                      <w:bCs/>
                      <w:szCs w:val="21"/>
                    </w:rPr>
                  </w:pPr>
                  <w:r>
                    <w:rPr>
                      <w:b/>
                      <w:bCs/>
                      <w:szCs w:val="21"/>
                    </w:rPr>
                    <w:t>排放口设置是否符合要求</w:t>
                  </w:r>
                </w:p>
              </w:tc>
              <w:tc>
                <w:tcPr>
                  <w:tcW w:w="969" w:type="dxa"/>
                  <w:vMerge w:val="restart"/>
                  <w:tcBorders>
                    <w:tl2br w:val="nil"/>
                    <w:tr2bl w:val="nil"/>
                  </w:tcBorders>
                  <w:vAlign w:val="center"/>
                </w:tcPr>
                <w:p>
                  <w:pPr>
                    <w:spacing w:line="240" w:lineRule="exact"/>
                    <w:jc w:val="center"/>
                    <w:rPr>
                      <w:b/>
                      <w:bCs/>
                      <w:szCs w:val="21"/>
                    </w:rPr>
                  </w:pPr>
                  <w:r>
                    <w:rPr>
                      <w:b/>
                      <w:bCs/>
                      <w:szCs w:val="21"/>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51" w:type="dxa"/>
                  <w:vMerge w:val="continue"/>
                  <w:tcBorders>
                    <w:tl2br w:val="nil"/>
                    <w:tr2bl w:val="nil"/>
                  </w:tcBorders>
                  <w:vAlign w:val="center"/>
                </w:tcPr>
                <w:p>
                  <w:pPr>
                    <w:widowControl/>
                    <w:jc w:val="center"/>
                    <w:rPr>
                      <w:szCs w:val="21"/>
                    </w:rPr>
                  </w:pPr>
                </w:p>
              </w:tc>
              <w:tc>
                <w:tcPr>
                  <w:tcW w:w="681" w:type="dxa"/>
                  <w:vMerge w:val="continue"/>
                  <w:tcBorders>
                    <w:tl2br w:val="nil"/>
                    <w:tr2bl w:val="nil"/>
                  </w:tcBorders>
                  <w:vAlign w:val="center"/>
                </w:tcPr>
                <w:p>
                  <w:pPr>
                    <w:widowControl/>
                    <w:jc w:val="center"/>
                    <w:rPr>
                      <w:szCs w:val="21"/>
                    </w:rPr>
                  </w:pPr>
                </w:p>
              </w:tc>
              <w:tc>
                <w:tcPr>
                  <w:tcW w:w="1232" w:type="dxa"/>
                  <w:vMerge w:val="continue"/>
                  <w:tcBorders>
                    <w:tl2br w:val="nil"/>
                    <w:tr2bl w:val="nil"/>
                  </w:tcBorders>
                  <w:vAlign w:val="center"/>
                </w:tcPr>
                <w:p>
                  <w:pPr>
                    <w:widowControl/>
                    <w:jc w:val="center"/>
                    <w:rPr>
                      <w:szCs w:val="21"/>
                    </w:rPr>
                  </w:pPr>
                </w:p>
              </w:tc>
              <w:tc>
                <w:tcPr>
                  <w:tcW w:w="566" w:type="dxa"/>
                  <w:vMerge w:val="continue"/>
                  <w:tcBorders>
                    <w:tl2br w:val="nil"/>
                    <w:tr2bl w:val="nil"/>
                  </w:tcBorders>
                  <w:vAlign w:val="center"/>
                </w:tcPr>
                <w:p>
                  <w:pPr>
                    <w:widowControl/>
                    <w:jc w:val="center"/>
                    <w:rPr>
                      <w:szCs w:val="21"/>
                    </w:rPr>
                  </w:pPr>
                </w:p>
              </w:tc>
              <w:tc>
                <w:tcPr>
                  <w:tcW w:w="550" w:type="dxa"/>
                  <w:vMerge w:val="continue"/>
                  <w:tcBorders>
                    <w:tl2br w:val="nil"/>
                    <w:tr2bl w:val="nil"/>
                  </w:tcBorders>
                  <w:vAlign w:val="center"/>
                </w:tcPr>
                <w:p>
                  <w:pPr>
                    <w:widowControl/>
                    <w:jc w:val="center"/>
                    <w:rPr>
                      <w:szCs w:val="21"/>
                    </w:rPr>
                  </w:pPr>
                </w:p>
              </w:tc>
              <w:tc>
                <w:tcPr>
                  <w:tcW w:w="603" w:type="dxa"/>
                  <w:tcBorders>
                    <w:tl2br w:val="nil"/>
                    <w:tr2bl w:val="nil"/>
                  </w:tcBorders>
                  <w:vAlign w:val="center"/>
                </w:tcPr>
                <w:p>
                  <w:pPr>
                    <w:spacing w:line="240" w:lineRule="exact"/>
                    <w:jc w:val="center"/>
                    <w:rPr>
                      <w:b/>
                      <w:bCs/>
                      <w:szCs w:val="21"/>
                    </w:rPr>
                  </w:pPr>
                  <w:r>
                    <w:rPr>
                      <w:b/>
                      <w:bCs/>
                      <w:szCs w:val="21"/>
                    </w:rPr>
                    <w:t>污染治理设施编号</w:t>
                  </w:r>
                </w:p>
              </w:tc>
              <w:tc>
                <w:tcPr>
                  <w:tcW w:w="652" w:type="dxa"/>
                  <w:tcBorders>
                    <w:tl2br w:val="nil"/>
                    <w:tr2bl w:val="nil"/>
                  </w:tcBorders>
                  <w:vAlign w:val="center"/>
                </w:tcPr>
                <w:p>
                  <w:pPr>
                    <w:spacing w:line="240" w:lineRule="exact"/>
                    <w:jc w:val="center"/>
                    <w:rPr>
                      <w:b/>
                      <w:bCs/>
                      <w:szCs w:val="21"/>
                    </w:rPr>
                  </w:pPr>
                  <w:r>
                    <w:rPr>
                      <w:b/>
                      <w:bCs/>
                      <w:szCs w:val="21"/>
                    </w:rPr>
                    <w:t>污染治理设施名称</w:t>
                  </w:r>
                </w:p>
              </w:tc>
              <w:tc>
                <w:tcPr>
                  <w:tcW w:w="811" w:type="dxa"/>
                  <w:tcBorders>
                    <w:tl2br w:val="nil"/>
                    <w:tr2bl w:val="nil"/>
                  </w:tcBorders>
                  <w:vAlign w:val="center"/>
                </w:tcPr>
                <w:p>
                  <w:pPr>
                    <w:spacing w:line="240" w:lineRule="exact"/>
                    <w:jc w:val="center"/>
                    <w:rPr>
                      <w:b/>
                      <w:bCs/>
                      <w:szCs w:val="21"/>
                    </w:rPr>
                  </w:pPr>
                  <w:r>
                    <w:rPr>
                      <w:b/>
                      <w:bCs/>
                      <w:szCs w:val="21"/>
                    </w:rPr>
                    <w:t>污染治理设施工艺</w:t>
                  </w:r>
                </w:p>
              </w:tc>
              <w:tc>
                <w:tcPr>
                  <w:tcW w:w="881" w:type="dxa"/>
                  <w:vMerge w:val="continue"/>
                  <w:tcBorders>
                    <w:tl2br w:val="nil"/>
                    <w:tr2bl w:val="nil"/>
                  </w:tcBorders>
                  <w:vAlign w:val="center"/>
                </w:tcPr>
                <w:p>
                  <w:pPr>
                    <w:widowControl/>
                    <w:jc w:val="center"/>
                    <w:rPr>
                      <w:szCs w:val="21"/>
                    </w:rPr>
                  </w:pPr>
                </w:p>
              </w:tc>
              <w:tc>
                <w:tcPr>
                  <w:tcW w:w="886" w:type="dxa"/>
                  <w:vMerge w:val="continue"/>
                  <w:tcBorders>
                    <w:tl2br w:val="nil"/>
                    <w:tr2bl w:val="nil"/>
                  </w:tcBorders>
                  <w:vAlign w:val="center"/>
                </w:tcPr>
                <w:p>
                  <w:pPr>
                    <w:widowControl/>
                    <w:jc w:val="center"/>
                    <w:rPr>
                      <w:szCs w:val="21"/>
                    </w:rPr>
                  </w:pPr>
                </w:p>
              </w:tc>
              <w:tc>
                <w:tcPr>
                  <w:tcW w:w="969" w:type="dxa"/>
                  <w:vMerge w:val="continue"/>
                  <w:tcBorders>
                    <w:tl2br w:val="nil"/>
                    <w:tr2bl w:val="nil"/>
                  </w:tcBorders>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51" w:type="dxa"/>
                  <w:tcBorders>
                    <w:tl2br w:val="nil"/>
                    <w:tr2bl w:val="nil"/>
                  </w:tcBorders>
                  <w:vAlign w:val="center"/>
                </w:tcPr>
                <w:p>
                  <w:pPr>
                    <w:spacing w:line="240" w:lineRule="exact"/>
                    <w:jc w:val="center"/>
                    <w:rPr>
                      <w:szCs w:val="21"/>
                    </w:rPr>
                  </w:pPr>
                  <w:r>
                    <w:rPr>
                      <w:szCs w:val="21"/>
                    </w:rPr>
                    <w:t>1</w:t>
                  </w:r>
                </w:p>
              </w:tc>
              <w:tc>
                <w:tcPr>
                  <w:tcW w:w="681" w:type="dxa"/>
                  <w:tcBorders>
                    <w:tl2br w:val="nil"/>
                    <w:tr2bl w:val="nil"/>
                  </w:tcBorders>
                  <w:vAlign w:val="center"/>
                </w:tcPr>
                <w:p>
                  <w:pPr>
                    <w:spacing w:line="240" w:lineRule="exact"/>
                    <w:jc w:val="center"/>
                    <w:rPr>
                      <w:szCs w:val="21"/>
                    </w:rPr>
                  </w:pPr>
                  <w:r>
                    <w:rPr>
                      <w:szCs w:val="21"/>
                    </w:rPr>
                    <w:t>生活污水</w:t>
                  </w:r>
                </w:p>
              </w:tc>
              <w:tc>
                <w:tcPr>
                  <w:tcW w:w="1232" w:type="dxa"/>
                  <w:tcBorders>
                    <w:tl2br w:val="nil"/>
                    <w:tr2bl w:val="nil"/>
                  </w:tcBorders>
                  <w:vAlign w:val="center"/>
                </w:tcPr>
                <w:p>
                  <w:pPr>
                    <w:spacing w:line="240" w:lineRule="exact"/>
                    <w:jc w:val="center"/>
                    <w:rPr>
                      <w:szCs w:val="21"/>
                    </w:rPr>
                  </w:pPr>
                  <w:r>
                    <w:rPr>
                      <w:szCs w:val="21"/>
                    </w:rPr>
                    <w:t>pH、COD、BOD</w:t>
                  </w:r>
                  <w:r>
                    <w:rPr>
                      <w:szCs w:val="21"/>
                      <w:vertAlign w:val="subscript"/>
                    </w:rPr>
                    <w:t>5</w:t>
                  </w:r>
                  <w:r>
                    <w:rPr>
                      <w:szCs w:val="21"/>
                    </w:rPr>
                    <w:t>、SS、氨氮、动植物油</w:t>
                  </w:r>
                </w:p>
              </w:tc>
              <w:tc>
                <w:tcPr>
                  <w:tcW w:w="566" w:type="dxa"/>
                  <w:tcBorders>
                    <w:tl2br w:val="nil"/>
                    <w:tr2bl w:val="nil"/>
                  </w:tcBorders>
                  <w:vAlign w:val="center"/>
                </w:tcPr>
                <w:p>
                  <w:pPr>
                    <w:spacing w:line="240" w:lineRule="exact"/>
                    <w:jc w:val="center"/>
                    <w:rPr>
                      <w:szCs w:val="21"/>
                    </w:rPr>
                  </w:pPr>
                  <w:r>
                    <w:rPr>
                      <w:szCs w:val="21"/>
                    </w:rPr>
                    <w:t>污水处理厂</w:t>
                  </w:r>
                </w:p>
              </w:tc>
              <w:tc>
                <w:tcPr>
                  <w:tcW w:w="550" w:type="dxa"/>
                  <w:tcBorders>
                    <w:tl2br w:val="nil"/>
                    <w:tr2bl w:val="nil"/>
                  </w:tcBorders>
                  <w:vAlign w:val="center"/>
                </w:tcPr>
                <w:p>
                  <w:pPr>
                    <w:spacing w:line="240" w:lineRule="exact"/>
                    <w:jc w:val="center"/>
                    <w:rPr>
                      <w:szCs w:val="21"/>
                    </w:rPr>
                  </w:pPr>
                  <w:r>
                    <w:rPr>
                      <w:szCs w:val="21"/>
                    </w:rPr>
                    <w:t>间断</w:t>
                  </w:r>
                </w:p>
              </w:tc>
              <w:tc>
                <w:tcPr>
                  <w:tcW w:w="603" w:type="dxa"/>
                  <w:tcBorders>
                    <w:tl2br w:val="nil"/>
                    <w:tr2bl w:val="nil"/>
                  </w:tcBorders>
                  <w:vAlign w:val="center"/>
                </w:tcPr>
                <w:p>
                  <w:pPr>
                    <w:spacing w:line="240" w:lineRule="exact"/>
                    <w:jc w:val="center"/>
                    <w:rPr>
                      <w:szCs w:val="21"/>
                    </w:rPr>
                  </w:pPr>
                  <w:r>
                    <w:rPr>
                      <w:szCs w:val="21"/>
                    </w:rPr>
                    <w:t>1</w:t>
                  </w:r>
                </w:p>
              </w:tc>
              <w:tc>
                <w:tcPr>
                  <w:tcW w:w="652" w:type="dxa"/>
                  <w:tcBorders>
                    <w:tl2br w:val="nil"/>
                    <w:tr2bl w:val="nil"/>
                  </w:tcBorders>
                  <w:vAlign w:val="center"/>
                </w:tcPr>
                <w:p>
                  <w:pPr>
                    <w:spacing w:line="240" w:lineRule="exact"/>
                    <w:jc w:val="center"/>
                    <w:rPr>
                      <w:szCs w:val="21"/>
                    </w:rPr>
                  </w:pPr>
                  <w:r>
                    <w:rPr>
                      <w:szCs w:val="21"/>
                    </w:rPr>
                    <w:t>生活污水处理系统</w:t>
                  </w:r>
                </w:p>
              </w:tc>
              <w:tc>
                <w:tcPr>
                  <w:tcW w:w="811" w:type="dxa"/>
                  <w:tcBorders>
                    <w:tl2br w:val="nil"/>
                    <w:tr2bl w:val="nil"/>
                  </w:tcBorders>
                  <w:vAlign w:val="center"/>
                </w:tcPr>
                <w:p>
                  <w:pPr>
                    <w:spacing w:line="240" w:lineRule="exact"/>
                    <w:jc w:val="center"/>
                    <w:rPr>
                      <w:szCs w:val="21"/>
                    </w:rPr>
                  </w:pPr>
                  <w:r>
                    <w:rPr>
                      <w:szCs w:val="21"/>
                    </w:rPr>
                    <w:t>化粪池</w:t>
                  </w:r>
                </w:p>
              </w:tc>
              <w:tc>
                <w:tcPr>
                  <w:tcW w:w="881" w:type="dxa"/>
                  <w:tcBorders>
                    <w:tl2br w:val="nil"/>
                    <w:tr2bl w:val="nil"/>
                  </w:tcBorders>
                  <w:vAlign w:val="center"/>
                </w:tcPr>
                <w:p>
                  <w:pPr>
                    <w:spacing w:line="240" w:lineRule="exact"/>
                    <w:jc w:val="center"/>
                    <w:rPr>
                      <w:szCs w:val="21"/>
                    </w:rPr>
                  </w:pPr>
                  <w:r>
                    <w:rPr>
                      <w:szCs w:val="21"/>
                    </w:rPr>
                    <w:t>DW001</w:t>
                  </w:r>
                </w:p>
              </w:tc>
              <w:tc>
                <w:tcPr>
                  <w:tcW w:w="886" w:type="dxa"/>
                  <w:tcBorders>
                    <w:tl2br w:val="nil"/>
                    <w:tr2bl w:val="nil"/>
                  </w:tcBorders>
                  <w:vAlign w:val="center"/>
                </w:tcPr>
                <w:p>
                  <w:pPr>
                    <w:spacing w:line="240" w:lineRule="exact"/>
                    <w:jc w:val="center"/>
                    <w:rPr>
                      <w:szCs w:val="21"/>
                    </w:rPr>
                  </w:pPr>
                  <w:r>
                    <w:rPr>
                      <w:szCs w:val="21"/>
                    </w:rPr>
                    <w:sym w:font="Wingdings 2" w:char="0052"/>
                  </w:r>
                  <w:r>
                    <w:rPr>
                      <w:szCs w:val="21"/>
                    </w:rPr>
                    <w:t>是</w:t>
                  </w:r>
                </w:p>
                <w:p>
                  <w:pPr>
                    <w:spacing w:line="240" w:lineRule="exact"/>
                    <w:jc w:val="center"/>
                    <w:rPr>
                      <w:szCs w:val="21"/>
                    </w:rPr>
                  </w:pPr>
                  <w:r>
                    <w:rPr>
                      <w:szCs w:val="21"/>
                    </w:rPr>
                    <w:t>□否</w:t>
                  </w:r>
                </w:p>
              </w:tc>
              <w:tc>
                <w:tcPr>
                  <w:tcW w:w="969" w:type="dxa"/>
                  <w:tcBorders>
                    <w:tl2br w:val="nil"/>
                    <w:tr2bl w:val="nil"/>
                  </w:tcBorders>
                  <w:vAlign w:val="center"/>
                </w:tcPr>
                <w:p>
                  <w:pPr>
                    <w:spacing w:line="240" w:lineRule="exact"/>
                    <w:jc w:val="center"/>
                    <w:rPr>
                      <w:szCs w:val="21"/>
                    </w:rPr>
                  </w:pPr>
                  <w:r>
                    <w:rPr>
                      <w:szCs w:val="21"/>
                    </w:rPr>
                    <w:sym w:font="Wingdings 2" w:char="0052"/>
                  </w:r>
                  <w:r>
                    <w:rPr>
                      <w:szCs w:val="21"/>
                    </w:rPr>
                    <w:t>企业总排</w:t>
                  </w:r>
                </w:p>
                <w:p>
                  <w:pPr>
                    <w:spacing w:line="240" w:lineRule="exact"/>
                    <w:jc w:val="center"/>
                    <w:rPr>
                      <w:szCs w:val="21"/>
                    </w:rPr>
                  </w:pPr>
                  <w:r>
                    <w:rPr>
                      <w:szCs w:val="21"/>
                    </w:rPr>
                    <w:t>□雨水排放</w:t>
                  </w:r>
                </w:p>
                <w:p>
                  <w:pPr>
                    <w:spacing w:line="240" w:lineRule="exact"/>
                    <w:jc w:val="center"/>
                    <w:rPr>
                      <w:szCs w:val="21"/>
                    </w:rPr>
                  </w:pPr>
                  <w:r>
                    <w:rPr>
                      <w:szCs w:val="21"/>
                    </w:rPr>
                    <w:t>□清净下水排放</w:t>
                  </w:r>
                </w:p>
                <w:p>
                  <w:pPr>
                    <w:spacing w:line="240" w:lineRule="exact"/>
                    <w:jc w:val="center"/>
                    <w:rPr>
                      <w:szCs w:val="21"/>
                    </w:rPr>
                  </w:pPr>
                  <w:r>
                    <w:rPr>
                      <w:szCs w:val="21"/>
                    </w:rPr>
                    <w:t>□温排水排放</w:t>
                  </w:r>
                </w:p>
                <w:p>
                  <w:pPr>
                    <w:spacing w:line="240" w:lineRule="exact"/>
                    <w:jc w:val="center"/>
                    <w:rPr>
                      <w:szCs w:val="21"/>
                    </w:rPr>
                  </w:pPr>
                  <w:r>
                    <w:rPr>
                      <w:szCs w:val="21"/>
                    </w:rPr>
                    <w:t>□车间或车间处理设施排放口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51" w:type="dxa"/>
                  <w:tcBorders>
                    <w:tl2br w:val="nil"/>
                    <w:tr2bl w:val="nil"/>
                  </w:tcBorders>
                  <w:vAlign w:val="center"/>
                </w:tcPr>
                <w:p>
                  <w:pPr>
                    <w:spacing w:line="240" w:lineRule="exact"/>
                    <w:jc w:val="center"/>
                    <w:rPr>
                      <w:szCs w:val="21"/>
                    </w:rPr>
                  </w:pPr>
                  <w:r>
                    <w:rPr>
                      <w:szCs w:val="21"/>
                    </w:rPr>
                    <w:t>2</w:t>
                  </w:r>
                </w:p>
              </w:tc>
              <w:tc>
                <w:tcPr>
                  <w:tcW w:w="681" w:type="dxa"/>
                  <w:tcBorders>
                    <w:tl2br w:val="nil"/>
                    <w:tr2bl w:val="nil"/>
                  </w:tcBorders>
                  <w:vAlign w:val="center"/>
                </w:tcPr>
                <w:p>
                  <w:pPr>
                    <w:spacing w:line="240" w:lineRule="exact"/>
                    <w:jc w:val="center"/>
                    <w:rPr>
                      <w:szCs w:val="21"/>
                    </w:rPr>
                  </w:pPr>
                  <w:r>
                    <w:rPr>
                      <w:szCs w:val="21"/>
                    </w:rPr>
                    <w:t>地面清洗废水和汽车清洗废水</w:t>
                  </w:r>
                </w:p>
              </w:tc>
              <w:tc>
                <w:tcPr>
                  <w:tcW w:w="1232" w:type="dxa"/>
                  <w:tcBorders>
                    <w:tl2br w:val="nil"/>
                    <w:tr2bl w:val="nil"/>
                  </w:tcBorders>
                  <w:vAlign w:val="center"/>
                </w:tcPr>
                <w:p>
                  <w:pPr>
                    <w:spacing w:line="240" w:lineRule="exact"/>
                    <w:jc w:val="center"/>
                    <w:rPr>
                      <w:szCs w:val="21"/>
                    </w:rPr>
                  </w:pPr>
                  <w:r>
                    <w:rPr>
                      <w:szCs w:val="21"/>
                    </w:rPr>
                    <w:t>pH、COD、BOD</w:t>
                  </w:r>
                  <w:r>
                    <w:rPr>
                      <w:szCs w:val="21"/>
                      <w:vertAlign w:val="subscript"/>
                    </w:rPr>
                    <w:t>5</w:t>
                  </w:r>
                  <w:r>
                    <w:rPr>
                      <w:szCs w:val="21"/>
                    </w:rPr>
                    <w:t>、SS、氨氮、石油类、LAS</w:t>
                  </w:r>
                </w:p>
              </w:tc>
              <w:tc>
                <w:tcPr>
                  <w:tcW w:w="566" w:type="dxa"/>
                  <w:tcBorders>
                    <w:tl2br w:val="nil"/>
                    <w:tr2bl w:val="nil"/>
                  </w:tcBorders>
                  <w:vAlign w:val="center"/>
                </w:tcPr>
                <w:p>
                  <w:pPr>
                    <w:spacing w:line="240" w:lineRule="exact"/>
                    <w:jc w:val="center"/>
                    <w:rPr>
                      <w:szCs w:val="21"/>
                    </w:rPr>
                  </w:pPr>
                  <w:r>
                    <w:rPr>
                      <w:szCs w:val="21"/>
                    </w:rPr>
                    <w:t>污水处理厂</w:t>
                  </w:r>
                </w:p>
              </w:tc>
              <w:tc>
                <w:tcPr>
                  <w:tcW w:w="550" w:type="dxa"/>
                  <w:tcBorders>
                    <w:tl2br w:val="nil"/>
                    <w:tr2bl w:val="nil"/>
                  </w:tcBorders>
                  <w:vAlign w:val="center"/>
                </w:tcPr>
                <w:p>
                  <w:pPr>
                    <w:spacing w:line="240" w:lineRule="exact"/>
                    <w:jc w:val="center"/>
                    <w:rPr>
                      <w:szCs w:val="21"/>
                    </w:rPr>
                  </w:pPr>
                  <w:r>
                    <w:rPr>
                      <w:szCs w:val="21"/>
                    </w:rPr>
                    <w:t>间断</w:t>
                  </w:r>
                </w:p>
              </w:tc>
              <w:tc>
                <w:tcPr>
                  <w:tcW w:w="603" w:type="dxa"/>
                  <w:tcBorders>
                    <w:tl2br w:val="nil"/>
                    <w:tr2bl w:val="nil"/>
                  </w:tcBorders>
                  <w:vAlign w:val="center"/>
                </w:tcPr>
                <w:p>
                  <w:pPr>
                    <w:spacing w:line="240" w:lineRule="exact"/>
                    <w:jc w:val="center"/>
                    <w:rPr>
                      <w:szCs w:val="21"/>
                    </w:rPr>
                  </w:pPr>
                  <w:r>
                    <w:rPr>
                      <w:szCs w:val="21"/>
                    </w:rPr>
                    <w:t>2</w:t>
                  </w:r>
                </w:p>
              </w:tc>
              <w:tc>
                <w:tcPr>
                  <w:tcW w:w="652" w:type="dxa"/>
                  <w:tcBorders>
                    <w:tl2br w:val="nil"/>
                    <w:tr2bl w:val="nil"/>
                  </w:tcBorders>
                  <w:vAlign w:val="center"/>
                </w:tcPr>
                <w:p>
                  <w:pPr>
                    <w:spacing w:line="240" w:lineRule="exact"/>
                    <w:jc w:val="center"/>
                    <w:rPr>
                      <w:szCs w:val="21"/>
                    </w:rPr>
                  </w:pPr>
                  <w:r>
                    <w:rPr>
                      <w:szCs w:val="21"/>
                    </w:rPr>
                    <w:t>含油废水处理系统</w:t>
                  </w:r>
                </w:p>
              </w:tc>
              <w:tc>
                <w:tcPr>
                  <w:tcW w:w="811" w:type="dxa"/>
                  <w:tcBorders>
                    <w:tl2br w:val="nil"/>
                    <w:tr2bl w:val="nil"/>
                  </w:tcBorders>
                  <w:vAlign w:val="center"/>
                </w:tcPr>
                <w:p>
                  <w:pPr>
                    <w:spacing w:line="240" w:lineRule="exact"/>
                    <w:jc w:val="center"/>
                    <w:rPr>
                      <w:szCs w:val="21"/>
                    </w:rPr>
                  </w:pPr>
                  <w:r>
                    <w:rPr>
                      <w:szCs w:val="21"/>
                    </w:rPr>
                    <w:t>隔油沉淀池</w:t>
                  </w:r>
                </w:p>
              </w:tc>
              <w:tc>
                <w:tcPr>
                  <w:tcW w:w="881" w:type="dxa"/>
                  <w:tcBorders>
                    <w:tl2br w:val="nil"/>
                    <w:tr2bl w:val="nil"/>
                  </w:tcBorders>
                  <w:vAlign w:val="center"/>
                </w:tcPr>
                <w:p>
                  <w:pPr>
                    <w:spacing w:line="240" w:lineRule="exact"/>
                    <w:jc w:val="center"/>
                    <w:rPr>
                      <w:szCs w:val="21"/>
                    </w:rPr>
                  </w:pPr>
                  <w:r>
                    <w:rPr>
                      <w:szCs w:val="21"/>
                    </w:rPr>
                    <w:t>DW00</w:t>
                  </w:r>
                  <w:r>
                    <w:rPr>
                      <w:rFonts w:hint="eastAsia"/>
                      <w:szCs w:val="21"/>
                    </w:rPr>
                    <w:t>1</w:t>
                  </w:r>
                </w:p>
              </w:tc>
              <w:tc>
                <w:tcPr>
                  <w:tcW w:w="886" w:type="dxa"/>
                  <w:tcBorders>
                    <w:tl2br w:val="nil"/>
                    <w:tr2bl w:val="nil"/>
                  </w:tcBorders>
                  <w:vAlign w:val="center"/>
                </w:tcPr>
                <w:p>
                  <w:pPr>
                    <w:spacing w:line="240" w:lineRule="exact"/>
                    <w:jc w:val="center"/>
                    <w:rPr>
                      <w:szCs w:val="21"/>
                    </w:rPr>
                  </w:pPr>
                  <w:r>
                    <w:rPr>
                      <w:szCs w:val="21"/>
                    </w:rPr>
                    <w:sym w:font="Wingdings 2" w:char="0052"/>
                  </w:r>
                  <w:r>
                    <w:rPr>
                      <w:szCs w:val="21"/>
                    </w:rPr>
                    <w:t>是</w:t>
                  </w:r>
                </w:p>
                <w:p>
                  <w:pPr>
                    <w:spacing w:line="240" w:lineRule="exact"/>
                    <w:jc w:val="center"/>
                    <w:rPr>
                      <w:szCs w:val="21"/>
                    </w:rPr>
                  </w:pPr>
                  <w:r>
                    <w:rPr>
                      <w:szCs w:val="21"/>
                    </w:rPr>
                    <w:t>□否</w:t>
                  </w:r>
                </w:p>
              </w:tc>
              <w:tc>
                <w:tcPr>
                  <w:tcW w:w="969" w:type="dxa"/>
                  <w:tcBorders>
                    <w:tl2br w:val="nil"/>
                    <w:tr2bl w:val="nil"/>
                  </w:tcBorders>
                  <w:vAlign w:val="center"/>
                </w:tcPr>
                <w:p>
                  <w:pPr>
                    <w:spacing w:line="240" w:lineRule="exact"/>
                    <w:jc w:val="center"/>
                    <w:rPr>
                      <w:szCs w:val="21"/>
                    </w:rPr>
                  </w:pPr>
                  <w:r>
                    <w:rPr>
                      <w:szCs w:val="21"/>
                    </w:rPr>
                    <w:sym w:font="Wingdings 2" w:char="00A3"/>
                  </w:r>
                  <w:r>
                    <w:rPr>
                      <w:szCs w:val="21"/>
                    </w:rPr>
                    <w:t>企业总排</w:t>
                  </w:r>
                </w:p>
                <w:p>
                  <w:pPr>
                    <w:spacing w:line="240" w:lineRule="exact"/>
                    <w:jc w:val="center"/>
                    <w:rPr>
                      <w:szCs w:val="21"/>
                    </w:rPr>
                  </w:pPr>
                  <w:r>
                    <w:rPr>
                      <w:szCs w:val="21"/>
                    </w:rPr>
                    <w:t>□雨水排放</w:t>
                  </w:r>
                </w:p>
                <w:p>
                  <w:pPr>
                    <w:spacing w:line="240" w:lineRule="exact"/>
                    <w:jc w:val="center"/>
                    <w:rPr>
                      <w:szCs w:val="21"/>
                    </w:rPr>
                  </w:pPr>
                  <w:r>
                    <w:rPr>
                      <w:szCs w:val="21"/>
                    </w:rPr>
                    <w:t>□清净下水排放</w:t>
                  </w:r>
                </w:p>
                <w:p>
                  <w:pPr>
                    <w:spacing w:line="240" w:lineRule="exact"/>
                    <w:jc w:val="center"/>
                    <w:rPr>
                      <w:szCs w:val="21"/>
                    </w:rPr>
                  </w:pPr>
                  <w:r>
                    <w:rPr>
                      <w:szCs w:val="21"/>
                    </w:rPr>
                    <w:t>□温排水排放</w:t>
                  </w:r>
                </w:p>
                <w:p>
                  <w:pPr>
                    <w:spacing w:line="240" w:lineRule="exact"/>
                    <w:jc w:val="center"/>
                    <w:rPr>
                      <w:szCs w:val="21"/>
                    </w:rPr>
                  </w:pPr>
                  <w:r>
                    <w:rPr>
                      <w:szCs w:val="21"/>
                    </w:rPr>
                    <w:t>□车间或车间处理设施排放口</w:t>
                  </w:r>
                </w:p>
              </w:tc>
            </w:tr>
          </w:tbl>
          <w:p>
            <w:pPr>
              <w:jc w:val="center"/>
              <w:rPr>
                <w:b/>
                <w:szCs w:val="21"/>
              </w:rPr>
            </w:pPr>
            <w:r>
              <w:rPr>
                <w:b/>
                <w:szCs w:val="21"/>
              </w:rPr>
              <w:t>表7-7   废水间接排放口基本情况表</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67"/>
              <w:gridCol w:w="1285"/>
              <w:gridCol w:w="1293"/>
              <w:gridCol w:w="1090"/>
              <w:gridCol w:w="422"/>
              <w:gridCol w:w="422"/>
              <w:gridCol w:w="422"/>
              <w:gridCol w:w="422"/>
              <w:gridCol w:w="718"/>
              <w:gridCol w:w="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restart"/>
                  <w:tcBorders>
                    <w:tl2br w:val="nil"/>
                    <w:tr2bl w:val="nil"/>
                  </w:tcBorders>
                  <w:vAlign w:val="center"/>
                </w:tcPr>
                <w:p>
                  <w:pPr>
                    <w:spacing w:line="240" w:lineRule="exact"/>
                    <w:jc w:val="center"/>
                    <w:rPr>
                      <w:b/>
                      <w:szCs w:val="21"/>
                    </w:rPr>
                  </w:pPr>
                  <w:r>
                    <w:rPr>
                      <w:b/>
                      <w:szCs w:val="21"/>
                    </w:rPr>
                    <w:t>序</w:t>
                  </w:r>
                </w:p>
                <w:p>
                  <w:pPr>
                    <w:spacing w:line="240" w:lineRule="exact"/>
                    <w:jc w:val="center"/>
                    <w:rPr>
                      <w:b/>
                      <w:szCs w:val="21"/>
                    </w:rPr>
                  </w:pPr>
                  <w:r>
                    <w:rPr>
                      <w:b/>
                      <w:szCs w:val="21"/>
                    </w:rPr>
                    <w:t>号</w:t>
                  </w:r>
                </w:p>
              </w:tc>
              <w:tc>
                <w:tcPr>
                  <w:tcW w:w="867" w:type="dxa"/>
                  <w:vMerge w:val="restart"/>
                  <w:tcBorders>
                    <w:tl2br w:val="nil"/>
                    <w:tr2bl w:val="nil"/>
                  </w:tcBorders>
                  <w:vAlign w:val="center"/>
                </w:tcPr>
                <w:p>
                  <w:pPr>
                    <w:spacing w:line="240" w:lineRule="exact"/>
                    <w:jc w:val="center"/>
                    <w:rPr>
                      <w:b/>
                      <w:szCs w:val="21"/>
                    </w:rPr>
                  </w:pPr>
                  <w:r>
                    <w:rPr>
                      <w:b/>
                      <w:szCs w:val="21"/>
                    </w:rPr>
                    <w:t>排放口编号</w:t>
                  </w:r>
                </w:p>
              </w:tc>
              <w:tc>
                <w:tcPr>
                  <w:tcW w:w="2578" w:type="dxa"/>
                  <w:gridSpan w:val="2"/>
                  <w:tcBorders>
                    <w:tl2br w:val="nil"/>
                    <w:tr2bl w:val="nil"/>
                  </w:tcBorders>
                  <w:vAlign w:val="center"/>
                </w:tcPr>
                <w:p>
                  <w:pPr>
                    <w:spacing w:line="240" w:lineRule="exact"/>
                    <w:jc w:val="center"/>
                    <w:rPr>
                      <w:b/>
                      <w:szCs w:val="21"/>
                    </w:rPr>
                  </w:pPr>
                  <w:r>
                    <w:rPr>
                      <w:b/>
                      <w:szCs w:val="21"/>
                    </w:rPr>
                    <w:t>排放口地理坐标</w:t>
                  </w:r>
                </w:p>
              </w:tc>
              <w:tc>
                <w:tcPr>
                  <w:tcW w:w="1090" w:type="dxa"/>
                  <w:vMerge w:val="restart"/>
                  <w:tcBorders>
                    <w:tl2br w:val="nil"/>
                    <w:tr2bl w:val="nil"/>
                  </w:tcBorders>
                  <w:vAlign w:val="center"/>
                </w:tcPr>
                <w:p>
                  <w:pPr>
                    <w:spacing w:line="240" w:lineRule="exact"/>
                    <w:jc w:val="center"/>
                    <w:rPr>
                      <w:b/>
                      <w:szCs w:val="21"/>
                    </w:rPr>
                  </w:pPr>
                  <w:r>
                    <w:rPr>
                      <w:b/>
                      <w:szCs w:val="21"/>
                    </w:rPr>
                    <w:t>废水排放量</w:t>
                  </w:r>
                </w:p>
                <w:p>
                  <w:pPr>
                    <w:spacing w:line="240" w:lineRule="exact"/>
                    <w:jc w:val="center"/>
                    <w:rPr>
                      <w:b/>
                      <w:szCs w:val="21"/>
                    </w:rPr>
                  </w:pPr>
                  <w:r>
                    <w:rPr>
                      <w:b/>
                      <w:szCs w:val="21"/>
                    </w:rPr>
                    <w:t>/ （万t/a）</w:t>
                  </w:r>
                </w:p>
              </w:tc>
              <w:tc>
                <w:tcPr>
                  <w:tcW w:w="422" w:type="dxa"/>
                  <w:vMerge w:val="restart"/>
                  <w:tcBorders>
                    <w:tl2br w:val="nil"/>
                    <w:tr2bl w:val="nil"/>
                  </w:tcBorders>
                  <w:vAlign w:val="center"/>
                </w:tcPr>
                <w:p>
                  <w:pPr>
                    <w:spacing w:line="240" w:lineRule="exact"/>
                    <w:jc w:val="center"/>
                    <w:rPr>
                      <w:b/>
                      <w:szCs w:val="21"/>
                    </w:rPr>
                  </w:pPr>
                  <w:r>
                    <w:rPr>
                      <w:b/>
                      <w:szCs w:val="21"/>
                    </w:rPr>
                    <w:t>排放去向</w:t>
                  </w:r>
                </w:p>
              </w:tc>
              <w:tc>
                <w:tcPr>
                  <w:tcW w:w="422" w:type="dxa"/>
                  <w:vMerge w:val="restart"/>
                  <w:tcBorders>
                    <w:tl2br w:val="nil"/>
                    <w:tr2bl w:val="nil"/>
                  </w:tcBorders>
                  <w:vAlign w:val="center"/>
                </w:tcPr>
                <w:p>
                  <w:pPr>
                    <w:spacing w:line="240" w:lineRule="exact"/>
                    <w:jc w:val="center"/>
                    <w:rPr>
                      <w:b/>
                      <w:szCs w:val="21"/>
                    </w:rPr>
                  </w:pPr>
                  <w:r>
                    <w:rPr>
                      <w:b/>
                      <w:szCs w:val="21"/>
                    </w:rPr>
                    <w:t>排放</w:t>
                  </w:r>
                </w:p>
                <w:p>
                  <w:pPr>
                    <w:spacing w:line="240" w:lineRule="exact"/>
                    <w:jc w:val="center"/>
                    <w:rPr>
                      <w:b/>
                      <w:szCs w:val="21"/>
                    </w:rPr>
                  </w:pPr>
                  <w:r>
                    <w:rPr>
                      <w:b/>
                      <w:szCs w:val="21"/>
                    </w:rPr>
                    <w:t>规律</w:t>
                  </w:r>
                </w:p>
              </w:tc>
              <w:tc>
                <w:tcPr>
                  <w:tcW w:w="422" w:type="dxa"/>
                  <w:vMerge w:val="restart"/>
                  <w:tcBorders>
                    <w:tl2br w:val="nil"/>
                    <w:tr2bl w:val="nil"/>
                  </w:tcBorders>
                  <w:vAlign w:val="center"/>
                </w:tcPr>
                <w:p>
                  <w:pPr>
                    <w:spacing w:line="240" w:lineRule="exact"/>
                    <w:jc w:val="center"/>
                    <w:rPr>
                      <w:b/>
                      <w:szCs w:val="21"/>
                    </w:rPr>
                  </w:pPr>
                  <w:r>
                    <w:rPr>
                      <w:b/>
                      <w:szCs w:val="21"/>
                    </w:rPr>
                    <w:t>间歇排放时段</w:t>
                  </w:r>
                </w:p>
              </w:tc>
              <w:tc>
                <w:tcPr>
                  <w:tcW w:w="2059" w:type="dxa"/>
                  <w:gridSpan w:val="3"/>
                  <w:tcBorders>
                    <w:tl2br w:val="nil"/>
                    <w:tr2bl w:val="nil"/>
                  </w:tcBorders>
                  <w:vAlign w:val="center"/>
                </w:tcPr>
                <w:p>
                  <w:pPr>
                    <w:spacing w:line="240" w:lineRule="exact"/>
                    <w:jc w:val="center"/>
                    <w:rPr>
                      <w:b/>
                      <w:szCs w:val="21"/>
                    </w:rPr>
                  </w:pPr>
                  <w:r>
                    <w:rPr>
                      <w:b/>
                      <w:szCs w:val="21"/>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b/>
                      <w:szCs w:val="21"/>
                    </w:rPr>
                  </w:pPr>
                </w:p>
              </w:tc>
              <w:tc>
                <w:tcPr>
                  <w:tcW w:w="867" w:type="dxa"/>
                  <w:vMerge w:val="continue"/>
                  <w:tcBorders>
                    <w:tl2br w:val="nil"/>
                    <w:tr2bl w:val="nil"/>
                  </w:tcBorders>
                  <w:vAlign w:val="center"/>
                </w:tcPr>
                <w:p>
                  <w:pPr>
                    <w:jc w:val="center"/>
                    <w:rPr>
                      <w:b/>
                      <w:szCs w:val="21"/>
                    </w:rPr>
                  </w:pPr>
                </w:p>
              </w:tc>
              <w:tc>
                <w:tcPr>
                  <w:tcW w:w="1285" w:type="dxa"/>
                  <w:tcBorders>
                    <w:tl2br w:val="nil"/>
                    <w:tr2bl w:val="nil"/>
                  </w:tcBorders>
                  <w:vAlign w:val="center"/>
                </w:tcPr>
                <w:p>
                  <w:pPr>
                    <w:jc w:val="center"/>
                    <w:rPr>
                      <w:b/>
                      <w:szCs w:val="21"/>
                    </w:rPr>
                  </w:pPr>
                  <w:r>
                    <w:rPr>
                      <w:b/>
                      <w:szCs w:val="21"/>
                    </w:rPr>
                    <w:t>经度</w:t>
                  </w:r>
                </w:p>
              </w:tc>
              <w:tc>
                <w:tcPr>
                  <w:tcW w:w="1293" w:type="dxa"/>
                  <w:tcBorders>
                    <w:tl2br w:val="nil"/>
                    <w:tr2bl w:val="nil"/>
                  </w:tcBorders>
                  <w:vAlign w:val="center"/>
                </w:tcPr>
                <w:p>
                  <w:pPr>
                    <w:jc w:val="center"/>
                    <w:rPr>
                      <w:b/>
                      <w:szCs w:val="21"/>
                    </w:rPr>
                  </w:pPr>
                  <w:r>
                    <w:rPr>
                      <w:b/>
                      <w:szCs w:val="21"/>
                    </w:rPr>
                    <w:t>纬度</w:t>
                  </w:r>
                </w:p>
              </w:tc>
              <w:tc>
                <w:tcPr>
                  <w:tcW w:w="1090" w:type="dxa"/>
                  <w:vMerge w:val="continue"/>
                  <w:tcBorders>
                    <w:tl2br w:val="nil"/>
                    <w:tr2bl w:val="nil"/>
                  </w:tcBorders>
                  <w:vAlign w:val="center"/>
                </w:tcPr>
                <w:p>
                  <w:pPr>
                    <w:jc w:val="center"/>
                    <w:rPr>
                      <w:b/>
                      <w:szCs w:val="21"/>
                    </w:rPr>
                  </w:pPr>
                </w:p>
              </w:tc>
              <w:tc>
                <w:tcPr>
                  <w:tcW w:w="422" w:type="dxa"/>
                  <w:vMerge w:val="continue"/>
                  <w:tcBorders>
                    <w:tl2br w:val="nil"/>
                    <w:tr2bl w:val="nil"/>
                  </w:tcBorders>
                  <w:vAlign w:val="center"/>
                </w:tcPr>
                <w:p>
                  <w:pPr>
                    <w:jc w:val="center"/>
                    <w:rPr>
                      <w:b/>
                      <w:szCs w:val="21"/>
                    </w:rPr>
                  </w:pPr>
                </w:p>
              </w:tc>
              <w:tc>
                <w:tcPr>
                  <w:tcW w:w="422" w:type="dxa"/>
                  <w:vMerge w:val="continue"/>
                  <w:tcBorders>
                    <w:tl2br w:val="nil"/>
                    <w:tr2bl w:val="nil"/>
                  </w:tcBorders>
                  <w:vAlign w:val="center"/>
                </w:tcPr>
                <w:p>
                  <w:pPr>
                    <w:jc w:val="center"/>
                    <w:rPr>
                      <w:b/>
                      <w:szCs w:val="21"/>
                    </w:rPr>
                  </w:pPr>
                </w:p>
              </w:tc>
              <w:tc>
                <w:tcPr>
                  <w:tcW w:w="422" w:type="dxa"/>
                  <w:vMerge w:val="continue"/>
                  <w:tcBorders>
                    <w:tl2br w:val="nil"/>
                    <w:tr2bl w:val="nil"/>
                  </w:tcBorders>
                  <w:vAlign w:val="center"/>
                </w:tcPr>
                <w:p>
                  <w:pPr>
                    <w:jc w:val="center"/>
                    <w:rPr>
                      <w:b/>
                      <w:szCs w:val="21"/>
                    </w:rPr>
                  </w:pPr>
                </w:p>
              </w:tc>
              <w:tc>
                <w:tcPr>
                  <w:tcW w:w="422" w:type="dxa"/>
                  <w:tcBorders>
                    <w:tl2br w:val="nil"/>
                    <w:tr2bl w:val="nil"/>
                  </w:tcBorders>
                  <w:vAlign w:val="center"/>
                </w:tcPr>
                <w:p>
                  <w:pPr>
                    <w:jc w:val="center"/>
                    <w:rPr>
                      <w:b/>
                      <w:szCs w:val="21"/>
                    </w:rPr>
                  </w:pPr>
                  <w:r>
                    <w:rPr>
                      <w:b/>
                      <w:szCs w:val="21"/>
                    </w:rPr>
                    <w:t>名称</w:t>
                  </w:r>
                </w:p>
              </w:tc>
              <w:tc>
                <w:tcPr>
                  <w:tcW w:w="718" w:type="dxa"/>
                  <w:tcBorders>
                    <w:tl2br w:val="nil"/>
                    <w:tr2bl w:val="nil"/>
                  </w:tcBorders>
                  <w:vAlign w:val="center"/>
                </w:tcPr>
                <w:p>
                  <w:pPr>
                    <w:jc w:val="center"/>
                    <w:rPr>
                      <w:b/>
                      <w:szCs w:val="21"/>
                    </w:rPr>
                  </w:pPr>
                  <w:r>
                    <w:rPr>
                      <w:b/>
                      <w:szCs w:val="21"/>
                    </w:rPr>
                    <w:t>污染物</w:t>
                  </w:r>
                </w:p>
                <w:p>
                  <w:pPr>
                    <w:jc w:val="center"/>
                    <w:rPr>
                      <w:b/>
                      <w:szCs w:val="21"/>
                    </w:rPr>
                  </w:pPr>
                  <w:r>
                    <w:rPr>
                      <w:b/>
                      <w:szCs w:val="21"/>
                    </w:rPr>
                    <w:t>种类</w:t>
                  </w:r>
                </w:p>
              </w:tc>
              <w:tc>
                <w:tcPr>
                  <w:tcW w:w="919" w:type="dxa"/>
                  <w:tcBorders>
                    <w:tl2br w:val="nil"/>
                    <w:tr2bl w:val="nil"/>
                  </w:tcBorders>
                  <w:vAlign w:val="center"/>
                </w:tcPr>
                <w:p>
                  <w:pPr>
                    <w:jc w:val="center"/>
                    <w:rPr>
                      <w:b/>
                      <w:szCs w:val="21"/>
                    </w:rPr>
                  </w:pPr>
                  <w:r>
                    <w:rPr>
                      <w:b/>
                      <w:szCs w:val="21"/>
                    </w:rPr>
                    <w:t>国家或地方污染物排放标准浓度限值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restart"/>
                  <w:tcBorders>
                    <w:tl2br w:val="nil"/>
                    <w:tr2bl w:val="nil"/>
                  </w:tcBorders>
                  <w:vAlign w:val="center"/>
                </w:tcPr>
                <w:p>
                  <w:pPr>
                    <w:jc w:val="center"/>
                    <w:rPr>
                      <w:szCs w:val="21"/>
                    </w:rPr>
                  </w:pPr>
                  <w:r>
                    <w:rPr>
                      <w:szCs w:val="21"/>
                    </w:rPr>
                    <w:t>1</w:t>
                  </w:r>
                </w:p>
              </w:tc>
              <w:tc>
                <w:tcPr>
                  <w:tcW w:w="867" w:type="dxa"/>
                  <w:vMerge w:val="restart"/>
                  <w:tcBorders>
                    <w:tl2br w:val="nil"/>
                    <w:tr2bl w:val="nil"/>
                  </w:tcBorders>
                  <w:vAlign w:val="center"/>
                </w:tcPr>
                <w:p>
                  <w:pPr>
                    <w:jc w:val="center"/>
                    <w:rPr>
                      <w:szCs w:val="21"/>
                    </w:rPr>
                  </w:pPr>
                  <w:r>
                    <w:rPr>
                      <w:szCs w:val="21"/>
                    </w:rPr>
                    <w:t>DW001</w:t>
                  </w:r>
                </w:p>
              </w:tc>
              <w:tc>
                <w:tcPr>
                  <w:tcW w:w="1285" w:type="dxa"/>
                  <w:vMerge w:val="restart"/>
                  <w:tcBorders>
                    <w:tl2br w:val="nil"/>
                    <w:tr2bl w:val="nil"/>
                  </w:tcBorders>
                  <w:vAlign w:val="center"/>
                </w:tcPr>
                <w:p>
                  <w:pPr>
                    <w:jc w:val="center"/>
                    <w:rPr>
                      <w:szCs w:val="21"/>
                    </w:rPr>
                  </w:pPr>
                  <w:r>
                    <w:rPr>
                      <w:szCs w:val="21"/>
                    </w:rPr>
                    <w:t>113°10′27.09″</w:t>
                  </w:r>
                </w:p>
              </w:tc>
              <w:tc>
                <w:tcPr>
                  <w:tcW w:w="1293" w:type="dxa"/>
                  <w:vMerge w:val="restart"/>
                  <w:tcBorders>
                    <w:tl2br w:val="nil"/>
                    <w:tr2bl w:val="nil"/>
                  </w:tcBorders>
                  <w:vAlign w:val="center"/>
                </w:tcPr>
                <w:p>
                  <w:pPr>
                    <w:jc w:val="center"/>
                    <w:rPr>
                      <w:szCs w:val="21"/>
                    </w:rPr>
                  </w:pPr>
                  <w:r>
                    <w:rPr>
                      <w:szCs w:val="21"/>
                    </w:rPr>
                    <w:t>29°25′6.50″</w:t>
                  </w:r>
                </w:p>
              </w:tc>
              <w:tc>
                <w:tcPr>
                  <w:tcW w:w="1090" w:type="dxa"/>
                  <w:vMerge w:val="restart"/>
                  <w:tcBorders>
                    <w:tl2br w:val="nil"/>
                    <w:tr2bl w:val="nil"/>
                  </w:tcBorders>
                  <w:vAlign w:val="center"/>
                </w:tcPr>
                <w:p>
                  <w:pPr>
                    <w:jc w:val="center"/>
                    <w:rPr>
                      <w:szCs w:val="21"/>
                    </w:rPr>
                  </w:pPr>
                  <w:r>
                    <w:rPr>
                      <w:rFonts w:hint="eastAsia"/>
                      <w:szCs w:val="21"/>
                    </w:rPr>
                    <w:t>0.3132</w:t>
                  </w:r>
                </w:p>
              </w:tc>
              <w:tc>
                <w:tcPr>
                  <w:tcW w:w="422" w:type="dxa"/>
                  <w:vMerge w:val="restart"/>
                  <w:tcBorders>
                    <w:tl2br w:val="nil"/>
                    <w:tr2bl w:val="nil"/>
                  </w:tcBorders>
                  <w:vAlign w:val="center"/>
                </w:tcPr>
                <w:p>
                  <w:pPr>
                    <w:jc w:val="center"/>
                    <w:rPr>
                      <w:szCs w:val="21"/>
                    </w:rPr>
                  </w:pPr>
                  <w:r>
                    <w:rPr>
                      <w:szCs w:val="21"/>
                    </w:rPr>
                    <w:t>污水处理厂</w:t>
                  </w:r>
                </w:p>
              </w:tc>
              <w:tc>
                <w:tcPr>
                  <w:tcW w:w="422" w:type="dxa"/>
                  <w:vMerge w:val="restart"/>
                  <w:tcBorders>
                    <w:tl2br w:val="nil"/>
                    <w:tr2bl w:val="nil"/>
                  </w:tcBorders>
                  <w:vAlign w:val="center"/>
                </w:tcPr>
                <w:p>
                  <w:pPr>
                    <w:jc w:val="center"/>
                    <w:rPr>
                      <w:szCs w:val="21"/>
                    </w:rPr>
                  </w:pPr>
                  <w:r>
                    <w:rPr>
                      <w:szCs w:val="21"/>
                    </w:rPr>
                    <w:t>间断无规律</w:t>
                  </w:r>
                </w:p>
              </w:tc>
              <w:tc>
                <w:tcPr>
                  <w:tcW w:w="422" w:type="dxa"/>
                  <w:vMerge w:val="restart"/>
                  <w:tcBorders>
                    <w:tl2br w:val="nil"/>
                    <w:tr2bl w:val="nil"/>
                  </w:tcBorders>
                  <w:vAlign w:val="center"/>
                </w:tcPr>
                <w:p>
                  <w:pPr>
                    <w:jc w:val="center"/>
                    <w:rPr>
                      <w:szCs w:val="21"/>
                    </w:rPr>
                  </w:pPr>
                  <w:r>
                    <w:rPr>
                      <w:szCs w:val="21"/>
                    </w:rPr>
                    <w:t>/</w:t>
                  </w:r>
                </w:p>
              </w:tc>
              <w:tc>
                <w:tcPr>
                  <w:tcW w:w="422" w:type="dxa"/>
                  <w:vMerge w:val="restart"/>
                  <w:tcBorders>
                    <w:tl2br w:val="nil"/>
                    <w:tr2bl w:val="nil"/>
                  </w:tcBorders>
                  <w:vAlign w:val="center"/>
                </w:tcPr>
                <w:p>
                  <w:pPr>
                    <w:jc w:val="center"/>
                    <w:rPr>
                      <w:szCs w:val="21"/>
                    </w:rPr>
                  </w:pPr>
                  <w:r>
                    <w:rPr>
                      <w:szCs w:val="21"/>
                    </w:rPr>
                    <w:t>城陵矶新港区污水处理厂</w:t>
                  </w:r>
                </w:p>
              </w:tc>
              <w:tc>
                <w:tcPr>
                  <w:tcW w:w="718" w:type="dxa"/>
                  <w:tcBorders>
                    <w:tl2br w:val="nil"/>
                    <w:tr2bl w:val="nil"/>
                  </w:tcBorders>
                  <w:vAlign w:val="center"/>
                </w:tcPr>
                <w:p>
                  <w:pPr>
                    <w:jc w:val="center"/>
                    <w:rPr>
                      <w:szCs w:val="21"/>
                    </w:rPr>
                  </w:pPr>
                  <w:r>
                    <w:rPr>
                      <w:szCs w:val="21"/>
                    </w:rPr>
                    <w:t>pH</w:t>
                  </w:r>
                </w:p>
              </w:tc>
              <w:tc>
                <w:tcPr>
                  <w:tcW w:w="919" w:type="dxa"/>
                  <w:tcBorders>
                    <w:tl2br w:val="nil"/>
                    <w:tr2bl w:val="nil"/>
                  </w:tcBorders>
                  <w:vAlign w:val="center"/>
                </w:tcPr>
                <w:p>
                  <w:pPr>
                    <w:jc w:val="center"/>
                    <w:rPr>
                      <w:szCs w:val="21"/>
                    </w:rPr>
                  </w:pPr>
                  <w:r>
                    <w:rPr>
                      <w:szCs w:val="21"/>
                    </w:rPr>
                    <w:t>6~9（无量纲）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COD</w:t>
                  </w:r>
                </w:p>
              </w:tc>
              <w:tc>
                <w:tcPr>
                  <w:tcW w:w="919" w:type="dxa"/>
                  <w:tcBorders>
                    <w:tl2br w:val="nil"/>
                    <w:tr2bl w:val="nil"/>
                  </w:tcBorders>
                  <w:vAlign w:val="center"/>
                </w:tcPr>
                <w:p>
                  <w:pPr>
                    <w:jc w:val="center"/>
                    <w:rPr>
                      <w:szCs w:val="21"/>
                    </w:rPr>
                  </w:pPr>
                  <w:r>
                    <w:rPr>
                      <w:szCs w:val="21"/>
                    </w:rPr>
                    <w:t>50mg/L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BOD</w:t>
                  </w:r>
                  <w:r>
                    <w:rPr>
                      <w:szCs w:val="21"/>
                      <w:vertAlign w:val="subscript"/>
                    </w:rPr>
                    <w:t>5</w:t>
                  </w:r>
                </w:p>
              </w:tc>
              <w:tc>
                <w:tcPr>
                  <w:tcW w:w="919" w:type="dxa"/>
                  <w:tcBorders>
                    <w:tl2br w:val="nil"/>
                    <w:tr2bl w:val="nil"/>
                  </w:tcBorders>
                  <w:vAlign w:val="center"/>
                </w:tcPr>
                <w:p>
                  <w:pPr>
                    <w:jc w:val="center"/>
                    <w:rPr>
                      <w:szCs w:val="21"/>
                    </w:rPr>
                  </w:pPr>
                  <w:r>
                    <w:rPr>
                      <w:szCs w:val="21"/>
                    </w:rPr>
                    <w:t>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SS</w:t>
                  </w:r>
                </w:p>
              </w:tc>
              <w:tc>
                <w:tcPr>
                  <w:tcW w:w="919" w:type="dxa"/>
                  <w:tcBorders>
                    <w:tl2br w:val="nil"/>
                    <w:tr2bl w:val="nil"/>
                  </w:tcBorders>
                  <w:vAlign w:val="center"/>
                </w:tcPr>
                <w:p>
                  <w:pPr>
                    <w:jc w:val="center"/>
                    <w:rPr>
                      <w:szCs w:val="21"/>
                    </w:rPr>
                  </w:pPr>
                  <w:r>
                    <w:rPr>
                      <w:szCs w:val="21"/>
                    </w:rPr>
                    <w:t>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氨氮</w:t>
                  </w:r>
                </w:p>
              </w:tc>
              <w:tc>
                <w:tcPr>
                  <w:tcW w:w="919" w:type="dxa"/>
                  <w:tcBorders>
                    <w:tl2br w:val="nil"/>
                    <w:tr2bl w:val="nil"/>
                  </w:tcBorders>
                  <w:vAlign w:val="center"/>
                </w:tcPr>
                <w:p>
                  <w:pPr>
                    <w:jc w:val="center"/>
                    <w:rPr>
                      <w:szCs w:val="21"/>
                    </w:rPr>
                  </w:pPr>
                  <w:r>
                    <w:rPr>
                      <w:szCs w:val="21"/>
                    </w:rPr>
                    <w:t>5mg/L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动植物油</w:t>
                  </w:r>
                </w:p>
              </w:tc>
              <w:tc>
                <w:tcPr>
                  <w:tcW w:w="919" w:type="dxa"/>
                  <w:tcBorders>
                    <w:tl2br w:val="nil"/>
                    <w:tr2bl w:val="nil"/>
                  </w:tcBorders>
                  <w:vAlign w:val="center"/>
                </w:tcPr>
                <w:p>
                  <w:pPr>
                    <w:jc w:val="center"/>
                    <w:rPr>
                      <w:szCs w:val="21"/>
                    </w:rPr>
                  </w:pPr>
                  <w:r>
                    <w:rPr>
                      <w:szCs w:val="21"/>
                    </w:rPr>
                    <w:t>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石油类</w:t>
                  </w:r>
                </w:p>
              </w:tc>
              <w:tc>
                <w:tcPr>
                  <w:tcW w:w="919" w:type="dxa"/>
                  <w:tcBorders>
                    <w:tl2br w:val="nil"/>
                    <w:tr2bl w:val="nil"/>
                  </w:tcBorders>
                  <w:vAlign w:val="center"/>
                </w:tcPr>
                <w:p>
                  <w:pPr>
                    <w:jc w:val="center"/>
                    <w:rPr>
                      <w:szCs w:val="21"/>
                    </w:rPr>
                  </w:pPr>
                  <w:r>
                    <w:rPr>
                      <w:szCs w:val="21"/>
                    </w:rPr>
                    <w:t>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dxa"/>
                  <w:vMerge w:val="continue"/>
                  <w:tcBorders>
                    <w:tl2br w:val="nil"/>
                    <w:tr2bl w:val="nil"/>
                  </w:tcBorders>
                  <w:vAlign w:val="center"/>
                </w:tcPr>
                <w:p>
                  <w:pPr>
                    <w:jc w:val="center"/>
                    <w:rPr>
                      <w:szCs w:val="21"/>
                    </w:rPr>
                  </w:pPr>
                </w:p>
              </w:tc>
              <w:tc>
                <w:tcPr>
                  <w:tcW w:w="867" w:type="dxa"/>
                  <w:vMerge w:val="continue"/>
                  <w:tcBorders>
                    <w:tl2br w:val="nil"/>
                    <w:tr2bl w:val="nil"/>
                  </w:tcBorders>
                  <w:vAlign w:val="center"/>
                </w:tcPr>
                <w:p>
                  <w:pPr>
                    <w:jc w:val="center"/>
                    <w:rPr>
                      <w:szCs w:val="21"/>
                    </w:rPr>
                  </w:pPr>
                </w:p>
              </w:tc>
              <w:tc>
                <w:tcPr>
                  <w:tcW w:w="1285" w:type="dxa"/>
                  <w:vMerge w:val="continue"/>
                  <w:tcBorders>
                    <w:tl2br w:val="nil"/>
                    <w:tr2bl w:val="nil"/>
                  </w:tcBorders>
                  <w:vAlign w:val="center"/>
                </w:tcPr>
                <w:p>
                  <w:pPr>
                    <w:jc w:val="center"/>
                    <w:rPr>
                      <w:szCs w:val="21"/>
                    </w:rPr>
                  </w:pPr>
                </w:p>
              </w:tc>
              <w:tc>
                <w:tcPr>
                  <w:tcW w:w="1293" w:type="dxa"/>
                  <w:vMerge w:val="continue"/>
                  <w:tcBorders>
                    <w:tl2br w:val="nil"/>
                    <w:tr2bl w:val="nil"/>
                  </w:tcBorders>
                  <w:vAlign w:val="center"/>
                </w:tcPr>
                <w:p>
                  <w:pPr>
                    <w:jc w:val="center"/>
                    <w:rPr>
                      <w:szCs w:val="21"/>
                    </w:rPr>
                  </w:pPr>
                </w:p>
              </w:tc>
              <w:tc>
                <w:tcPr>
                  <w:tcW w:w="1090"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422" w:type="dxa"/>
                  <w:vMerge w:val="continue"/>
                  <w:tcBorders>
                    <w:tl2br w:val="nil"/>
                    <w:tr2bl w:val="nil"/>
                  </w:tcBorders>
                  <w:vAlign w:val="center"/>
                </w:tcPr>
                <w:p>
                  <w:pPr>
                    <w:jc w:val="center"/>
                    <w:rPr>
                      <w:szCs w:val="21"/>
                    </w:rPr>
                  </w:pPr>
                </w:p>
              </w:tc>
              <w:tc>
                <w:tcPr>
                  <w:tcW w:w="718" w:type="dxa"/>
                  <w:tcBorders>
                    <w:tl2br w:val="nil"/>
                    <w:tr2bl w:val="nil"/>
                  </w:tcBorders>
                  <w:vAlign w:val="center"/>
                </w:tcPr>
                <w:p>
                  <w:pPr>
                    <w:jc w:val="center"/>
                    <w:rPr>
                      <w:szCs w:val="21"/>
                    </w:rPr>
                  </w:pPr>
                  <w:r>
                    <w:rPr>
                      <w:szCs w:val="21"/>
                    </w:rPr>
                    <w:t>LAS</w:t>
                  </w:r>
                </w:p>
              </w:tc>
              <w:tc>
                <w:tcPr>
                  <w:tcW w:w="919" w:type="dxa"/>
                  <w:tcBorders>
                    <w:tl2br w:val="nil"/>
                    <w:tr2bl w:val="nil"/>
                  </w:tcBorders>
                  <w:vAlign w:val="center"/>
                </w:tcPr>
                <w:p>
                  <w:pPr>
                    <w:jc w:val="center"/>
                    <w:rPr>
                      <w:szCs w:val="21"/>
                    </w:rPr>
                  </w:pPr>
                  <w:r>
                    <w:rPr>
                      <w:szCs w:val="21"/>
                    </w:rPr>
                    <w:t>0.5mg/L</w:t>
                  </w:r>
                </w:p>
              </w:tc>
            </w:tr>
          </w:tbl>
          <w:p>
            <w:pPr>
              <w:jc w:val="center"/>
              <w:rPr>
                <w:b/>
                <w:szCs w:val="21"/>
              </w:rPr>
            </w:pPr>
            <w:r>
              <w:rPr>
                <w:b/>
                <w:szCs w:val="21"/>
              </w:rPr>
              <w:t>表7-8   废水污染物排放执行标准表</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81"/>
              <w:gridCol w:w="1855"/>
              <w:gridCol w:w="2664"/>
              <w:gridCol w:w="2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3" w:type="dxa"/>
                  <w:vMerge w:val="restart"/>
                  <w:tcBorders>
                    <w:tl2br w:val="nil"/>
                    <w:tr2bl w:val="nil"/>
                  </w:tcBorders>
                  <w:vAlign w:val="center"/>
                </w:tcPr>
                <w:p>
                  <w:pPr>
                    <w:jc w:val="center"/>
                    <w:rPr>
                      <w:b/>
                      <w:szCs w:val="21"/>
                    </w:rPr>
                  </w:pPr>
                  <w:r>
                    <w:rPr>
                      <w:b/>
                      <w:szCs w:val="21"/>
                    </w:rPr>
                    <w:t>序号</w:t>
                  </w:r>
                </w:p>
              </w:tc>
              <w:tc>
                <w:tcPr>
                  <w:tcW w:w="881" w:type="dxa"/>
                  <w:vMerge w:val="restart"/>
                  <w:tcBorders>
                    <w:tl2br w:val="nil"/>
                    <w:tr2bl w:val="nil"/>
                  </w:tcBorders>
                  <w:vAlign w:val="center"/>
                </w:tcPr>
                <w:p>
                  <w:pPr>
                    <w:jc w:val="center"/>
                    <w:rPr>
                      <w:b/>
                      <w:szCs w:val="21"/>
                    </w:rPr>
                  </w:pPr>
                  <w:r>
                    <w:rPr>
                      <w:b/>
                      <w:szCs w:val="21"/>
                    </w:rPr>
                    <w:t>排放口编号</w:t>
                  </w:r>
                </w:p>
              </w:tc>
              <w:tc>
                <w:tcPr>
                  <w:tcW w:w="1855" w:type="dxa"/>
                  <w:vMerge w:val="restart"/>
                  <w:tcBorders>
                    <w:tl2br w:val="nil"/>
                    <w:tr2bl w:val="nil"/>
                  </w:tcBorders>
                  <w:vAlign w:val="center"/>
                </w:tcPr>
                <w:p>
                  <w:pPr>
                    <w:jc w:val="center"/>
                    <w:rPr>
                      <w:b/>
                      <w:szCs w:val="21"/>
                    </w:rPr>
                  </w:pPr>
                  <w:r>
                    <w:rPr>
                      <w:b/>
                      <w:szCs w:val="21"/>
                    </w:rPr>
                    <w:t>污染物</w:t>
                  </w:r>
                </w:p>
                <w:p>
                  <w:pPr>
                    <w:jc w:val="center"/>
                    <w:rPr>
                      <w:b/>
                      <w:szCs w:val="21"/>
                    </w:rPr>
                  </w:pPr>
                  <w:r>
                    <w:rPr>
                      <w:b/>
                      <w:szCs w:val="21"/>
                    </w:rPr>
                    <w:t>种类</w:t>
                  </w:r>
                </w:p>
              </w:tc>
              <w:tc>
                <w:tcPr>
                  <w:tcW w:w="4853" w:type="dxa"/>
                  <w:gridSpan w:val="2"/>
                  <w:tcBorders>
                    <w:tl2br w:val="nil"/>
                    <w:tr2bl w:val="nil"/>
                  </w:tcBorders>
                  <w:vAlign w:val="center"/>
                </w:tcPr>
                <w:p>
                  <w:pPr>
                    <w:jc w:val="center"/>
                    <w:rPr>
                      <w:b/>
                      <w:szCs w:val="21"/>
                    </w:rPr>
                  </w:pPr>
                  <w:r>
                    <w:rPr>
                      <w:b/>
                      <w:szCs w:val="21"/>
                    </w:rPr>
                    <w:t>国家或地方污染物排放标准及其他按规定商定的排放协议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Borders>
                    <w:tl2br w:val="nil"/>
                    <w:tr2bl w:val="nil"/>
                  </w:tcBorders>
                  <w:vAlign w:val="center"/>
                </w:tcPr>
                <w:p>
                  <w:pPr>
                    <w:jc w:val="center"/>
                    <w:rPr>
                      <w:b/>
                      <w:szCs w:val="21"/>
                    </w:rPr>
                  </w:pPr>
                </w:p>
              </w:tc>
              <w:tc>
                <w:tcPr>
                  <w:tcW w:w="881" w:type="dxa"/>
                  <w:vMerge w:val="continue"/>
                  <w:tcBorders>
                    <w:tl2br w:val="nil"/>
                    <w:tr2bl w:val="nil"/>
                  </w:tcBorders>
                  <w:vAlign w:val="center"/>
                </w:tcPr>
                <w:p>
                  <w:pPr>
                    <w:jc w:val="center"/>
                    <w:rPr>
                      <w:b/>
                      <w:szCs w:val="21"/>
                    </w:rPr>
                  </w:pPr>
                </w:p>
              </w:tc>
              <w:tc>
                <w:tcPr>
                  <w:tcW w:w="1855" w:type="dxa"/>
                  <w:vMerge w:val="continue"/>
                  <w:tcBorders>
                    <w:tl2br w:val="nil"/>
                    <w:tr2bl w:val="nil"/>
                  </w:tcBorders>
                  <w:vAlign w:val="center"/>
                </w:tcPr>
                <w:p>
                  <w:pPr>
                    <w:jc w:val="center"/>
                    <w:rPr>
                      <w:b/>
                      <w:szCs w:val="21"/>
                    </w:rPr>
                  </w:pPr>
                </w:p>
              </w:tc>
              <w:tc>
                <w:tcPr>
                  <w:tcW w:w="2664" w:type="dxa"/>
                  <w:tcBorders>
                    <w:tl2br w:val="nil"/>
                    <w:tr2bl w:val="nil"/>
                  </w:tcBorders>
                  <w:vAlign w:val="center"/>
                </w:tcPr>
                <w:p>
                  <w:pPr>
                    <w:jc w:val="center"/>
                    <w:rPr>
                      <w:b/>
                      <w:szCs w:val="21"/>
                    </w:rPr>
                  </w:pPr>
                  <w:r>
                    <w:rPr>
                      <w:b/>
                      <w:szCs w:val="21"/>
                    </w:rPr>
                    <w:t>名称</w:t>
                  </w:r>
                </w:p>
              </w:tc>
              <w:tc>
                <w:tcPr>
                  <w:tcW w:w="2189" w:type="dxa"/>
                  <w:tcBorders>
                    <w:tl2br w:val="nil"/>
                    <w:tr2bl w:val="nil"/>
                  </w:tcBorders>
                  <w:vAlign w:val="center"/>
                </w:tcPr>
                <w:p>
                  <w:pPr>
                    <w:jc w:val="center"/>
                    <w:rPr>
                      <w:b/>
                      <w:szCs w:val="21"/>
                    </w:rPr>
                  </w:pPr>
                  <w:r>
                    <w:rPr>
                      <w:b/>
                      <w:szCs w:val="21"/>
                    </w:rPr>
                    <w:t>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3" w:type="dxa"/>
                  <w:vMerge w:val="restart"/>
                  <w:tcBorders>
                    <w:tl2br w:val="nil"/>
                    <w:tr2bl w:val="nil"/>
                  </w:tcBorders>
                  <w:vAlign w:val="center"/>
                </w:tcPr>
                <w:p>
                  <w:pPr>
                    <w:jc w:val="center"/>
                    <w:rPr>
                      <w:szCs w:val="21"/>
                    </w:rPr>
                  </w:pPr>
                  <w:r>
                    <w:rPr>
                      <w:szCs w:val="21"/>
                    </w:rPr>
                    <w:t>1</w:t>
                  </w:r>
                </w:p>
              </w:tc>
              <w:tc>
                <w:tcPr>
                  <w:tcW w:w="881" w:type="dxa"/>
                  <w:vMerge w:val="restart"/>
                  <w:tcBorders>
                    <w:tl2br w:val="nil"/>
                    <w:tr2bl w:val="nil"/>
                  </w:tcBorders>
                  <w:vAlign w:val="center"/>
                </w:tcPr>
                <w:p>
                  <w:pPr>
                    <w:jc w:val="center"/>
                    <w:rPr>
                      <w:szCs w:val="21"/>
                    </w:rPr>
                  </w:pPr>
                  <w:r>
                    <w:rPr>
                      <w:szCs w:val="21"/>
                    </w:rPr>
                    <w:t>DW001</w:t>
                  </w:r>
                </w:p>
              </w:tc>
              <w:tc>
                <w:tcPr>
                  <w:tcW w:w="1855" w:type="dxa"/>
                  <w:tcBorders>
                    <w:tl2br w:val="nil"/>
                    <w:tr2bl w:val="nil"/>
                  </w:tcBorders>
                  <w:vAlign w:val="center"/>
                </w:tcPr>
                <w:p>
                  <w:pPr>
                    <w:jc w:val="center"/>
                    <w:rPr>
                      <w:szCs w:val="21"/>
                    </w:rPr>
                  </w:pPr>
                  <w:r>
                    <w:rPr>
                      <w:szCs w:val="21"/>
                    </w:rPr>
                    <w:t>pH</w:t>
                  </w:r>
                </w:p>
              </w:tc>
              <w:tc>
                <w:tcPr>
                  <w:tcW w:w="2664" w:type="dxa"/>
                  <w:vMerge w:val="restart"/>
                  <w:tcBorders>
                    <w:tl2br w:val="nil"/>
                    <w:tr2bl w:val="nil"/>
                  </w:tcBorders>
                  <w:vAlign w:val="center"/>
                </w:tcPr>
                <w:p>
                  <w:pPr>
                    <w:jc w:val="center"/>
                    <w:rPr>
                      <w:szCs w:val="21"/>
                    </w:rPr>
                  </w:pPr>
                  <w:r>
                    <w:rPr>
                      <w:szCs w:val="21"/>
                    </w:rPr>
                    <w:t>从严执行（</w:t>
                  </w:r>
                  <w:r>
                    <w:rPr>
                      <w:kern w:val="0"/>
                      <w:szCs w:val="21"/>
                    </w:rPr>
                    <w:t>GB8978-1996</w:t>
                  </w:r>
                  <w:r>
                    <w:rPr>
                      <w:szCs w:val="21"/>
                    </w:rPr>
                    <w:t>）</w:t>
                  </w:r>
                  <w:r>
                    <w:rPr>
                      <w:kern w:val="0"/>
                      <w:szCs w:val="21"/>
                    </w:rPr>
                    <w:t>三级标准、</w:t>
                  </w:r>
                  <w:r>
                    <w:rPr>
                      <w:szCs w:val="21"/>
                    </w:rPr>
                    <w:t>城陵矶新港区污水处理厂接管标准</w:t>
                  </w:r>
                </w:p>
              </w:tc>
              <w:tc>
                <w:tcPr>
                  <w:tcW w:w="2189" w:type="dxa"/>
                  <w:tcBorders>
                    <w:tl2br w:val="nil"/>
                    <w:tr2bl w:val="nil"/>
                  </w:tcBorders>
                  <w:vAlign w:val="center"/>
                </w:tcPr>
                <w:p>
                  <w:pPr>
                    <w:jc w:val="center"/>
                    <w:rPr>
                      <w:szCs w:val="21"/>
                    </w:rPr>
                  </w:pPr>
                  <w:r>
                    <w:rPr>
                      <w:szCs w:val="21"/>
                    </w:rPr>
                    <w:t>6~9（无量纲）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Borders>
                    <w:tl2br w:val="nil"/>
                    <w:tr2bl w:val="nil"/>
                  </w:tcBorders>
                  <w:vAlign w:val="center"/>
                </w:tcPr>
                <w:p>
                  <w:pPr>
                    <w:jc w:val="center"/>
                    <w:rPr>
                      <w:szCs w:val="21"/>
                    </w:rPr>
                  </w:pPr>
                </w:p>
              </w:tc>
              <w:tc>
                <w:tcPr>
                  <w:tcW w:w="881" w:type="dxa"/>
                  <w:vMerge w:val="continue"/>
                  <w:tcBorders>
                    <w:tl2br w:val="nil"/>
                    <w:tr2bl w:val="nil"/>
                  </w:tcBorders>
                  <w:vAlign w:val="center"/>
                </w:tcPr>
                <w:p>
                  <w:pPr>
                    <w:jc w:val="center"/>
                    <w:rPr>
                      <w:szCs w:val="21"/>
                    </w:rPr>
                  </w:pPr>
                </w:p>
              </w:tc>
              <w:tc>
                <w:tcPr>
                  <w:tcW w:w="1855" w:type="dxa"/>
                  <w:tcBorders>
                    <w:tl2br w:val="nil"/>
                    <w:tr2bl w:val="nil"/>
                  </w:tcBorders>
                  <w:vAlign w:val="center"/>
                </w:tcPr>
                <w:p>
                  <w:pPr>
                    <w:jc w:val="center"/>
                    <w:rPr>
                      <w:szCs w:val="21"/>
                    </w:rPr>
                  </w:pPr>
                  <w:r>
                    <w:rPr>
                      <w:szCs w:val="21"/>
                    </w:rPr>
                    <w:t>COD</w:t>
                  </w:r>
                </w:p>
              </w:tc>
              <w:tc>
                <w:tcPr>
                  <w:tcW w:w="2664" w:type="dxa"/>
                  <w:vMerge w:val="continue"/>
                  <w:tcBorders>
                    <w:tl2br w:val="nil"/>
                    <w:tr2bl w:val="nil"/>
                  </w:tcBorders>
                  <w:vAlign w:val="center"/>
                </w:tcPr>
                <w:p>
                  <w:pPr>
                    <w:jc w:val="center"/>
                    <w:rPr>
                      <w:szCs w:val="21"/>
                    </w:rPr>
                  </w:pPr>
                </w:p>
              </w:tc>
              <w:tc>
                <w:tcPr>
                  <w:tcW w:w="2189" w:type="dxa"/>
                  <w:tcBorders>
                    <w:tl2br w:val="nil"/>
                    <w:tr2bl w:val="nil"/>
                  </w:tcBorders>
                  <w:vAlign w:val="center"/>
                </w:tcPr>
                <w:p>
                  <w:pPr>
                    <w:jc w:val="center"/>
                    <w:rPr>
                      <w:szCs w:val="21"/>
                    </w:rPr>
                  </w:pPr>
                  <w:r>
                    <w:rPr>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Borders>
                    <w:tl2br w:val="nil"/>
                    <w:tr2bl w:val="nil"/>
                  </w:tcBorders>
                  <w:vAlign w:val="center"/>
                </w:tcPr>
                <w:p>
                  <w:pPr>
                    <w:jc w:val="center"/>
                    <w:rPr>
                      <w:szCs w:val="21"/>
                    </w:rPr>
                  </w:pPr>
                </w:p>
              </w:tc>
              <w:tc>
                <w:tcPr>
                  <w:tcW w:w="881" w:type="dxa"/>
                  <w:vMerge w:val="continue"/>
                  <w:tcBorders>
                    <w:tl2br w:val="nil"/>
                    <w:tr2bl w:val="nil"/>
                  </w:tcBorders>
                  <w:vAlign w:val="center"/>
                </w:tcPr>
                <w:p>
                  <w:pPr>
                    <w:jc w:val="center"/>
                    <w:rPr>
                      <w:szCs w:val="21"/>
                    </w:rPr>
                  </w:pPr>
                </w:p>
              </w:tc>
              <w:tc>
                <w:tcPr>
                  <w:tcW w:w="1855" w:type="dxa"/>
                  <w:tcBorders>
                    <w:tl2br w:val="nil"/>
                    <w:tr2bl w:val="nil"/>
                  </w:tcBorders>
                  <w:vAlign w:val="center"/>
                </w:tcPr>
                <w:p>
                  <w:pPr>
                    <w:jc w:val="center"/>
                    <w:rPr>
                      <w:szCs w:val="21"/>
                    </w:rPr>
                  </w:pPr>
                  <w:r>
                    <w:rPr>
                      <w:szCs w:val="21"/>
                    </w:rPr>
                    <w:t>BOD</w:t>
                  </w:r>
                  <w:r>
                    <w:rPr>
                      <w:szCs w:val="21"/>
                      <w:vertAlign w:val="subscript"/>
                    </w:rPr>
                    <w:t>5</w:t>
                  </w:r>
                </w:p>
              </w:tc>
              <w:tc>
                <w:tcPr>
                  <w:tcW w:w="2664" w:type="dxa"/>
                  <w:vMerge w:val="continue"/>
                  <w:tcBorders>
                    <w:tl2br w:val="nil"/>
                    <w:tr2bl w:val="nil"/>
                  </w:tcBorders>
                  <w:vAlign w:val="center"/>
                </w:tcPr>
                <w:p>
                  <w:pPr>
                    <w:jc w:val="center"/>
                    <w:rPr>
                      <w:szCs w:val="21"/>
                    </w:rPr>
                  </w:pPr>
                </w:p>
              </w:tc>
              <w:tc>
                <w:tcPr>
                  <w:tcW w:w="2189" w:type="dxa"/>
                  <w:tcBorders>
                    <w:tl2br w:val="nil"/>
                    <w:tr2bl w:val="nil"/>
                  </w:tcBorders>
                  <w:vAlign w:val="center"/>
                </w:tcPr>
                <w:p>
                  <w:pPr>
                    <w:jc w:val="center"/>
                    <w:rPr>
                      <w:szCs w:val="21"/>
                    </w:rPr>
                  </w:pPr>
                  <w:r>
                    <w:rPr>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Borders>
                    <w:tl2br w:val="nil"/>
                    <w:tr2bl w:val="nil"/>
                  </w:tcBorders>
                  <w:vAlign w:val="center"/>
                </w:tcPr>
                <w:p>
                  <w:pPr>
                    <w:jc w:val="center"/>
                    <w:rPr>
                      <w:szCs w:val="21"/>
                    </w:rPr>
                  </w:pPr>
                </w:p>
              </w:tc>
              <w:tc>
                <w:tcPr>
                  <w:tcW w:w="881" w:type="dxa"/>
                  <w:vMerge w:val="continue"/>
                  <w:tcBorders>
                    <w:tl2br w:val="nil"/>
                    <w:tr2bl w:val="nil"/>
                  </w:tcBorders>
                  <w:vAlign w:val="center"/>
                </w:tcPr>
                <w:p>
                  <w:pPr>
                    <w:jc w:val="center"/>
                    <w:rPr>
                      <w:szCs w:val="21"/>
                    </w:rPr>
                  </w:pPr>
                </w:p>
              </w:tc>
              <w:tc>
                <w:tcPr>
                  <w:tcW w:w="1855" w:type="dxa"/>
                  <w:tcBorders>
                    <w:tl2br w:val="nil"/>
                    <w:tr2bl w:val="nil"/>
                  </w:tcBorders>
                  <w:vAlign w:val="center"/>
                </w:tcPr>
                <w:p>
                  <w:pPr>
                    <w:jc w:val="center"/>
                    <w:rPr>
                      <w:szCs w:val="21"/>
                    </w:rPr>
                  </w:pPr>
                  <w:r>
                    <w:rPr>
                      <w:szCs w:val="21"/>
                    </w:rPr>
                    <w:t>SS</w:t>
                  </w:r>
                </w:p>
              </w:tc>
              <w:tc>
                <w:tcPr>
                  <w:tcW w:w="2664" w:type="dxa"/>
                  <w:vMerge w:val="continue"/>
                  <w:tcBorders>
                    <w:tl2br w:val="nil"/>
                    <w:tr2bl w:val="nil"/>
                  </w:tcBorders>
                  <w:vAlign w:val="center"/>
                </w:tcPr>
                <w:p>
                  <w:pPr>
                    <w:jc w:val="center"/>
                    <w:rPr>
                      <w:szCs w:val="21"/>
                    </w:rPr>
                  </w:pPr>
                </w:p>
              </w:tc>
              <w:tc>
                <w:tcPr>
                  <w:tcW w:w="2189" w:type="dxa"/>
                  <w:tcBorders>
                    <w:tl2br w:val="nil"/>
                    <w:tr2bl w:val="nil"/>
                  </w:tcBorders>
                  <w:vAlign w:val="center"/>
                </w:tcPr>
                <w:p>
                  <w:pPr>
                    <w:jc w:val="center"/>
                    <w:rPr>
                      <w:szCs w:val="21"/>
                    </w:rPr>
                  </w:pPr>
                  <w:r>
                    <w:rPr>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Borders>
                    <w:tl2br w:val="nil"/>
                    <w:tr2bl w:val="nil"/>
                  </w:tcBorders>
                  <w:vAlign w:val="center"/>
                </w:tcPr>
                <w:p>
                  <w:pPr>
                    <w:jc w:val="center"/>
                    <w:rPr>
                      <w:szCs w:val="21"/>
                    </w:rPr>
                  </w:pPr>
                </w:p>
              </w:tc>
              <w:tc>
                <w:tcPr>
                  <w:tcW w:w="881" w:type="dxa"/>
                  <w:vMerge w:val="continue"/>
                  <w:tcBorders>
                    <w:tl2br w:val="nil"/>
                    <w:tr2bl w:val="nil"/>
                  </w:tcBorders>
                  <w:vAlign w:val="center"/>
                </w:tcPr>
                <w:p>
                  <w:pPr>
                    <w:jc w:val="center"/>
                    <w:rPr>
                      <w:szCs w:val="21"/>
                    </w:rPr>
                  </w:pPr>
                </w:p>
              </w:tc>
              <w:tc>
                <w:tcPr>
                  <w:tcW w:w="1855" w:type="dxa"/>
                  <w:tcBorders>
                    <w:tl2br w:val="nil"/>
                    <w:tr2bl w:val="nil"/>
                  </w:tcBorders>
                  <w:vAlign w:val="center"/>
                </w:tcPr>
                <w:p>
                  <w:pPr>
                    <w:jc w:val="center"/>
                    <w:rPr>
                      <w:szCs w:val="21"/>
                    </w:rPr>
                  </w:pPr>
                  <w:r>
                    <w:rPr>
                      <w:szCs w:val="21"/>
                    </w:rPr>
                    <w:t>氨氮</w:t>
                  </w:r>
                </w:p>
              </w:tc>
              <w:tc>
                <w:tcPr>
                  <w:tcW w:w="2664" w:type="dxa"/>
                  <w:vMerge w:val="continue"/>
                  <w:tcBorders>
                    <w:tl2br w:val="nil"/>
                    <w:tr2bl w:val="nil"/>
                  </w:tcBorders>
                  <w:vAlign w:val="center"/>
                </w:tcPr>
                <w:p>
                  <w:pPr>
                    <w:jc w:val="center"/>
                    <w:rPr>
                      <w:szCs w:val="21"/>
                    </w:rPr>
                  </w:pPr>
                </w:p>
              </w:tc>
              <w:tc>
                <w:tcPr>
                  <w:tcW w:w="2189" w:type="dxa"/>
                  <w:tcBorders>
                    <w:tl2br w:val="nil"/>
                    <w:tr2bl w:val="nil"/>
                  </w:tcBorders>
                  <w:vAlign w:val="center"/>
                </w:tcPr>
                <w:p>
                  <w:pPr>
                    <w:jc w:val="center"/>
                    <w:rPr>
                      <w:szCs w:val="21"/>
                    </w:rPr>
                  </w:pPr>
                  <w:r>
                    <w:rPr>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Borders>
                    <w:tl2br w:val="nil"/>
                    <w:tr2bl w:val="nil"/>
                  </w:tcBorders>
                  <w:vAlign w:val="center"/>
                </w:tcPr>
                <w:p>
                  <w:pPr>
                    <w:jc w:val="center"/>
                    <w:rPr>
                      <w:szCs w:val="21"/>
                    </w:rPr>
                  </w:pPr>
                </w:p>
              </w:tc>
              <w:tc>
                <w:tcPr>
                  <w:tcW w:w="881" w:type="dxa"/>
                  <w:vMerge w:val="continue"/>
                  <w:tcBorders>
                    <w:tl2br w:val="nil"/>
                    <w:tr2bl w:val="nil"/>
                  </w:tcBorders>
                  <w:vAlign w:val="center"/>
                </w:tcPr>
                <w:p>
                  <w:pPr>
                    <w:jc w:val="center"/>
                    <w:rPr>
                      <w:szCs w:val="21"/>
                    </w:rPr>
                  </w:pPr>
                </w:p>
              </w:tc>
              <w:tc>
                <w:tcPr>
                  <w:tcW w:w="1855" w:type="dxa"/>
                  <w:tcBorders>
                    <w:tl2br w:val="nil"/>
                    <w:tr2bl w:val="nil"/>
                  </w:tcBorders>
                  <w:vAlign w:val="center"/>
                </w:tcPr>
                <w:p>
                  <w:pPr>
                    <w:jc w:val="center"/>
                    <w:rPr>
                      <w:szCs w:val="21"/>
                    </w:rPr>
                  </w:pPr>
                  <w:r>
                    <w:rPr>
                      <w:szCs w:val="21"/>
                    </w:rPr>
                    <w:t>动植物油</w:t>
                  </w:r>
                </w:p>
              </w:tc>
              <w:tc>
                <w:tcPr>
                  <w:tcW w:w="2664" w:type="dxa"/>
                  <w:vMerge w:val="continue"/>
                  <w:tcBorders>
                    <w:tl2br w:val="nil"/>
                    <w:tr2bl w:val="nil"/>
                  </w:tcBorders>
                  <w:vAlign w:val="center"/>
                </w:tcPr>
                <w:p>
                  <w:pPr>
                    <w:jc w:val="center"/>
                    <w:rPr>
                      <w:szCs w:val="21"/>
                    </w:rPr>
                  </w:pPr>
                </w:p>
              </w:tc>
              <w:tc>
                <w:tcPr>
                  <w:tcW w:w="2189" w:type="dxa"/>
                  <w:tcBorders>
                    <w:tl2br w:val="nil"/>
                    <w:tr2bl w:val="nil"/>
                  </w:tcBorders>
                  <w:vAlign w:val="center"/>
                </w:tcPr>
                <w:p>
                  <w:pPr>
                    <w:jc w:val="center"/>
                    <w:rPr>
                      <w:szCs w:val="21"/>
                    </w:rPr>
                  </w:pPr>
                  <w:r>
                    <w:rPr>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restart"/>
                  <w:tcBorders>
                    <w:tl2br w:val="nil"/>
                    <w:tr2bl w:val="nil"/>
                  </w:tcBorders>
                  <w:vAlign w:val="center"/>
                </w:tcPr>
                <w:p>
                  <w:pPr>
                    <w:jc w:val="center"/>
                    <w:rPr>
                      <w:szCs w:val="21"/>
                    </w:rPr>
                  </w:pPr>
                  <w:r>
                    <w:rPr>
                      <w:szCs w:val="21"/>
                    </w:rPr>
                    <w:t>2</w:t>
                  </w:r>
                </w:p>
              </w:tc>
              <w:tc>
                <w:tcPr>
                  <w:tcW w:w="881" w:type="dxa"/>
                  <w:vMerge w:val="restart"/>
                  <w:tcBorders>
                    <w:tl2br w:val="nil"/>
                    <w:tr2bl w:val="nil"/>
                  </w:tcBorders>
                  <w:vAlign w:val="center"/>
                </w:tcPr>
                <w:p>
                  <w:pPr>
                    <w:jc w:val="center"/>
                    <w:rPr>
                      <w:rFonts w:hint="eastAsia" w:eastAsia="宋体"/>
                      <w:szCs w:val="21"/>
                      <w:lang w:eastAsia="zh-CN"/>
                    </w:rPr>
                  </w:pPr>
                  <w:r>
                    <w:rPr>
                      <w:szCs w:val="21"/>
                    </w:rPr>
                    <w:t>DW00</w:t>
                  </w:r>
                  <w:r>
                    <w:rPr>
                      <w:rFonts w:hint="eastAsia"/>
                      <w:szCs w:val="21"/>
                      <w:lang w:val="en-US" w:eastAsia="zh-CN"/>
                    </w:rPr>
                    <w:t>1</w:t>
                  </w:r>
                </w:p>
              </w:tc>
              <w:tc>
                <w:tcPr>
                  <w:tcW w:w="1855" w:type="dxa"/>
                  <w:tcBorders>
                    <w:tl2br w:val="nil"/>
                    <w:tr2bl w:val="nil"/>
                  </w:tcBorders>
                  <w:vAlign w:val="center"/>
                </w:tcPr>
                <w:p>
                  <w:pPr>
                    <w:jc w:val="center"/>
                    <w:rPr>
                      <w:szCs w:val="21"/>
                    </w:rPr>
                  </w:pPr>
                  <w:r>
                    <w:rPr>
                      <w:szCs w:val="21"/>
                    </w:rPr>
                    <w:t>pH</w:t>
                  </w:r>
                </w:p>
              </w:tc>
              <w:tc>
                <w:tcPr>
                  <w:tcW w:w="2664" w:type="dxa"/>
                  <w:vMerge w:val="restart"/>
                  <w:tcBorders>
                    <w:tl2br w:val="nil"/>
                    <w:tr2bl w:val="nil"/>
                  </w:tcBorders>
                  <w:vAlign w:val="center"/>
                </w:tcPr>
                <w:p>
                  <w:pPr>
                    <w:jc w:val="center"/>
                    <w:rPr>
                      <w:szCs w:val="21"/>
                    </w:rPr>
                  </w:pPr>
                  <w:r>
                    <w:rPr>
                      <w:szCs w:val="21"/>
                    </w:rPr>
                    <w:t>从严执行城陵矶新港区污水处理厂进水水质要求、（GB26877-2011）中表2的间接排放标准限值要求，</w:t>
                  </w:r>
                </w:p>
              </w:tc>
              <w:tc>
                <w:tcPr>
                  <w:tcW w:w="2189" w:type="dxa"/>
                  <w:tcBorders>
                    <w:tl2br w:val="nil"/>
                    <w:tr2bl w:val="nil"/>
                  </w:tcBorders>
                  <w:vAlign w:val="center"/>
                </w:tcPr>
                <w:p>
                  <w:pPr>
                    <w:jc w:val="center"/>
                    <w:rPr>
                      <w:szCs w:val="21"/>
                    </w:rPr>
                  </w:pPr>
                  <w:r>
                    <w:rPr>
                      <w:szCs w:val="21"/>
                    </w:rPr>
                    <w:t>6~9（无量纲）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Pr>
                <w:p>
                  <w:pPr>
                    <w:jc w:val="center"/>
                    <w:rPr>
                      <w:szCs w:val="21"/>
                    </w:rPr>
                  </w:pPr>
                </w:p>
              </w:tc>
              <w:tc>
                <w:tcPr>
                  <w:tcW w:w="881" w:type="dxa"/>
                  <w:vMerge w:val="continue"/>
                </w:tcPr>
                <w:p>
                  <w:pPr>
                    <w:jc w:val="center"/>
                    <w:rPr>
                      <w:szCs w:val="21"/>
                    </w:rPr>
                  </w:pPr>
                </w:p>
              </w:tc>
              <w:tc>
                <w:tcPr>
                  <w:tcW w:w="1855" w:type="dxa"/>
                  <w:vAlign w:val="center"/>
                </w:tcPr>
                <w:p>
                  <w:pPr>
                    <w:jc w:val="center"/>
                    <w:rPr>
                      <w:szCs w:val="21"/>
                    </w:rPr>
                  </w:pPr>
                  <w:r>
                    <w:rPr>
                      <w:szCs w:val="21"/>
                    </w:rPr>
                    <w:t>COD</w:t>
                  </w:r>
                </w:p>
              </w:tc>
              <w:tc>
                <w:tcPr>
                  <w:tcW w:w="2664" w:type="dxa"/>
                  <w:vMerge w:val="continue"/>
                </w:tcPr>
                <w:p>
                  <w:pPr>
                    <w:jc w:val="center"/>
                    <w:rPr>
                      <w:szCs w:val="21"/>
                    </w:rPr>
                  </w:pPr>
                </w:p>
              </w:tc>
              <w:tc>
                <w:tcPr>
                  <w:tcW w:w="2189" w:type="dxa"/>
                  <w:vAlign w:val="center"/>
                </w:tcPr>
                <w:p>
                  <w:pPr>
                    <w:jc w:val="center"/>
                    <w:rPr>
                      <w:szCs w:val="21"/>
                    </w:rPr>
                  </w:pPr>
                  <w:r>
                    <w:rPr>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Pr>
                <w:p>
                  <w:pPr>
                    <w:jc w:val="center"/>
                    <w:rPr>
                      <w:szCs w:val="21"/>
                    </w:rPr>
                  </w:pPr>
                </w:p>
              </w:tc>
              <w:tc>
                <w:tcPr>
                  <w:tcW w:w="881" w:type="dxa"/>
                  <w:vMerge w:val="continue"/>
                </w:tcPr>
                <w:p>
                  <w:pPr>
                    <w:jc w:val="center"/>
                    <w:rPr>
                      <w:szCs w:val="21"/>
                    </w:rPr>
                  </w:pPr>
                </w:p>
              </w:tc>
              <w:tc>
                <w:tcPr>
                  <w:tcW w:w="1855" w:type="dxa"/>
                  <w:vAlign w:val="center"/>
                </w:tcPr>
                <w:p>
                  <w:pPr>
                    <w:jc w:val="center"/>
                    <w:rPr>
                      <w:szCs w:val="21"/>
                    </w:rPr>
                  </w:pPr>
                  <w:r>
                    <w:rPr>
                      <w:szCs w:val="21"/>
                    </w:rPr>
                    <w:t>BOD</w:t>
                  </w:r>
                  <w:r>
                    <w:rPr>
                      <w:szCs w:val="21"/>
                      <w:vertAlign w:val="subscript"/>
                    </w:rPr>
                    <w:t>5</w:t>
                  </w:r>
                </w:p>
              </w:tc>
              <w:tc>
                <w:tcPr>
                  <w:tcW w:w="2664" w:type="dxa"/>
                  <w:vMerge w:val="continue"/>
                </w:tcPr>
                <w:p>
                  <w:pPr>
                    <w:jc w:val="center"/>
                    <w:rPr>
                      <w:szCs w:val="21"/>
                    </w:rPr>
                  </w:pPr>
                </w:p>
              </w:tc>
              <w:tc>
                <w:tcPr>
                  <w:tcW w:w="2189" w:type="dxa"/>
                  <w:vAlign w:val="center"/>
                </w:tcPr>
                <w:p>
                  <w:pPr>
                    <w:jc w:val="center"/>
                    <w:rPr>
                      <w:szCs w:val="21"/>
                    </w:rPr>
                  </w:pPr>
                  <w:r>
                    <w:rPr>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Pr>
                <w:p>
                  <w:pPr>
                    <w:jc w:val="center"/>
                    <w:rPr>
                      <w:szCs w:val="21"/>
                    </w:rPr>
                  </w:pPr>
                </w:p>
              </w:tc>
              <w:tc>
                <w:tcPr>
                  <w:tcW w:w="881" w:type="dxa"/>
                  <w:vMerge w:val="continue"/>
                </w:tcPr>
                <w:p>
                  <w:pPr>
                    <w:jc w:val="center"/>
                    <w:rPr>
                      <w:szCs w:val="21"/>
                    </w:rPr>
                  </w:pPr>
                </w:p>
              </w:tc>
              <w:tc>
                <w:tcPr>
                  <w:tcW w:w="1855" w:type="dxa"/>
                  <w:vAlign w:val="center"/>
                </w:tcPr>
                <w:p>
                  <w:pPr>
                    <w:jc w:val="center"/>
                    <w:rPr>
                      <w:szCs w:val="21"/>
                    </w:rPr>
                  </w:pPr>
                  <w:r>
                    <w:rPr>
                      <w:szCs w:val="21"/>
                    </w:rPr>
                    <w:t>SS</w:t>
                  </w:r>
                </w:p>
              </w:tc>
              <w:tc>
                <w:tcPr>
                  <w:tcW w:w="2664" w:type="dxa"/>
                  <w:vMerge w:val="continue"/>
                </w:tcPr>
                <w:p>
                  <w:pPr>
                    <w:jc w:val="center"/>
                    <w:rPr>
                      <w:szCs w:val="21"/>
                    </w:rPr>
                  </w:pPr>
                </w:p>
              </w:tc>
              <w:tc>
                <w:tcPr>
                  <w:tcW w:w="2189" w:type="dxa"/>
                  <w:vAlign w:val="center"/>
                </w:tcPr>
                <w:p>
                  <w:pPr>
                    <w:jc w:val="center"/>
                    <w:rPr>
                      <w:szCs w:val="21"/>
                    </w:rPr>
                  </w:pPr>
                  <w:r>
                    <w:rPr>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Pr>
                <w:p>
                  <w:pPr>
                    <w:jc w:val="center"/>
                    <w:rPr>
                      <w:szCs w:val="21"/>
                    </w:rPr>
                  </w:pPr>
                </w:p>
              </w:tc>
              <w:tc>
                <w:tcPr>
                  <w:tcW w:w="881" w:type="dxa"/>
                  <w:vMerge w:val="continue"/>
                </w:tcPr>
                <w:p>
                  <w:pPr>
                    <w:jc w:val="center"/>
                    <w:rPr>
                      <w:szCs w:val="21"/>
                    </w:rPr>
                  </w:pPr>
                </w:p>
              </w:tc>
              <w:tc>
                <w:tcPr>
                  <w:tcW w:w="1855" w:type="dxa"/>
                  <w:vAlign w:val="center"/>
                </w:tcPr>
                <w:p>
                  <w:pPr>
                    <w:jc w:val="center"/>
                    <w:rPr>
                      <w:szCs w:val="21"/>
                    </w:rPr>
                  </w:pPr>
                  <w:r>
                    <w:rPr>
                      <w:szCs w:val="21"/>
                    </w:rPr>
                    <w:t>氨氮</w:t>
                  </w:r>
                </w:p>
              </w:tc>
              <w:tc>
                <w:tcPr>
                  <w:tcW w:w="2664" w:type="dxa"/>
                  <w:vMerge w:val="continue"/>
                </w:tcPr>
                <w:p>
                  <w:pPr>
                    <w:jc w:val="center"/>
                    <w:rPr>
                      <w:szCs w:val="21"/>
                    </w:rPr>
                  </w:pPr>
                </w:p>
              </w:tc>
              <w:tc>
                <w:tcPr>
                  <w:tcW w:w="2189" w:type="dxa"/>
                  <w:vAlign w:val="center"/>
                </w:tcPr>
                <w:p>
                  <w:pPr>
                    <w:jc w:val="center"/>
                    <w:rPr>
                      <w:szCs w:val="21"/>
                    </w:rPr>
                  </w:pPr>
                  <w:r>
                    <w:rPr>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Pr>
                <w:p>
                  <w:pPr>
                    <w:jc w:val="center"/>
                    <w:rPr>
                      <w:szCs w:val="21"/>
                    </w:rPr>
                  </w:pPr>
                </w:p>
              </w:tc>
              <w:tc>
                <w:tcPr>
                  <w:tcW w:w="881" w:type="dxa"/>
                  <w:vMerge w:val="continue"/>
                </w:tcPr>
                <w:p>
                  <w:pPr>
                    <w:jc w:val="center"/>
                    <w:rPr>
                      <w:szCs w:val="21"/>
                    </w:rPr>
                  </w:pPr>
                </w:p>
              </w:tc>
              <w:tc>
                <w:tcPr>
                  <w:tcW w:w="1855" w:type="dxa"/>
                  <w:vAlign w:val="center"/>
                </w:tcPr>
                <w:p>
                  <w:pPr>
                    <w:jc w:val="center"/>
                    <w:rPr>
                      <w:szCs w:val="21"/>
                    </w:rPr>
                  </w:pPr>
                  <w:r>
                    <w:rPr>
                      <w:szCs w:val="21"/>
                    </w:rPr>
                    <w:t>石油类</w:t>
                  </w:r>
                </w:p>
              </w:tc>
              <w:tc>
                <w:tcPr>
                  <w:tcW w:w="2664" w:type="dxa"/>
                  <w:vMerge w:val="continue"/>
                </w:tcPr>
                <w:p>
                  <w:pPr>
                    <w:jc w:val="center"/>
                    <w:rPr>
                      <w:szCs w:val="21"/>
                    </w:rPr>
                  </w:pPr>
                </w:p>
              </w:tc>
              <w:tc>
                <w:tcPr>
                  <w:tcW w:w="2189" w:type="dxa"/>
                  <w:vAlign w:val="center"/>
                </w:tcPr>
                <w:p>
                  <w:pPr>
                    <w:jc w:val="center"/>
                    <w:rPr>
                      <w:szCs w:val="21"/>
                    </w:rPr>
                  </w:pPr>
                  <w:r>
                    <w:rPr>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93" w:type="dxa"/>
                  <w:vMerge w:val="continue"/>
                </w:tcPr>
                <w:p>
                  <w:pPr>
                    <w:jc w:val="center"/>
                    <w:rPr>
                      <w:szCs w:val="21"/>
                    </w:rPr>
                  </w:pPr>
                </w:p>
              </w:tc>
              <w:tc>
                <w:tcPr>
                  <w:tcW w:w="881" w:type="dxa"/>
                  <w:vMerge w:val="continue"/>
                </w:tcPr>
                <w:p>
                  <w:pPr>
                    <w:jc w:val="center"/>
                    <w:rPr>
                      <w:szCs w:val="21"/>
                    </w:rPr>
                  </w:pPr>
                </w:p>
              </w:tc>
              <w:tc>
                <w:tcPr>
                  <w:tcW w:w="1855" w:type="dxa"/>
                  <w:vAlign w:val="center"/>
                </w:tcPr>
                <w:p>
                  <w:pPr>
                    <w:jc w:val="center"/>
                    <w:rPr>
                      <w:szCs w:val="21"/>
                    </w:rPr>
                  </w:pPr>
                  <w:r>
                    <w:rPr>
                      <w:szCs w:val="21"/>
                    </w:rPr>
                    <w:t>LAS</w:t>
                  </w:r>
                </w:p>
              </w:tc>
              <w:tc>
                <w:tcPr>
                  <w:tcW w:w="2664" w:type="dxa"/>
                  <w:vMerge w:val="continue"/>
                </w:tcPr>
                <w:p>
                  <w:pPr>
                    <w:jc w:val="center"/>
                    <w:rPr>
                      <w:szCs w:val="21"/>
                    </w:rPr>
                  </w:pPr>
                </w:p>
              </w:tc>
              <w:tc>
                <w:tcPr>
                  <w:tcW w:w="2189" w:type="dxa"/>
                  <w:vAlign w:val="center"/>
                </w:tcPr>
                <w:p>
                  <w:pPr>
                    <w:jc w:val="center"/>
                    <w:rPr>
                      <w:szCs w:val="21"/>
                    </w:rPr>
                  </w:pPr>
                  <w:r>
                    <w:rPr>
                      <w:szCs w:val="21"/>
                    </w:rPr>
                    <w:t>10</w:t>
                  </w:r>
                </w:p>
              </w:tc>
            </w:tr>
          </w:tbl>
          <w:p>
            <w:pPr>
              <w:jc w:val="center"/>
              <w:rPr>
                <w:b/>
                <w:szCs w:val="21"/>
              </w:rPr>
            </w:pPr>
            <w:r>
              <w:rPr>
                <w:b/>
                <w:szCs w:val="21"/>
              </w:rPr>
              <w:t>表7-9  废水污染物排放信息表（新建项目）</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17"/>
              <w:gridCol w:w="1355"/>
              <w:gridCol w:w="1697"/>
              <w:gridCol w:w="1702"/>
              <w:gridCol w:w="1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95" w:type="dxa"/>
                  <w:tcBorders>
                    <w:tl2br w:val="nil"/>
                    <w:tr2bl w:val="nil"/>
                  </w:tcBorders>
                  <w:vAlign w:val="center"/>
                </w:tcPr>
                <w:p>
                  <w:pPr>
                    <w:jc w:val="center"/>
                    <w:rPr>
                      <w:b/>
                      <w:szCs w:val="21"/>
                    </w:rPr>
                  </w:pPr>
                  <w:r>
                    <w:rPr>
                      <w:b/>
                      <w:szCs w:val="21"/>
                    </w:rPr>
                    <w:t>序号</w:t>
                  </w:r>
                </w:p>
              </w:tc>
              <w:tc>
                <w:tcPr>
                  <w:tcW w:w="1017" w:type="dxa"/>
                  <w:tcBorders>
                    <w:tl2br w:val="nil"/>
                    <w:tr2bl w:val="nil"/>
                  </w:tcBorders>
                  <w:vAlign w:val="center"/>
                </w:tcPr>
                <w:p>
                  <w:pPr>
                    <w:jc w:val="center"/>
                    <w:rPr>
                      <w:b/>
                      <w:szCs w:val="21"/>
                    </w:rPr>
                  </w:pPr>
                  <w:r>
                    <w:rPr>
                      <w:b/>
                      <w:szCs w:val="21"/>
                    </w:rPr>
                    <w:t>排放</w:t>
                  </w:r>
                </w:p>
                <w:p>
                  <w:pPr>
                    <w:jc w:val="center"/>
                    <w:rPr>
                      <w:b/>
                      <w:szCs w:val="21"/>
                    </w:rPr>
                  </w:pPr>
                  <w:r>
                    <w:rPr>
                      <w:b/>
                      <w:szCs w:val="21"/>
                    </w:rPr>
                    <w:t>口编号</w:t>
                  </w:r>
                </w:p>
              </w:tc>
              <w:tc>
                <w:tcPr>
                  <w:tcW w:w="1355" w:type="dxa"/>
                  <w:tcBorders>
                    <w:tl2br w:val="nil"/>
                    <w:tr2bl w:val="nil"/>
                  </w:tcBorders>
                  <w:vAlign w:val="center"/>
                </w:tcPr>
                <w:p>
                  <w:pPr>
                    <w:jc w:val="center"/>
                    <w:rPr>
                      <w:b/>
                      <w:szCs w:val="21"/>
                    </w:rPr>
                  </w:pPr>
                  <w:r>
                    <w:rPr>
                      <w:b/>
                      <w:szCs w:val="21"/>
                    </w:rPr>
                    <w:t>污染</w:t>
                  </w:r>
                </w:p>
                <w:p>
                  <w:pPr>
                    <w:jc w:val="center"/>
                    <w:rPr>
                      <w:b/>
                      <w:szCs w:val="21"/>
                    </w:rPr>
                  </w:pPr>
                  <w:r>
                    <w:rPr>
                      <w:b/>
                      <w:szCs w:val="21"/>
                    </w:rPr>
                    <w:t>物种类</w:t>
                  </w:r>
                </w:p>
              </w:tc>
              <w:tc>
                <w:tcPr>
                  <w:tcW w:w="1697" w:type="dxa"/>
                  <w:tcBorders>
                    <w:tl2br w:val="nil"/>
                    <w:tr2bl w:val="nil"/>
                  </w:tcBorders>
                  <w:vAlign w:val="center"/>
                </w:tcPr>
                <w:p>
                  <w:pPr>
                    <w:jc w:val="center"/>
                    <w:rPr>
                      <w:b/>
                      <w:szCs w:val="21"/>
                    </w:rPr>
                  </w:pPr>
                  <w:r>
                    <w:rPr>
                      <w:b/>
                      <w:szCs w:val="21"/>
                    </w:rPr>
                    <w:t>排放浓度/（mg/L）</w:t>
                  </w:r>
                </w:p>
              </w:tc>
              <w:tc>
                <w:tcPr>
                  <w:tcW w:w="1702" w:type="dxa"/>
                  <w:tcBorders>
                    <w:tl2br w:val="nil"/>
                    <w:tr2bl w:val="nil"/>
                  </w:tcBorders>
                  <w:vAlign w:val="center"/>
                </w:tcPr>
                <w:p>
                  <w:pPr>
                    <w:jc w:val="center"/>
                    <w:rPr>
                      <w:b/>
                      <w:szCs w:val="21"/>
                    </w:rPr>
                  </w:pPr>
                  <w:r>
                    <w:rPr>
                      <w:b/>
                      <w:szCs w:val="21"/>
                    </w:rPr>
                    <w:t>日排放量/（t/d ）</w:t>
                  </w:r>
                </w:p>
              </w:tc>
              <w:tc>
                <w:tcPr>
                  <w:tcW w:w="1816" w:type="dxa"/>
                  <w:tcBorders>
                    <w:tl2br w:val="nil"/>
                    <w:tr2bl w:val="nil"/>
                  </w:tcBorders>
                  <w:vAlign w:val="center"/>
                </w:tcPr>
                <w:p>
                  <w:pPr>
                    <w:jc w:val="center"/>
                    <w:rPr>
                      <w:b/>
                      <w:szCs w:val="21"/>
                    </w:rPr>
                  </w:pPr>
                  <w:r>
                    <w:rPr>
                      <w:b/>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5" w:type="dxa"/>
                  <w:vMerge w:val="restart"/>
                  <w:tcBorders>
                    <w:tl2br w:val="nil"/>
                    <w:tr2bl w:val="nil"/>
                  </w:tcBorders>
                  <w:vAlign w:val="center"/>
                </w:tcPr>
                <w:p>
                  <w:pPr>
                    <w:jc w:val="center"/>
                    <w:rPr>
                      <w:szCs w:val="21"/>
                    </w:rPr>
                  </w:pPr>
                  <w:r>
                    <w:rPr>
                      <w:szCs w:val="21"/>
                    </w:rPr>
                    <w:t>1</w:t>
                  </w:r>
                </w:p>
              </w:tc>
              <w:tc>
                <w:tcPr>
                  <w:tcW w:w="1017" w:type="dxa"/>
                  <w:vMerge w:val="restart"/>
                  <w:tcBorders>
                    <w:tl2br w:val="nil"/>
                    <w:tr2bl w:val="nil"/>
                  </w:tcBorders>
                  <w:vAlign w:val="center"/>
                </w:tcPr>
                <w:p>
                  <w:pPr>
                    <w:jc w:val="center"/>
                    <w:rPr>
                      <w:szCs w:val="21"/>
                    </w:rPr>
                  </w:pPr>
                  <w:r>
                    <w:rPr>
                      <w:szCs w:val="21"/>
                    </w:rPr>
                    <w:t>DW001</w:t>
                  </w:r>
                </w:p>
              </w:tc>
              <w:tc>
                <w:tcPr>
                  <w:tcW w:w="1355" w:type="dxa"/>
                  <w:tcBorders>
                    <w:tl2br w:val="nil"/>
                    <w:tr2bl w:val="nil"/>
                  </w:tcBorders>
                  <w:vAlign w:val="center"/>
                </w:tcPr>
                <w:p>
                  <w:pPr>
                    <w:jc w:val="center"/>
                    <w:rPr>
                      <w:szCs w:val="21"/>
                    </w:rPr>
                  </w:pPr>
                  <w:r>
                    <w:rPr>
                      <w:szCs w:val="21"/>
                    </w:rPr>
                    <w:t>废水量</w:t>
                  </w:r>
                </w:p>
              </w:tc>
              <w:tc>
                <w:tcPr>
                  <w:tcW w:w="1697" w:type="dxa"/>
                  <w:tcBorders>
                    <w:tl2br w:val="nil"/>
                    <w:tr2bl w:val="nil"/>
                  </w:tcBorders>
                  <w:vAlign w:val="center"/>
                </w:tcPr>
                <w:p>
                  <w:pPr>
                    <w:jc w:val="center"/>
                    <w:rPr>
                      <w:szCs w:val="21"/>
                    </w:rPr>
                  </w:pPr>
                  <w:r>
                    <w:rPr>
                      <w:szCs w:val="21"/>
                    </w:rPr>
                    <w:t>/</w:t>
                  </w:r>
                </w:p>
              </w:tc>
              <w:tc>
                <w:tcPr>
                  <w:tcW w:w="1702" w:type="dxa"/>
                  <w:tcBorders>
                    <w:tl2br w:val="nil"/>
                    <w:tr2bl w:val="nil"/>
                  </w:tcBorders>
                  <w:vAlign w:val="center"/>
                </w:tcPr>
                <w:p>
                  <w:pPr>
                    <w:widowControl/>
                    <w:jc w:val="center"/>
                    <w:textAlignment w:val="center"/>
                    <w:rPr>
                      <w:szCs w:val="21"/>
                    </w:rPr>
                  </w:pPr>
                  <w:r>
                    <w:rPr>
                      <w:rFonts w:hint="eastAsia"/>
                      <w:kern w:val="0"/>
                      <w:szCs w:val="21"/>
                    </w:rPr>
                    <w:t>10</w:t>
                  </w:r>
                </w:p>
              </w:tc>
              <w:tc>
                <w:tcPr>
                  <w:tcW w:w="1816" w:type="dxa"/>
                  <w:tcBorders>
                    <w:tl2br w:val="nil"/>
                    <w:tr2bl w:val="nil"/>
                  </w:tcBorders>
                  <w:vAlign w:val="center"/>
                </w:tcPr>
                <w:p>
                  <w:pPr>
                    <w:adjustRightInd w:val="0"/>
                    <w:snapToGrid w:val="0"/>
                    <w:jc w:val="center"/>
                    <w:rPr>
                      <w:szCs w:val="21"/>
                    </w:rPr>
                  </w:pPr>
                  <w:r>
                    <w:rPr>
                      <w:rFonts w:hint="eastAsia"/>
                      <w:szCs w:val="21"/>
                    </w:rPr>
                    <w:t>3032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COD</w:t>
                  </w:r>
                </w:p>
              </w:tc>
              <w:tc>
                <w:tcPr>
                  <w:tcW w:w="1697" w:type="dxa"/>
                  <w:tcBorders>
                    <w:tl2br w:val="nil"/>
                    <w:tr2bl w:val="nil"/>
                  </w:tcBorders>
                  <w:vAlign w:val="center"/>
                </w:tcPr>
                <w:p>
                  <w:pPr>
                    <w:widowControl/>
                    <w:jc w:val="center"/>
                    <w:textAlignment w:val="center"/>
                    <w:rPr>
                      <w:szCs w:val="21"/>
                    </w:rPr>
                  </w:pPr>
                  <w:r>
                    <w:rPr>
                      <w:kern w:val="0"/>
                      <w:szCs w:val="21"/>
                    </w:rPr>
                    <w:t>50</w:t>
                  </w:r>
                </w:p>
              </w:tc>
              <w:tc>
                <w:tcPr>
                  <w:tcW w:w="1702" w:type="dxa"/>
                  <w:tcBorders>
                    <w:tl2br w:val="nil"/>
                    <w:tr2bl w:val="nil"/>
                  </w:tcBorders>
                  <w:vAlign w:val="center"/>
                </w:tcPr>
                <w:p>
                  <w:pPr>
                    <w:widowControl/>
                    <w:jc w:val="center"/>
                    <w:textAlignment w:val="center"/>
                    <w:rPr>
                      <w:szCs w:val="21"/>
                    </w:rPr>
                  </w:pPr>
                  <w:r>
                    <w:rPr>
                      <w:kern w:val="0"/>
                      <w:szCs w:val="21"/>
                    </w:rPr>
                    <w:t>0.000</w:t>
                  </w:r>
                  <w:r>
                    <w:rPr>
                      <w:rFonts w:hint="eastAsia"/>
                      <w:kern w:val="0"/>
                      <w:szCs w:val="21"/>
                    </w:rPr>
                    <w:t>5</w:t>
                  </w:r>
                </w:p>
              </w:tc>
              <w:tc>
                <w:tcPr>
                  <w:tcW w:w="1816" w:type="dxa"/>
                  <w:tcBorders>
                    <w:tl2br w:val="nil"/>
                    <w:tr2bl w:val="nil"/>
                  </w:tcBorders>
                  <w:vAlign w:val="center"/>
                </w:tcPr>
                <w:p>
                  <w:pPr>
                    <w:widowControl/>
                    <w:jc w:val="center"/>
                    <w:textAlignment w:val="center"/>
                    <w:rPr>
                      <w:szCs w:val="21"/>
                    </w:rPr>
                  </w:pPr>
                  <w:r>
                    <w:rPr>
                      <w:kern w:val="0"/>
                      <w:szCs w:val="21"/>
                    </w:rPr>
                    <w:t>0.</w:t>
                  </w:r>
                  <w:r>
                    <w:rPr>
                      <w:rFonts w:hint="eastAsia"/>
                      <w:kern w:val="0"/>
                      <w:szCs w:val="21"/>
                    </w:rPr>
                    <w:t>1516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BOD</w:t>
                  </w:r>
                  <w:r>
                    <w:rPr>
                      <w:szCs w:val="21"/>
                      <w:vertAlign w:val="subscript"/>
                    </w:rPr>
                    <w:t>5</w:t>
                  </w:r>
                </w:p>
              </w:tc>
              <w:tc>
                <w:tcPr>
                  <w:tcW w:w="1697" w:type="dxa"/>
                  <w:tcBorders>
                    <w:tl2br w:val="nil"/>
                    <w:tr2bl w:val="nil"/>
                  </w:tcBorders>
                  <w:vAlign w:val="center"/>
                </w:tcPr>
                <w:p>
                  <w:pPr>
                    <w:widowControl/>
                    <w:jc w:val="center"/>
                    <w:textAlignment w:val="center"/>
                    <w:rPr>
                      <w:szCs w:val="21"/>
                    </w:rPr>
                  </w:pPr>
                  <w:r>
                    <w:rPr>
                      <w:kern w:val="0"/>
                      <w:szCs w:val="21"/>
                    </w:rPr>
                    <w:t>10</w:t>
                  </w:r>
                </w:p>
              </w:tc>
              <w:tc>
                <w:tcPr>
                  <w:tcW w:w="1702" w:type="dxa"/>
                  <w:tcBorders>
                    <w:tl2br w:val="nil"/>
                    <w:tr2bl w:val="nil"/>
                  </w:tcBorders>
                  <w:vAlign w:val="center"/>
                </w:tcPr>
                <w:p>
                  <w:pPr>
                    <w:widowControl/>
                    <w:jc w:val="center"/>
                    <w:textAlignment w:val="center"/>
                    <w:rPr>
                      <w:kern w:val="0"/>
                      <w:szCs w:val="21"/>
                    </w:rPr>
                  </w:pPr>
                  <w:r>
                    <w:rPr>
                      <w:kern w:val="0"/>
                      <w:szCs w:val="21"/>
                    </w:rPr>
                    <w:t>0.000</w:t>
                  </w:r>
                  <w:r>
                    <w:rPr>
                      <w:rFonts w:hint="eastAsia"/>
                      <w:kern w:val="0"/>
                      <w:szCs w:val="21"/>
                    </w:rPr>
                    <w:t>1</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0.03032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NH</w:t>
                  </w:r>
                  <w:r>
                    <w:rPr>
                      <w:szCs w:val="21"/>
                      <w:vertAlign w:val="subscript"/>
                    </w:rPr>
                    <w:t>3</w:t>
                  </w:r>
                  <w:r>
                    <w:rPr>
                      <w:szCs w:val="21"/>
                    </w:rPr>
                    <w:t>-N</w:t>
                  </w:r>
                </w:p>
              </w:tc>
              <w:tc>
                <w:tcPr>
                  <w:tcW w:w="1697" w:type="dxa"/>
                  <w:tcBorders>
                    <w:tl2br w:val="nil"/>
                    <w:tr2bl w:val="nil"/>
                  </w:tcBorders>
                  <w:vAlign w:val="center"/>
                </w:tcPr>
                <w:p>
                  <w:pPr>
                    <w:widowControl/>
                    <w:jc w:val="center"/>
                    <w:textAlignment w:val="center"/>
                    <w:rPr>
                      <w:szCs w:val="21"/>
                    </w:rPr>
                  </w:pPr>
                  <w:r>
                    <w:rPr>
                      <w:kern w:val="0"/>
                      <w:szCs w:val="21"/>
                    </w:rPr>
                    <w:t>5</w:t>
                  </w:r>
                </w:p>
              </w:tc>
              <w:tc>
                <w:tcPr>
                  <w:tcW w:w="1702" w:type="dxa"/>
                  <w:tcBorders>
                    <w:tl2br w:val="nil"/>
                    <w:tr2bl w:val="nil"/>
                  </w:tcBorders>
                  <w:vAlign w:val="center"/>
                </w:tcPr>
                <w:p>
                  <w:pPr>
                    <w:widowControl/>
                    <w:jc w:val="center"/>
                    <w:textAlignment w:val="center"/>
                    <w:rPr>
                      <w:szCs w:val="21"/>
                    </w:rPr>
                  </w:pPr>
                  <w:r>
                    <w:rPr>
                      <w:kern w:val="0"/>
                      <w:szCs w:val="21"/>
                    </w:rPr>
                    <w:t>0.0000</w:t>
                  </w:r>
                  <w:r>
                    <w:rPr>
                      <w:rFonts w:hint="eastAsia"/>
                      <w:kern w:val="0"/>
                      <w:szCs w:val="21"/>
                    </w:rPr>
                    <w:t>5</w:t>
                  </w:r>
                </w:p>
              </w:tc>
              <w:tc>
                <w:tcPr>
                  <w:tcW w:w="1816" w:type="dxa"/>
                  <w:tcBorders>
                    <w:tl2br w:val="nil"/>
                    <w:tr2bl w:val="nil"/>
                  </w:tcBorders>
                  <w:vAlign w:val="center"/>
                </w:tcPr>
                <w:p>
                  <w:pPr>
                    <w:widowControl/>
                    <w:jc w:val="center"/>
                    <w:textAlignment w:val="center"/>
                    <w:rPr>
                      <w:szCs w:val="21"/>
                    </w:rPr>
                  </w:pPr>
                  <w:r>
                    <w:rPr>
                      <w:kern w:val="0"/>
                      <w:szCs w:val="21"/>
                    </w:rPr>
                    <w:t>0.</w:t>
                  </w:r>
                  <w:r>
                    <w:rPr>
                      <w:rFonts w:hint="eastAsia"/>
                      <w:kern w:val="0"/>
                      <w:szCs w:val="21"/>
                    </w:rPr>
                    <w:t>01516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SS</w:t>
                  </w:r>
                </w:p>
              </w:tc>
              <w:tc>
                <w:tcPr>
                  <w:tcW w:w="1697" w:type="dxa"/>
                  <w:tcBorders>
                    <w:tl2br w:val="nil"/>
                    <w:tr2bl w:val="nil"/>
                  </w:tcBorders>
                  <w:vAlign w:val="center"/>
                </w:tcPr>
                <w:p>
                  <w:pPr>
                    <w:widowControl/>
                    <w:jc w:val="center"/>
                    <w:textAlignment w:val="center"/>
                    <w:rPr>
                      <w:szCs w:val="21"/>
                    </w:rPr>
                  </w:pPr>
                  <w:r>
                    <w:rPr>
                      <w:kern w:val="0"/>
                      <w:szCs w:val="21"/>
                    </w:rPr>
                    <w:t>10</w:t>
                  </w:r>
                </w:p>
              </w:tc>
              <w:tc>
                <w:tcPr>
                  <w:tcW w:w="1702" w:type="dxa"/>
                  <w:tcBorders>
                    <w:tl2br w:val="nil"/>
                    <w:tr2bl w:val="nil"/>
                  </w:tcBorders>
                  <w:vAlign w:val="center"/>
                </w:tcPr>
                <w:p>
                  <w:pPr>
                    <w:widowControl/>
                    <w:jc w:val="center"/>
                    <w:textAlignment w:val="center"/>
                    <w:rPr>
                      <w:szCs w:val="21"/>
                    </w:rPr>
                  </w:pPr>
                  <w:r>
                    <w:rPr>
                      <w:kern w:val="0"/>
                      <w:szCs w:val="21"/>
                    </w:rPr>
                    <w:t>0.000</w:t>
                  </w:r>
                  <w:r>
                    <w:rPr>
                      <w:rFonts w:hint="eastAsia"/>
                      <w:kern w:val="0"/>
                      <w:szCs w:val="21"/>
                    </w:rPr>
                    <w:t>1</w:t>
                  </w:r>
                </w:p>
              </w:tc>
              <w:tc>
                <w:tcPr>
                  <w:tcW w:w="1816" w:type="dxa"/>
                  <w:tcBorders>
                    <w:tl2br w:val="nil"/>
                    <w:tr2bl w:val="nil"/>
                  </w:tcBorders>
                  <w:vAlign w:val="center"/>
                </w:tcPr>
                <w:p>
                  <w:pPr>
                    <w:widowControl/>
                    <w:jc w:val="center"/>
                    <w:textAlignment w:val="center"/>
                    <w:rPr>
                      <w:szCs w:val="21"/>
                    </w:rPr>
                  </w:pPr>
                  <w:r>
                    <w:rPr>
                      <w:rFonts w:hint="eastAsia"/>
                      <w:kern w:val="0"/>
                      <w:szCs w:val="21"/>
                    </w:rPr>
                    <w:t>0.03032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动植物油</w:t>
                  </w:r>
                </w:p>
              </w:tc>
              <w:tc>
                <w:tcPr>
                  <w:tcW w:w="1697" w:type="dxa"/>
                  <w:tcBorders>
                    <w:tl2br w:val="nil"/>
                    <w:tr2bl w:val="nil"/>
                  </w:tcBorders>
                  <w:vAlign w:val="center"/>
                </w:tcPr>
                <w:p>
                  <w:pPr>
                    <w:widowControl/>
                    <w:jc w:val="center"/>
                    <w:textAlignment w:val="center"/>
                    <w:rPr>
                      <w:szCs w:val="21"/>
                    </w:rPr>
                  </w:pPr>
                  <w:r>
                    <w:rPr>
                      <w:kern w:val="0"/>
                      <w:szCs w:val="21"/>
                    </w:rPr>
                    <w:t>1</w:t>
                  </w:r>
                </w:p>
              </w:tc>
              <w:tc>
                <w:tcPr>
                  <w:tcW w:w="1702" w:type="dxa"/>
                  <w:tcBorders>
                    <w:tl2br w:val="nil"/>
                    <w:tr2bl w:val="nil"/>
                  </w:tcBorders>
                  <w:vAlign w:val="center"/>
                </w:tcPr>
                <w:p>
                  <w:pPr>
                    <w:widowControl/>
                    <w:jc w:val="center"/>
                    <w:textAlignment w:val="center"/>
                    <w:rPr>
                      <w:szCs w:val="21"/>
                    </w:rPr>
                  </w:pPr>
                  <w:r>
                    <w:rPr>
                      <w:kern w:val="0"/>
                      <w:szCs w:val="21"/>
                    </w:rPr>
                    <w:t>0.000</w:t>
                  </w:r>
                  <w:r>
                    <w:rPr>
                      <w:rFonts w:hint="eastAsia"/>
                      <w:kern w:val="0"/>
                      <w:szCs w:val="21"/>
                    </w:rPr>
                    <w:t>01</w:t>
                  </w:r>
                </w:p>
              </w:tc>
              <w:tc>
                <w:tcPr>
                  <w:tcW w:w="1816" w:type="dxa"/>
                  <w:tcBorders>
                    <w:tl2br w:val="nil"/>
                    <w:tr2bl w:val="nil"/>
                  </w:tcBorders>
                  <w:vAlign w:val="center"/>
                </w:tcPr>
                <w:p>
                  <w:pPr>
                    <w:widowControl/>
                    <w:jc w:val="center"/>
                    <w:textAlignment w:val="center"/>
                    <w:rPr>
                      <w:szCs w:val="21"/>
                    </w:rPr>
                  </w:pPr>
                  <w:r>
                    <w:rPr>
                      <w:rFonts w:hint="eastAsia"/>
                      <w:kern w:val="0"/>
                      <w:szCs w:val="21"/>
                    </w:rPr>
                    <w:t>0.003032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restart"/>
                  <w:tcBorders>
                    <w:tl2br w:val="nil"/>
                    <w:tr2bl w:val="nil"/>
                  </w:tcBorders>
                  <w:vAlign w:val="center"/>
                </w:tcPr>
                <w:p>
                  <w:pPr>
                    <w:jc w:val="center"/>
                    <w:rPr>
                      <w:szCs w:val="21"/>
                    </w:rPr>
                  </w:pPr>
                  <w:r>
                    <w:rPr>
                      <w:szCs w:val="21"/>
                    </w:rPr>
                    <w:t>2</w:t>
                  </w:r>
                </w:p>
              </w:tc>
              <w:tc>
                <w:tcPr>
                  <w:tcW w:w="1017" w:type="dxa"/>
                  <w:vMerge w:val="restart"/>
                  <w:tcBorders>
                    <w:tl2br w:val="nil"/>
                    <w:tr2bl w:val="nil"/>
                  </w:tcBorders>
                  <w:vAlign w:val="center"/>
                </w:tcPr>
                <w:p>
                  <w:pPr>
                    <w:jc w:val="center"/>
                    <w:rPr>
                      <w:rFonts w:hint="eastAsia" w:eastAsia="宋体"/>
                      <w:szCs w:val="21"/>
                      <w:lang w:eastAsia="zh-CN"/>
                    </w:rPr>
                  </w:pPr>
                  <w:r>
                    <w:rPr>
                      <w:szCs w:val="21"/>
                    </w:rPr>
                    <w:t>DW00</w:t>
                  </w:r>
                  <w:r>
                    <w:rPr>
                      <w:rFonts w:hint="eastAsia"/>
                      <w:szCs w:val="21"/>
                      <w:lang w:val="en-US" w:eastAsia="zh-CN"/>
                    </w:rPr>
                    <w:t>1</w:t>
                  </w:r>
                </w:p>
              </w:tc>
              <w:tc>
                <w:tcPr>
                  <w:tcW w:w="1355" w:type="dxa"/>
                  <w:tcBorders>
                    <w:tl2br w:val="nil"/>
                    <w:tr2bl w:val="nil"/>
                  </w:tcBorders>
                  <w:vAlign w:val="center"/>
                </w:tcPr>
                <w:p>
                  <w:pPr>
                    <w:jc w:val="center"/>
                    <w:rPr>
                      <w:szCs w:val="21"/>
                    </w:rPr>
                  </w:pPr>
                  <w:r>
                    <w:rPr>
                      <w:szCs w:val="21"/>
                    </w:rPr>
                    <w:t>废水量</w:t>
                  </w:r>
                </w:p>
              </w:tc>
              <w:tc>
                <w:tcPr>
                  <w:tcW w:w="1697" w:type="dxa"/>
                  <w:tcBorders>
                    <w:tl2br w:val="nil"/>
                    <w:tr2bl w:val="nil"/>
                  </w:tcBorders>
                  <w:vAlign w:val="center"/>
                </w:tcPr>
                <w:p>
                  <w:pPr>
                    <w:adjustRightInd w:val="0"/>
                    <w:snapToGrid w:val="0"/>
                    <w:jc w:val="center"/>
                    <w:rPr>
                      <w:szCs w:val="21"/>
                    </w:rPr>
                  </w:pPr>
                  <w:r>
                    <w:rPr>
                      <w:szCs w:val="21"/>
                    </w:rPr>
                    <w:t>/</w:t>
                  </w:r>
                </w:p>
              </w:tc>
              <w:tc>
                <w:tcPr>
                  <w:tcW w:w="1702" w:type="dxa"/>
                  <w:tcBorders>
                    <w:tl2br w:val="nil"/>
                    <w:tr2bl w:val="nil"/>
                  </w:tcBorders>
                  <w:vAlign w:val="center"/>
                </w:tcPr>
                <w:p>
                  <w:pPr>
                    <w:widowControl/>
                    <w:jc w:val="center"/>
                    <w:textAlignment w:val="center"/>
                    <w:rPr>
                      <w:kern w:val="0"/>
                      <w:szCs w:val="21"/>
                    </w:rPr>
                  </w:pPr>
                  <w:r>
                    <w:rPr>
                      <w:rFonts w:hint="eastAsia"/>
                      <w:kern w:val="0"/>
                      <w:szCs w:val="21"/>
                    </w:rPr>
                    <w:t>0.25</w:t>
                  </w:r>
                </w:p>
              </w:tc>
              <w:tc>
                <w:tcPr>
                  <w:tcW w:w="1816" w:type="dxa"/>
                  <w:tcBorders>
                    <w:tl2br w:val="nil"/>
                    <w:tr2bl w:val="nil"/>
                  </w:tcBorders>
                  <w:vAlign w:val="center"/>
                </w:tcPr>
                <w:p>
                  <w:pPr>
                    <w:adjustRightInd w:val="0"/>
                    <w:snapToGrid w:val="0"/>
                    <w:jc w:val="center"/>
                    <w:rPr>
                      <w:kern w:val="0"/>
                      <w:szCs w:val="21"/>
                    </w:rPr>
                  </w:pPr>
                  <w:r>
                    <w:rPr>
                      <w:rFonts w:hint="eastAsia"/>
                      <w:szCs w:val="21"/>
                    </w:rPr>
                    <w:t>76.92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COD</w:t>
                  </w:r>
                </w:p>
              </w:tc>
              <w:tc>
                <w:tcPr>
                  <w:tcW w:w="1697" w:type="dxa"/>
                  <w:tcBorders>
                    <w:tl2br w:val="nil"/>
                    <w:tr2bl w:val="nil"/>
                  </w:tcBorders>
                  <w:vAlign w:val="center"/>
                </w:tcPr>
                <w:p>
                  <w:pPr>
                    <w:widowControl/>
                    <w:jc w:val="center"/>
                    <w:textAlignment w:val="center"/>
                    <w:rPr>
                      <w:szCs w:val="21"/>
                    </w:rPr>
                  </w:pPr>
                  <w:r>
                    <w:rPr>
                      <w:kern w:val="0"/>
                      <w:szCs w:val="21"/>
                    </w:rPr>
                    <w:t>50</w:t>
                  </w:r>
                </w:p>
              </w:tc>
              <w:tc>
                <w:tcPr>
                  <w:tcW w:w="1702" w:type="dxa"/>
                  <w:tcBorders>
                    <w:tl2br w:val="nil"/>
                    <w:tr2bl w:val="nil"/>
                  </w:tcBorders>
                  <w:vAlign w:val="center"/>
                </w:tcPr>
                <w:p>
                  <w:pPr>
                    <w:widowControl/>
                    <w:jc w:val="center"/>
                    <w:textAlignment w:val="center"/>
                    <w:rPr>
                      <w:kern w:val="0"/>
                      <w:szCs w:val="21"/>
                    </w:rPr>
                  </w:pPr>
                  <w:r>
                    <w:rPr>
                      <w:kern w:val="0"/>
                      <w:szCs w:val="21"/>
                    </w:rPr>
                    <w:t>0.00001</w:t>
                  </w:r>
                  <w:r>
                    <w:rPr>
                      <w:rFonts w:hint="eastAsia"/>
                      <w:kern w:val="0"/>
                      <w:szCs w:val="21"/>
                    </w:rPr>
                    <w:t>25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0.003846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BOD</w:t>
                  </w:r>
                  <w:r>
                    <w:rPr>
                      <w:szCs w:val="21"/>
                      <w:vertAlign w:val="subscript"/>
                    </w:rPr>
                    <w:t>5</w:t>
                  </w:r>
                </w:p>
              </w:tc>
              <w:tc>
                <w:tcPr>
                  <w:tcW w:w="1697" w:type="dxa"/>
                  <w:tcBorders>
                    <w:tl2br w:val="nil"/>
                    <w:tr2bl w:val="nil"/>
                  </w:tcBorders>
                  <w:vAlign w:val="center"/>
                </w:tcPr>
                <w:p>
                  <w:pPr>
                    <w:widowControl/>
                    <w:jc w:val="center"/>
                    <w:textAlignment w:val="center"/>
                    <w:rPr>
                      <w:szCs w:val="21"/>
                    </w:rPr>
                  </w:pPr>
                  <w:r>
                    <w:rPr>
                      <w:kern w:val="0"/>
                      <w:szCs w:val="21"/>
                    </w:rPr>
                    <w:t>10</w:t>
                  </w:r>
                </w:p>
              </w:tc>
              <w:tc>
                <w:tcPr>
                  <w:tcW w:w="1702" w:type="dxa"/>
                  <w:tcBorders>
                    <w:tl2br w:val="nil"/>
                    <w:tr2bl w:val="nil"/>
                  </w:tcBorders>
                  <w:vAlign w:val="center"/>
                </w:tcPr>
                <w:p>
                  <w:pPr>
                    <w:widowControl/>
                    <w:jc w:val="center"/>
                    <w:textAlignment w:val="center"/>
                    <w:rPr>
                      <w:kern w:val="0"/>
                      <w:szCs w:val="21"/>
                    </w:rPr>
                  </w:pPr>
                  <w:r>
                    <w:rPr>
                      <w:rFonts w:hint="eastAsia"/>
                      <w:kern w:val="0"/>
                      <w:szCs w:val="21"/>
                    </w:rPr>
                    <w:t>0.0000025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0.0007692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NH</w:t>
                  </w:r>
                  <w:r>
                    <w:rPr>
                      <w:szCs w:val="21"/>
                      <w:vertAlign w:val="subscript"/>
                    </w:rPr>
                    <w:t>3</w:t>
                  </w:r>
                  <w:r>
                    <w:rPr>
                      <w:szCs w:val="21"/>
                    </w:rPr>
                    <w:t>-N</w:t>
                  </w:r>
                </w:p>
              </w:tc>
              <w:tc>
                <w:tcPr>
                  <w:tcW w:w="1697" w:type="dxa"/>
                  <w:tcBorders>
                    <w:tl2br w:val="nil"/>
                    <w:tr2bl w:val="nil"/>
                  </w:tcBorders>
                  <w:vAlign w:val="center"/>
                </w:tcPr>
                <w:p>
                  <w:pPr>
                    <w:widowControl/>
                    <w:jc w:val="center"/>
                    <w:textAlignment w:val="center"/>
                    <w:rPr>
                      <w:szCs w:val="21"/>
                    </w:rPr>
                  </w:pPr>
                  <w:r>
                    <w:rPr>
                      <w:kern w:val="0"/>
                      <w:szCs w:val="21"/>
                    </w:rPr>
                    <w:t>5</w:t>
                  </w:r>
                </w:p>
              </w:tc>
              <w:tc>
                <w:tcPr>
                  <w:tcW w:w="1702" w:type="dxa"/>
                  <w:tcBorders>
                    <w:tl2br w:val="nil"/>
                    <w:tr2bl w:val="nil"/>
                  </w:tcBorders>
                  <w:vAlign w:val="center"/>
                </w:tcPr>
                <w:p>
                  <w:pPr>
                    <w:widowControl/>
                    <w:jc w:val="center"/>
                    <w:textAlignment w:val="center"/>
                    <w:rPr>
                      <w:kern w:val="0"/>
                      <w:szCs w:val="21"/>
                    </w:rPr>
                  </w:pPr>
                  <w:r>
                    <w:rPr>
                      <w:kern w:val="0"/>
                      <w:szCs w:val="21"/>
                    </w:rPr>
                    <w:t>0.00</w:t>
                  </w:r>
                  <w:r>
                    <w:rPr>
                      <w:rFonts w:hint="eastAsia"/>
                      <w:kern w:val="0"/>
                      <w:szCs w:val="21"/>
                    </w:rPr>
                    <w:t>0</w:t>
                  </w:r>
                  <w:r>
                    <w:rPr>
                      <w:kern w:val="0"/>
                      <w:szCs w:val="21"/>
                    </w:rPr>
                    <w:t>001</w:t>
                  </w:r>
                  <w:r>
                    <w:rPr>
                      <w:rFonts w:hint="eastAsia"/>
                      <w:kern w:val="0"/>
                      <w:szCs w:val="21"/>
                    </w:rPr>
                    <w:t>25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0.0003846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SS</w:t>
                  </w:r>
                </w:p>
              </w:tc>
              <w:tc>
                <w:tcPr>
                  <w:tcW w:w="1697" w:type="dxa"/>
                  <w:tcBorders>
                    <w:tl2br w:val="nil"/>
                    <w:tr2bl w:val="nil"/>
                  </w:tcBorders>
                  <w:vAlign w:val="center"/>
                </w:tcPr>
                <w:p>
                  <w:pPr>
                    <w:widowControl/>
                    <w:jc w:val="center"/>
                    <w:textAlignment w:val="center"/>
                    <w:rPr>
                      <w:szCs w:val="21"/>
                    </w:rPr>
                  </w:pPr>
                  <w:r>
                    <w:rPr>
                      <w:kern w:val="0"/>
                      <w:szCs w:val="21"/>
                    </w:rPr>
                    <w:t>10</w:t>
                  </w:r>
                </w:p>
              </w:tc>
              <w:tc>
                <w:tcPr>
                  <w:tcW w:w="1702" w:type="dxa"/>
                  <w:tcBorders>
                    <w:tl2br w:val="nil"/>
                    <w:tr2bl w:val="nil"/>
                  </w:tcBorders>
                  <w:vAlign w:val="center"/>
                </w:tcPr>
                <w:p>
                  <w:pPr>
                    <w:widowControl/>
                    <w:jc w:val="center"/>
                    <w:textAlignment w:val="center"/>
                    <w:rPr>
                      <w:kern w:val="0"/>
                      <w:szCs w:val="21"/>
                    </w:rPr>
                  </w:pPr>
                  <w:r>
                    <w:rPr>
                      <w:rFonts w:hint="eastAsia"/>
                      <w:kern w:val="0"/>
                      <w:szCs w:val="21"/>
                    </w:rPr>
                    <w:t>0.0000025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0.0007692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石油类</w:t>
                  </w:r>
                </w:p>
              </w:tc>
              <w:tc>
                <w:tcPr>
                  <w:tcW w:w="1697" w:type="dxa"/>
                  <w:tcBorders>
                    <w:tl2br w:val="nil"/>
                    <w:tr2bl w:val="nil"/>
                  </w:tcBorders>
                  <w:vAlign w:val="center"/>
                </w:tcPr>
                <w:p>
                  <w:pPr>
                    <w:widowControl/>
                    <w:jc w:val="center"/>
                    <w:textAlignment w:val="center"/>
                    <w:rPr>
                      <w:szCs w:val="21"/>
                    </w:rPr>
                  </w:pPr>
                  <w:r>
                    <w:rPr>
                      <w:kern w:val="0"/>
                      <w:szCs w:val="21"/>
                    </w:rPr>
                    <w:t>1</w:t>
                  </w:r>
                </w:p>
              </w:tc>
              <w:tc>
                <w:tcPr>
                  <w:tcW w:w="1702" w:type="dxa"/>
                  <w:tcBorders>
                    <w:tl2br w:val="nil"/>
                    <w:tr2bl w:val="nil"/>
                  </w:tcBorders>
                  <w:vAlign w:val="center"/>
                </w:tcPr>
                <w:p>
                  <w:pPr>
                    <w:widowControl/>
                    <w:jc w:val="center"/>
                    <w:textAlignment w:val="center"/>
                    <w:rPr>
                      <w:kern w:val="0"/>
                      <w:szCs w:val="21"/>
                    </w:rPr>
                  </w:pPr>
                  <w:r>
                    <w:rPr>
                      <w:rFonts w:hint="eastAsia"/>
                      <w:kern w:val="0"/>
                      <w:szCs w:val="21"/>
                    </w:rPr>
                    <w:t>0.00000025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0.00007692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95" w:type="dxa"/>
                  <w:vMerge w:val="continue"/>
                  <w:tcBorders>
                    <w:tl2br w:val="nil"/>
                    <w:tr2bl w:val="nil"/>
                  </w:tcBorders>
                  <w:vAlign w:val="center"/>
                </w:tcPr>
                <w:p>
                  <w:pPr>
                    <w:jc w:val="center"/>
                    <w:rPr>
                      <w:szCs w:val="21"/>
                    </w:rPr>
                  </w:pPr>
                </w:p>
              </w:tc>
              <w:tc>
                <w:tcPr>
                  <w:tcW w:w="1017" w:type="dxa"/>
                  <w:vMerge w:val="continue"/>
                  <w:tcBorders>
                    <w:tl2br w:val="nil"/>
                    <w:tr2bl w:val="nil"/>
                  </w:tcBorders>
                  <w:vAlign w:val="center"/>
                </w:tcPr>
                <w:p>
                  <w:pPr>
                    <w:jc w:val="center"/>
                    <w:rPr>
                      <w:szCs w:val="21"/>
                    </w:rPr>
                  </w:pPr>
                </w:p>
              </w:tc>
              <w:tc>
                <w:tcPr>
                  <w:tcW w:w="1355" w:type="dxa"/>
                  <w:tcBorders>
                    <w:tl2br w:val="nil"/>
                    <w:tr2bl w:val="nil"/>
                  </w:tcBorders>
                  <w:vAlign w:val="center"/>
                </w:tcPr>
                <w:p>
                  <w:pPr>
                    <w:adjustRightInd w:val="0"/>
                    <w:snapToGrid w:val="0"/>
                    <w:jc w:val="center"/>
                    <w:rPr>
                      <w:szCs w:val="21"/>
                    </w:rPr>
                  </w:pPr>
                  <w:r>
                    <w:rPr>
                      <w:szCs w:val="21"/>
                    </w:rPr>
                    <w:t>LAS</w:t>
                  </w:r>
                </w:p>
              </w:tc>
              <w:tc>
                <w:tcPr>
                  <w:tcW w:w="1697" w:type="dxa"/>
                  <w:tcBorders>
                    <w:tl2br w:val="nil"/>
                    <w:tr2bl w:val="nil"/>
                  </w:tcBorders>
                  <w:vAlign w:val="center"/>
                </w:tcPr>
                <w:p>
                  <w:pPr>
                    <w:widowControl/>
                    <w:jc w:val="center"/>
                    <w:textAlignment w:val="center"/>
                    <w:rPr>
                      <w:szCs w:val="21"/>
                    </w:rPr>
                  </w:pPr>
                  <w:r>
                    <w:rPr>
                      <w:kern w:val="0"/>
                      <w:szCs w:val="21"/>
                    </w:rPr>
                    <w:t>0.5</w:t>
                  </w:r>
                </w:p>
              </w:tc>
              <w:tc>
                <w:tcPr>
                  <w:tcW w:w="1702" w:type="dxa"/>
                  <w:tcBorders>
                    <w:tl2br w:val="nil"/>
                    <w:tr2bl w:val="nil"/>
                  </w:tcBorders>
                  <w:vAlign w:val="center"/>
                </w:tcPr>
                <w:p>
                  <w:pPr>
                    <w:widowControl/>
                    <w:jc w:val="center"/>
                    <w:textAlignment w:val="center"/>
                    <w:rPr>
                      <w:kern w:val="0"/>
                      <w:szCs w:val="21"/>
                    </w:rPr>
                  </w:pPr>
                  <w:r>
                    <w:rPr>
                      <w:kern w:val="0"/>
                      <w:szCs w:val="21"/>
                    </w:rPr>
                    <w:t>0.00</w:t>
                  </w:r>
                  <w:r>
                    <w:rPr>
                      <w:rFonts w:hint="eastAsia"/>
                      <w:kern w:val="0"/>
                      <w:szCs w:val="21"/>
                    </w:rPr>
                    <w:t>0</w:t>
                  </w:r>
                  <w:r>
                    <w:rPr>
                      <w:kern w:val="0"/>
                      <w:szCs w:val="21"/>
                    </w:rPr>
                    <w:t>0</w:t>
                  </w:r>
                  <w:r>
                    <w:rPr>
                      <w:rFonts w:hint="eastAsia"/>
                      <w:kern w:val="0"/>
                      <w:szCs w:val="21"/>
                    </w:rPr>
                    <w:t>0</w:t>
                  </w:r>
                  <w:r>
                    <w:rPr>
                      <w:kern w:val="0"/>
                      <w:szCs w:val="21"/>
                    </w:rPr>
                    <w:t>01</w:t>
                  </w:r>
                  <w:r>
                    <w:rPr>
                      <w:rFonts w:hint="eastAsia"/>
                      <w:kern w:val="0"/>
                      <w:szCs w:val="21"/>
                    </w:rPr>
                    <w:t>25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0.00003846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2" w:type="dxa"/>
                  <w:gridSpan w:val="2"/>
                  <w:vMerge w:val="restart"/>
                  <w:tcBorders>
                    <w:tl2br w:val="nil"/>
                    <w:tr2bl w:val="nil"/>
                  </w:tcBorders>
                  <w:vAlign w:val="center"/>
                </w:tcPr>
                <w:p>
                  <w:pPr>
                    <w:jc w:val="center"/>
                    <w:rPr>
                      <w:szCs w:val="21"/>
                    </w:rPr>
                  </w:pPr>
                  <w:r>
                    <w:rPr>
                      <w:szCs w:val="21"/>
                    </w:rPr>
                    <w:t>全厂排放口</w:t>
                  </w:r>
                </w:p>
                <w:p>
                  <w:pPr>
                    <w:jc w:val="center"/>
                    <w:rPr>
                      <w:szCs w:val="21"/>
                    </w:rPr>
                  </w:pPr>
                  <w:r>
                    <w:rPr>
                      <w:szCs w:val="21"/>
                    </w:rPr>
                    <w:t>合计</w:t>
                  </w:r>
                </w:p>
              </w:tc>
              <w:tc>
                <w:tcPr>
                  <w:tcW w:w="4754" w:type="dxa"/>
                  <w:gridSpan w:val="3"/>
                  <w:tcBorders>
                    <w:tl2br w:val="nil"/>
                    <w:tr2bl w:val="nil"/>
                  </w:tcBorders>
                  <w:vAlign w:val="center"/>
                </w:tcPr>
                <w:p>
                  <w:pPr>
                    <w:jc w:val="center"/>
                    <w:rPr>
                      <w:szCs w:val="21"/>
                    </w:rPr>
                  </w:pPr>
                  <w:r>
                    <w:rPr>
                      <w:szCs w:val="21"/>
                    </w:rPr>
                    <w:t>废水量</w:t>
                  </w:r>
                </w:p>
              </w:tc>
              <w:tc>
                <w:tcPr>
                  <w:tcW w:w="1816" w:type="dxa"/>
                  <w:tcBorders>
                    <w:tl2br w:val="nil"/>
                    <w:tr2bl w:val="nil"/>
                  </w:tcBorders>
                  <w:vAlign w:val="center"/>
                </w:tcPr>
                <w:p>
                  <w:pPr>
                    <w:widowControl/>
                    <w:jc w:val="center"/>
                    <w:textAlignment w:val="center"/>
                    <w:rPr>
                      <w:szCs w:val="21"/>
                    </w:rPr>
                  </w:pPr>
                  <w:r>
                    <w:rPr>
                      <w:rFonts w:hint="eastAsia"/>
                      <w:kern w:val="0"/>
                      <w:szCs w:val="21"/>
                    </w:rPr>
                    <w:t>3108.92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adjustRightInd w:val="0"/>
                    <w:snapToGrid w:val="0"/>
                    <w:jc w:val="center"/>
                    <w:rPr>
                      <w:szCs w:val="21"/>
                    </w:rPr>
                  </w:pPr>
                  <w:r>
                    <w:rPr>
                      <w:szCs w:val="21"/>
                    </w:rPr>
                    <w:t>COD</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0.155446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adjustRightInd w:val="0"/>
                    <w:snapToGrid w:val="0"/>
                    <w:jc w:val="center"/>
                    <w:rPr>
                      <w:szCs w:val="21"/>
                    </w:rPr>
                  </w:pPr>
                  <w:r>
                    <w:rPr>
                      <w:szCs w:val="21"/>
                    </w:rPr>
                    <w:t>BOD</w:t>
                  </w:r>
                  <w:r>
                    <w:rPr>
                      <w:szCs w:val="21"/>
                      <w:vertAlign w:val="subscript"/>
                    </w:rPr>
                    <w:t>5</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0.3037892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adjustRightInd w:val="0"/>
                    <w:snapToGrid w:val="0"/>
                    <w:jc w:val="center"/>
                    <w:rPr>
                      <w:szCs w:val="21"/>
                    </w:rPr>
                  </w:pPr>
                  <w:r>
                    <w:rPr>
                      <w:szCs w:val="21"/>
                    </w:rPr>
                    <w:t>NH</w:t>
                  </w:r>
                  <w:r>
                    <w:rPr>
                      <w:szCs w:val="21"/>
                      <w:vertAlign w:val="subscript"/>
                    </w:rPr>
                    <w:t>3</w:t>
                  </w:r>
                  <w:r>
                    <w:rPr>
                      <w:szCs w:val="21"/>
                    </w:rPr>
                    <w:t>-N</w:t>
                  </w:r>
                </w:p>
              </w:tc>
              <w:tc>
                <w:tcPr>
                  <w:tcW w:w="1816" w:type="dxa"/>
                  <w:tcBorders>
                    <w:tl2br w:val="nil"/>
                    <w:tr2bl w:val="nil"/>
                  </w:tcBorders>
                  <w:vAlign w:val="center"/>
                </w:tcPr>
                <w:p>
                  <w:pPr>
                    <w:widowControl/>
                    <w:jc w:val="center"/>
                    <w:textAlignment w:val="center"/>
                    <w:rPr>
                      <w:szCs w:val="21"/>
                    </w:rPr>
                  </w:pPr>
                  <w:r>
                    <w:rPr>
                      <w:rFonts w:hint="eastAsia"/>
                      <w:kern w:val="0"/>
                      <w:szCs w:val="21"/>
                    </w:rPr>
                    <w:t>0.0155446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adjustRightInd w:val="0"/>
                    <w:snapToGrid w:val="0"/>
                    <w:jc w:val="center"/>
                    <w:rPr>
                      <w:szCs w:val="21"/>
                    </w:rPr>
                  </w:pPr>
                  <w:r>
                    <w:rPr>
                      <w:szCs w:val="21"/>
                    </w:rPr>
                    <w:t>SS</w:t>
                  </w:r>
                </w:p>
              </w:tc>
              <w:tc>
                <w:tcPr>
                  <w:tcW w:w="1816" w:type="dxa"/>
                  <w:tcBorders>
                    <w:tl2br w:val="nil"/>
                    <w:tr2bl w:val="nil"/>
                  </w:tcBorders>
                  <w:vAlign w:val="center"/>
                </w:tcPr>
                <w:p>
                  <w:pPr>
                    <w:widowControl/>
                    <w:jc w:val="center"/>
                    <w:textAlignment w:val="center"/>
                    <w:rPr>
                      <w:szCs w:val="21"/>
                    </w:rPr>
                  </w:pPr>
                  <w:r>
                    <w:rPr>
                      <w:rFonts w:hint="eastAsia"/>
                      <w:kern w:val="0"/>
                      <w:szCs w:val="21"/>
                    </w:rPr>
                    <w:t>0.3037892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jc w:val="center"/>
                    <w:rPr>
                      <w:szCs w:val="21"/>
                    </w:rPr>
                  </w:pPr>
                  <w:r>
                    <w:rPr>
                      <w:szCs w:val="21"/>
                    </w:rPr>
                    <w:t>动植物油类</w:t>
                  </w:r>
                </w:p>
              </w:tc>
              <w:tc>
                <w:tcPr>
                  <w:tcW w:w="1816" w:type="dxa"/>
                  <w:tcBorders>
                    <w:tl2br w:val="nil"/>
                    <w:tr2bl w:val="nil"/>
                  </w:tcBorders>
                  <w:vAlign w:val="center"/>
                </w:tcPr>
                <w:p>
                  <w:pPr>
                    <w:widowControl/>
                    <w:jc w:val="center"/>
                    <w:textAlignment w:val="center"/>
                    <w:rPr>
                      <w:szCs w:val="21"/>
                    </w:rPr>
                  </w:pPr>
                  <w:r>
                    <w:rPr>
                      <w:rFonts w:hint="eastAsia"/>
                      <w:kern w:val="0"/>
                      <w:szCs w:val="21"/>
                    </w:rPr>
                    <w:t>0.003032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jc w:val="center"/>
                    <w:rPr>
                      <w:szCs w:val="21"/>
                    </w:rPr>
                  </w:pPr>
                  <w:r>
                    <w:rPr>
                      <w:szCs w:val="21"/>
                    </w:rPr>
                    <w:t>石油类</w:t>
                  </w:r>
                </w:p>
              </w:tc>
              <w:tc>
                <w:tcPr>
                  <w:tcW w:w="1816" w:type="dxa"/>
                  <w:tcBorders>
                    <w:tl2br w:val="nil"/>
                    <w:tr2bl w:val="nil"/>
                  </w:tcBorders>
                  <w:vAlign w:val="center"/>
                </w:tcPr>
                <w:p>
                  <w:pPr>
                    <w:widowControl/>
                    <w:jc w:val="center"/>
                    <w:textAlignment w:val="center"/>
                    <w:rPr>
                      <w:szCs w:val="21"/>
                    </w:rPr>
                  </w:pPr>
                  <w:r>
                    <w:rPr>
                      <w:rFonts w:hint="eastAsia"/>
                      <w:kern w:val="0"/>
                      <w:szCs w:val="21"/>
                    </w:rPr>
                    <w:t>0.00007692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12" w:type="dxa"/>
                  <w:gridSpan w:val="2"/>
                  <w:vMerge w:val="continue"/>
                  <w:tcBorders>
                    <w:tl2br w:val="nil"/>
                    <w:tr2bl w:val="nil"/>
                  </w:tcBorders>
                  <w:vAlign w:val="center"/>
                </w:tcPr>
                <w:p>
                  <w:pPr>
                    <w:jc w:val="center"/>
                    <w:rPr>
                      <w:szCs w:val="21"/>
                    </w:rPr>
                  </w:pPr>
                </w:p>
              </w:tc>
              <w:tc>
                <w:tcPr>
                  <w:tcW w:w="4754" w:type="dxa"/>
                  <w:gridSpan w:val="3"/>
                  <w:tcBorders>
                    <w:tl2br w:val="nil"/>
                    <w:tr2bl w:val="nil"/>
                  </w:tcBorders>
                  <w:vAlign w:val="center"/>
                </w:tcPr>
                <w:p>
                  <w:pPr>
                    <w:jc w:val="center"/>
                    <w:rPr>
                      <w:szCs w:val="21"/>
                    </w:rPr>
                  </w:pPr>
                  <w:r>
                    <w:rPr>
                      <w:szCs w:val="21"/>
                    </w:rPr>
                    <w:t>LAS</w:t>
                  </w:r>
                </w:p>
              </w:tc>
              <w:tc>
                <w:tcPr>
                  <w:tcW w:w="1816" w:type="dxa"/>
                  <w:tcBorders>
                    <w:tl2br w:val="nil"/>
                    <w:tr2bl w:val="nil"/>
                  </w:tcBorders>
                  <w:vAlign w:val="center"/>
                </w:tcPr>
                <w:p>
                  <w:pPr>
                    <w:widowControl/>
                    <w:jc w:val="center"/>
                    <w:textAlignment w:val="center"/>
                    <w:rPr>
                      <w:kern w:val="0"/>
                      <w:szCs w:val="21"/>
                    </w:rPr>
                  </w:pPr>
                  <w:r>
                    <w:rPr>
                      <w:rFonts w:hint="eastAsia"/>
                      <w:kern w:val="0"/>
                      <w:szCs w:val="21"/>
                    </w:rPr>
                    <w:t>0.00003846</w:t>
                  </w:r>
                </w:p>
              </w:tc>
            </w:tr>
          </w:tbl>
          <w:p>
            <w:pPr>
              <w:spacing w:line="360" w:lineRule="auto"/>
              <w:rPr>
                <w:sz w:val="24"/>
                <w:szCs w:val="24"/>
              </w:rPr>
            </w:pPr>
            <w:r>
              <w:rPr>
                <w:b/>
                <w:sz w:val="24"/>
                <w:szCs w:val="24"/>
              </w:rPr>
              <w:t>三、地下水影响分析</w:t>
            </w:r>
          </w:p>
          <w:p>
            <w:pPr>
              <w:spacing w:line="360" w:lineRule="auto"/>
              <w:ind w:firstLine="480" w:firstLineChars="200"/>
              <w:rPr>
                <w:kern w:val="24"/>
                <w:sz w:val="24"/>
                <w:szCs w:val="24"/>
              </w:rPr>
            </w:pPr>
            <w:r>
              <w:rPr>
                <w:kern w:val="24"/>
                <w:sz w:val="24"/>
                <w:szCs w:val="24"/>
              </w:rPr>
              <w:t>根据《环境影响评价技术导则  地下水环境》（HJ610-2016）附录A地下水环境影响评价行业分类表</w:t>
            </w:r>
            <w:r>
              <w:rPr>
                <w:rFonts w:hint="eastAsia"/>
                <w:kern w:val="24"/>
                <w:sz w:val="24"/>
                <w:szCs w:val="24"/>
              </w:rPr>
              <w:t>及其注释</w:t>
            </w:r>
            <w:r>
              <w:rPr>
                <w:kern w:val="24"/>
                <w:sz w:val="24"/>
                <w:szCs w:val="24"/>
              </w:rPr>
              <w:t>，本项目属于附录A</w:t>
            </w:r>
            <w:r>
              <w:rPr>
                <w:rFonts w:hint="eastAsia"/>
                <w:kern w:val="24"/>
                <w:sz w:val="24"/>
                <w:szCs w:val="24"/>
              </w:rPr>
              <w:t>中</w:t>
            </w:r>
            <w:r>
              <w:rPr>
                <w:kern w:val="24"/>
                <w:sz w:val="24"/>
                <w:szCs w:val="24"/>
              </w:rPr>
              <w:t>“184 汽车、摩托车维修场所”涉及有喷漆工艺，因此本项目按Ⅲ类项目进行评价。项目所在地没有集中式饮用水源、分散式饮用水源地（居民使用市政自来水）、特殊地下水资源等，因此其地下水属于不敏感地区，确定本项目地下水环境评价工作等级为三级。</w:t>
            </w:r>
          </w:p>
          <w:p>
            <w:pPr>
              <w:spacing w:line="360" w:lineRule="auto"/>
              <w:ind w:firstLine="480" w:firstLineChars="200"/>
              <w:rPr>
                <w:kern w:val="24"/>
                <w:sz w:val="24"/>
                <w:szCs w:val="24"/>
              </w:rPr>
            </w:pPr>
            <w:r>
              <w:rPr>
                <w:kern w:val="24"/>
                <w:sz w:val="24"/>
                <w:szCs w:val="24"/>
              </w:rPr>
              <w:t>（1）评价区域水文地质概况</w:t>
            </w:r>
          </w:p>
          <w:p>
            <w:pPr>
              <w:spacing w:line="360" w:lineRule="auto"/>
              <w:ind w:firstLine="480" w:firstLineChars="200"/>
              <w:rPr>
                <w:kern w:val="24"/>
                <w:sz w:val="24"/>
                <w:szCs w:val="24"/>
              </w:rPr>
            </w:pPr>
            <w:r>
              <w:rPr>
                <w:kern w:val="24"/>
                <w:sz w:val="24"/>
                <w:szCs w:val="24"/>
              </w:rPr>
              <w:t>项目所在区域内地下水类型可分为基岩裂隙水和第四系松散地层孔隙水。前者水量贫乏，后者可分为孔隙潜水和孔隙承压水两类，孔隙潜水分布较广，主要富集于第四系松散层中，与地表水呈季节性互补关系，受江湖水位影响，动态变化大，水位一般1～5m，水量不丰富。孔隙承压水主要分布在中更新统Q2al下部透水性较强的含砾粘土及沙砾石层中，含水层厚3～8m，顶板高程一般16～19m，低于湖水位2～6m，略具承压性。根据对两组水的抽样分析，地下水位重碳酸、硫酸钾钠钙型低矿化度软水和重碳酸钾钙型低矿化度软水，对砼无侵蚀性。</w:t>
            </w:r>
          </w:p>
          <w:p>
            <w:pPr>
              <w:spacing w:line="360" w:lineRule="auto"/>
              <w:ind w:firstLine="480" w:firstLineChars="200"/>
              <w:rPr>
                <w:kern w:val="24"/>
                <w:sz w:val="24"/>
                <w:szCs w:val="24"/>
              </w:rPr>
            </w:pPr>
            <w:r>
              <w:rPr>
                <w:kern w:val="24"/>
                <w:sz w:val="24"/>
                <w:szCs w:val="24"/>
              </w:rPr>
              <w:t>岳阳城陵矶新港区所在地属河流和湖泊冲击平原，地势平坦，土层深厚，土质肥沃。地面标高平均为黄海高程27~29m。地层为第四系冲积沉积层，下为前震系构成，下伏基层为板岩和千枚岩，有较强风化，地基承载力一般为120~220KPa。根据《中国地震动参数区划图（GB18306-2001）》，查得项目区域地震动峰值加速度为0.18，项目区地震动反应谱特征周期为0.35s，抗震设防烈度为7度。建筑物按7度设防。</w:t>
            </w:r>
          </w:p>
          <w:p>
            <w:pPr>
              <w:spacing w:line="360" w:lineRule="auto"/>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现有</w:t>
            </w:r>
            <w:r>
              <w:rPr>
                <w:sz w:val="24"/>
                <w:szCs w:val="24"/>
              </w:rPr>
              <w:t>地下水环境保护措施和对策</w:t>
            </w:r>
          </w:p>
          <w:p>
            <w:pPr>
              <w:spacing w:line="360" w:lineRule="auto"/>
              <w:ind w:firstLine="480" w:firstLineChars="200"/>
              <w:rPr>
                <w:sz w:val="24"/>
                <w:szCs w:val="24"/>
              </w:rPr>
            </w:pPr>
            <w:r>
              <w:rPr>
                <w:sz w:val="24"/>
                <w:szCs w:val="24"/>
              </w:rPr>
              <w:t>本环评为了杜绝物料、废油等危险废物泄漏对地下水环境质量的影响，《中华人民共和国水污染防治法》的相关规范，按照“源头控制、分区防治、污染监控、应急响应”的原则，</w:t>
            </w:r>
            <w:r>
              <w:rPr>
                <w:rFonts w:hint="eastAsia"/>
                <w:sz w:val="24"/>
                <w:szCs w:val="24"/>
              </w:rPr>
              <w:t>根据现场调查落实地下水环境保护措施和对策</w:t>
            </w:r>
            <w:r>
              <w:rPr>
                <w:sz w:val="24"/>
                <w:szCs w:val="24"/>
              </w:rPr>
              <w:t>：</w:t>
            </w:r>
          </w:p>
          <w:p>
            <w:pPr>
              <w:spacing w:line="360" w:lineRule="auto"/>
              <w:ind w:firstLine="480" w:firstLineChars="200"/>
              <w:rPr>
                <w:sz w:val="24"/>
                <w:szCs w:val="24"/>
              </w:rPr>
            </w:pPr>
            <w:r>
              <w:rPr>
                <w:sz w:val="24"/>
                <w:szCs w:val="24"/>
              </w:rPr>
              <w:t>①源头控制措施</w:t>
            </w:r>
          </w:p>
          <w:p>
            <w:pPr>
              <w:numPr>
                <w:ilvl w:val="0"/>
                <w:numId w:val="8"/>
              </w:numPr>
              <w:spacing w:line="360" w:lineRule="auto"/>
              <w:ind w:left="0" w:firstLine="480" w:firstLineChars="200"/>
              <w:rPr>
                <w:sz w:val="24"/>
                <w:szCs w:val="24"/>
              </w:rPr>
            </w:pPr>
            <w:r>
              <w:rPr>
                <w:rFonts w:hint="eastAsia"/>
                <w:sz w:val="24"/>
                <w:szCs w:val="24"/>
              </w:rPr>
              <w:t>项目</w:t>
            </w:r>
            <w:r>
              <w:rPr>
                <w:sz w:val="24"/>
                <w:szCs w:val="24"/>
              </w:rPr>
              <w:t>排水管道和污水处理设施均具有防渗功能，切断了废水进入地下水的途径。</w:t>
            </w:r>
          </w:p>
          <w:p>
            <w:pPr>
              <w:numPr>
                <w:ilvl w:val="0"/>
                <w:numId w:val="8"/>
              </w:numPr>
              <w:spacing w:line="360" w:lineRule="auto"/>
              <w:ind w:left="0" w:firstLine="480" w:firstLineChars="200"/>
              <w:rPr>
                <w:sz w:val="24"/>
                <w:szCs w:val="24"/>
              </w:rPr>
            </w:pPr>
            <w:r>
              <w:rPr>
                <w:sz w:val="24"/>
                <w:szCs w:val="24"/>
              </w:rPr>
              <w:t>机油贮存仓库及危废暂存间均做防渗防腐处理，并设围堰，机修区域地面做防渗防腐处理。</w:t>
            </w:r>
          </w:p>
          <w:p>
            <w:pPr>
              <w:spacing w:line="360" w:lineRule="auto"/>
              <w:ind w:firstLine="480" w:firstLineChars="200"/>
              <w:rPr>
                <w:sz w:val="24"/>
                <w:szCs w:val="24"/>
              </w:rPr>
            </w:pPr>
            <w:r>
              <w:rPr>
                <w:sz w:val="24"/>
                <w:szCs w:val="24"/>
              </w:rPr>
              <w:t>②分区防治措施</w:t>
            </w:r>
          </w:p>
          <w:p>
            <w:pPr>
              <w:spacing w:line="360" w:lineRule="auto"/>
              <w:ind w:firstLine="480" w:firstLineChars="200"/>
              <w:rPr>
                <w:kern w:val="24"/>
                <w:sz w:val="24"/>
                <w:szCs w:val="24"/>
              </w:rPr>
            </w:pPr>
            <w:r>
              <w:rPr>
                <w:kern w:val="24"/>
                <w:sz w:val="24"/>
                <w:szCs w:val="24"/>
              </w:rPr>
              <w:t>本项目防渗措施分为三个级别，并对应三个防治区，即非污染防治区、一般污染防治区和重点污染防治区。</w:t>
            </w:r>
          </w:p>
          <w:p>
            <w:pPr>
              <w:spacing w:line="360" w:lineRule="auto"/>
              <w:ind w:firstLine="480" w:firstLineChars="200"/>
              <w:jc w:val="left"/>
              <w:rPr>
                <w:kern w:val="24"/>
                <w:sz w:val="24"/>
                <w:szCs w:val="24"/>
              </w:rPr>
            </w:pPr>
            <w:r>
              <w:rPr>
                <w:kern w:val="24"/>
                <w:sz w:val="24"/>
                <w:szCs w:val="24"/>
              </w:rPr>
              <w:t>A.非污染防治区</w:t>
            </w:r>
          </w:p>
          <w:p>
            <w:pPr>
              <w:spacing w:line="360" w:lineRule="auto"/>
              <w:ind w:firstLine="480" w:firstLineChars="200"/>
              <w:jc w:val="left"/>
              <w:rPr>
                <w:kern w:val="24"/>
                <w:sz w:val="24"/>
                <w:szCs w:val="24"/>
              </w:rPr>
            </w:pPr>
            <w:r>
              <w:rPr>
                <w:kern w:val="24"/>
                <w:sz w:val="24"/>
                <w:szCs w:val="24"/>
              </w:rPr>
              <w:t xml:space="preserve">非污染防治区主要是指没有物料或污染物泄漏，不会对地下水环境造成污染的区域或部位。主要包括办公区、新车展厅等，采取普通混凝土地坪，地基按民用建筑加固处理。 </w:t>
            </w:r>
          </w:p>
          <w:p>
            <w:pPr>
              <w:spacing w:line="360" w:lineRule="auto"/>
              <w:ind w:firstLine="480" w:firstLineChars="200"/>
              <w:jc w:val="left"/>
              <w:rPr>
                <w:kern w:val="24"/>
                <w:sz w:val="24"/>
                <w:szCs w:val="24"/>
              </w:rPr>
            </w:pPr>
            <w:r>
              <w:rPr>
                <w:kern w:val="24"/>
                <w:sz w:val="24"/>
                <w:szCs w:val="24"/>
              </w:rPr>
              <w:t>B.一般污染防治区</w:t>
            </w:r>
          </w:p>
          <w:p>
            <w:pPr>
              <w:spacing w:line="360" w:lineRule="auto"/>
              <w:ind w:firstLine="480" w:firstLineChars="200"/>
              <w:jc w:val="left"/>
              <w:rPr>
                <w:kern w:val="24"/>
                <w:sz w:val="24"/>
                <w:szCs w:val="24"/>
              </w:rPr>
            </w:pPr>
            <w:r>
              <w:rPr>
                <w:kern w:val="24"/>
                <w:sz w:val="24"/>
                <w:szCs w:val="24"/>
              </w:rPr>
              <w:t>一般污染防治区主要是指位于地面以上的作业区污染地下水环境的物料或污染物泄漏后，可及时发现和处理的区域或部位。主要为项目机修区、钣金区及油漆区。防渗层采用抗渗钢筋混凝土和防水涂料。混凝土的强度等级不低于C25，抗渗等级不低于P6，厚度不小于150mm，混凝土防渗层的耐久性应符合现行国家标准《混凝土结构设计规范》GB50010-2010的有关规定。</w:t>
            </w:r>
          </w:p>
          <w:p>
            <w:pPr>
              <w:spacing w:line="360" w:lineRule="auto"/>
              <w:ind w:firstLine="480" w:firstLineChars="200"/>
              <w:jc w:val="left"/>
              <w:rPr>
                <w:kern w:val="24"/>
                <w:sz w:val="24"/>
                <w:szCs w:val="24"/>
              </w:rPr>
            </w:pPr>
            <w:r>
              <w:rPr>
                <w:kern w:val="24"/>
                <w:sz w:val="24"/>
                <w:szCs w:val="24"/>
              </w:rPr>
              <w:t>C.重点污染防治区</w:t>
            </w:r>
          </w:p>
          <w:p>
            <w:pPr>
              <w:spacing w:line="360" w:lineRule="auto"/>
              <w:ind w:firstLine="480" w:firstLineChars="200"/>
              <w:jc w:val="left"/>
              <w:rPr>
                <w:kern w:val="24"/>
                <w:sz w:val="24"/>
                <w:szCs w:val="24"/>
              </w:rPr>
            </w:pPr>
            <w:r>
              <w:rPr>
                <w:kern w:val="24"/>
                <w:sz w:val="24"/>
                <w:szCs w:val="24"/>
              </w:rPr>
              <w:t>重点污染防治区主要是指位于污染地下水环境的物料或污染物泄漏后，不易及时发现和处理的区域或部位。主要包括危废暂存间、机油库等，必须严格按照《危险废物贮存污染控制标准》的要求建设，防渗材料为2层聚乙烯材料，单层厚2.5mm，防渗系数≤10</w:t>
            </w:r>
            <w:r>
              <w:rPr>
                <w:kern w:val="24"/>
                <w:sz w:val="24"/>
                <w:szCs w:val="24"/>
                <w:vertAlign w:val="superscript"/>
              </w:rPr>
              <w:t>-10</w:t>
            </w:r>
            <w:r>
              <w:rPr>
                <w:kern w:val="24"/>
                <w:sz w:val="24"/>
                <w:szCs w:val="24"/>
              </w:rPr>
              <w:t>cm/s。其它重点污染防治区混凝土的抗渗等级不低于P8，防渗系数≤10</w:t>
            </w:r>
            <w:r>
              <w:rPr>
                <w:kern w:val="24"/>
                <w:sz w:val="24"/>
                <w:szCs w:val="24"/>
                <w:vertAlign w:val="superscript"/>
              </w:rPr>
              <w:t>-10</w:t>
            </w:r>
            <w:r>
              <w:rPr>
                <w:kern w:val="24"/>
                <w:sz w:val="24"/>
                <w:szCs w:val="24"/>
              </w:rPr>
              <w:t>cm/s。</w:t>
            </w:r>
          </w:p>
          <w:p>
            <w:pPr>
              <w:spacing w:line="360" w:lineRule="auto"/>
              <w:ind w:firstLine="480" w:firstLineChars="200"/>
              <w:jc w:val="left"/>
              <w:rPr>
                <w:bCs/>
                <w:sz w:val="24"/>
                <w:szCs w:val="24"/>
              </w:rPr>
            </w:pPr>
            <w:r>
              <w:rPr>
                <w:bCs/>
                <w:sz w:val="24"/>
                <w:szCs w:val="24"/>
              </w:rPr>
              <w:t>根据上述可知，本项目地下水分区防渗分区表如下表7-10所示，厂房内分区</w:t>
            </w:r>
            <w:r>
              <w:rPr>
                <w:rFonts w:hint="eastAsia"/>
                <w:bCs/>
                <w:sz w:val="24"/>
                <w:szCs w:val="24"/>
              </w:rPr>
              <w:t>现有</w:t>
            </w:r>
            <w:r>
              <w:rPr>
                <w:bCs/>
                <w:sz w:val="24"/>
                <w:szCs w:val="24"/>
              </w:rPr>
              <w:t>防渗布设分布</w:t>
            </w:r>
            <w:r>
              <w:rPr>
                <w:kern w:val="24"/>
                <w:sz w:val="24"/>
                <w:szCs w:val="24"/>
              </w:rPr>
              <w:t>见附图八。</w:t>
            </w:r>
          </w:p>
          <w:p>
            <w:pPr>
              <w:pStyle w:val="5"/>
              <w:jc w:val="center"/>
              <w:rPr>
                <w:rFonts w:ascii="Times New Roman" w:hAnsi="Times New Roman" w:eastAsia="宋体" w:cs="Times New Roman"/>
                <w:b/>
                <w:sz w:val="21"/>
                <w:szCs w:val="21"/>
              </w:rPr>
            </w:pPr>
            <w:r>
              <w:rPr>
                <w:rFonts w:ascii="Times New Roman" w:hAnsi="Times New Roman" w:eastAsia="宋体" w:cs="Times New Roman"/>
                <w:b/>
                <w:sz w:val="21"/>
                <w:szCs w:val="21"/>
              </w:rPr>
              <w:t>表7-10  地下水分区防渗表</w:t>
            </w:r>
          </w:p>
          <w:tbl>
            <w:tblPr>
              <w:tblStyle w:val="20"/>
              <w:tblW w:w="82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37"/>
              <w:gridCol w:w="2064"/>
              <w:gridCol w:w="43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56" w:type="dxa"/>
                  <w:vAlign w:val="center"/>
                </w:tcPr>
                <w:p>
                  <w:pPr>
                    <w:contextualSpacing/>
                    <w:jc w:val="center"/>
                    <w:rPr>
                      <w:b/>
                      <w:bCs/>
                      <w:szCs w:val="21"/>
                    </w:rPr>
                  </w:pPr>
                  <w:r>
                    <w:rPr>
                      <w:b/>
                      <w:bCs/>
                      <w:szCs w:val="21"/>
                    </w:rPr>
                    <w:t>序号</w:t>
                  </w:r>
                </w:p>
              </w:tc>
              <w:tc>
                <w:tcPr>
                  <w:tcW w:w="1237" w:type="dxa"/>
                  <w:vAlign w:val="center"/>
                </w:tcPr>
                <w:p>
                  <w:pPr>
                    <w:contextualSpacing/>
                    <w:jc w:val="center"/>
                    <w:rPr>
                      <w:b/>
                      <w:bCs/>
                      <w:szCs w:val="21"/>
                    </w:rPr>
                  </w:pPr>
                  <w:r>
                    <w:rPr>
                      <w:b/>
                      <w:bCs/>
                      <w:szCs w:val="21"/>
                    </w:rPr>
                    <w:t>防渗分区</w:t>
                  </w:r>
                </w:p>
              </w:tc>
              <w:tc>
                <w:tcPr>
                  <w:tcW w:w="2064" w:type="dxa"/>
                  <w:vAlign w:val="center"/>
                </w:tcPr>
                <w:p>
                  <w:pPr>
                    <w:contextualSpacing/>
                    <w:jc w:val="center"/>
                    <w:rPr>
                      <w:b/>
                      <w:bCs/>
                      <w:szCs w:val="21"/>
                    </w:rPr>
                  </w:pPr>
                  <w:r>
                    <w:rPr>
                      <w:b/>
                      <w:bCs/>
                      <w:szCs w:val="21"/>
                    </w:rPr>
                    <w:t>工程</w:t>
                  </w:r>
                </w:p>
              </w:tc>
              <w:tc>
                <w:tcPr>
                  <w:tcW w:w="4322" w:type="dxa"/>
                  <w:vAlign w:val="center"/>
                </w:tcPr>
                <w:p>
                  <w:pPr>
                    <w:contextualSpacing/>
                    <w:jc w:val="center"/>
                    <w:rPr>
                      <w:b/>
                      <w:bCs/>
                      <w:szCs w:val="21"/>
                    </w:rPr>
                  </w:pPr>
                  <w:r>
                    <w:rPr>
                      <w:rFonts w:hint="eastAsia"/>
                      <w:b/>
                      <w:bCs/>
                      <w:szCs w:val="21"/>
                    </w:rPr>
                    <w:t>已采取的</w:t>
                  </w:r>
                  <w:r>
                    <w:rPr>
                      <w:b/>
                      <w:bCs/>
                      <w:szCs w:val="21"/>
                    </w:rPr>
                    <w:t>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contextualSpacing/>
                    <w:jc w:val="center"/>
                    <w:rPr>
                      <w:szCs w:val="21"/>
                    </w:rPr>
                  </w:pPr>
                  <w:r>
                    <w:rPr>
                      <w:szCs w:val="21"/>
                    </w:rPr>
                    <w:t>1</w:t>
                  </w:r>
                </w:p>
              </w:tc>
              <w:tc>
                <w:tcPr>
                  <w:tcW w:w="1237" w:type="dxa"/>
                  <w:vAlign w:val="center"/>
                </w:tcPr>
                <w:p>
                  <w:pPr>
                    <w:contextualSpacing/>
                    <w:jc w:val="center"/>
                    <w:rPr>
                      <w:szCs w:val="21"/>
                    </w:rPr>
                  </w:pPr>
                  <w:r>
                    <w:rPr>
                      <w:szCs w:val="21"/>
                    </w:rPr>
                    <w:t>重点防渗区</w:t>
                  </w:r>
                </w:p>
              </w:tc>
              <w:tc>
                <w:tcPr>
                  <w:tcW w:w="2064" w:type="dxa"/>
                  <w:vAlign w:val="center"/>
                </w:tcPr>
                <w:p>
                  <w:pPr>
                    <w:contextualSpacing/>
                    <w:jc w:val="center"/>
                    <w:rPr>
                      <w:szCs w:val="21"/>
                    </w:rPr>
                  </w:pPr>
                  <w:r>
                    <w:rPr>
                      <w:szCs w:val="21"/>
                    </w:rPr>
                    <w:t>危险废物暂存间、污水处理设施、机油库</w:t>
                  </w:r>
                  <w:r>
                    <w:rPr>
                      <w:rFonts w:hint="eastAsia"/>
                      <w:szCs w:val="21"/>
                    </w:rPr>
                    <w:t>、</w:t>
                  </w:r>
                  <w:r>
                    <w:t>调漆房、喷烤漆房</w:t>
                  </w:r>
                </w:p>
              </w:tc>
              <w:tc>
                <w:tcPr>
                  <w:tcW w:w="4322" w:type="dxa"/>
                  <w:vAlign w:val="center"/>
                </w:tcPr>
                <w:p>
                  <w:pPr>
                    <w:adjustRightInd w:val="0"/>
                    <w:snapToGrid w:val="0"/>
                    <w:jc w:val="center"/>
                    <w:rPr>
                      <w:szCs w:val="21"/>
                    </w:rPr>
                  </w:pPr>
                  <w:r>
                    <w:rPr>
                      <w:szCs w:val="21"/>
                    </w:rPr>
                    <w:t>于</w:t>
                  </w:r>
                  <w:r>
                    <w:rPr>
                      <w:rFonts w:hint="eastAsia"/>
                      <w:szCs w:val="21"/>
                    </w:rPr>
                    <w:t>3</w:t>
                  </w:r>
                  <w:r>
                    <w:rPr>
                      <w:szCs w:val="21"/>
                    </w:rPr>
                    <w:t>m厚渗透系数为1.0×10</w:t>
                  </w:r>
                  <w:r>
                    <w:rPr>
                      <w:szCs w:val="21"/>
                      <w:vertAlign w:val="superscript"/>
                    </w:rPr>
                    <w:t>-7</w:t>
                  </w:r>
                  <w:r>
                    <w:rPr>
                      <w:szCs w:val="21"/>
                    </w:rPr>
                    <w:t>cm/s的黏土层</w:t>
                  </w:r>
                  <w:r>
                    <w:rPr>
                      <w:rFonts w:hint="eastAsia"/>
                      <w:szCs w:val="21"/>
                    </w:rPr>
                    <w:t>，</w:t>
                  </w:r>
                  <w:r>
                    <w:rPr>
                      <w:kern w:val="24"/>
                      <w:szCs w:val="21"/>
                    </w:rPr>
                    <w:t>防渗材料为2层聚乙烯材料，单层厚2.5mm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contextualSpacing/>
                    <w:jc w:val="center"/>
                  </w:pPr>
                  <w:r>
                    <w:t>2</w:t>
                  </w:r>
                </w:p>
              </w:tc>
              <w:tc>
                <w:tcPr>
                  <w:tcW w:w="1237" w:type="dxa"/>
                  <w:vAlign w:val="center"/>
                </w:tcPr>
                <w:p>
                  <w:pPr>
                    <w:contextualSpacing/>
                    <w:jc w:val="center"/>
                  </w:pPr>
                  <w:r>
                    <w:t>一般防渗区</w:t>
                  </w:r>
                </w:p>
              </w:tc>
              <w:tc>
                <w:tcPr>
                  <w:tcW w:w="2064" w:type="dxa"/>
                  <w:vAlign w:val="center"/>
                </w:tcPr>
                <w:p>
                  <w:pPr>
                    <w:contextualSpacing/>
                    <w:jc w:val="center"/>
                  </w:pPr>
                  <w:r>
                    <w:t>一般固废暂存间</w:t>
                  </w:r>
                </w:p>
              </w:tc>
              <w:tc>
                <w:tcPr>
                  <w:tcW w:w="4322" w:type="dxa"/>
                  <w:vAlign w:val="center"/>
                </w:tcPr>
                <w:p>
                  <w:pPr>
                    <w:adjustRightInd w:val="0"/>
                    <w:snapToGrid w:val="0"/>
                    <w:jc w:val="center"/>
                    <w:rPr>
                      <w:szCs w:val="21"/>
                    </w:rPr>
                  </w:pPr>
                  <w:r>
                    <w:rPr>
                      <w:szCs w:val="21"/>
                    </w:rPr>
                    <w:t>1.5m厚渗透系数为1.0×10</w:t>
                  </w:r>
                  <w:r>
                    <w:rPr>
                      <w:szCs w:val="21"/>
                      <w:vertAlign w:val="superscript"/>
                    </w:rPr>
                    <w:t>-7</w:t>
                  </w:r>
                  <w:r>
                    <w:rPr>
                      <w:szCs w:val="21"/>
                    </w:rPr>
                    <w:t>cm/s的黏土层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contextualSpacing/>
                    <w:jc w:val="center"/>
                  </w:pPr>
                  <w:r>
                    <w:t>3</w:t>
                  </w:r>
                </w:p>
              </w:tc>
              <w:tc>
                <w:tcPr>
                  <w:tcW w:w="1237" w:type="dxa"/>
                  <w:vAlign w:val="center"/>
                </w:tcPr>
                <w:p>
                  <w:pPr>
                    <w:contextualSpacing/>
                    <w:jc w:val="center"/>
                  </w:pPr>
                  <w:r>
                    <w:t>简单防渗区</w:t>
                  </w:r>
                </w:p>
              </w:tc>
              <w:tc>
                <w:tcPr>
                  <w:tcW w:w="2064" w:type="dxa"/>
                  <w:vAlign w:val="center"/>
                </w:tcPr>
                <w:p>
                  <w:pPr>
                    <w:contextualSpacing/>
                    <w:jc w:val="center"/>
                  </w:pPr>
                  <w:r>
                    <w:t>其他区域</w:t>
                  </w:r>
                </w:p>
              </w:tc>
              <w:tc>
                <w:tcPr>
                  <w:tcW w:w="4322" w:type="dxa"/>
                  <w:vAlign w:val="center"/>
                </w:tcPr>
                <w:p>
                  <w:pPr>
                    <w:adjustRightInd w:val="0"/>
                    <w:snapToGrid w:val="0"/>
                    <w:jc w:val="center"/>
                    <w:rPr>
                      <w:szCs w:val="21"/>
                    </w:rPr>
                  </w:pPr>
                  <w:r>
                    <w:rPr>
                      <w:szCs w:val="21"/>
                    </w:rPr>
                    <w:t>地面进行水泥硬化</w:t>
                  </w:r>
                </w:p>
              </w:tc>
            </w:tr>
          </w:tbl>
          <w:p>
            <w:pPr>
              <w:spacing w:line="360" w:lineRule="auto"/>
              <w:ind w:firstLine="480" w:firstLineChars="200"/>
              <w:rPr>
                <w:sz w:val="24"/>
              </w:rPr>
            </w:pPr>
            <w:r>
              <w:rPr>
                <w:sz w:val="24"/>
              </w:rPr>
              <w:t>（4）地下水环境影响评价结论</w:t>
            </w:r>
          </w:p>
          <w:p>
            <w:pPr>
              <w:spacing w:line="360" w:lineRule="auto"/>
              <w:ind w:firstLine="480" w:firstLineChars="200"/>
              <w:rPr>
                <w:sz w:val="24"/>
              </w:rPr>
            </w:pPr>
            <w:r>
              <w:rPr>
                <w:sz w:val="24"/>
              </w:rPr>
              <w:t>根据</w:t>
            </w:r>
            <w:r>
              <w:rPr>
                <w:rFonts w:hint="eastAsia"/>
                <w:sz w:val="24"/>
              </w:rPr>
              <w:t>实际情况</w:t>
            </w:r>
            <w:r>
              <w:rPr>
                <w:sz w:val="24"/>
              </w:rPr>
              <w:t>，在充分落实报告表中提出的各地下水防治措施、强化日常管理后，在正常运行过程中本项目不对地下水水质造成影响。</w:t>
            </w:r>
          </w:p>
          <w:p>
            <w:pPr>
              <w:spacing w:line="360" w:lineRule="auto"/>
              <w:rPr>
                <w:b/>
                <w:sz w:val="24"/>
              </w:rPr>
            </w:pPr>
            <w:r>
              <w:rPr>
                <w:b/>
                <w:sz w:val="24"/>
                <w:szCs w:val="24"/>
              </w:rPr>
              <w:t>四、声环境影响分析</w:t>
            </w:r>
          </w:p>
          <w:p>
            <w:pPr>
              <w:adjustRightInd w:val="0"/>
              <w:snapToGrid w:val="0"/>
              <w:spacing w:line="360" w:lineRule="auto"/>
              <w:ind w:firstLine="480" w:firstLineChars="200"/>
              <w:rPr>
                <w:sz w:val="24"/>
              </w:rPr>
            </w:pPr>
            <w:r>
              <w:rPr>
                <w:bCs/>
                <w:sz w:val="24"/>
              </w:rPr>
              <w:t>项目噪声源主要各类维修设备、中央空调运行噪声、在夹层车辆清洗时噪声，噪声级约为75~85dB(A)，另外汽车进出产生交通噪声、项目在营业运行过程中产生的社会噪声等，噪声级在60-75dB(A)。</w:t>
            </w:r>
            <w:r>
              <w:rPr>
                <w:rFonts w:hint="eastAsia"/>
                <w:snapToGrid w:val="0"/>
                <w:kern w:val="0"/>
                <w:sz w:val="24"/>
                <w:szCs w:val="24"/>
              </w:rPr>
              <w:t>本次在企业正常工况下对企业边界进行噪声实测，</w:t>
            </w:r>
            <w:r>
              <w:rPr>
                <w:rFonts w:hint="eastAsia"/>
                <w:sz w:val="24"/>
              </w:rPr>
              <w:t>现状</w:t>
            </w:r>
            <w:r>
              <w:rPr>
                <w:sz w:val="24"/>
              </w:rPr>
              <w:t>结果</w:t>
            </w:r>
            <w:r>
              <w:rPr>
                <w:rFonts w:hint="eastAsia"/>
                <w:sz w:val="24"/>
              </w:rPr>
              <w:t>见下表</w:t>
            </w:r>
            <w:r>
              <w:rPr>
                <w:sz w:val="24"/>
              </w:rPr>
              <w:t>。</w:t>
            </w:r>
          </w:p>
          <w:p>
            <w:pPr>
              <w:pStyle w:val="26"/>
              <w:jc w:val="center"/>
              <w:rPr>
                <w:b/>
                <w:bCs/>
                <w:sz w:val="21"/>
                <w:szCs w:val="21"/>
              </w:rPr>
            </w:pPr>
            <w:r>
              <w:rPr>
                <w:rFonts w:hint="eastAsia"/>
                <w:b/>
                <w:bCs/>
                <w:sz w:val="21"/>
                <w:szCs w:val="21"/>
              </w:rPr>
              <w:t>表7-11 厂界声环境监测结果</w:t>
            </w:r>
          </w:p>
          <w:tbl>
            <w:tblPr>
              <w:tblStyle w:val="20"/>
              <w:tblW w:w="0" w:type="auto"/>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530"/>
              <w:gridCol w:w="1621"/>
              <w:gridCol w:w="992"/>
              <w:gridCol w:w="1701"/>
              <w:gridCol w:w="155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279" w:type="dxa"/>
                  <w:vMerge w:val="restart"/>
                  <w:vAlign w:val="center"/>
                </w:tcPr>
                <w:p>
                  <w:pPr>
                    <w:jc w:val="center"/>
                    <w:rPr>
                      <w:szCs w:val="21"/>
                    </w:rPr>
                  </w:pPr>
                  <w:r>
                    <w:rPr>
                      <w:rFonts w:hint="eastAsia"/>
                      <w:szCs w:val="21"/>
                    </w:rPr>
                    <w:t>采样位置</w:t>
                  </w:r>
                </w:p>
              </w:tc>
              <w:tc>
                <w:tcPr>
                  <w:tcW w:w="1530" w:type="dxa"/>
                  <w:vMerge w:val="restart"/>
                  <w:vAlign w:val="center"/>
                </w:tcPr>
                <w:p>
                  <w:pPr>
                    <w:jc w:val="center"/>
                    <w:rPr>
                      <w:szCs w:val="21"/>
                    </w:rPr>
                  </w:pPr>
                  <w:r>
                    <w:rPr>
                      <w:szCs w:val="21"/>
                    </w:rPr>
                    <w:t>检测项目</w:t>
                  </w:r>
                </w:p>
              </w:tc>
              <w:tc>
                <w:tcPr>
                  <w:tcW w:w="1621" w:type="dxa"/>
                  <w:vMerge w:val="restart"/>
                  <w:vAlign w:val="center"/>
                </w:tcPr>
                <w:p>
                  <w:pPr>
                    <w:jc w:val="center"/>
                    <w:rPr>
                      <w:szCs w:val="21"/>
                    </w:rPr>
                  </w:pPr>
                  <w:r>
                    <w:rPr>
                      <w:rFonts w:hint="eastAsia"/>
                      <w:szCs w:val="21"/>
                    </w:rPr>
                    <w:t>采样时间</w:t>
                  </w:r>
                </w:p>
              </w:tc>
              <w:tc>
                <w:tcPr>
                  <w:tcW w:w="992" w:type="dxa"/>
                  <w:vMerge w:val="restart"/>
                  <w:vAlign w:val="center"/>
                </w:tcPr>
                <w:p>
                  <w:pPr>
                    <w:jc w:val="center"/>
                    <w:rPr>
                      <w:szCs w:val="21"/>
                    </w:rPr>
                  </w:pPr>
                  <w:r>
                    <w:rPr>
                      <w:szCs w:val="21"/>
                    </w:rPr>
                    <w:t>单位</w:t>
                  </w:r>
                </w:p>
              </w:tc>
              <w:tc>
                <w:tcPr>
                  <w:tcW w:w="3260" w:type="dxa"/>
                  <w:gridSpan w:val="2"/>
                  <w:vAlign w:val="center"/>
                </w:tcPr>
                <w:p>
                  <w:pPr>
                    <w:jc w:val="center"/>
                    <w:rPr>
                      <w:szCs w:val="21"/>
                    </w:rPr>
                  </w:pPr>
                </w:p>
                <w:p>
                  <w:pPr>
                    <w:jc w:val="center"/>
                    <w:rPr>
                      <w:szCs w:val="21"/>
                    </w:rPr>
                  </w:pPr>
                  <w:r>
                    <w:rPr>
                      <w:szCs w:val="21"/>
                    </w:rPr>
                    <w:t>检测结果</w:t>
                  </w:r>
                </w:p>
                <w:p>
                  <w:pPr>
                    <w:pStyle w:val="2"/>
                    <w:spacing w:after="0"/>
                    <w:rPr>
                      <w:szCs w:val="21"/>
                    </w:rPr>
                  </w:pPr>
                </w:p>
                <w:p>
                  <w:pPr>
                    <w:pStyle w:val="3"/>
                    <w:spacing w:before="0" w:beforeAutospacing="0" w:after="0" w:afterAutospacing="0"/>
                    <w:rPr>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279" w:type="dxa"/>
                  <w:vMerge w:val="continue"/>
                  <w:vAlign w:val="center"/>
                </w:tcPr>
                <w:p>
                  <w:pPr>
                    <w:rPr>
                      <w:szCs w:val="21"/>
                    </w:rPr>
                  </w:pPr>
                </w:p>
              </w:tc>
              <w:tc>
                <w:tcPr>
                  <w:tcW w:w="1530" w:type="dxa"/>
                  <w:vMerge w:val="continue"/>
                  <w:vAlign w:val="center"/>
                </w:tcPr>
                <w:p>
                  <w:pPr>
                    <w:jc w:val="center"/>
                    <w:rPr>
                      <w:szCs w:val="21"/>
                    </w:rPr>
                  </w:pPr>
                </w:p>
              </w:tc>
              <w:tc>
                <w:tcPr>
                  <w:tcW w:w="1621" w:type="dxa"/>
                  <w:vMerge w:val="continue"/>
                  <w:vAlign w:val="center"/>
                </w:tcPr>
                <w:p>
                  <w:pPr>
                    <w:jc w:val="center"/>
                    <w:rPr>
                      <w:szCs w:val="21"/>
                    </w:rPr>
                  </w:pPr>
                </w:p>
              </w:tc>
              <w:tc>
                <w:tcPr>
                  <w:tcW w:w="992" w:type="dxa"/>
                  <w:vMerge w:val="continue"/>
                  <w:vAlign w:val="center"/>
                </w:tcPr>
                <w:p>
                  <w:pPr>
                    <w:jc w:val="center"/>
                    <w:rPr>
                      <w:szCs w:val="21"/>
                    </w:rPr>
                  </w:pPr>
                </w:p>
              </w:tc>
              <w:tc>
                <w:tcPr>
                  <w:tcW w:w="1701" w:type="dxa"/>
                  <w:vAlign w:val="center"/>
                </w:tcPr>
                <w:p>
                  <w:pPr>
                    <w:jc w:val="center"/>
                    <w:rPr>
                      <w:szCs w:val="21"/>
                    </w:rPr>
                  </w:pPr>
                  <w:r>
                    <w:rPr>
                      <w:rFonts w:hint="eastAsia"/>
                      <w:szCs w:val="21"/>
                    </w:rPr>
                    <w:t>昼间（6:00~22:00）</w:t>
                  </w:r>
                </w:p>
              </w:tc>
              <w:tc>
                <w:tcPr>
                  <w:tcW w:w="1559" w:type="dxa"/>
                  <w:vAlign w:val="center"/>
                </w:tcPr>
                <w:p>
                  <w:pPr>
                    <w:jc w:val="center"/>
                    <w:rPr>
                      <w:szCs w:val="21"/>
                    </w:rPr>
                  </w:pPr>
                  <w:r>
                    <w:rPr>
                      <w:rFonts w:hint="eastAsia"/>
                      <w:szCs w:val="21"/>
                    </w:rPr>
                    <w:t>夜间（22:00~次日6:00）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rPr>
                      <w:szCs w:val="21"/>
                    </w:rPr>
                  </w:pPr>
                  <w:r>
                    <w:rPr>
                      <w:szCs w:val="21"/>
                    </w:rPr>
                    <w:t>N</w:t>
                  </w:r>
                  <w:r>
                    <w:rPr>
                      <w:rFonts w:hint="eastAsia"/>
                      <w:szCs w:val="21"/>
                    </w:rPr>
                    <w:t>1：项目东侧</w:t>
                  </w:r>
                </w:p>
              </w:tc>
              <w:tc>
                <w:tcPr>
                  <w:tcW w:w="1530" w:type="dxa"/>
                  <w:vMerge w:val="restart"/>
                  <w:vAlign w:val="center"/>
                </w:tcPr>
                <w:p>
                  <w:pPr>
                    <w:jc w:val="center"/>
                    <w:rPr>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49</w:t>
                  </w:r>
                </w:p>
              </w:tc>
              <w:tc>
                <w:tcPr>
                  <w:tcW w:w="1559" w:type="dxa"/>
                  <w:vAlign w:val="center"/>
                </w:tcPr>
                <w:p>
                  <w:pPr>
                    <w:jc w:val="center"/>
                    <w:rPr>
                      <w:szCs w:val="21"/>
                    </w:rPr>
                  </w:pPr>
                  <w:r>
                    <w:rPr>
                      <w:rFonts w:hint="eastAsia"/>
                      <w:szCs w:val="21"/>
                    </w:rPr>
                    <w:t>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szCs w:val="21"/>
                    </w:rPr>
                  </w:pPr>
                </w:p>
              </w:tc>
              <w:tc>
                <w:tcPr>
                  <w:tcW w:w="1530" w:type="dxa"/>
                  <w:vMerge w:val="continue"/>
                  <w:vAlign w:val="center"/>
                </w:tcPr>
                <w:p>
                  <w:pPr>
                    <w:jc w:val="center"/>
                    <w:rPr>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53</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jc w:val="center"/>
                    <w:rPr>
                      <w:szCs w:val="21"/>
                    </w:rPr>
                  </w:pPr>
                  <w:r>
                    <w:rPr>
                      <w:szCs w:val="21"/>
                    </w:rPr>
                    <w:t>N</w:t>
                  </w:r>
                  <w:r>
                    <w:rPr>
                      <w:rFonts w:hint="eastAsia"/>
                      <w:szCs w:val="21"/>
                    </w:rPr>
                    <w:t>2：项目南侧</w:t>
                  </w:r>
                </w:p>
              </w:tc>
              <w:tc>
                <w:tcPr>
                  <w:tcW w:w="1530" w:type="dxa"/>
                  <w:vMerge w:val="restart"/>
                  <w:vAlign w:val="center"/>
                </w:tcPr>
                <w:p>
                  <w:pPr>
                    <w:jc w:val="center"/>
                    <w:rPr>
                      <w:kern w:val="0"/>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54</w:t>
                  </w:r>
                </w:p>
              </w:tc>
              <w:tc>
                <w:tcPr>
                  <w:tcW w:w="1559" w:type="dxa"/>
                  <w:vAlign w:val="center"/>
                </w:tcPr>
                <w:p>
                  <w:pPr>
                    <w:jc w:val="center"/>
                    <w:rPr>
                      <w:szCs w:val="21"/>
                    </w:rPr>
                  </w:pPr>
                  <w:r>
                    <w:rPr>
                      <w:rFonts w:hint="eastAsia"/>
                      <w:szCs w:val="21"/>
                    </w:rPr>
                    <w:t>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kern w:val="0"/>
                      <w:szCs w:val="21"/>
                    </w:rPr>
                  </w:pPr>
                </w:p>
              </w:tc>
              <w:tc>
                <w:tcPr>
                  <w:tcW w:w="1530" w:type="dxa"/>
                  <w:vMerge w:val="continue"/>
                  <w:vAlign w:val="center"/>
                </w:tcPr>
                <w:p>
                  <w:pPr>
                    <w:jc w:val="center"/>
                    <w:rPr>
                      <w:rFonts w:ascii="宋体" w:hAnsi="宋体" w:cs="宋体"/>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54</w:t>
                  </w:r>
                </w:p>
              </w:tc>
              <w:tc>
                <w:tcPr>
                  <w:tcW w:w="1559" w:type="dxa"/>
                  <w:vAlign w:val="center"/>
                </w:tcPr>
                <w:p>
                  <w:pPr>
                    <w:jc w:val="center"/>
                    <w:rPr>
                      <w:szCs w:val="21"/>
                    </w:rPr>
                  </w:pPr>
                  <w:r>
                    <w:rPr>
                      <w:rFonts w:hint="eastAsia"/>
                      <w:szCs w:val="21"/>
                    </w:rPr>
                    <w:t>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jc w:val="center"/>
                    <w:rPr>
                      <w:szCs w:val="21"/>
                    </w:rPr>
                  </w:pPr>
                  <w:r>
                    <w:rPr>
                      <w:szCs w:val="21"/>
                    </w:rPr>
                    <w:t>N</w:t>
                  </w:r>
                  <w:r>
                    <w:rPr>
                      <w:rFonts w:hint="eastAsia"/>
                      <w:szCs w:val="21"/>
                    </w:rPr>
                    <w:t>3：项目西侧</w:t>
                  </w:r>
                </w:p>
              </w:tc>
              <w:tc>
                <w:tcPr>
                  <w:tcW w:w="1530" w:type="dxa"/>
                  <w:vMerge w:val="restart"/>
                  <w:vAlign w:val="center"/>
                </w:tcPr>
                <w:p>
                  <w:pPr>
                    <w:jc w:val="center"/>
                    <w:rPr>
                      <w:kern w:val="0"/>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49</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szCs w:val="21"/>
                    </w:rPr>
                  </w:pPr>
                </w:p>
              </w:tc>
              <w:tc>
                <w:tcPr>
                  <w:tcW w:w="1530" w:type="dxa"/>
                  <w:vMerge w:val="continue"/>
                  <w:vAlign w:val="center"/>
                </w:tcPr>
                <w:p>
                  <w:pPr>
                    <w:jc w:val="center"/>
                    <w:rPr>
                      <w:rFonts w:ascii="宋体" w:hAnsi="宋体" w:cs="宋体"/>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56</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restart"/>
                  <w:vAlign w:val="center"/>
                </w:tcPr>
                <w:p>
                  <w:pPr>
                    <w:jc w:val="center"/>
                    <w:rPr>
                      <w:szCs w:val="21"/>
                    </w:rPr>
                  </w:pPr>
                  <w:r>
                    <w:rPr>
                      <w:szCs w:val="21"/>
                    </w:rPr>
                    <w:t>N</w:t>
                  </w:r>
                  <w:r>
                    <w:rPr>
                      <w:rFonts w:hint="eastAsia"/>
                      <w:szCs w:val="21"/>
                    </w:rPr>
                    <w:t>4：项目北侧</w:t>
                  </w:r>
                </w:p>
              </w:tc>
              <w:tc>
                <w:tcPr>
                  <w:tcW w:w="1530" w:type="dxa"/>
                  <w:vMerge w:val="restart"/>
                  <w:vAlign w:val="center"/>
                </w:tcPr>
                <w:p>
                  <w:pPr>
                    <w:jc w:val="center"/>
                    <w:rPr>
                      <w:rFonts w:ascii="宋体" w:hAnsi="宋体" w:cs="宋体"/>
                      <w:szCs w:val="21"/>
                    </w:rPr>
                  </w:pPr>
                  <w:r>
                    <w:rPr>
                      <w:rFonts w:hint="eastAsia"/>
                      <w:szCs w:val="21"/>
                    </w:rPr>
                    <w:t>连续等效A声级</w:t>
                  </w:r>
                </w:p>
              </w:tc>
              <w:tc>
                <w:tcPr>
                  <w:tcW w:w="1621" w:type="dxa"/>
                  <w:vAlign w:val="center"/>
                </w:tcPr>
                <w:p>
                  <w:pPr>
                    <w:jc w:val="center"/>
                    <w:rPr>
                      <w:szCs w:val="21"/>
                    </w:rPr>
                  </w:pPr>
                  <w:r>
                    <w:rPr>
                      <w:rFonts w:hint="eastAsia"/>
                      <w:szCs w:val="21"/>
                    </w:rPr>
                    <w:t>2020/11/12</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50</w:t>
                  </w:r>
                </w:p>
              </w:tc>
              <w:tc>
                <w:tcPr>
                  <w:tcW w:w="1559" w:type="dxa"/>
                  <w:vAlign w:val="center"/>
                </w:tcPr>
                <w:p>
                  <w:pPr>
                    <w:jc w:val="center"/>
                    <w:rPr>
                      <w:szCs w:val="21"/>
                    </w:rPr>
                  </w:pPr>
                  <w:r>
                    <w:rPr>
                      <w:rFonts w:hint="eastAsia"/>
                      <w:szCs w:val="21"/>
                    </w:rPr>
                    <w:t>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9" w:type="dxa"/>
                  <w:vMerge w:val="continue"/>
                  <w:vAlign w:val="center"/>
                </w:tcPr>
                <w:p>
                  <w:pPr>
                    <w:jc w:val="center"/>
                    <w:rPr>
                      <w:szCs w:val="21"/>
                    </w:rPr>
                  </w:pPr>
                </w:p>
              </w:tc>
              <w:tc>
                <w:tcPr>
                  <w:tcW w:w="1530" w:type="dxa"/>
                  <w:vMerge w:val="continue"/>
                  <w:vAlign w:val="center"/>
                </w:tcPr>
                <w:p>
                  <w:pPr>
                    <w:jc w:val="center"/>
                    <w:rPr>
                      <w:rFonts w:ascii="宋体" w:hAnsi="宋体" w:cs="宋体"/>
                      <w:szCs w:val="21"/>
                    </w:rPr>
                  </w:pPr>
                </w:p>
              </w:tc>
              <w:tc>
                <w:tcPr>
                  <w:tcW w:w="1621" w:type="dxa"/>
                  <w:vAlign w:val="center"/>
                </w:tcPr>
                <w:p>
                  <w:pPr>
                    <w:jc w:val="center"/>
                    <w:rPr>
                      <w:szCs w:val="21"/>
                    </w:rPr>
                  </w:pPr>
                  <w:r>
                    <w:rPr>
                      <w:rFonts w:hint="eastAsia"/>
                      <w:szCs w:val="21"/>
                    </w:rPr>
                    <w:t>2020/11/13</w:t>
                  </w:r>
                </w:p>
              </w:tc>
              <w:tc>
                <w:tcPr>
                  <w:tcW w:w="992" w:type="dxa"/>
                  <w:vAlign w:val="center"/>
                </w:tcPr>
                <w:p>
                  <w:pPr>
                    <w:jc w:val="center"/>
                    <w:rPr>
                      <w:szCs w:val="21"/>
                    </w:rPr>
                  </w:pPr>
                  <w:r>
                    <w:rPr>
                      <w:rFonts w:hint="eastAsia"/>
                      <w:szCs w:val="21"/>
                    </w:rPr>
                    <w:t>dB(A)</w:t>
                  </w:r>
                </w:p>
              </w:tc>
              <w:tc>
                <w:tcPr>
                  <w:tcW w:w="1701" w:type="dxa"/>
                  <w:vAlign w:val="center"/>
                </w:tcPr>
                <w:p>
                  <w:pPr>
                    <w:jc w:val="center"/>
                    <w:rPr>
                      <w:szCs w:val="21"/>
                    </w:rPr>
                  </w:pPr>
                  <w:r>
                    <w:rPr>
                      <w:rFonts w:hint="eastAsia"/>
                      <w:szCs w:val="21"/>
                    </w:rPr>
                    <w:t>52</w:t>
                  </w:r>
                </w:p>
              </w:tc>
              <w:tc>
                <w:tcPr>
                  <w:tcW w:w="1559" w:type="dxa"/>
                  <w:vAlign w:val="center"/>
                </w:tcPr>
                <w:p>
                  <w:pPr>
                    <w:jc w:val="center"/>
                    <w:rPr>
                      <w:szCs w:val="21"/>
                    </w:rPr>
                  </w:pPr>
                  <w:r>
                    <w:rPr>
                      <w:rFonts w:hint="eastAsia"/>
                      <w:szCs w:val="21"/>
                    </w:rPr>
                    <w:t>44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8682" w:type="dxa"/>
                  <w:gridSpan w:val="6"/>
                  <w:vAlign w:val="center"/>
                </w:tcPr>
                <w:p>
                  <w:pPr>
                    <w:pStyle w:val="2"/>
                    <w:spacing w:after="0"/>
                    <w:rPr>
                      <w:rFonts w:hAnsi="宋体" w:cs="宋体"/>
                      <w:szCs w:val="21"/>
                    </w:rPr>
                  </w:pPr>
                  <w:r>
                    <w:rPr>
                      <w:rFonts w:hint="eastAsia" w:hAnsi="宋体" w:cs="宋体"/>
                      <w:szCs w:val="21"/>
                    </w:rPr>
                    <w:t>备注：该检测结果仅对本次采样样品负责。</w:t>
                  </w:r>
                </w:p>
              </w:tc>
            </w:tr>
          </w:tbl>
          <w:p>
            <w:pPr>
              <w:adjustRightInd w:val="0"/>
              <w:snapToGrid w:val="0"/>
              <w:spacing w:line="360" w:lineRule="auto"/>
              <w:ind w:firstLine="420" w:firstLineChars="200"/>
            </w:pPr>
            <w:r>
              <w:t>从上表可以看出</w:t>
            </w:r>
            <w:r>
              <w:rPr>
                <w:rFonts w:hint="eastAsia"/>
                <w:snapToGrid w:val="0"/>
                <w:kern w:val="0"/>
                <w:sz w:val="24"/>
                <w:szCs w:val="24"/>
              </w:rPr>
              <w:t>，可知本项目噪声在厂界能达标排放。因此，本项目对周围声环境影响较小，其降噪措施可行。</w:t>
            </w:r>
          </w:p>
          <w:p>
            <w:pPr>
              <w:spacing w:line="355" w:lineRule="auto"/>
              <w:ind w:right="105" w:rightChars="50"/>
              <w:rPr>
                <w:b/>
                <w:sz w:val="24"/>
              </w:rPr>
            </w:pPr>
            <w:r>
              <w:rPr>
                <w:b/>
                <w:sz w:val="24"/>
              </w:rPr>
              <w:t>五、固体废物的影响分析</w:t>
            </w:r>
          </w:p>
          <w:p>
            <w:pPr>
              <w:spacing w:line="360" w:lineRule="auto"/>
              <w:ind w:firstLine="480" w:firstLineChars="200"/>
              <w:rPr>
                <w:sz w:val="24"/>
                <w:szCs w:val="24"/>
              </w:rPr>
            </w:pPr>
            <w:r>
              <w:rPr>
                <w:sz w:val="24"/>
              </w:rPr>
              <w:t>项目营运期产生的固体废物主要是员工日常生活垃圾、一般固废和危险废物</w:t>
            </w:r>
            <w:r>
              <w:rPr>
                <w:sz w:val="24"/>
                <w:szCs w:val="24"/>
              </w:rPr>
              <w:t>，</w:t>
            </w:r>
            <w:r>
              <w:rPr>
                <w:sz w:val="24"/>
              </w:rPr>
              <w:t>各固体废弃物的生产</w:t>
            </w:r>
            <w:r>
              <w:rPr>
                <w:rFonts w:hint="eastAsia"/>
                <w:sz w:val="24"/>
              </w:rPr>
              <w:t>及处置</w:t>
            </w:r>
            <w:r>
              <w:rPr>
                <w:sz w:val="24"/>
              </w:rPr>
              <w:t>情况见表5-</w:t>
            </w:r>
            <w:r>
              <w:rPr>
                <w:rFonts w:hint="eastAsia"/>
                <w:sz w:val="24"/>
              </w:rPr>
              <w:t>8</w:t>
            </w:r>
            <w:r>
              <w:rPr>
                <w:sz w:val="24"/>
              </w:rPr>
              <w:t>，危险废物</w:t>
            </w:r>
            <w:r>
              <w:rPr>
                <w:rFonts w:hint="eastAsia"/>
                <w:sz w:val="24"/>
              </w:rPr>
              <w:t>统计</w:t>
            </w:r>
            <w:r>
              <w:rPr>
                <w:sz w:val="24"/>
              </w:rPr>
              <w:t>情况见表5-</w:t>
            </w:r>
            <w:r>
              <w:rPr>
                <w:rFonts w:hint="eastAsia"/>
                <w:sz w:val="24"/>
              </w:rPr>
              <w:t>9</w:t>
            </w:r>
            <w:r>
              <w:rPr>
                <w:sz w:val="24"/>
              </w:rPr>
              <w:t>。</w:t>
            </w:r>
          </w:p>
          <w:p>
            <w:pPr>
              <w:spacing w:line="360" w:lineRule="auto"/>
              <w:ind w:firstLine="480" w:firstLineChars="200"/>
              <w:rPr>
                <w:rFonts w:hAnsi="宋体"/>
                <w:sz w:val="24"/>
              </w:rPr>
            </w:pPr>
            <w:r>
              <w:rPr>
                <w:rFonts w:hint="eastAsia"/>
                <w:sz w:val="24"/>
                <w:szCs w:val="24"/>
              </w:rPr>
              <w:t>本项目厂内已在</w:t>
            </w:r>
            <w:r>
              <w:rPr>
                <w:sz w:val="24"/>
                <w:szCs w:val="24"/>
              </w:rPr>
              <w:t>配件库内设置一间10m</w:t>
            </w:r>
            <w:r>
              <w:rPr>
                <w:sz w:val="24"/>
                <w:szCs w:val="24"/>
                <w:vertAlign w:val="superscript"/>
              </w:rPr>
              <w:t>2</w:t>
            </w:r>
            <w:r>
              <w:rPr>
                <w:sz w:val="24"/>
                <w:szCs w:val="24"/>
              </w:rPr>
              <w:t>危废暂存间</w:t>
            </w:r>
            <w:r>
              <w:rPr>
                <w:rFonts w:hint="eastAsia"/>
                <w:sz w:val="24"/>
                <w:szCs w:val="24"/>
              </w:rPr>
              <w:t>，现状设置的</w:t>
            </w:r>
            <w:r>
              <w:rPr>
                <w:sz w:val="24"/>
                <w:szCs w:val="24"/>
              </w:rPr>
              <w:t>危废暂存间满足《危险废物贮存污染控制标准》（GB18597-2001）及修改单的相关要求。</w:t>
            </w:r>
            <w:r>
              <w:rPr>
                <w:rFonts w:hint="eastAsia" w:hAnsi="宋体"/>
                <w:sz w:val="24"/>
              </w:rPr>
              <w:t>厂内设置单独危险废物废物暂存间，且企业尚已确定危废处置单位，已签订危废处理协议，已建立危废储存管理、责任人等制度。</w:t>
            </w:r>
          </w:p>
          <w:p>
            <w:pPr>
              <w:spacing w:line="360" w:lineRule="auto"/>
              <w:ind w:firstLine="480" w:firstLineChars="200"/>
              <w:rPr>
                <w:sz w:val="24"/>
                <w:szCs w:val="24"/>
              </w:rPr>
            </w:pPr>
            <w:bookmarkStart w:id="73" w:name="_Toc63759876"/>
            <w:r>
              <w:rPr>
                <w:sz w:val="24"/>
                <w:szCs w:val="24"/>
              </w:rPr>
              <w:t>项目危险废物贮存场所基本情况如下表所示。</w:t>
            </w:r>
          </w:p>
          <w:p>
            <w:pPr>
              <w:pStyle w:val="5"/>
              <w:jc w:val="center"/>
              <w:rPr>
                <w:rFonts w:ascii="Times New Roman" w:hAnsi="Times New Roman" w:eastAsia="宋体" w:cs="Times New Roman"/>
                <w:b/>
                <w:sz w:val="21"/>
                <w:szCs w:val="21"/>
              </w:rPr>
            </w:pPr>
            <w:r>
              <w:rPr>
                <w:rFonts w:ascii="Times New Roman" w:hAnsi="Times New Roman" w:eastAsia="宋体" w:cs="Times New Roman"/>
                <w:b/>
                <w:sz w:val="21"/>
                <w:szCs w:val="21"/>
              </w:rPr>
              <w:t>表7-12   危险废物贮存场所基本情况表</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35"/>
              <w:gridCol w:w="1331"/>
              <w:gridCol w:w="830"/>
              <w:gridCol w:w="1196"/>
              <w:gridCol w:w="931"/>
              <w:gridCol w:w="709"/>
              <w:gridCol w:w="457"/>
              <w:gridCol w:w="489"/>
              <w:gridCol w:w="1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trPr>
              <w:tc>
                <w:tcPr>
                  <w:tcW w:w="456" w:type="dxa"/>
                  <w:vAlign w:val="center"/>
                </w:tcPr>
                <w:p>
                  <w:pPr>
                    <w:adjustRightInd w:val="0"/>
                    <w:snapToGrid w:val="0"/>
                    <w:jc w:val="center"/>
                    <w:rPr>
                      <w:b/>
                      <w:bCs/>
                      <w:sz w:val="18"/>
                      <w:szCs w:val="18"/>
                    </w:rPr>
                  </w:pPr>
                  <w:r>
                    <w:rPr>
                      <w:b/>
                      <w:bCs/>
                      <w:sz w:val="18"/>
                      <w:szCs w:val="18"/>
                    </w:rPr>
                    <w:t>序号</w:t>
                  </w:r>
                </w:p>
              </w:tc>
              <w:tc>
                <w:tcPr>
                  <w:tcW w:w="635" w:type="dxa"/>
                  <w:vAlign w:val="center"/>
                </w:tcPr>
                <w:p>
                  <w:pPr>
                    <w:adjustRightInd w:val="0"/>
                    <w:snapToGrid w:val="0"/>
                    <w:jc w:val="center"/>
                    <w:rPr>
                      <w:b/>
                      <w:bCs/>
                      <w:sz w:val="18"/>
                      <w:szCs w:val="18"/>
                    </w:rPr>
                  </w:pPr>
                  <w:r>
                    <w:rPr>
                      <w:b/>
                      <w:bCs/>
                      <w:sz w:val="18"/>
                      <w:szCs w:val="18"/>
                    </w:rPr>
                    <w:t>贮存场所</w:t>
                  </w:r>
                </w:p>
                <w:p>
                  <w:pPr>
                    <w:adjustRightInd w:val="0"/>
                    <w:snapToGrid w:val="0"/>
                    <w:jc w:val="center"/>
                    <w:rPr>
                      <w:b/>
                      <w:bCs/>
                      <w:sz w:val="18"/>
                      <w:szCs w:val="18"/>
                    </w:rPr>
                  </w:pPr>
                  <w:r>
                    <w:rPr>
                      <w:b/>
                      <w:bCs/>
                      <w:sz w:val="18"/>
                      <w:szCs w:val="18"/>
                    </w:rPr>
                    <w:t>名称</w:t>
                  </w:r>
                </w:p>
              </w:tc>
              <w:tc>
                <w:tcPr>
                  <w:tcW w:w="1331" w:type="dxa"/>
                  <w:vAlign w:val="center"/>
                </w:tcPr>
                <w:p>
                  <w:pPr>
                    <w:adjustRightInd w:val="0"/>
                    <w:snapToGrid w:val="0"/>
                    <w:jc w:val="center"/>
                    <w:rPr>
                      <w:b/>
                      <w:bCs/>
                      <w:sz w:val="18"/>
                      <w:szCs w:val="18"/>
                    </w:rPr>
                  </w:pPr>
                  <w:r>
                    <w:rPr>
                      <w:b/>
                      <w:bCs/>
                      <w:sz w:val="18"/>
                      <w:szCs w:val="18"/>
                    </w:rPr>
                    <w:t>危废名称</w:t>
                  </w:r>
                </w:p>
              </w:tc>
              <w:tc>
                <w:tcPr>
                  <w:tcW w:w="830" w:type="dxa"/>
                  <w:vAlign w:val="center"/>
                </w:tcPr>
                <w:p>
                  <w:pPr>
                    <w:adjustRightInd w:val="0"/>
                    <w:snapToGrid w:val="0"/>
                    <w:jc w:val="center"/>
                    <w:rPr>
                      <w:b/>
                      <w:bCs/>
                      <w:sz w:val="18"/>
                      <w:szCs w:val="18"/>
                    </w:rPr>
                  </w:pPr>
                  <w:r>
                    <w:rPr>
                      <w:b/>
                      <w:bCs/>
                      <w:sz w:val="18"/>
                      <w:szCs w:val="18"/>
                    </w:rPr>
                    <w:t>危废类别</w:t>
                  </w:r>
                </w:p>
              </w:tc>
              <w:tc>
                <w:tcPr>
                  <w:tcW w:w="1196" w:type="dxa"/>
                  <w:vAlign w:val="center"/>
                </w:tcPr>
                <w:p>
                  <w:pPr>
                    <w:adjustRightInd w:val="0"/>
                    <w:snapToGrid w:val="0"/>
                    <w:jc w:val="center"/>
                    <w:rPr>
                      <w:b/>
                      <w:bCs/>
                      <w:sz w:val="18"/>
                      <w:szCs w:val="18"/>
                    </w:rPr>
                  </w:pPr>
                  <w:r>
                    <w:rPr>
                      <w:b/>
                      <w:bCs/>
                      <w:sz w:val="18"/>
                      <w:szCs w:val="18"/>
                    </w:rPr>
                    <w:t>危废代码</w:t>
                  </w:r>
                </w:p>
              </w:tc>
              <w:tc>
                <w:tcPr>
                  <w:tcW w:w="931" w:type="dxa"/>
                  <w:vAlign w:val="center"/>
                </w:tcPr>
                <w:p>
                  <w:pPr>
                    <w:adjustRightInd w:val="0"/>
                    <w:snapToGrid w:val="0"/>
                    <w:jc w:val="center"/>
                    <w:rPr>
                      <w:b/>
                      <w:bCs/>
                      <w:sz w:val="18"/>
                      <w:szCs w:val="18"/>
                    </w:rPr>
                  </w:pPr>
                  <w:r>
                    <w:rPr>
                      <w:b/>
                      <w:bCs/>
                      <w:sz w:val="18"/>
                      <w:szCs w:val="18"/>
                    </w:rPr>
                    <w:t>位置</w:t>
                  </w:r>
                </w:p>
              </w:tc>
              <w:tc>
                <w:tcPr>
                  <w:tcW w:w="709" w:type="dxa"/>
                  <w:vAlign w:val="center"/>
                </w:tcPr>
                <w:p>
                  <w:pPr>
                    <w:adjustRightInd w:val="0"/>
                    <w:snapToGrid w:val="0"/>
                    <w:jc w:val="center"/>
                    <w:rPr>
                      <w:b/>
                      <w:bCs/>
                      <w:sz w:val="18"/>
                      <w:szCs w:val="18"/>
                    </w:rPr>
                  </w:pPr>
                  <w:r>
                    <w:rPr>
                      <w:b/>
                      <w:bCs/>
                      <w:sz w:val="18"/>
                      <w:szCs w:val="18"/>
                    </w:rPr>
                    <w:t>占地面积</w:t>
                  </w:r>
                </w:p>
              </w:tc>
              <w:tc>
                <w:tcPr>
                  <w:tcW w:w="457" w:type="dxa"/>
                  <w:vAlign w:val="center"/>
                </w:tcPr>
                <w:p>
                  <w:pPr>
                    <w:adjustRightInd w:val="0"/>
                    <w:snapToGrid w:val="0"/>
                    <w:jc w:val="center"/>
                    <w:rPr>
                      <w:b/>
                      <w:bCs/>
                      <w:sz w:val="18"/>
                      <w:szCs w:val="18"/>
                    </w:rPr>
                  </w:pPr>
                  <w:r>
                    <w:rPr>
                      <w:b/>
                      <w:bCs/>
                      <w:sz w:val="18"/>
                      <w:szCs w:val="18"/>
                    </w:rPr>
                    <w:t>贮存</w:t>
                  </w:r>
                </w:p>
                <w:p>
                  <w:pPr>
                    <w:adjustRightInd w:val="0"/>
                    <w:snapToGrid w:val="0"/>
                    <w:jc w:val="center"/>
                    <w:rPr>
                      <w:b/>
                      <w:bCs/>
                      <w:sz w:val="18"/>
                      <w:szCs w:val="18"/>
                    </w:rPr>
                  </w:pPr>
                  <w:r>
                    <w:rPr>
                      <w:b/>
                      <w:bCs/>
                      <w:sz w:val="18"/>
                      <w:szCs w:val="18"/>
                    </w:rPr>
                    <w:t>方式</w:t>
                  </w:r>
                </w:p>
              </w:tc>
              <w:tc>
                <w:tcPr>
                  <w:tcW w:w="489" w:type="dxa"/>
                  <w:vAlign w:val="center"/>
                </w:tcPr>
                <w:p>
                  <w:pPr>
                    <w:adjustRightInd w:val="0"/>
                    <w:snapToGrid w:val="0"/>
                    <w:jc w:val="center"/>
                    <w:rPr>
                      <w:b/>
                      <w:bCs/>
                      <w:sz w:val="18"/>
                      <w:szCs w:val="18"/>
                    </w:rPr>
                  </w:pPr>
                  <w:r>
                    <w:rPr>
                      <w:b/>
                      <w:bCs/>
                      <w:sz w:val="18"/>
                      <w:szCs w:val="18"/>
                    </w:rPr>
                    <w:t>贮存</w:t>
                  </w:r>
                </w:p>
                <w:p>
                  <w:pPr>
                    <w:adjustRightInd w:val="0"/>
                    <w:snapToGrid w:val="0"/>
                    <w:jc w:val="center"/>
                    <w:rPr>
                      <w:b/>
                      <w:bCs/>
                      <w:sz w:val="18"/>
                      <w:szCs w:val="18"/>
                    </w:rPr>
                  </w:pPr>
                  <w:r>
                    <w:rPr>
                      <w:b/>
                      <w:bCs/>
                      <w:sz w:val="18"/>
                      <w:szCs w:val="18"/>
                    </w:rPr>
                    <w:t>能力</w:t>
                  </w:r>
                </w:p>
              </w:tc>
              <w:tc>
                <w:tcPr>
                  <w:tcW w:w="1248" w:type="dxa"/>
                  <w:vAlign w:val="center"/>
                </w:tcPr>
                <w:p>
                  <w:pPr>
                    <w:adjustRightInd w:val="0"/>
                    <w:snapToGrid w:val="0"/>
                    <w:jc w:val="center"/>
                    <w:rPr>
                      <w:b/>
                      <w:bCs/>
                      <w:sz w:val="18"/>
                      <w:szCs w:val="18"/>
                    </w:rPr>
                  </w:pPr>
                  <w:r>
                    <w:rPr>
                      <w:b/>
                      <w:bCs/>
                      <w:sz w:val="18"/>
                      <w:szCs w:val="18"/>
                    </w:rPr>
                    <w:t>贮存</w:t>
                  </w:r>
                </w:p>
                <w:p>
                  <w:pPr>
                    <w:adjustRightInd w:val="0"/>
                    <w:snapToGrid w:val="0"/>
                    <w:jc w:val="center"/>
                    <w:rPr>
                      <w:b/>
                      <w:bCs/>
                      <w:sz w:val="18"/>
                      <w:szCs w:val="18"/>
                    </w:rPr>
                  </w:pPr>
                  <w:r>
                    <w:rPr>
                      <w:b/>
                      <w:bCs/>
                      <w:sz w:val="18"/>
                      <w:szCs w:val="18"/>
                    </w:rPr>
                    <w:t>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1</w:t>
                  </w:r>
                </w:p>
              </w:tc>
              <w:tc>
                <w:tcPr>
                  <w:tcW w:w="635" w:type="dxa"/>
                  <w:vMerge w:val="restart"/>
                  <w:vAlign w:val="center"/>
                </w:tcPr>
                <w:p>
                  <w:pPr>
                    <w:adjustRightInd w:val="0"/>
                    <w:snapToGrid w:val="0"/>
                    <w:jc w:val="center"/>
                    <w:rPr>
                      <w:sz w:val="18"/>
                      <w:szCs w:val="18"/>
                    </w:rPr>
                  </w:pPr>
                  <w:r>
                    <w:rPr>
                      <w:sz w:val="18"/>
                      <w:szCs w:val="18"/>
                    </w:rPr>
                    <w:t>危废暂存间</w:t>
                  </w:r>
                </w:p>
              </w:tc>
              <w:tc>
                <w:tcPr>
                  <w:tcW w:w="1331" w:type="dxa"/>
                  <w:vAlign w:val="center"/>
                </w:tcPr>
                <w:p>
                  <w:pPr>
                    <w:jc w:val="center"/>
                    <w:rPr>
                      <w:sz w:val="18"/>
                      <w:szCs w:val="18"/>
                    </w:rPr>
                  </w:pPr>
                  <w:r>
                    <w:rPr>
                      <w:sz w:val="18"/>
                      <w:szCs w:val="18"/>
                    </w:rPr>
                    <w:t>废蓄电池</w:t>
                  </w:r>
                </w:p>
              </w:tc>
              <w:tc>
                <w:tcPr>
                  <w:tcW w:w="830" w:type="dxa"/>
                  <w:vAlign w:val="center"/>
                </w:tcPr>
                <w:p>
                  <w:pPr>
                    <w:jc w:val="center"/>
                    <w:rPr>
                      <w:sz w:val="18"/>
                      <w:szCs w:val="18"/>
                    </w:rPr>
                  </w:pPr>
                  <w:r>
                    <w:rPr>
                      <w:sz w:val="18"/>
                      <w:szCs w:val="18"/>
                    </w:rPr>
                    <w:t>HW49</w:t>
                  </w:r>
                </w:p>
              </w:tc>
              <w:tc>
                <w:tcPr>
                  <w:tcW w:w="1196" w:type="dxa"/>
                  <w:vAlign w:val="center"/>
                </w:tcPr>
                <w:p>
                  <w:pPr>
                    <w:jc w:val="center"/>
                    <w:rPr>
                      <w:sz w:val="18"/>
                      <w:szCs w:val="18"/>
                    </w:rPr>
                  </w:pPr>
                  <w:r>
                    <w:rPr>
                      <w:sz w:val="18"/>
                      <w:szCs w:val="18"/>
                    </w:rPr>
                    <w:t>HW49</w:t>
                  </w:r>
                </w:p>
                <w:p>
                  <w:pPr>
                    <w:pStyle w:val="2"/>
                    <w:jc w:val="center"/>
                    <w:rPr>
                      <w:sz w:val="18"/>
                      <w:szCs w:val="18"/>
                    </w:rPr>
                  </w:pPr>
                  <w:r>
                    <w:rPr>
                      <w:sz w:val="18"/>
                      <w:szCs w:val="18"/>
                    </w:rPr>
                    <w:t>900-044-49</w:t>
                  </w:r>
                </w:p>
              </w:tc>
              <w:tc>
                <w:tcPr>
                  <w:tcW w:w="931" w:type="dxa"/>
                  <w:vMerge w:val="restart"/>
                  <w:vAlign w:val="center"/>
                </w:tcPr>
                <w:p>
                  <w:pPr>
                    <w:adjustRightInd w:val="0"/>
                    <w:snapToGrid w:val="0"/>
                    <w:jc w:val="center"/>
                    <w:rPr>
                      <w:sz w:val="18"/>
                      <w:szCs w:val="18"/>
                    </w:rPr>
                  </w:pPr>
                  <w:r>
                    <w:rPr>
                      <w:sz w:val="18"/>
                      <w:szCs w:val="18"/>
                    </w:rPr>
                    <w:t>配件库中的危废暂存间</w:t>
                  </w:r>
                </w:p>
              </w:tc>
              <w:tc>
                <w:tcPr>
                  <w:tcW w:w="709" w:type="dxa"/>
                  <w:vMerge w:val="restart"/>
                  <w:vAlign w:val="center"/>
                </w:tcPr>
                <w:p>
                  <w:pPr>
                    <w:adjustRightInd w:val="0"/>
                    <w:snapToGrid w:val="0"/>
                    <w:jc w:val="center"/>
                    <w:rPr>
                      <w:sz w:val="18"/>
                      <w:szCs w:val="18"/>
                    </w:rPr>
                  </w:pPr>
                  <w:r>
                    <w:rPr>
                      <w:sz w:val="18"/>
                      <w:szCs w:val="18"/>
                    </w:rPr>
                    <w:t>10m</w:t>
                  </w:r>
                  <w:r>
                    <w:rPr>
                      <w:sz w:val="18"/>
                      <w:szCs w:val="18"/>
                      <w:vertAlign w:val="superscript"/>
                    </w:rPr>
                    <w:t>2</w:t>
                  </w:r>
                </w:p>
              </w:tc>
              <w:tc>
                <w:tcPr>
                  <w:tcW w:w="457" w:type="dxa"/>
                  <w:vAlign w:val="center"/>
                </w:tcPr>
                <w:p>
                  <w:pPr>
                    <w:adjustRightInd w:val="0"/>
                    <w:snapToGrid w:val="0"/>
                    <w:jc w:val="center"/>
                    <w:rPr>
                      <w:sz w:val="18"/>
                      <w:szCs w:val="18"/>
                    </w:rPr>
                  </w:pPr>
                  <w:r>
                    <w:rPr>
                      <w:sz w:val="18"/>
                      <w:szCs w:val="18"/>
                    </w:rPr>
                    <w:t>桶装</w:t>
                  </w:r>
                </w:p>
              </w:tc>
              <w:tc>
                <w:tcPr>
                  <w:tcW w:w="489" w:type="dxa"/>
                  <w:vMerge w:val="restart"/>
                  <w:vAlign w:val="center"/>
                </w:tcPr>
                <w:p>
                  <w:pPr>
                    <w:adjustRightInd w:val="0"/>
                    <w:snapToGrid w:val="0"/>
                    <w:jc w:val="center"/>
                    <w:rPr>
                      <w:sz w:val="18"/>
                      <w:szCs w:val="18"/>
                    </w:rPr>
                  </w:pPr>
                  <w:r>
                    <w:rPr>
                      <w:sz w:val="18"/>
                      <w:szCs w:val="18"/>
                    </w:rPr>
                    <w:t>10t</w:t>
                  </w:r>
                </w:p>
              </w:tc>
              <w:tc>
                <w:tcPr>
                  <w:tcW w:w="1248" w:type="dxa"/>
                  <w:vAlign w:val="center"/>
                </w:tcPr>
                <w:p>
                  <w:pPr>
                    <w:adjustRightInd w:val="0"/>
                    <w:snapToGrid w:val="0"/>
                    <w:jc w:val="center"/>
                    <w:rPr>
                      <w:sz w:val="18"/>
                      <w:szCs w:val="18"/>
                    </w:rPr>
                  </w:pPr>
                  <w:r>
                    <w:rPr>
                      <w:sz w:val="18"/>
                      <w:szCs w:val="18"/>
                    </w:rPr>
                    <w:t>产生即联系转移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3</w:t>
                  </w:r>
                </w:p>
              </w:tc>
              <w:tc>
                <w:tcPr>
                  <w:tcW w:w="635" w:type="dxa"/>
                  <w:vMerge w:val="continue"/>
                  <w:vAlign w:val="center"/>
                </w:tcPr>
                <w:p>
                  <w:pPr>
                    <w:adjustRightInd w:val="0"/>
                    <w:snapToGrid w:val="0"/>
                    <w:jc w:val="center"/>
                    <w:rPr>
                      <w:sz w:val="18"/>
                      <w:szCs w:val="18"/>
                    </w:rPr>
                  </w:pPr>
                </w:p>
              </w:tc>
              <w:tc>
                <w:tcPr>
                  <w:tcW w:w="1331" w:type="dxa"/>
                  <w:vAlign w:val="center"/>
                </w:tcPr>
                <w:p>
                  <w:pPr>
                    <w:jc w:val="center"/>
                    <w:rPr>
                      <w:sz w:val="18"/>
                      <w:szCs w:val="18"/>
                    </w:rPr>
                  </w:pPr>
                  <w:r>
                    <w:rPr>
                      <w:sz w:val="18"/>
                      <w:szCs w:val="18"/>
                    </w:rPr>
                    <w:t>废机油、废刹车油</w:t>
                  </w:r>
                </w:p>
              </w:tc>
              <w:tc>
                <w:tcPr>
                  <w:tcW w:w="830" w:type="dxa"/>
                  <w:vAlign w:val="center"/>
                </w:tcPr>
                <w:p>
                  <w:pPr>
                    <w:jc w:val="center"/>
                    <w:rPr>
                      <w:sz w:val="18"/>
                      <w:szCs w:val="18"/>
                    </w:rPr>
                  </w:pPr>
                  <w:r>
                    <w:rPr>
                      <w:sz w:val="18"/>
                      <w:szCs w:val="18"/>
                    </w:rPr>
                    <w:t>HW08</w:t>
                  </w:r>
                </w:p>
              </w:tc>
              <w:tc>
                <w:tcPr>
                  <w:tcW w:w="1196" w:type="dxa"/>
                  <w:vAlign w:val="center"/>
                </w:tcPr>
                <w:p>
                  <w:pPr>
                    <w:jc w:val="center"/>
                    <w:rPr>
                      <w:sz w:val="18"/>
                      <w:szCs w:val="18"/>
                    </w:rPr>
                  </w:pPr>
                  <w:r>
                    <w:rPr>
                      <w:sz w:val="18"/>
                      <w:szCs w:val="18"/>
                    </w:rPr>
                    <w:t>HW08</w:t>
                  </w:r>
                </w:p>
                <w:p>
                  <w:pPr>
                    <w:pStyle w:val="2"/>
                    <w:jc w:val="center"/>
                    <w:rPr>
                      <w:sz w:val="18"/>
                      <w:szCs w:val="18"/>
                    </w:rPr>
                  </w:pPr>
                  <w:r>
                    <w:rPr>
                      <w:sz w:val="18"/>
                      <w:szCs w:val="18"/>
                    </w:rPr>
                    <w:t>900-214-08</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堆放</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贮存量达1t后即可转移至资质单位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4</w:t>
                  </w:r>
                </w:p>
              </w:tc>
              <w:tc>
                <w:tcPr>
                  <w:tcW w:w="635" w:type="dxa"/>
                  <w:vMerge w:val="continue"/>
                  <w:vAlign w:val="center"/>
                </w:tcPr>
                <w:p>
                  <w:pPr>
                    <w:adjustRightInd w:val="0"/>
                    <w:snapToGrid w:val="0"/>
                    <w:jc w:val="center"/>
                    <w:rPr>
                      <w:sz w:val="18"/>
                      <w:szCs w:val="18"/>
                    </w:rPr>
                  </w:pPr>
                </w:p>
              </w:tc>
              <w:tc>
                <w:tcPr>
                  <w:tcW w:w="1331" w:type="dxa"/>
                  <w:vAlign w:val="center"/>
                </w:tcPr>
                <w:p>
                  <w:pPr>
                    <w:autoSpaceDE w:val="0"/>
                    <w:autoSpaceDN w:val="0"/>
                    <w:adjustRightInd w:val="0"/>
                    <w:jc w:val="center"/>
                    <w:rPr>
                      <w:sz w:val="18"/>
                      <w:szCs w:val="18"/>
                    </w:rPr>
                  </w:pPr>
                  <w:r>
                    <w:rPr>
                      <w:kern w:val="0"/>
                      <w:sz w:val="18"/>
                      <w:szCs w:val="18"/>
                    </w:rPr>
                    <w:t>废防冻液</w:t>
                  </w:r>
                </w:p>
              </w:tc>
              <w:tc>
                <w:tcPr>
                  <w:tcW w:w="830" w:type="dxa"/>
                  <w:vAlign w:val="center"/>
                </w:tcPr>
                <w:p>
                  <w:pPr>
                    <w:jc w:val="center"/>
                    <w:rPr>
                      <w:sz w:val="18"/>
                      <w:szCs w:val="18"/>
                    </w:rPr>
                  </w:pPr>
                  <w:r>
                    <w:rPr>
                      <w:sz w:val="18"/>
                      <w:szCs w:val="18"/>
                    </w:rPr>
                    <w:t>HW06</w:t>
                  </w:r>
                </w:p>
              </w:tc>
              <w:tc>
                <w:tcPr>
                  <w:tcW w:w="1196" w:type="dxa"/>
                  <w:vAlign w:val="center"/>
                </w:tcPr>
                <w:p>
                  <w:pPr>
                    <w:jc w:val="center"/>
                    <w:rPr>
                      <w:sz w:val="18"/>
                      <w:szCs w:val="18"/>
                    </w:rPr>
                  </w:pPr>
                  <w:r>
                    <w:rPr>
                      <w:sz w:val="18"/>
                      <w:szCs w:val="18"/>
                    </w:rPr>
                    <w:t>HW06</w:t>
                  </w:r>
                </w:p>
                <w:p>
                  <w:pPr>
                    <w:pStyle w:val="2"/>
                    <w:jc w:val="center"/>
                    <w:rPr>
                      <w:sz w:val="18"/>
                      <w:szCs w:val="18"/>
                    </w:rPr>
                  </w:pPr>
                  <w:r>
                    <w:rPr>
                      <w:kern w:val="0"/>
                      <w:sz w:val="18"/>
                      <w:szCs w:val="18"/>
                    </w:rPr>
                    <w:t>900-404-06</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桶装</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5</w:t>
                  </w:r>
                </w:p>
              </w:tc>
              <w:tc>
                <w:tcPr>
                  <w:tcW w:w="635" w:type="dxa"/>
                  <w:vMerge w:val="continue"/>
                  <w:vAlign w:val="center"/>
                </w:tcPr>
                <w:p>
                  <w:pPr>
                    <w:adjustRightInd w:val="0"/>
                    <w:snapToGrid w:val="0"/>
                    <w:jc w:val="center"/>
                    <w:rPr>
                      <w:sz w:val="18"/>
                      <w:szCs w:val="18"/>
                    </w:rPr>
                  </w:pPr>
                </w:p>
              </w:tc>
              <w:tc>
                <w:tcPr>
                  <w:tcW w:w="1331" w:type="dxa"/>
                  <w:vAlign w:val="center"/>
                </w:tcPr>
                <w:p>
                  <w:pPr>
                    <w:jc w:val="center"/>
                    <w:rPr>
                      <w:sz w:val="18"/>
                      <w:szCs w:val="18"/>
                    </w:rPr>
                  </w:pPr>
                  <w:r>
                    <w:rPr>
                      <w:sz w:val="18"/>
                      <w:szCs w:val="18"/>
                    </w:rPr>
                    <w:t>废过滤棉与废活性炭</w:t>
                  </w:r>
                </w:p>
              </w:tc>
              <w:tc>
                <w:tcPr>
                  <w:tcW w:w="830" w:type="dxa"/>
                  <w:vAlign w:val="center"/>
                </w:tcPr>
                <w:p>
                  <w:pPr>
                    <w:jc w:val="center"/>
                    <w:rPr>
                      <w:sz w:val="18"/>
                      <w:szCs w:val="18"/>
                    </w:rPr>
                  </w:pPr>
                  <w:r>
                    <w:rPr>
                      <w:sz w:val="18"/>
                      <w:szCs w:val="18"/>
                    </w:rPr>
                    <w:t>HW49</w:t>
                  </w:r>
                </w:p>
              </w:tc>
              <w:tc>
                <w:tcPr>
                  <w:tcW w:w="1196" w:type="dxa"/>
                  <w:vAlign w:val="center"/>
                </w:tcPr>
                <w:p>
                  <w:pPr>
                    <w:jc w:val="center"/>
                    <w:rPr>
                      <w:sz w:val="18"/>
                      <w:szCs w:val="18"/>
                    </w:rPr>
                  </w:pPr>
                  <w:r>
                    <w:rPr>
                      <w:sz w:val="18"/>
                      <w:szCs w:val="18"/>
                    </w:rPr>
                    <w:t>废过滤棉HW49</w:t>
                  </w:r>
                </w:p>
                <w:p>
                  <w:pPr>
                    <w:jc w:val="center"/>
                    <w:rPr>
                      <w:sz w:val="18"/>
                      <w:szCs w:val="18"/>
                    </w:rPr>
                  </w:pPr>
                  <w:r>
                    <w:rPr>
                      <w:sz w:val="18"/>
                      <w:szCs w:val="18"/>
                    </w:rPr>
                    <w:t>900-041-49废活性炭HW49</w:t>
                  </w:r>
                </w:p>
                <w:p>
                  <w:pPr>
                    <w:pStyle w:val="2"/>
                    <w:jc w:val="center"/>
                    <w:rPr>
                      <w:sz w:val="18"/>
                      <w:szCs w:val="18"/>
                    </w:rPr>
                  </w:pPr>
                  <w:r>
                    <w:rPr>
                      <w:rFonts w:hint="eastAsia"/>
                      <w:bCs/>
                      <w:sz w:val="18"/>
                      <w:szCs w:val="18"/>
                    </w:rPr>
                    <w:t>900-039-49</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桶装</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7</w:t>
                  </w:r>
                </w:p>
              </w:tc>
              <w:tc>
                <w:tcPr>
                  <w:tcW w:w="635" w:type="dxa"/>
                  <w:vMerge w:val="continue"/>
                  <w:vAlign w:val="center"/>
                </w:tcPr>
                <w:p>
                  <w:pPr>
                    <w:adjustRightInd w:val="0"/>
                    <w:snapToGrid w:val="0"/>
                    <w:jc w:val="center"/>
                    <w:rPr>
                      <w:sz w:val="18"/>
                      <w:szCs w:val="18"/>
                    </w:rPr>
                  </w:pPr>
                </w:p>
              </w:tc>
              <w:tc>
                <w:tcPr>
                  <w:tcW w:w="1331" w:type="dxa"/>
                  <w:vAlign w:val="center"/>
                </w:tcPr>
                <w:p>
                  <w:pPr>
                    <w:jc w:val="center"/>
                    <w:rPr>
                      <w:sz w:val="18"/>
                      <w:szCs w:val="18"/>
                    </w:rPr>
                  </w:pPr>
                  <w:r>
                    <w:rPr>
                      <w:sz w:val="18"/>
                      <w:szCs w:val="18"/>
                    </w:rPr>
                    <w:t>废UV灯管</w:t>
                  </w:r>
                </w:p>
              </w:tc>
              <w:tc>
                <w:tcPr>
                  <w:tcW w:w="830" w:type="dxa"/>
                  <w:vAlign w:val="center"/>
                </w:tcPr>
                <w:p>
                  <w:pPr>
                    <w:jc w:val="center"/>
                    <w:rPr>
                      <w:sz w:val="18"/>
                      <w:szCs w:val="18"/>
                    </w:rPr>
                  </w:pPr>
                  <w:r>
                    <w:rPr>
                      <w:sz w:val="18"/>
                      <w:szCs w:val="18"/>
                    </w:rPr>
                    <w:t>HW29</w:t>
                  </w:r>
                </w:p>
              </w:tc>
              <w:tc>
                <w:tcPr>
                  <w:tcW w:w="1196" w:type="dxa"/>
                  <w:vAlign w:val="center"/>
                </w:tcPr>
                <w:p>
                  <w:pPr>
                    <w:jc w:val="center"/>
                    <w:rPr>
                      <w:sz w:val="18"/>
                      <w:szCs w:val="18"/>
                    </w:rPr>
                  </w:pPr>
                  <w:r>
                    <w:rPr>
                      <w:sz w:val="18"/>
                      <w:szCs w:val="18"/>
                    </w:rPr>
                    <w:t>HW29</w:t>
                  </w:r>
                </w:p>
                <w:p>
                  <w:pPr>
                    <w:pStyle w:val="2"/>
                    <w:jc w:val="center"/>
                    <w:rPr>
                      <w:sz w:val="18"/>
                      <w:szCs w:val="18"/>
                    </w:rPr>
                  </w:pPr>
                  <w:r>
                    <w:rPr>
                      <w:sz w:val="18"/>
                      <w:szCs w:val="18"/>
                    </w:rPr>
                    <w:t>900-023-29</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桶装</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8</w:t>
                  </w:r>
                </w:p>
              </w:tc>
              <w:tc>
                <w:tcPr>
                  <w:tcW w:w="635" w:type="dxa"/>
                  <w:vMerge w:val="continue"/>
                  <w:vAlign w:val="center"/>
                </w:tcPr>
                <w:p>
                  <w:pPr>
                    <w:adjustRightInd w:val="0"/>
                    <w:snapToGrid w:val="0"/>
                    <w:jc w:val="center"/>
                    <w:rPr>
                      <w:sz w:val="18"/>
                      <w:szCs w:val="18"/>
                    </w:rPr>
                  </w:pPr>
                </w:p>
              </w:tc>
              <w:tc>
                <w:tcPr>
                  <w:tcW w:w="1331" w:type="dxa"/>
                  <w:vAlign w:val="center"/>
                </w:tcPr>
                <w:p>
                  <w:pPr>
                    <w:jc w:val="center"/>
                    <w:rPr>
                      <w:sz w:val="18"/>
                      <w:szCs w:val="18"/>
                    </w:rPr>
                  </w:pPr>
                  <w:r>
                    <w:rPr>
                      <w:sz w:val="18"/>
                      <w:szCs w:val="18"/>
                    </w:rPr>
                    <w:t>废漆渣</w:t>
                  </w:r>
                </w:p>
              </w:tc>
              <w:tc>
                <w:tcPr>
                  <w:tcW w:w="830" w:type="dxa"/>
                  <w:vAlign w:val="center"/>
                </w:tcPr>
                <w:p>
                  <w:pPr>
                    <w:jc w:val="center"/>
                    <w:rPr>
                      <w:sz w:val="18"/>
                      <w:szCs w:val="18"/>
                    </w:rPr>
                  </w:pPr>
                  <w:r>
                    <w:rPr>
                      <w:sz w:val="18"/>
                      <w:szCs w:val="18"/>
                    </w:rPr>
                    <w:t>HW12</w:t>
                  </w:r>
                </w:p>
              </w:tc>
              <w:tc>
                <w:tcPr>
                  <w:tcW w:w="1196" w:type="dxa"/>
                  <w:vAlign w:val="center"/>
                </w:tcPr>
                <w:p>
                  <w:pPr>
                    <w:jc w:val="center"/>
                    <w:rPr>
                      <w:sz w:val="18"/>
                      <w:szCs w:val="18"/>
                    </w:rPr>
                  </w:pPr>
                  <w:r>
                    <w:rPr>
                      <w:sz w:val="18"/>
                      <w:szCs w:val="18"/>
                    </w:rPr>
                    <w:t>HW12</w:t>
                  </w:r>
                </w:p>
                <w:p>
                  <w:pPr>
                    <w:pStyle w:val="2"/>
                    <w:jc w:val="center"/>
                    <w:rPr>
                      <w:sz w:val="18"/>
                      <w:szCs w:val="18"/>
                    </w:rPr>
                  </w:pPr>
                  <w:r>
                    <w:rPr>
                      <w:sz w:val="18"/>
                      <w:szCs w:val="18"/>
                    </w:rPr>
                    <w:t>900-252-12</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桶装</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9</w:t>
                  </w:r>
                </w:p>
              </w:tc>
              <w:tc>
                <w:tcPr>
                  <w:tcW w:w="635" w:type="dxa"/>
                  <w:vMerge w:val="continue"/>
                  <w:vAlign w:val="center"/>
                </w:tcPr>
                <w:p>
                  <w:pPr>
                    <w:adjustRightInd w:val="0"/>
                    <w:snapToGrid w:val="0"/>
                    <w:jc w:val="center"/>
                    <w:rPr>
                      <w:sz w:val="18"/>
                      <w:szCs w:val="18"/>
                    </w:rPr>
                  </w:pPr>
                </w:p>
              </w:tc>
              <w:tc>
                <w:tcPr>
                  <w:tcW w:w="1331" w:type="dxa"/>
                  <w:vAlign w:val="center"/>
                </w:tcPr>
                <w:p>
                  <w:pPr>
                    <w:autoSpaceDE w:val="0"/>
                    <w:autoSpaceDN w:val="0"/>
                    <w:adjustRightInd w:val="0"/>
                    <w:jc w:val="center"/>
                    <w:rPr>
                      <w:sz w:val="18"/>
                      <w:szCs w:val="18"/>
                    </w:rPr>
                  </w:pPr>
                  <w:r>
                    <w:rPr>
                      <w:kern w:val="0"/>
                      <w:sz w:val="18"/>
                      <w:szCs w:val="18"/>
                    </w:rPr>
                    <w:t>废机油滤芯</w:t>
                  </w:r>
                </w:p>
              </w:tc>
              <w:tc>
                <w:tcPr>
                  <w:tcW w:w="830" w:type="dxa"/>
                  <w:vAlign w:val="center"/>
                </w:tcPr>
                <w:p>
                  <w:pPr>
                    <w:jc w:val="center"/>
                    <w:rPr>
                      <w:sz w:val="18"/>
                      <w:szCs w:val="18"/>
                    </w:rPr>
                  </w:pPr>
                  <w:r>
                    <w:rPr>
                      <w:sz w:val="18"/>
                      <w:szCs w:val="18"/>
                    </w:rPr>
                    <w:t>HW49</w:t>
                  </w:r>
                </w:p>
              </w:tc>
              <w:tc>
                <w:tcPr>
                  <w:tcW w:w="1196" w:type="dxa"/>
                  <w:vAlign w:val="center"/>
                </w:tcPr>
                <w:p>
                  <w:pPr>
                    <w:pStyle w:val="2"/>
                    <w:jc w:val="center"/>
                    <w:rPr>
                      <w:sz w:val="18"/>
                      <w:szCs w:val="18"/>
                    </w:rPr>
                  </w:pPr>
                  <w:r>
                    <w:rPr>
                      <w:sz w:val="18"/>
                      <w:szCs w:val="18"/>
                    </w:rPr>
                    <w:t>HW49</w:t>
                  </w:r>
                </w:p>
                <w:p>
                  <w:pPr>
                    <w:pStyle w:val="2"/>
                    <w:jc w:val="center"/>
                    <w:rPr>
                      <w:sz w:val="18"/>
                      <w:szCs w:val="18"/>
                    </w:rPr>
                  </w:pPr>
                  <w:r>
                    <w:rPr>
                      <w:sz w:val="18"/>
                      <w:szCs w:val="18"/>
                    </w:rPr>
                    <w:t>900-</w:t>
                  </w:r>
                  <w:r>
                    <w:rPr>
                      <w:rFonts w:hint="eastAsia"/>
                      <w:sz w:val="18"/>
                      <w:szCs w:val="18"/>
                    </w:rPr>
                    <w:t>041-49</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桶装</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10</w:t>
                  </w:r>
                </w:p>
              </w:tc>
              <w:tc>
                <w:tcPr>
                  <w:tcW w:w="635" w:type="dxa"/>
                  <w:vMerge w:val="continue"/>
                  <w:vAlign w:val="center"/>
                </w:tcPr>
                <w:p>
                  <w:pPr>
                    <w:adjustRightInd w:val="0"/>
                    <w:snapToGrid w:val="0"/>
                    <w:jc w:val="center"/>
                    <w:rPr>
                      <w:sz w:val="18"/>
                      <w:szCs w:val="18"/>
                    </w:rPr>
                  </w:pPr>
                </w:p>
              </w:tc>
              <w:tc>
                <w:tcPr>
                  <w:tcW w:w="1331" w:type="dxa"/>
                  <w:vAlign w:val="center"/>
                </w:tcPr>
                <w:p>
                  <w:pPr>
                    <w:autoSpaceDE w:val="0"/>
                    <w:autoSpaceDN w:val="0"/>
                    <w:adjustRightInd w:val="0"/>
                    <w:jc w:val="center"/>
                    <w:rPr>
                      <w:sz w:val="18"/>
                      <w:szCs w:val="18"/>
                    </w:rPr>
                  </w:pPr>
                  <w:r>
                    <w:rPr>
                      <w:kern w:val="0"/>
                      <w:sz w:val="18"/>
                      <w:szCs w:val="18"/>
                    </w:rPr>
                    <w:t>废专业擦拭纸（遮蔽纸）</w:t>
                  </w:r>
                </w:p>
              </w:tc>
              <w:tc>
                <w:tcPr>
                  <w:tcW w:w="830" w:type="dxa"/>
                  <w:vAlign w:val="center"/>
                </w:tcPr>
                <w:p>
                  <w:pPr>
                    <w:jc w:val="center"/>
                    <w:rPr>
                      <w:sz w:val="18"/>
                      <w:szCs w:val="18"/>
                    </w:rPr>
                  </w:pPr>
                  <w:r>
                    <w:rPr>
                      <w:sz w:val="18"/>
                      <w:szCs w:val="18"/>
                    </w:rPr>
                    <w:t>HW12</w:t>
                  </w:r>
                </w:p>
              </w:tc>
              <w:tc>
                <w:tcPr>
                  <w:tcW w:w="1196" w:type="dxa"/>
                  <w:vAlign w:val="center"/>
                </w:tcPr>
                <w:p>
                  <w:pPr>
                    <w:pStyle w:val="2"/>
                    <w:jc w:val="center"/>
                    <w:rPr>
                      <w:sz w:val="18"/>
                      <w:szCs w:val="18"/>
                    </w:rPr>
                  </w:pPr>
                  <w:r>
                    <w:rPr>
                      <w:sz w:val="18"/>
                      <w:szCs w:val="18"/>
                    </w:rPr>
                    <w:t>HW12</w:t>
                  </w:r>
                </w:p>
                <w:p>
                  <w:pPr>
                    <w:pStyle w:val="2"/>
                    <w:jc w:val="center"/>
                    <w:rPr>
                      <w:sz w:val="18"/>
                      <w:szCs w:val="18"/>
                    </w:rPr>
                  </w:pPr>
                  <w:r>
                    <w:rPr>
                      <w:sz w:val="18"/>
                      <w:szCs w:val="18"/>
                    </w:rPr>
                    <w:t>900-041-49</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桶装</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11</w:t>
                  </w:r>
                </w:p>
              </w:tc>
              <w:tc>
                <w:tcPr>
                  <w:tcW w:w="635" w:type="dxa"/>
                  <w:vMerge w:val="continue"/>
                  <w:vAlign w:val="center"/>
                </w:tcPr>
                <w:p>
                  <w:pPr>
                    <w:adjustRightInd w:val="0"/>
                    <w:snapToGrid w:val="0"/>
                    <w:jc w:val="center"/>
                    <w:rPr>
                      <w:sz w:val="18"/>
                      <w:szCs w:val="18"/>
                    </w:rPr>
                  </w:pPr>
                </w:p>
              </w:tc>
              <w:tc>
                <w:tcPr>
                  <w:tcW w:w="1331" w:type="dxa"/>
                  <w:vAlign w:val="center"/>
                </w:tcPr>
                <w:p>
                  <w:pPr>
                    <w:jc w:val="center"/>
                    <w:rPr>
                      <w:sz w:val="18"/>
                      <w:szCs w:val="18"/>
                    </w:rPr>
                  </w:pPr>
                  <w:r>
                    <w:rPr>
                      <w:sz w:val="18"/>
                      <w:szCs w:val="18"/>
                    </w:rPr>
                    <w:t>废油漆桶（含废稀释剂桶）</w:t>
                  </w:r>
                </w:p>
              </w:tc>
              <w:tc>
                <w:tcPr>
                  <w:tcW w:w="830" w:type="dxa"/>
                  <w:vAlign w:val="center"/>
                </w:tcPr>
                <w:p>
                  <w:pPr>
                    <w:jc w:val="center"/>
                    <w:rPr>
                      <w:sz w:val="18"/>
                      <w:szCs w:val="18"/>
                    </w:rPr>
                  </w:pPr>
                  <w:r>
                    <w:rPr>
                      <w:sz w:val="18"/>
                      <w:szCs w:val="18"/>
                    </w:rPr>
                    <w:t>HW49</w:t>
                  </w:r>
                </w:p>
              </w:tc>
              <w:tc>
                <w:tcPr>
                  <w:tcW w:w="1196" w:type="dxa"/>
                  <w:vAlign w:val="center"/>
                </w:tcPr>
                <w:p>
                  <w:pPr>
                    <w:jc w:val="center"/>
                    <w:rPr>
                      <w:sz w:val="18"/>
                      <w:szCs w:val="18"/>
                    </w:rPr>
                  </w:pPr>
                  <w:r>
                    <w:rPr>
                      <w:sz w:val="18"/>
                      <w:szCs w:val="18"/>
                    </w:rPr>
                    <w:t>HW49</w:t>
                  </w:r>
                </w:p>
                <w:p>
                  <w:pPr>
                    <w:pStyle w:val="2"/>
                    <w:jc w:val="center"/>
                    <w:rPr>
                      <w:sz w:val="18"/>
                      <w:szCs w:val="18"/>
                    </w:rPr>
                  </w:pPr>
                  <w:r>
                    <w:rPr>
                      <w:sz w:val="18"/>
                      <w:szCs w:val="18"/>
                    </w:rPr>
                    <w:t>900-041-49</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堆放</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12</w:t>
                  </w:r>
                </w:p>
              </w:tc>
              <w:tc>
                <w:tcPr>
                  <w:tcW w:w="635" w:type="dxa"/>
                  <w:vMerge w:val="continue"/>
                  <w:vAlign w:val="center"/>
                </w:tcPr>
                <w:p>
                  <w:pPr>
                    <w:adjustRightInd w:val="0"/>
                    <w:snapToGrid w:val="0"/>
                    <w:jc w:val="center"/>
                    <w:rPr>
                      <w:sz w:val="18"/>
                      <w:szCs w:val="18"/>
                    </w:rPr>
                  </w:pPr>
                </w:p>
              </w:tc>
              <w:tc>
                <w:tcPr>
                  <w:tcW w:w="1331" w:type="dxa"/>
                  <w:vAlign w:val="center"/>
                </w:tcPr>
                <w:p>
                  <w:pPr>
                    <w:autoSpaceDE w:val="0"/>
                    <w:autoSpaceDN w:val="0"/>
                    <w:adjustRightInd w:val="0"/>
                    <w:jc w:val="center"/>
                    <w:rPr>
                      <w:sz w:val="18"/>
                      <w:szCs w:val="18"/>
                    </w:rPr>
                  </w:pPr>
                  <w:r>
                    <w:rPr>
                      <w:kern w:val="0"/>
                      <w:sz w:val="18"/>
                      <w:szCs w:val="18"/>
                    </w:rPr>
                    <w:t>废机油瓶</w:t>
                  </w:r>
                </w:p>
              </w:tc>
              <w:tc>
                <w:tcPr>
                  <w:tcW w:w="830" w:type="dxa"/>
                  <w:vAlign w:val="center"/>
                </w:tcPr>
                <w:p>
                  <w:pPr>
                    <w:jc w:val="center"/>
                    <w:rPr>
                      <w:sz w:val="18"/>
                      <w:szCs w:val="18"/>
                    </w:rPr>
                  </w:pPr>
                  <w:r>
                    <w:rPr>
                      <w:sz w:val="18"/>
                      <w:szCs w:val="18"/>
                    </w:rPr>
                    <w:t>HW49</w:t>
                  </w:r>
                </w:p>
              </w:tc>
              <w:tc>
                <w:tcPr>
                  <w:tcW w:w="1196" w:type="dxa"/>
                  <w:vAlign w:val="center"/>
                </w:tcPr>
                <w:p>
                  <w:pPr>
                    <w:pStyle w:val="2"/>
                    <w:jc w:val="center"/>
                    <w:rPr>
                      <w:sz w:val="18"/>
                      <w:szCs w:val="18"/>
                    </w:rPr>
                  </w:pPr>
                  <w:r>
                    <w:rPr>
                      <w:sz w:val="18"/>
                      <w:szCs w:val="18"/>
                    </w:rPr>
                    <w:t>HW49</w:t>
                  </w:r>
                </w:p>
                <w:p>
                  <w:pPr>
                    <w:pStyle w:val="2"/>
                    <w:jc w:val="center"/>
                    <w:rPr>
                      <w:sz w:val="18"/>
                      <w:szCs w:val="18"/>
                    </w:rPr>
                  </w:pPr>
                  <w:r>
                    <w:rPr>
                      <w:sz w:val="18"/>
                      <w:szCs w:val="18"/>
                    </w:rPr>
                    <w:t>900-01-49</w:t>
                  </w: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Align w:val="center"/>
                </w:tcPr>
                <w:p>
                  <w:pPr>
                    <w:adjustRightInd w:val="0"/>
                    <w:snapToGrid w:val="0"/>
                    <w:jc w:val="center"/>
                    <w:rPr>
                      <w:sz w:val="18"/>
                      <w:szCs w:val="18"/>
                    </w:rPr>
                  </w:pPr>
                  <w:r>
                    <w:rPr>
                      <w:sz w:val="18"/>
                      <w:szCs w:val="18"/>
                    </w:rPr>
                    <w:t>堆放</w:t>
                  </w:r>
                </w:p>
              </w:tc>
              <w:tc>
                <w:tcPr>
                  <w:tcW w:w="489" w:type="dxa"/>
                  <w:vMerge w:val="continue"/>
                  <w:vAlign w:val="center"/>
                </w:tcPr>
                <w:p>
                  <w:pPr>
                    <w:adjustRightInd w:val="0"/>
                    <w:snapToGrid w:val="0"/>
                    <w:jc w:val="center"/>
                    <w:rPr>
                      <w:sz w:val="18"/>
                      <w:szCs w:val="18"/>
                    </w:rPr>
                  </w:pPr>
                </w:p>
              </w:tc>
              <w:tc>
                <w:tcPr>
                  <w:tcW w:w="1248" w:type="dxa"/>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13</w:t>
                  </w:r>
                </w:p>
              </w:tc>
              <w:tc>
                <w:tcPr>
                  <w:tcW w:w="635" w:type="dxa"/>
                  <w:vMerge w:val="restart"/>
                  <w:vAlign w:val="center"/>
                </w:tcPr>
                <w:p>
                  <w:pPr>
                    <w:adjustRightInd w:val="0"/>
                    <w:snapToGrid w:val="0"/>
                    <w:jc w:val="center"/>
                    <w:rPr>
                      <w:sz w:val="18"/>
                      <w:szCs w:val="18"/>
                    </w:rPr>
                  </w:pPr>
                  <w:r>
                    <w:rPr>
                      <w:sz w:val="18"/>
                      <w:szCs w:val="18"/>
                    </w:rPr>
                    <w:t>隔油沉淀池</w:t>
                  </w:r>
                </w:p>
              </w:tc>
              <w:tc>
                <w:tcPr>
                  <w:tcW w:w="1331" w:type="dxa"/>
                  <w:vAlign w:val="center"/>
                </w:tcPr>
                <w:p>
                  <w:pPr>
                    <w:jc w:val="center"/>
                    <w:rPr>
                      <w:kern w:val="0"/>
                      <w:sz w:val="18"/>
                      <w:szCs w:val="18"/>
                    </w:rPr>
                  </w:pPr>
                  <w:r>
                    <w:rPr>
                      <w:sz w:val="18"/>
                      <w:szCs w:val="18"/>
                    </w:rPr>
                    <w:t>隔油池废水处理产生的污泥</w:t>
                  </w:r>
                </w:p>
              </w:tc>
              <w:tc>
                <w:tcPr>
                  <w:tcW w:w="830" w:type="dxa"/>
                  <w:vMerge w:val="restart"/>
                  <w:vAlign w:val="center"/>
                </w:tcPr>
                <w:p>
                  <w:pPr>
                    <w:jc w:val="center"/>
                    <w:rPr>
                      <w:sz w:val="18"/>
                      <w:szCs w:val="18"/>
                    </w:rPr>
                  </w:pPr>
                  <w:r>
                    <w:rPr>
                      <w:sz w:val="18"/>
                      <w:szCs w:val="18"/>
                    </w:rPr>
                    <w:t>HW08</w:t>
                  </w:r>
                </w:p>
              </w:tc>
              <w:tc>
                <w:tcPr>
                  <w:tcW w:w="1196" w:type="dxa"/>
                  <w:vMerge w:val="restart"/>
                  <w:vAlign w:val="center"/>
                </w:tcPr>
                <w:p>
                  <w:pPr>
                    <w:jc w:val="center"/>
                    <w:rPr>
                      <w:sz w:val="18"/>
                      <w:szCs w:val="18"/>
                    </w:rPr>
                  </w:pPr>
                  <w:r>
                    <w:rPr>
                      <w:sz w:val="18"/>
                      <w:szCs w:val="18"/>
                    </w:rPr>
                    <w:t>900-210-08</w:t>
                  </w:r>
                </w:p>
              </w:tc>
              <w:tc>
                <w:tcPr>
                  <w:tcW w:w="931" w:type="dxa"/>
                  <w:vMerge w:val="restart"/>
                  <w:vAlign w:val="center"/>
                </w:tcPr>
                <w:p>
                  <w:pPr>
                    <w:adjustRightInd w:val="0"/>
                    <w:snapToGrid w:val="0"/>
                    <w:jc w:val="center"/>
                    <w:rPr>
                      <w:sz w:val="18"/>
                      <w:szCs w:val="18"/>
                    </w:rPr>
                  </w:pPr>
                  <w:r>
                    <w:rPr>
                      <w:sz w:val="18"/>
                      <w:szCs w:val="18"/>
                    </w:rPr>
                    <w:t>/</w:t>
                  </w:r>
                </w:p>
              </w:tc>
              <w:tc>
                <w:tcPr>
                  <w:tcW w:w="709" w:type="dxa"/>
                  <w:vMerge w:val="restart"/>
                  <w:vAlign w:val="center"/>
                </w:tcPr>
                <w:p>
                  <w:pPr>
                    <w:adjustRightInd w:val="0"/>
                    <w:snapToGrid w:val="0"/>
                    <w:jc w:val="center"/>
                    <w:rPr>
                      <w:sz w:val="18"/>
                      <w:szCs w:val="18"/>
                    </w:rPr>
                  </w:pPr>
                  <w:r>
                    <w:rPr>
                      <w:sz w:val="18"/>
                      <w:szCs w:val="18"/>
                    </w:rPr>
                    <w:t>/</w:t>
                  </w:r>
                </w:p>
              </w:tc>
              <w:tc>
                <w:tcPr>
                  <w:tcW w:w="457" w:type="dxa"/>
                  <w:vMerge w:val="restart"/>
                  <w:vAlign w:val="center"/>
                </w:tcPr>
                <w:p>
                  <w:pPr>
                    <w:adjustRightInd w:val="0"/>
                    <w:snapToGrid w:val="0"/>
                    <w:jc w:val="center"/>
                    <w:rPr>
                      <w:sz w:val="18"/>
                      <w:szCs w:val="18"/>
                    </w:rPr>
                  </w:pPr>
                  <w:r>
                    <w:rPr>
                      <w:sz w:val="18"/>
                      <w:szCs w:val="18"/>
                    </w:rPr>
                    <w:t>/</w:t>
                  </w:r>
                </w:p>
              </w:tc>
              <w:tc>
                <w:tcPr>
                  <w:tcW w:w="489" w:type="dxa"/>
                  <w:vMerge w:val="restart"/>
                  <w:vAlign w:val="center"/>
                </w:tcPr>
                <w:p>
                  <w:pPr>
                    <w:adjustRightInd w:val="0"/>
                    <w:snapToGrid w:val="0"/>
                    <w:jc w:val="center"/>
                    <w:rPr>
                      <w:sz w:val="18"/>
                      <w:szCs w:val="18"/>
                    </w:rPr>
                  </w:pPr>
                  <w:r>
                    <w:rPr>
                      <w:sz w:val="18"/>
                      <w:szCs w:val="18"/>
                    </w:rPr>
                    <w:t>/</w:t>
                  </w:r>
                </w:p>
              </w:tc>
              <w:tc>
                <w:tcPr>
                  <w:tcW w:w="1248" w:type="dxa"/>
                  <w:vMerge w:val="restart"/>
                  <w:vAlign w:val="center"/>
                </w:tcPr>
                <w:p>
                  <w:pPr>
                    <w:adjustRightInd w:val="0"/>
                    <w:snapToGrid w:val="0"/>
                    <w:jc w:val="center"/>
                    <w:rPr>
                      <w:sz w:val="18"/>
                      <w:szCs w:val="18"/>
                    </w:rPr>
                  </w:pPr>
                  <w:r>
                    <w:rPr>
                      <w:sz w:val="18"/>
                      <w:szCs w:val="18"/>
                    </w:rPr>
                    <w:t>两个月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adjustRightInd w:val="0"/>
                    <w:snapToGrid w:val="0"/>
                    <w:jc w:val="center"/>
                    <w:rPr>
                      <w:sz w:val="18"/>
                      <w:szCs w:val="18"/>
                    </w:rPr>
                  </w:pPr>
                  <w:r>
                    <w:rPr>
                      <w:sz w:val="18"/>
                      <w:szCs w:val="18"/>
                    </w:rPr>
                    <w:t>14</w:t>
                  </w:r>
                </w:p>
              </w:tc>
              <w:tc>
                <w:tcPr>
                  <w:tcW w:w="635" w:type="dxa"/>
                  <w:vMerge w:val="continue"/>
                  <w:vAlign w:val="center"/>
                </w:tcPr>
                <w:p>
                  <w:pPr>
                    <w:adjustRightInd w:val="0"/>
                    <w:snapToGrid w:val="0"/>
                    <w:jc w:val="center"/>
                    <w:rPr>
                      <w:sz w:val="18"/>
                      <w:szCs w:val="18"/>
                    </w:rPr>
                  </w:pPr>
                </w:p>
              </w:tc>
              <w:tc>
                <w:tcPr>
                  <w:tcW w:w="1331" w:type="dxa"/>
                  <w:vAlign w:val="center"/>
                </w:tcPr>
                <w:p>
                  <w:pPr>
                    <w:jc w:val="center"/>
                    <w:rPr>
                      <w:sz w:val="18"/>
                      <w:szCs w:val="18"/>
                    </w:rPr>
                  </w:pPr>
                  <w:r>
                    <w:rPr>
                      <w:sz w:val="18"/>
                      <w:szCs w:val="18"/>
                    </w:rPr>
                    <w:t>隔油池废水处理产生的废油</w:t>
                  </w:r>
                </w:p>
              </w:tc>
              <w:tc>
                <w:tcPr>
                  <w:tcW w:w="830" w:type="dxa"/>
                  <w:vMerge w:val="continue"/>
                  <w:vAlign w:val="center"/>
                </w:tcPr>
                <w:p>
                  <w:pPr>
                    <w:jc w:val="center"/>
                    <w:rPr>
                      <w:sz w:val="18"/>
                      <w:szCs w:val="18"/>
                    </w:rPr>
                  </w:pPr>
                </w:p>
              </w:tc>
              <w:tc>
                <w:tcPr>
                  <w:tcW w:w="1196" w:type="dxa"/>
                  <w:vMerge w:val="continue"/>
                  <w:vAlign w:val="center"/>
                </w:tcPr>
                <w:p>
                  <w:pPr>
                    <w:jc w:val="center"/>
                    <w:rPr>
                      <w:sz w:val="18"/>
                      <w:szCs w:val="18"/>
                    </w:rPr>
                  </w:pPr>
                </w:p>
              </w:tc>
              <w:tc>
                <w:tcPr>
                  <w:tcW w:w="931" w:type="dxa"/>
                  <w:vMerge w:val="continue"/>
                  <w:vAlign w:val="center"/>
                </w:tcPr>
                <w:p>
                  <w:pPr>
                    <w:adjustRightInd w:val="0"/>
                    <w:snapToGrid w:val="0"/>
                    <w:jc w:val="center"/>
                    <w:rPr>
                      <w:sz w:val="18"/>
                      <w:szCs w:val="18"/>
                    </w:rPr>
                  </w:pPr>
                </w:p>
              </w:tc>
              <w:tc>
                <w:tcPr>
                  <w:tcW w:w="709" w:type="dxa"/>
                  <w:vMerge w:val="continue"/>
                  <w:vAlign w:val="center"/>
                </w:tcPr>
                <w:p>
                  <w:pPr>
                    <w:adjustRightInd w:val="0"/>
                    <w:snapToGrid w:val="0"/>
                    <w:jc w:val="center"/>
                    <w:rPr>
                      <w:sz w:val="18"/>
                      <w:szCs w:val="18"/>
                    </w:rPr>
                  </w:pPr>
                </w:p>
              </w:tc>
              <w:tc>
                <w:tcPr>
                  <w:tcW w:w="457" w:type="dxa"/>
                  <w:vMerge w:val="continue"/>
                  <w:vAlign w:val="center"/>
                </w:tcPr>
                <w:p>
                  <w:pPr>
                    <w:adjustRightInd w:val="0"/>
                    <w:snapToGrid w:val="0"/>
                    <w:jc w:val="center"/>
                    <w:rPr>
                      <w:sz w:val="18"/>
                      <w:szCs w:val="18"/>
                    </w:rPr>
                  </w:pPr>
                </w:p>
              </w:tc>
              <w:tc>
                <w:tcPr>
                  <w:tcW w:w="489" w:type="dxa"/>
                  <w:vMerge w:val="continue"/>
                  <w:vAlign w:val="center"/>
                </w:tcPr>
                <w:p>
                  <w:pPr>
                    <w:adjustRightInd w:val="0"/>
                    <w:snapToGrid w:val="0"/>
                    <w:jc w:val="center"/>
                    <w:rPr>
                      <w:sz w:val="18"/>
                      <w:szCs w:val="18"/>
                    </w:rPr>
                  </w:pPr>
                </w:p>
              </w:tc>
              <w:tc>
                <w:tcPr>
                  <w:tcW w:w="1248" w:type="dxa"/>
                  <w:vMerge w:val="continue"/>
                  <w:vAlign w:val="center"/>
                </w:tcPr>
                <w:p>
                  <w:pPr>
                    <w:adjustRightInd w:val="0"/>
                    <w:snapToGrid w:val="0"/>
                    <w:jc w:val="center"/>
                    <w:rPr>
                      <w:sz w:val="18"/>
                      <w:szCs w:val="18"/>
                    </w:rPr>
                  </w:pPr>
                </w:p>
              </w:tc>
            </w:tr>
          </w:tbl>
          <w:p>
            <w:pPr>
              <w:numPr>
                <w:ilvl w:val="0"/>
                <w:numId w:val="9"/>
              </w:numPr>
              <w:spacing w:line="360" w:lineRule="auto"/>
              <w:ind w:firstLine="480" w:firstLineChars="200"/>
              <w:rPr>
                <w:sz w:val="24"/>
                <w:szCs w:val="24"/>
              </w:rPr>
            </w:pPr>
            <w:r>
              <w:rPr>
                <w:rFonts w:hint="eastAsia"/>
                <w:sz w:val="24"/>
                <w:szCs w:val="24"/>
              </w:rPr>
              <w:t>现危废处置整改措施</w:t>
            </w:r>
          </w:p>
          <w:p>
            <w:pPr>
              <w:pStyle w:val="2"/>
              <w:spacing w:after="0" w:line="360" w:lineRule="auto"/>
              <w:ind w:firstLine="480" w:firstLineChars="200"/>
              <w:rPr>
                <w:sz w:val="24"/>
                <w:szCs w:val="24"/>
              </w:rPr>
            </w:pPr>
            <w:r>
              <w:rPr>
                <w:rFonts w:hint="eastAsia"/>
                <w:sz w:val="24"/>
                <w:szCs w:val="24"/>
              </w:rPr>
              <w:t>经现场核查，本项目</w:t>
            </w:r>
            <w:r>
              <w:rPr>
                <w:sz w:val="24"/>
                <w:szCs w:val="24"/>
              </w:rPr>
              <w:t>危险暂存间相关标识标牌</w:t>
            </w:r>
            <w:r>
              <w:rPr>
                <w:rFonts w:hint="eastAsia"/>
                <w:sz w:val="24"/>
                <w:szCs w:val="24"/>
              </w:rPr>
              <w:t>标识错误，不符合环保要求，需整改的措施：根据《环境保护图形标志—排放口（源）》和国家环保总局《排污口规范化整治要求》（试行）的技术要求，绘制企业排污口分布图，排污口的规范化要符合有关环保要求，具体要求如下。</w:t>
            </w:r>
          </w:p>
          <w:p>
            <w:pPr>
              <w:spacing w:line="360" w:lineRule="auto"/>
              <w:ind w:firstLine="480" w:firstLineChars="200"/>
              <w:rPr>
                <w:sz w:val="24"/>
                <w:szCs w:val="24"/>
              </w:rPr>
            </w:pPr>
            <w:r>
              <w:rPr>
                <w:rFonts w:hAnsi="宋体"/>
                <w:sz w:val="24"/>
                <w:szCs w:val="24"/>
              </w:rPr>
              <w:t>在项目固体废物贮存处置场设置环境保护图形标志，图形符号分为提示图形和警告图形符号两种，分别按</w:t>
            </w:r>
            <w:r>
              <w:rPr>
                <w:sz w:val="24"/>
                <w:szCs w:val="24"/>
              </w:rPr>
              <w:t>GB15562.1-1995</w:t>
            </w:r>
            <w:r>
              <w:rPr>
                <w:rFonts w:hAnsi="宋体"/>
                <w:sz w:val="24"/>
                <w:szCs w:val="24"/>
              </w:rPr>
              <w:t>、</w:t>
            </w:r>
            <w:r>
              <w:rPr>
                <w:sz w:val="24"/>
                <w:szCs w:val="24"/>
              </w:rPr>
              <w:t>GB15562.2-1995</w:t>
            </w:r>
            <w:r>
              <w:rPr>
                <w:rFonts w:hAnsi="宋体"/>
                <w:sz w:val="24"/>
                <w:szCs w:val="24"/>
              </w:rPr>
              <w:t>执行。环境保护图形标志的形状及颜色见表</w:t>
            </w:r>
            <w:r>
              <w:rPr>
                <w:rFonts w:hint="eastAsia"/>
                <w:sz w:val="24"/>
                <w:szCs w:val="24"/>
              </w:rPr>
              <w:t>7-13</w:t>
            </w:r>
            <w:r>
              <w:rPr>
                <w:rFonts w:hAnsi="宋体"/>
                <w:sz w:val="24"/>
                <w:szCs w:val="24"/>
              </w:rPr>
              <w:t>，环境保护图形符号见表</w:t>
            </w:r>
            <w:r>
              <w:rPr>
                <w:rFonts w:hint="eastAsia"/>
                <w:sz w:val="24"/>
                <w:szCs w:val="24"/>
              </w:rPr>
              <w:t>7-14</w:t>
            </w:r>
            <w:r>
              <w:rPr>
                <w:rFonts w:hAnsi="宋体"/>
                <w:sz w:val="24"/>
                <w:szCs w:val="24"/>
              </w:rPr>
              <w:t>。</w:t>
            </w:r>
          </w:p>
          <w:p>
            <w:pPr>
              <w:spacing w:line="271" w:lineRule="auto"/>
              <w:jc w:val="center"/>
              <w:rPr>
                <w:b/>
                <w:szCs w:val="24"/>
              </w:rPr>
            </w:pPr>
            <w:r>
              <w:rPr>
                <w:rFonts w:hAnsi="宋体"/>
                <w:b/>
                <w:szCs w:val="24"/>
              </w:rPr>
              <w:t>表</w:t>
            </w:r>
            <w:r>
              <w:rPr>
                <w:rFonts w:hint="eastAsia"/>
                <w:b/>
                <w:szCs w:val="24"/>
              </w:rPr>
              <w:t>7-13</w:t>
            </w:r>
            <w:r>
              <w:rPr>
                <w:rFonts w:hAnsi="宋体"/>
                <w:b/>
                <w:szCs w:val="24"/>
              </w:rPr>
              <w:t>环境保护图形标志的形状及颜色表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2132"/>
              <w:gridCol w:w="2132"/>
              <w:gridCol w:w="2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2132" w:type="dxa"/>
                  <w:vAlign w:val="center"/>
                </w:tcPr>
                <w:p>
                  <w:pPr>
                    <w:jc w:val="center"/>
                    <w:rPr>
                      <w:szCs w:val="21"/>
                    </w:rPr>
                  </w:pPr>
                  <w:r>
                    <w:rPr>
                      <w:rFonts w:hAnsi="宋体"/>
                      <w:szCs w:val="21"/>
                    </w:rPr>
                    <w:t>标志名称</w:t>
                  </w:r>
                </w:p>
              </w:tc>
              <w:tc>
                <w:tcPr>
                  <w:tcW w:w="2132" w:type="dxa"/>
                  <w:vAlign w:val="center"/>
                </w:tcPr>
                <w:p>
                  <w:pPr>
                    <w:jc w:val="center"/>
                    <w:rPr>
                      <w:szCs w:val="21"/>
                    </w:rPr>
                  </w:pPr>
                  <w:r>
                    <w:rPr>
                      <w:rFonts w:hAnsi="宋体"/>
                      <w:szCs w:val="21"/>
                    </w:rPr>
                    <w:t>形状</w:t>
                  </w:r>
                </w:p>
              </w:tc>
              <w:tc>
                <w:tcPr>
                  <w:tcW w:w="2132" w:type="dxa"/>
                  <w:vAlign w:val="center"/>
                </w:tcPr>
                <w:p>
                  <w:pPr>
                    <w:jc w:val="center"/>
                    <w:rPr>
                      <w:szCs w:val="21"/>
                    </w:rPr>
                  </w:pPr>
                  <w:r>
                    <w:rPr>
                      <w:rFonts w:hAnsi="宋体"/>
                      <w:szCs w:val="21"/>
                    </w:rPr>
                    <w:t>背景颜色</w:t>
                  </w:r>
                </w:p>
              </w:tc>
              <w:tc>
                <w:tcPr>
                  <w:tcW w:w="2133" w:type="dxa"/>
                  <w:vAlign w:val="center"/>
                </w:tcPr>
                <w:p>
                  <w:pPr>
                    <w:jc w:val="center"/>
                    <w:rPr>
                      <w:szCs w:val="21"/>
                    </w:rPr>
                  </w:pPr>
                  <w:r>
                    <w:rPr>
                      <w:rFonts w:hAnsi="宋体"/>
                      <w:szCs w:val="21"/>
                    </w:rPr>
                    <w:t>图形颜色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32" w:type="dxa"/>
                  <w:vAlign w:val="center"/>
                </w:tcPr>
                <w:p>
                  <w:pPr>
                    <w:jc w:val="center"/>
                    <w:rPr>
                      <w:szCs w:val="21"/>
                    </w:rPr>
                  </w:pPr>
                  <w:r>
                    <w:rPr>
                      <w:rFonts w:hAnsi="宋体"/>
                      <w:szCs w:val="21"/>
                    </w:rPr>
                    <w:t>警告标志</w:t>
                  </w:r>
                </w:p>
              </w:tc>
              <w:tc>
                <w:tcPr>
                  <w:tcW w:w="2132" w:type="dxa"/>
                  <w:vAlign w:val="center"/>
                </w:tcPr>
                <w:p>
                  <w:pPr>
                    <w:jc w:val="center"/>
                    <w:rPr>
                      <w:szCs w:val="21"/>
                    </w:rPr>
                  </w:pPr>
                  <w:r>
                    <w:rPr>
                      <w:rFonts w:hAnsi="宋体"/>
                      <w:szCs w:val="21"/>
                    </w:rPr>
                    <w:t>三角形边框</w:t>
                  </w:r>
                </w:p>
              </w:tc>
              <w:tc>
                <w:tcPr>
                  <w:tcW w:w="2132" w:type="dxa"/>
                  <w:vAlign w:val="center"/>
                </w:tcPr>
                <w:p>
                  <w:pPr>
                    <w:jc w:val="center"/>
                    <w:rPr>
                      <w:szCs w:val="21"/>
                    </w:rPr>
                  </w:pPr>
                  <w:r>
                    <w:rPr>
                      <w:rFonts w:hAnsi="宋体"/>
                      <w:szCs w:val="21"/>
                    </w:rPr>
                    <w:t>黄色</w:t>
                  </w:r>
                </w:p>
              </w:tc>
              <w:tc>
                <w:tcPr>
                  <w:tcW w:w="2133" w:type="dxa"/>
                  <w:vAlign w:val="center"/>
                </w:tcPr>
                <w:p>
                  <w:pPr>
                    <w:jc w:val="center"/>
                    <w:rPr>
                      <w:szCs w:val="21"/>
                    </w:rPr>
                  </w:pPr>
                  <w:r>
                    <w:rPr>
                      <w:rFonts w:hAnsi="宋体"/>
                      <w:szCs w:val="21"/>
                    </w:rPr>
                    <w:t>黑色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32" w:type="dxa"/>
                  <w:vAlign w:val="center"/>
                </w:tcPr>
                <w:p>
                  <w:pPr>
                    <w:jc w:val="center"/>
                    <w:rPr>
                      <w:szCs w:val="21"/>
                    </w:rPr>
                  </w:pPr>
                  <w:r>
                    <w:rPr>
                      <w:rFonts w:hAnsi="宋体"/>
                      <w:szCs w:val="21"/>
                    </w:rPr>
                    <w:t>提示标志</w:t>
                  </w:r>
                </w:p>
              </w:tc>
              <w:tc>
                <w:tcPr>
                  <w:tcW w:w="2132" w:type="dxa"/>
                  <w:vAlign w:val="center"/>
                </w:tcPr>
                <w:p>
                  <w:pPr>
                    <w:jc w:val="center"/>
                    <w:rPr>
                      <w:szCs w:val="21"/>
                    </w:rPr>
                  </w:pPr>
                  <w:r>
                    <w:rPr>
                      <w:rFonts w:hAnsi="宋体"/>
                      <w:szCs w:val="21"/>
                    </w:rPr>
                    <w:t>正方形边框</w:t>
                  </w:r>
                </w:p>
              </w:tc>
              <w:tc>
                <w:tcPr>
                  <w:tcW w:w="2132" w:type="dxa"/>
                  <w:vAlign w:val="center"/>
                </w:tcPr>
                <w:p>
                  <w:pPr>
                    <w:jc w:val="center"/>
                    <w:rPr>
                      <w:szCs w:val="21"/>
                    </w:rPr>
                  </w:pPr>
                  <w:r>
                    <w:rPr>
                      <w:rFonts w:hAnsi="宋体"/>
                      <w:szCs w:val="21"/>
                    </w:rPr>
                    <w:t>绿色</w:t>
                  </w:r>
                </w:p>
              </w:tc>
              <w:tc>
                <w:tcPr>
                  <w:tcW w:w="2133" w:type="dxa"/>
                  <w:vAlign w:val="center"/>
                </w:tcPr>
                <w:p>
                  <w:pPr>
                    <w:jc w:val="center"/>
                    <w:rPr>
                      <w:szCs w:val="21"/>
                    </w:rPr>
                  </w:pPr>
                  <w:r>
                    <w:rPr>
                      <w:rFonts w:hAnsi="宋体"/>
                      <w:szCs w:val="21"/>
                    </w:rPr>
                    <w:t>白色</w:t>
                  </w:r>
                </w:p>
              </w:tc>
            </w:tr>
          </w:tbl>
          <w:p>
            <w:pPr>
              <w:spacing w:beforeLines="50" w:line="271" w:lineRule="auto"/>
              <w:jc w:val="center"/>
              <w:rPr>
                <w:b/>
                <w:szCs w:val="24"/>
              </w:rPr>
            </w:pPr>
            <w:r>
              <w:rPr>
                <w:rFonts w:hAnsi="宋体"/>
                <w:b/>
                <w:szCs w:val="24"/>
              </w:rPr>
              <w:t>表</w:t>
            </w:r>
            <w:r>
              <w:rPr>
                <w:rFonts w:hint="eastAsia"/>
                <w:b/>
                <w:szCs w:val="24"/>
              </w:rPr>
              <w:t>7-14</w:t>
            </w:r>
            <w:r>
              <w:rPr>
                <w:rFonts w:hAnsi="宋体"/>
                <w:b/>
                <w:szCs w:val="24"/>
              </w:rPr>
              <w:t>环境保护图形符号一览表</w:t>
            </w:r>
          </w:p>
          <w:tbl>
            <w:tblPr>
              <w:tblStyle w:val="20"/>
              <w:tblW w:w="85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96"/>
              <w:gridCol w:w="2073"/>
              <w:gridCol w:w="1560"/>
              <w:gridCol w:w="23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pPr>
                    <w:jc w:val="center"/>
                    <w:rPr>
                      <w:szCs w:val="21"/>
                    </w:rPr>
                  </w:pPr>
                  <w:r>
                    <w:rPr>
                      <w:rFonts w:hAnsi="宋体"/>
                      <w:szCs w:val="21"/>
                    </w:rPr>
                    <w:t>序号</w:t>
                  </w:r>
                </w:p>
              </w:tc>
              <w:tc>
                <w:tcPr>
                  <w:tcW w:w="1896" w:type="dxa"/>
                  <w:vAlign w:val="center"/>
                </w:tcPr>
                <w:p>
                  <w:pPr>
                    <w:jc w:val="center"/>
                    <w:rPr>
                      <w:szCs w:val="21"/>
                    </w:rPr>
                  </w:pPr>
                  <w:r>
                    <w:rPr>
                      <w:rFonts w:hAnsi="宋体"/>
                      <w:szCs w:val="21"/>
                    </w:rPr>
                    <w:t>提示图形符号</w:t>
                  </w:r>
                </w:p>
              </w:tc>
              <w:tc>
                <w:tcPr>
                  <w:tcW w:w="2073" w:type="dxa"/>
                  <w:vAlign w:val="center"/>
                </w:tcPr>
                <w:p>
                  <w:pPr>
                    <w:jc w:val="center"/>
                    <w:rPr>
                      <w:szCs w:val="21"/>
                    </w:rPr>
                  </w:pPr>
                  <w:r>
                    <w:rPr>
                      <w:rFonts w:hAnsi="宋体"/>
                      <w:szCs w:val="21"/>
                    </w:rPr>
                    <w:t>警告图形符号</w:t>
                  </w:r>
                </w:p>
              </w:tc>
              <w:tc>
                <w:tcPr>
                  <w:tcW w:w="1560" w:type="dxa"/>
                  <w:vAlign w:val="center"/>
                </w:tcPr>
                <w:p>
                  <w:pPr>
                    <w:jc w:val="center"/>
                    <w:rPr>
                      <w:szCs w:val="21"/>
                    </w:rPr>
                  </w:pPr>
                  <w:r>
                    <w:rPr>
                      <w:rFonts w:hAnsi="宋体"/>
                      <w:szCs w:val="21"/>
                    </w:rPr>
                    <w:t>名称</w:t>
                  </w:r>
                </w:p>
              </w:tc>
              <w:tc>
                <w:tcPr>
                  <w:tcW w:w="2325" w:type="dxa"/>
                  <w:vAlign w:val="center"/>
                </w:tcPr>
                <w:p>
                  <w:pPr>
                    <w:jc w:val="center"/>
                    <w:rPr>
                      <w:szCs w:val="21"/>
                    </w:rPr>
                  </w:pPr>
                  <w:r>
                    <w:rPr>
                      <w:rFonts w:hAnsi="宋体"/>
                      <w:szCs w:val="21"/>
                    </w:rPr>
                    <w:t>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pPr>
                    <w:jc w:val="center"/>
                    <w:rPr>
                      <w:szCs w:val="21"/>
                    </w:rPr>
                  </w:pPr>
                  <w:r>
                    <w:rPr>
                      <w:rFonts w:hint="eastAsia"/>
                      <w:szCs w:val="21"/>
                    </w:rPr>
                    <w:t>1</w:t>
                  </w:r>
                </w:p>
              </w:tc>
              <w:tc>
                <w:tcPr>
                  <w:tcW w:w="1896" w:type="dxa"/>
                  <w:vAlign w:val="center"/>
                </w:tcPr>
                <w:p>
                  <w:pPr>
                    <w:jc w:val="center"/>
                    <w:rPr>
                      <w:szCs w:val="21"/>
                    </w:rPr>
                  </w:pPr>
                </w:p>
              </w:tc>
              <w:tc>
                <w:tcPr>
                  <w:tcW w:w="2073" w:type="dxa"/>
                  <w:vAlign w:val="center"/>
                </w:tcPr>
                <w:p>
                  <w:pPr>
                    <w:jc w:val="center"/>
                    <w:rPr>
                      <w:szCs w:val="21"/>
                    </w:rPr>
                  </w:pPr>
                  <w:r>
                    <w:rPr>
                      <w:szCs w:val="21"/>
                    </w:rPr>
                    <w:drawing>
                      <wp:inline distT="0" distB="0" distL="0" distR="0">
                        <wp:extent cx="1169035" cy="1033780"/>
                        <wp:effectExtent l="19050" t="0" r="0" b="0"/>
                        <wp:docPr id="9"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8"/>
                                <pic:cNvPicPr>
                                  <a:picLocks noChangeAspect="1" noChangeArrowheads="1"/>
                                </pic:cNvPicPr>
                              </pic:nvPicPr>
                              <pic:blipFill>
                                <a:blip r:embed="rId8" cstate="print"/>
                                <a:srcRect/>
                                <a:stretch>
                                  <a:fillRect/>
                                </a:stretch>
                              </pic:blipFill>
                              <pic:spPr>
                                <a:xfrm>
                                  <a:off x="0" y="0"/>
                                  <a:ext cx="1169035" cy="1033780"/>
                                </a:xfrm>
                                <a:prstGeom prst="rect">
                                  <a:avLst/>
                                </a:prstGeom>
                                <a:noFill/>
                                <a:ln w="9525">
                                  <a:noFill/>
                                  <a:miter lim="800000"/>
                                  <a:headEnd/>
                                  <a:tailEnd/>
                                </a:ln>
                              </pic:spPr>
                            </pic:pic>
                          </a:graphicData>
                        </a:graphic>
                      </wp:inline>
                    </w:drawing>
                  </w:r>
                </w:p>
              </w:tc>
              <w:tc>
                <w:tcPr>
                  <w:tcW w:w="1560" w:type="dxa"/>
                  <w:vAlign w:val="center"/>
                </w:tcPr>
                <w:p>
                  <w:pPr>
                    <w:jc w:val="center"/>
                    <w:rPr>
                      <w:szCs w:val="21"/>
                    </w:rPr>
                  </w:pPr>
                  <w:r>
                    <w:rPr>
                      <w:rFonts w:hAnsi="宋体"/>
                      <w:szCs w:val="21"/>
                    </w:rPr>
                    <w:t>危险废物</w:t>
                  </w:r>
                </w:p>
              </w:tc>
              <w:tc>
                <w:tcPr>
                  <w:tcW w:w="2325" w:type="dxa"/>
                  <w:vAlign w:val="center"/>
                </w:tcPr>
                <w:p>
                  <w:pPr>
                    <w:jc w:val="center"/>
                    <w:rPr>
                      <w:szCs w:val="21"/>
                    </w:rPr>
                  </w:pPr>
                  <w:r>
                    <w:rPr>
                      <w:rFonts w:hAnsi="宋体"/>
                      <w:szCs w:val="21"/>
                    </w:rPr>
                    <w:t>表示危险废物贮存、处置场</w:t>
                  </w:r>
                </w:p>
              </w:tc>
            </w:tr>
          </w:tbl>
          <w:p>
            <w:pPr>
              <w:spacing w:beforeLines="50" w:line="360" w:lineRule="auto"/>
              <w:ind w:firstLine="480" w:firstLineChars="200"/>
              <w:rPr>
                <w:sz w:val="24"/>
                <w:szCs w:val="24"/>
              </w:rPr>
            </w:pPr>
            <w:r>
              <w:rPr>
                <w:rFonts w:hAnsi="宋体"/>
                <w:sz w:val="24"/>
                <w:szCs w:val="24"/>
              </w:rPr>
              <w:t>标志牌必须保持清晰、完整，当发现有损坏或颜色有变化，应及时修复或更换。检查时间一年两次。</w:t>
            </w:r>
          </w:p>
          <w:p>
            <w:pPr>
              <w:spacing w:line="360" w:lineRule="auto"/>
              <w:ind w:firstLine="480" w:firstLineChars="200"/>
              <w:rPr>
                <w:sz w:val="24"/>
                <w:szCs w:val="24"/>
              </w:rPr>
            </w:pPr>
            <w:r>
              <w:rPr>
                <w:sz w:val="24"/>
                <w:szCs w:val="24"/>
              </w:rPr>
              <w:t>（</w:t>
            </w:r>
            <w:r>
              <w:rPr>
                <w:rFonts w:hint="eastAsia"/>
                <w:sz w:val="24"/>
                <w:szCs w:val="24"/>
              </w:rPr>
              <w:t>3</w:t>
            </w:r>
            <w:r>
              <w:rPr>
                <w:sz w:val="24"/>
                <w:szCs w:val="24"/>
              </w:rPr>
              <w:t>）一般工业固废处置措施</w:t>
            </w:r>
          </w:p>
          <w:p>
            <w:pPr>
              <w:snapToGrid w:val="0"/>
              <w:spacing w:line="360" w:lineRule="auto"/>
              <w:ind w:firstLine="480" w:firstLineChars="200"/>
              <w:rPr>
                <w:rFonts w:hAnsi="宋体"/>
                <w:sz w:val="24"/>
                <w:szCs w:val="24"/>
              </w:rPr>
            </w:pPr>
            <w:r>
              <w:rPr>
                <w:rFonts w:hint="eastAsia" w:hAnsi="宋体"/>
                <w:sz w:val="24"/>
                <w:szCs w:val="24"/>
              </w:rPr>
              <w:t>一般废物（废车辆配件等）在店内</w:t>
            </w:r>
            <w:r>
              <w:rPr>
                <w:rFonts w:hAnsi="宋体"/>
                <w:sz w:val="24"/>
                <w:szCs w:val="24"/>
              </w:rPr>
              <w:t>随意堆放</w:t>
            </w:r>
            <w:r>
              <w:rPr>
                <w:rFonts w:hint="eastAsia" w:hAnsi="宋体"/>
                <w:sz w:val="24"/>
                <w:szCs w:val="24"/>
              </w:rPr>
              <w:t>，</w:t>
            </w:r>
            <w:r>
              <w:rPr>
                <w:rFonts w:hint="eastAsia" w:hAnsi="宋体"/>
                <w:sz w:val="24"/>
              </w:rPr>
              <w:t>目前，厂内无单独一般废物废物暂存间。因此，本次新建一间10m</w:t>
            </w:r>
            <w:r>
              <w:rPr>
                <w:rFonts w:hint="eastAsia" w:hAnsi="宋体"/>
                <w:sz w:val="24"/>
                <w:vertAlign w:val="superscript"/>
              </w:rPr>
              <w:t>2</w:t>
            </w:r>
            <w:r>
              <w:rPr>
                <w:rFonts w:hint="eastAsia" w:hAnsi="宋体"/>
                <w:sz w:val="24"/>
              </w:rPr>
              <w:t>的一般废物暂存间</w:t>
            </w:r>
            <w:r>
              <w:rPr>
                <w:rStyle w:val="25"/>
                <w:rFonts w:hint="eastAsia"/>
              </w:rPr>
              <w:t>。</w:t>
            </w:r>
          </w:p>
          <w:p>
            <w:pPr>
              <w:spacing w:line="360" w:lineRule="auto"/>
              <w:ind w:firstLine="480" w:firstLineChars="200"/>
              <w:rPr>
                <w:sz w:val="24"/>
                <w:szCs w:val="24"/>
              </w:rPr>
            </w:pPr>
            <w:r>
              <w:rPr>
                <w:sz w:val="24"/>
                <w:szCs w:val="24"/>
              </w:rPr>
              <w:t>环评要求建设单位一般固废临时堆放场应参照《一般工业固体废物贮存、处置场污染控制标准》（GB18599-2001）及修改单相关要求规范化建设，固废临时贮存场应满足如下要求：</w:t>
            </w:r>
          </w:p>
          <w:p>
            <w:pPr>
              <w:spacing w:line="360" w:lineRule="auto"/>
              <w:ind w:firstLine="480" w:firstLineChars="200"/>
              <w:rPr>
                <w:sz w:val="24"/>
                <w:szCs w:val="24"/>
              </w:rPr>
            </w:pPr>
            <w:r>
              <w:rPr>
                <w:sz w:val="24"/>
                <w:szCs w:val="24"/>
              </w:rPr>
              <w:t>a. 地面应采取硬化措施并满足承载力要求，必要时采取相应措施防止地基下沉。</w:t>
            </w:r>
          </w:p>
          <w:p>
            <w:pPr>
              <w:spacing w:line="360" w:lineRule="auto"/>
              <w:ind w:firstLine="480" w:firstLineChars="200"/>
              <w:rPr>
                <w:sz w:val="24"/>
                <w:szCs w:val="24"/>
              </w:rPr>
            </w:pPr>
            <w:r>
              <w:rPr>
                <w:sz w:val="24"/>
                <w:szCs w:val="24"/>
              </w:rPr>
              <w:t>b. 要求设置必要的防风、防雨、防晒措施，堆放场周边应设置导流渠。</w:t>
            </w:r>
          </w:p>
          <w:p>
            <w:pPr>
              <w:spacing w:line="360" w:lineRule="auto"/>
              <w:ind w:firstLine="480" w:firstLineChars="200"/>
              <w:rPr>
                <w:sz w:val="24"/>
                <w:szCs w:val="24"/>
              </w:rPr>
            </w:pPr>
            <w:r>
              <w:rPr>
                <w:sz w:val="24"/>
                <w:szCs w:val="24"/>
              </w:rPr>
              <w:t>c. 按《环境保护图形标识—固体废物贮存（处置）场》（GB15562.2）要求设置环境保护图形标志。</w:t>
            </w:r>
          </w:p>
          <w:tbl>
            <w:tblPr>
              <w:tblStyle w:val="20"/>
              <w:tblW w:w="85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96"/>
              <w:gridCol w:w="2073"/>
              <w:gridCol w:w="1560"/>
              <w:gridCol w:w="23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pPr>
                    <w:jc w:val="center"/>
                    <w:rPr>
                      <w:szCs w:val="21"/>
                    </w:rPr>
                  </w:pPr>
                  <w:r>
                    <w:rPr>
                      <w:rFonts w:hAnsi="宋体"/>
                      <w:szCs w:val="21"/>
                    </w:rPr>
                    <w:t>序号</w:t>
                  </w:r>
                </w:p>
              </w:tc>
              <w:tc>
                <w:tcPr>
                  <w:tcW w:w="1896" w:type="dxa"/>
                  <w:vAlign w:val="center"/>
                </w:tcPr>
                <w:p>
                  <w:pPr>
                    <w:jc w:val="center"/>
                    <w:rPr>
                      <w:szCs w:val="21"/>
                    </w:rPr>
                  </w:pPr>
                  <w:r>
                    <w:rPr>
                      <w:rFonts w:hAnsi="宋体"/>
                      <w:szCs w:val="21"/>
                    </w:rPr>
                    <w:t>提示图形符号</w:t>
                  </w:r>
                </w:p>
              </w:tc>
              <w:tc>
                <w:tcPr>
                  <w:tcW w:w="2073" w:type="dxa"/>
                  <w:vAlign w:val="center"/>
                </w:tcPr>
                <w:p>
                  <w:pPr>
                    <w:jc w:val="center"/>
                    <w:rPr>
                      <w:szCs w:val="21"/>
                    </w:rPr>
                  </w:pPr>
                  <w:r>
                    <w:rPr>
                      <w:rFonts w:hAnsi="宋体"/>
                      <w:szCs w:val="21"/>
                    </w:rPr>
                    <w:t>警告图形符号</w:t>
                  </w:r>
                </w:p>
              </w:tc>
              <w:tc>
                <w:tcPr>
                  <w:tcW w:w="1560" w:type="dxa"/>
                  <w:vAlign w:val="center"/>
                </w:tcPr>
                <w:p>
                  <w:pPr>
                    <w:jc w:val="center"/>
                    <w:rPr>
                      <w:szCs w:val="21"/>
                    </w:rPr>
                  </w:pPr>
                  <w:r>
                    <w:rPr>
                      <w:rFonts w:hAnsi="宋体"/>
                      <w:szCs w:val="21"/>
                    </w:rPr>
                    <w:t>名称</w:t>
                  </w:r>
                </w:p>
              </w:tc>
              <w:tc>
                <w:tcPr>
                  <w:tcW w:w="2325" w:type="dxa"/>
                  <w:vAlign w:val="center"/>
                </w:tcPr>
                <w:p>
                  <w:pPr>
                    <w:jc w:val="center"/>
                    <w:rPr>
                      <w:szCs w:val="21"/>
                    </w:rPr>
                  </w:pPr>
                  <w:r>
                    <w:rPr>
                      <w:rFonts w:hAnsi="宋体"/>
                      <w:szCs w:val="21"/>
                    </w:rPr>
                    <w:t>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5" w:type="dxa"/>
                  <w:vAlign w:val="center"/>
                </w:tcPr>
                <w:p>
                  <w:pPr>
                    <w:jc w:val="center"/>
                    <w:rPr>
                      <w:szCs w:val="21"/>
                    </w:rPr>
                  </w:pPr>
                  <w:r>
                    <w:rPr>
                      <w:rFonts w:hint="eastAsia"/>
                      <w:szCs w:val="21"/>
                    </w:rPr>
                    <w:t>1</w:t>
                  </w:r>
                </w:p>
              </w:tc>
              <w:tc>
                <w:tcPr>
                  <w:tcW w:w="1896" w:type="dxa"/>
                  <w:vAlign w:val="center"/>
                </w:tcPr>
                <w:p>
                  <w:pPr>
                    <w:jc w:val="center"/>
                    <w:rPr>
                      <w:szCs w:val="21"/>
                    </w:rPr>
                  </w:pPr>
                  <w:r>
                    <w:rPr>
                      <w:szCs w:val="21"/>
                    </w:rPr>
                    <w:drawing>
                      <wp:inline distT="0" distB="0" distL="0" distR="0">
                        <wp:extent cx="1069975" cy="1078230"/>
                        <wp:effectExtent l="19050" t="0" r="0" b="0"/>
                        <wp:docPr id="19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74"/>
                                <pic:cNvPicPr>
                                  <a:picLocks noChangeAspect="1" noChangeArrowheads="1"/>
                                </pic:cNvPicPr>
                              </pic:nvPicPr>
                              <pic:blipFill>
                                <a:blip r:embed="rId9" cstate="print"/>
                                <a:srcRect/>
                                <a:stretch>
                                  <a:fillRect/>
                                </a:stretch>
                              </pic:blipFill>
                              <pic:spPr>
                                <a:xfrm>
                                  <a:off x="0" y="0"/>
                                  <a:ext cx="1069975" cy="1078230"/>
                                </a:xfrm>
                                <a:prstGeom prst="rect">
                                  <a:avLst/>
                                </a:prstGeom>
                                <a:noFill/>
                                <a:ln w="9525">
                                  <a:noFill/>
                                  <a:miter lim="800000"/>
                                  <a:headEnd/>
                                  <a:tailEnd/>
                                </a:ln>
                              </pic:spPr>
                            </pic:pic>
                          </a:graphicData>
                        </a:graphic>
                      </wp:inline>
                    </w:drawing>
                  </w:r>
                </w:p>
              </w:tc>
              <w:tc>
                <w:tcPr>
                  <w:tcW w:w="2073" w:type="dxa"/>
                  <w:vAlign w:val="center"/>
                </w:tcPr>
                <w:p>
                  <w:pPr>
                    <w:jc w:val="center"/>
                    <w:rPr>
                      <w:szCs w:val="21"/>
                    </w:rPr>
                  </w:pPr>
                  <w:r>
                    <w:rPr>
                      <w:szCs w:val="21"/>
                    </w:rPr>
                    <w:drawing>
                      <wp:inline distT="0" distB="0" distL="0" distR="0">
                        <wp:extent cx="1155700" cy="1078230"/>
                        <wp:effectExtent l="19050" t="0" r="6350" b="0"/>
                        <wp:docPr id="19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75"/>
                                <pic:cNvPicPr>
                                  <a:picLocks noChangeAspect="1" noChangeArrowheads="1"/>
                                </pic:cNvPicPr>
                              </pic:nvPicPr>
                              <pic:blipFill>
                                <a:blip r:embed="rId10" cstate="print"/>
                                <a:srcRect/>
                                <a:stretch>
                                  <a:fillRect/>
                                </a:stretch>
                              </pic:blipFill>
                              <pic:spPr>
                                <a:xfrm>
                                  <a:off x="0" y="0"/>
                                  <a:ext cx="1155700" cy="1078230"/>
                                </a:xfrm>
                                <a:prstGeom prst="rect">
                                  <a:avLst/>
                                </a:prstGeom>
                                <a:noFill/>
                                <a:ln w="9525">
                                  <a:noFill/>
                                  <a:miter lim="800000"/>
                                  <a:headEnd/>
                                  <a:tailEnd/>
                                </a:ln>
                              </pic:spPr>
                            </pic:pic>
                          </a:graphicData>
                        </a:graphic>
                      </wp:inline>
                    </w:drawing>
                  </w:r>
                </w:p>
              </w:tc>
              <w:tc>
                <w:tcPr>
                  <w:tcW w:w="1560" w:type="dxa"/>
                  <w:vAlign w:val="center"/>
                </w:tcPr>
                <w:p>
                  <w:pPr>
                    <w:jc w:val="center"/>
                    <w:rPr>
                      <w:szCs w:val="21"/>
                    </w:rPr>
                  </w:pPr>
                  <w:r>
                    <w:rPr>
                      <w:rFonts w:hAnsi="宋体"/>
                      <w:szCs w:val="21"/>
                    </w:rPr>
                    <w:t>一般固体废物</w:t>
                  </w:r>
                </w:p>
              </w:tc>
              <w:tc>
                <w:tcPr>
                  <w:tcW w:w="2325" w:type="dxa"/>
                  <w:vAlign w:val="center"/>
                </w:tcPr>
                <w:p>
                  <w:pPr>
                    <w:jc w:val="center"/>
                    <w:rPr>
                      <w:szCs w:val="21"/>
                    </w:rPr>
                  </w:pPr>
                  <w:r>
                    <w:rPr>
                      <w:rFonts w:hAnsi="宋体"/>
                      <w:szCs w:val="21"/>
                    </w:rPr>
                    <w:t>表示一般固体废物贮存、处置场</w:t>
                  </w:r>
                </w:p>
              </w:tc>
            </w:tr>
          </w:tbl>
          <w:p>
            <w:pPr>
              <w:spacing w:line="360" w:lineRule="auto"/>
              <w:ind w:firstLine="480" w:firstLineChars="200"/>
              <w:rPr>
                <w:sz w:val="24"/>
                <w:szCs w:val="24"/>
              </w:rPr>
            </w:pPr>
            <w:r>
              <w:rPr>
                <w:sz w:val="24"/>
                <w:szCs w:val="24"/>
              </w:rPr>
              <w:t>（</w:t>
            </w:r>
            <w:r>
              <w:rPr>
                <w:rFonts w:hint="eastAsia"/>
                <w:sz w:val="24"/>
                <w:szCs w:val="24"/>
              </w:rPr>
              <w:t>5</w:t>
            </w:r>
            <w:r>
              <w:rPr>
                <w:sz w:val="24"/>
                <w:szCs w:val="24"/>
              </w:rPr>
              <w:t>）生活垃圾处置措施</w:t>
            </w:r>
          </w:p>
          <w:p>
            <w:pPr>
              <w:spacing w:line="360" w:lineRule="auto"/>
              <w:ind w:firstLine="480" w:firstLineChars="200"/>
              <w:rPr>
                <w:sz w:val="24"/>
                <w:szCs w:val="24"/>
              </w:rPr>
            </w:pPr>
            <w:r>
              <w:rPr>
                <w:sz w:val="24"/>
                <w:szCs w:val="24"/>
              </w:rPr>
              <w:t>项目生活垃圾集中收集（放置于垃圾桶）后由环卫部门统一清运。</w:t>
            </w:r>
            <w:bookmarkEnd w:id="73"/>
          </w:p>
          <w:p>
            <w:pPr>
              <w:spacing w:line="360" w:lineRule="auto"/>
              <w:ind w:firstLine="480" w:firstLineChars="200"/>
              <w:rPr>
                <w:sz w:val="24"/>
                <w:szCs w:val="24"/>
              </w:rPr>
            </w:pPr>
            <w:r>
              <w:rPr>
                <w:sz w:val="24"/>
                <w:szCs w:val="24"/>
              </w:rPr>
              <w:t>综上所述，项目固体废物处理处置符合国家《固体废物污染环境防治法》规定的原则，符合《一般工业固体废物贮存、处置场污染控制标准》（GB18599-2001）及修改单和《危险废物贮存污染控制标准》（GB18597-2001）及修改单规定，采取上述措施后，项目固体废物可得到妥善的处理，对周围环境造成的影响很小。</w:t>
            </w:r>
          </w:p>
          <w:p>
            <w:pPr>
              <w:spacing w:line="360" w:lineRule="auto"/>
              <w:rPr>
                <w:b/>
                <w:bCs/>
                <w:sz w:val="24"/>
                <w:szCs w:val="24"/>
              </w:rPr>
            </w:pPr>
            <w:r>
              <w:rPr>
                <w:b/>
                <w:sz w:val="24"/>
              </w:rPr>
              <w:t>六、</w:t>
            </w:r>
            <w:r>
              <w:rPr>
                <w:b/>
                <w:bCs/>
                <w:sz w:val="24"/>
                <w:szCs w:val="24"/>
              </w:rPr>
              <w:t>土壤环境影响分析</w:t>
            </w:r>
          </w:p>
          <w:p>
            <w:pPr>
              <w:spacing w:line="360" w:lineRule="auto"/>
              <w:ind w:firstLine="480" w:firstLineChars="200"/>
              <w:jc w:val="left"/>
              <w:rPr>
                <w:bCs/>
                <w:sz w:val="24"/>
              </w:rPr>
            </w:pPr>
            <w:r>
              <w:rPr>
                <w:bCs/>
                <w:sz w:val="24"/>
              </w:rPr>
              <w:t>根据《环境影响评价技术导则  土壤环境（试行）》（HJ 964-2018）中第4.2.2条可知，“根据行业特征、工艺特点或规模大小等将建设项目类别分为Ⅰ类、Ⅱ类、Ⅲ类、Ⅳ类，见附录A，其中Ⅳ类建设项目可不开展土壤环境影响评价；自身为敏感目标的建设项目，可根据需要仅对土壤环境现状进行调查”。</w:t>
            </w:r>
          </w:p>
          <w:p>
            <w:pPr>
              <w:spacing w:line="360" w:lineRule="auto"/>
              <w:ind w:firstLine="480" w:firstLineChars="200"/>
              <w:jc w:val="left"/>
              <w:rPr>
                <w:bCs/>
                <w:sz w:val="24"/>
              </w:rPr>
            </w:pPr>
            <w:r>
              <w:rPr>
                <w:bCs/>
                <w:sz w:val="24"/>
              </w:rPr>
              <w:t>本项目属于附录A“社会事业与服务业”及“其他行业”，为Ⅳ类建设项目，本项目不开展土壤环境影响评价。</w:t>
            </w:r>
          </w:p>
          <w:p>
            <w:pPr>
              <w:spacing w:line="360" w:lineRule="auto"/>
              <w:rPr>
                <w:b/>
                <w:sz w:val="24"/>
              </w:rPr>
            </w:pPr>
            <w:r>
              <w:rPr>
                <w:b/>
                <w:sz w:val="24"/>
              </w:rPr>
              <w:t>七、环境风险评价</w:t>
            </w:r>
          </w:p>
          <w:p>
            <w:pPr>
              <w:spacing w:line="360" w:lineRule="auto"/>
              <w:ind w:firstLine="482" w:firstLineChars="200"/>
              <w:rPr>
                <w:b/>
                <w:sz w:val="24"/>
              </w:rPr>
            </w:pPr>
            <w:bookmarkStart w:id="74" w:name="_Toc3886019"/>
            <w:r>
              <w:rPr>
                <w:b/>
                <w:sz w:val="24"/>
              </w:rPr>
              <w:t>1、评价依据</w:t>
            </w:r>
            <w:bookmarkEnd w:id="74"/>
          </w:p>
          <w:p>
            <w:pPr>
              <w:spacing w:line="360" w:lineRule="auto"/>
              <w:ind w:firstLine="480" w:firstLineChars="200"/>
              <w:rPr>
                <w:sz w:val="24"/>
              </w:rPr>
            </w:pPr>
            <w:r>
              <w:rPr>
                <w:sz w:val="24"/>
              </w:rPr>
              <w:t>（1）风险调查</w:t>
            </w:r>
          </w:p>
          <w:p>
            <w:pPr>
              <w:spacing w:line="360" w:lineRule="auto"/>
              <w:ind w:firstLine="482"/>
              <w:rPr>
                <w:sz w:val="24"/>
                <w:lang w:val="zh-CN"/>
              </w:rPr>
            </w:pPr>
            <w:r>
              <w:rPr>
                <w:sz w:val="24"/>
                <w:lang w:val="zh-CN"/>
              </w:rPr>
              <w:t>根据对建设项目危险物质的调查情况及收集的危险物质安全技术说明书等资料，本项目主要危险物质为稀释剂、油漆、机油及危险废物。</w:t>
            </w:r>
          </w:p>
          <w:p>
            <w:pPr>
              <w:spacing w:line="360" w:lineRule="auto"/>
              <w:ind w:firstLine="482"/>
              <w:rPr>
                <w:sz w:val="24"/>
                <w:szCs w:val="22"/>
                <w:lang w:val="zh-CN"/>
              </w:rPr>
            </w:pPr>
            <w:r>
              <w:rPr>
                <w:sz w:val="24"/>
                <w:szCs w:val="22"/>
                <w:lang w:val="zh-CN"/>
              </w:rPr>
              <w:t>通过对本项目的原辅材料、产品进行分析，本项目对物料危险性识别分析详见下表。</w:t>
            </w:r>
          </w:p>
          <w:p>
            <w:pPr>
              <w:jc w:val="center"/>
              <w:rPr>
                <w:b/>
                <w:szCs w:val="21"/>
              </w:rPr>
            </w:pPr>
            <w:r>
              <w:rPr>
                <w:b/>
                <w:szCs w:val="21"/>
              </w:rPr>
              <w:t>表7-13  物质危险性识别表</w:t>
            </w:r>
          </w:p>
          <w:tbl>
            <w:tblPr>
              <w:tblStyle w:val="20"/>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657"/>
              <w:gridCol w:w="866"/>
              <w:gridCol w:w="1442"/>
              <w:gridCol w:w="1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0" w:type="dxa"/>
                  <w:tcBorders>
                    <w:tl2br w:val="nil"/>
                    <w:tr2bl w:val="nil"/>
                  </w:tcBorders>
                  <w:vAlign w:val="center"/>
                </w:tcPr>
                <w:p>
                  <w:pPr>
                    <w:pStyle w:val="18"/>
                    <w:spacing w:after="0"/>
                    <w:ind w:firstLine="0" w:firstLineChars="0"/>
                    <w:jc w:val="center"/>
                    <w:rPr>
                      <w:b/>
                      <w:bCs/>
                      <w:szCs w:val="21"/>
                    </w:rPr>
                  </w:pPr>
                  <w:r>
                    <w:rPr>
                      <w:b/>
                      <w:bCs/>
                      <w:szCs w:val="21"/>
                    </w:rPr>
                    <w:t>品名</w:t>
                  </w:r>
                </w:p>
              </w:tc>
              <w:tc>
                <w:tcPr>
                  <w:tcW w:w="1657" w:type="dxa"/>
                  <w:tcBorders>
                    <w:tl2br w:val="nil"/>
                    <w:tr2bl w:val="nil"/>
                  </w:tcBorders>
                  <w:vAlign w:val="center"/>
                </w:tcPr>
                <w:p>
                  <w:pPr>
                    <w:tabs>
                      <w:tab w:val="left" w:pos="0"/>
                    </w:tabs>
                    <w:jc w:val="center"/>
                    <w:rPr>
                      <w:b/>
                      <w:bCs/>
                      <w:szCs w:val="21"/>
                    </w:rPr>
                  </w:pPr>
                  <w:r>
                    <w:rPr>
                      <w:b/>
                      <w:bCs/>
                      <w:szCs w:val="21"/>
                    </w:rPr>
                    <w:t>最大储存量（t）</w:t>
                  </w:r>
                </w:p>
              </w:tc>
              <w:tc>
                <w:tcPr>
                  <w:tcW w:w="866" w:type="dxa"/>
                  <w:tcBorders>
                    <w:tl2br w:val="nil"/>
                    <w:tr2bl w:val="nil"/>
                  </w:tcBorders>
                  <w:vAlign w:val="center"/>
                </w:tcPr>
                <w:p>
                  <w:pPr>
                    <w:tabs>
                      <w:tab w:val="left" w:pos="0"/>
                    </w:tabs>
                    <w:jc w:val="center"/>
                    <w:rPr>
                      <w:b/>
                      <w:bCs/>
                      <w:szCs w:val="21"/>
                    </w:rPr>
                  </w:pPr>
                  <w:r>
                    <w:rPr>
                      <w:b/>
                      <w:bCs/>
                      <w:szCs w:val="21"/>
                    </w:rPr>
                    <w:t>储存方式</w:t>
                  </w:r>
                </w:p>
              </w:tc>
              <w:tc>
                <w:tcPr>
                  <w:tcW w:w="1442" w:type="dxa"/>
                  <w:tcBorders>
                    <w:tl2br w:val="nil"/>
                    <w:tr2bl w:val="nil"/>
                  </w:tcBorders>
                  <w:vAlign w:val="center"/>
                </w:tcPr>
                <w:p>
                  <w:pPr>
                    <w:pStyle w:val="18"/>
                    <w:spacing w:after="0"/>
                    <w:ind w:firstLine="0" w:firstLineChars="0"/>
                    <w:jc w:val="center"/>
                    <w:rPr>
                      <w:b/>
                      <w:bCs/>
                      <w:szCs w:val="21"/>
                    </w:rPr>
                  </w:pPr>
                  <w:r>
                    <w:rPr>
                      <w:b/>
                      <w:bCs/>
                      <w:szCs w:val="21"/>
                    </w:rPr>
                    <w:t>是否是环境风险物质</w:t>
                  </w:r>
                </w:p>
              </w:tc>
              <w:tc>
                <w:tcPr>
                  <w:tcW w:w="1857" w:type="dxa"/>
                  <w:tcBorders>
                    <w:tl2br w:val="nil"/>
                    <w:tr2bl w:val="nil"/>
                  </w:tcBorders>
                  <w:vAlign w:val="center"/>
                </w:tcPr>
                <w:p>
                  <w:pPr>
                    <w:pStyle w:val="18"/>
                    <w:spacing w:after="0"/>
                    <w:ind w:firstLine="0" w:firstLineChars="0"/>
                    <w:jc w:val="center"/>
                    <w:rPr>
                      <w:b/>
                      <w:bCs/>
                      <w:szCs w:val="21"/>
                    </w:rPr>
                  </w:pPr>
                  <w:r>
                    <w:rPr>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0" w:type="dxa"/>
                  <w:tcBorders>
                    <w:tl2br w:val="nil"/>
                    <w:tr2bl w:val="nil"/>
                  </w:tcBorders>
                  <w:vAlign w:val="center"/>
                </w:tcPr>
                <w:p>
                  <w:pPr>
                    <w:pStyle w:val="18"/>
                    <w:spacing w:after="0"/>
                    <w:ind w:firstLine="0" w:firstLineChars="0"/>
                    <w:jc w:val="center"/>
                    <w:rPr>
                      <w:szCs w:val="21"/>
                    </w:rPr>
                  </w:pPr>
                  <w:r>
                    <w:rPr>
                      <w:szCs w:val="21"/>
                    </w:rPr>
                    <w:t>油漆</w:t>
                  </w:r>
                </w:p>
              </w:tc>
              <w:tc>
                <w:tcPr>
                  <w:tcW w:w="1657" w:type="dxa"/>
                  <w:tcBorders>
                    <w:tl2br w:val="nil"/>
                    <w:tr2bl w:val="nil"/>
                  </w:tcBorders>
                  <w:vAlign w:val="center"/>
                </w:tcPr>
                <w:p>
                  <w:pPr>
                    <w:pStyle w:val="47"/>
                    <w:ind w:left="-105" w:leftChars="-50" w:right="-105" w:rightChars="-50"/>
                    <w:rPr>
                      <w:rFonts w:ascii="Times New Roman" w:hAnsi="Times New Roman"/>
                      <w:sz w:val="21"/>
                      <w:szCs w:val="21"/>
                    </w:rPr>
                  </w:pPr>
                  <w:r>
                    <w:rPr>
                      <w:rFonts w:ascii="Times New Roman" w:hAnsi="Times New Roman"/>
                      <w:b w:val="0"/>
                      <w:bCs/>
                      <w:sz w:val="21"/>
                      <w:szCs w:val="21"/>
                    </w:rPr>
                    <w:t>0.</w:t>
                  </w:r>
                  <w:r>
                    <w:rPr>
                      <w:rFonts w:hint="eastAsia" w:ascii="Times New Roman" w:hAnsi="Times New Roman"/>
                      <w:b w:val="0"/>
                      <w:bCs/>
                      <w:sz w:val="21"/>
                      <w:szCs w:val="21"/>
                    </w:rPr>
                    <w:t>1</w:t>
                  </w:r>
                </w:p>
              </w:tc>
              <w:tc>
                <w:tcPr>
                  <w:tcW w:w="866" w:type="dxa"/>
                  <w:tcBorders>
                    <w:tl2br w:val="nil"/>
                    <w:tr2bl w:val="nil"/>
                  </w:tcBorders>
                  <w:vAlign w:val="center"/>
                </w:tcPr>
                <w:p>
                  <w:pPr>
                    <w:spacing w:line="360" w:lineRule="exact"/>
                    <w:jc w:val="center"/>
                    <w:rPr>
                      <w:szCs w:val="21"/>
                    </w:rPr>
                  </w:pPr>
                  <w:r>
                    <w:rPr>
                      <w:szCs w:val="21"/>
                    </w:rPr>
                    <w:t>桶装</w:t>
                  </w:r>
                </w:p>
              </w:tc>
              <w:tc>
                <w:tcPr>
                  <w:tcW w:w="1442" w:type="dxa"/>
                  <w:tcBorders>
                    <w:tl2br w:val="nil"/>
                    <w:tr2bl w:val="nil"/>
                  </w:tcBorders>
                  <w:vAlign w:val="center"/>
                </w:tcPr>
                <w:p>
                  <w:pPr>
                    <w:jc w:val="center"/>
                    <w:rPr>
                      <w:szCs w:val="21"/>
                    </w:rPr>
                  </w:pPr>
                  <w:r>
                    <w:rPr>
                      <w:szCs w:val="21"/>
                    </w:rPr>
                    <w:t>是</w:t>
                  </w:r>
                </w:p>
              </w:tc>
              <w:tc>
                <w:tcPr>
                  <w:tcW w:w="1857" w:type="dxa"/>
                  <w:tcBorders>
                    <w:tl2br w:val="nil"/>
                    <w:tr2bl w:val="nil"/>
                  </w:tcBorders>
                  <w:vAlign w:val="center"/>
                </w:tcPr>
                <w:p>
                  <w:pPr>
                    <w:pStyle w:val="41"/>
                    <w:adjustRightInd/>
                    <w:snapToGrid/>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0" w:type="dxa"/>
                  <w:tcBorders>
                    <w:tl2br w:val="nil"/>
                    <w:tr2bl w:val="nil"/>
                  </w:tcBorders>
                  <w:vAlign w:val="center"/>
                </w:tcPr>
                <w:p>
                  <w:pPr>
                    <w:pStyle w:val="18"/>
                    <w:spacing w:after="0"/>
                    <w:ind w:firstLine="0" w:firstLineChars="0"/>
                    <w:jc w:val="center"/>
                    <w:rPr>
                      <w:szCs w:val="21"/>
                    </w:rPr>
                  </w:pPr>
                  <w:r>
                    <w:rPr>
                      <w:szCs w:val="21"/>
                    </w:rPr>
                    <w:t>稀释剂</w:t>
                  </w:r>
                </w:p>
              </w:tc>
              <w:tc>
                <w:tcPr>
                  <w:tcW w:w="1657" w:type="dxa"/>
                  <w:tcBorders>
                    <w:tl2br w:val="nil"/>
                    <w:tr2bl w:val="nil"/>
                  </w:tcBorders>
                  <w:vAlign w:val="center"/>
                </w:tcPr>
                <w:p>
                  <w:pPr>
                    <w:pStyle w:val="47"/>
                    <w:ind w:left="-105" w:leftChars="-50" w:right="-105" w:rightChars="-50"/>
                    <w:rPr>
                      <w:rFonts w:ascii="Times New Roman" w:hAnsi="Times New Roman"/>
                      <w:sz w:val="21"/>
                      <w:szCs w:val="21"/>
                    </w:rPr>
                  </w:pPr>
                  <w:r>
                    <w:rPr>
                      <w:rFonts w:ascii="Times New Roman" w:hAnsi="Times New Roman"/>
                      <w:b w:val="0"/>
                      <w:bCs/>
                      <w:sz w:val="21"/>
                      <w:szCs w:val="21"/>
                    </w:rPr>
                    <w:t>0.</w:t>
                  </w:r>
                  <w:r>
                    <w:rPr>
                      <w:rFonts w:hint="eastAsia" w:ascii="Times New Roman" w:hAnsi="Times New Roman"/>
                      <w:b w:val="0"/>
                      <w:bCs/>
                      <w:sz w:val="21"/>
                      <w:szCs w:val="21"/>
                    </w:rPr>
                    <w:t>05</w:t>
                  </w:r>
                </w:p>
              </w:tc>
              <w:tc>
                <w:tcPr>
                  <w:tcW w:w="866" w:type="dxa"/>
                  <w:tcBorders>
                    <w:tl2br w:val="nil"/>
                    <w:tr2bl w:val="nil"/>
                  </w:tcBorders>
                  <w:vAlign w:val="center"/>
                </w:tcPr>
                <w:p>
                  <w:pPr>
                    <w:spacing w:line="360" w:lineRule="exact"/>
                    <w:jc w:val="center"/>
                    <w:rPr>
                      <w:szCs w:val="21"/>
                    </w:rPr>
                  </w:pPr>
                  <w:r>
                    <w:rPr>
                      <w:szCs w:val="21"/>
                    </w:rPr>
                    <w:t>桶装</w:t>
                  </w:r>
                </w:p>
              </w:tc>
              <w:tc>
                <w:tcPr>
                  <w:tcW w:w="1442" w:type="dxa"/>
                  <w:tcBorders>
                    <w:tl2br w:val="nil"/>
                    <w:tr2bl w:val="nil"/>
                  </w:tcBorders>
                  <w:vAlign w:val="center"/>
                </w:tcPr>
                <w:p>
                  <w:pPr>
                    <w:jc w:val="center"/>
                    <w:rPr>
                      <w:szCs w:val="21"/>
                    </w:rPr>
                  </w:pPr>
                  <w:r>
                    <w:rPr>
                      <w:szCs w:val="21"/>
                    </w:rPr>
                    <w:t>是</w:t>
                  </w:r>
                </w:p>
              </w:tc>
              <w:tc>
                <w:tcPr>
                  <w:tcW w:w="1857" w:type="dxa"/>
                  <w:tcBorders>
                    <w:tl2br w:val="nil"/>
                    <w:tr2bl w:val="nil"/>
                  </w:tcBorders>
                  <w:vAlign w:val="center"/>
                </w:tcPr>
                <w:p>
                  <w:pPr>
                    <w:pStyle w:val="41"/>
                    <w:adjustRightInd/>
                    <w:snapToGrid/>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0" w:type="dxa"/>
                  <w:tcBorders>
                    <w:tl2br w:val="nil"/>
                    <w:tr2bl w:val="nil"/>
                  </w:tcBorders>
                  <w:vAlign w:val="center"/>
                </w:tcPr>
                <w:p>
                  <w:pPr>
                    <w:pStyle w:val="18"/>
                    <w:spacing w:after="0"/>
                    <w:ind w:firstLine="0" w:firstLineChars="0"/>
                    <w:jc w:val="center"/>
                    <w:rPr>
                      <w:szCs w:val="21"/>
                    </w:rPr>
                  </w:pPr>
                  <w:r>
                    <w:rPr>
                      <w:szCs w:val="21"/>
                    </w:rPr>
                    <w:t>机油</w:t>
                  </w:r>
                </w:p>
              </w:tc>
              <w:tc>
                <w:tcPr>
                  <w:tcW w:w="1657" w:type="dxa"/>
                  <w:tcBorders>
                    <w:tl2br w:val="nil"/>
                    <w:tr2bl w:val="nil"/>
                  </w:tcBorders>
                  <w:vAlign w:val="center"/>
                </w:tcPr>
                <w:p>
                  <w:pPr>
                    <w:pStyle w:val="47"/>
                    <w:ind w:left="-105" w:leftChars="-50" w:right="-105" w:rightChars="-50"/>
                    <w:rPr>
                      <w:rFonts w:ascii="Times New Roman" w:hAnsi="Times New Roman"/>
                      <w:sz w:val="21"/>
                      <w:szCs w:val="21"/>
                    </w:rPr>
                  </w:pPr>
                  <w:r>
                    <w:rPr>
                      <w:rFonts w:hint="eastAsia" w:ascii="Times New Roman" w:hAnsi="Times New Roman"/>
                      <w:b w:val="0"/>
                      <w:bCs/>
                      <w:sz w:val="21"/>
                      <w:szCs w:val="21"/>
                    </w:rPr>
                    <w:t>1.2</w:t>
                  </w:r>
                </w:p>
              </w:tc>
              <w:tc>
                <w:tcPr>
                  <w:tcW w:w="866" w:type="dxa"/>
                  <w:tcBorders>
                    <w:tl2br w:val="nil"/>
                    <w:tr2bl w:val="nil"/>
                  </w:tcBorders>
                  <w:vAlign w:val="center"/>
                </w:tcPr>
                <w:p>
                  <w:pPr>
                    <w:spacing w:line="360" w:lineRule="exact"/>
                    <w:jc w:val="center"/>
                    <w:rPr>
                      <w:szCs w:val="21"/>
                    </w:rPr>
                  </w:pPr>
                  <w:r>
                    <w:rPr>
                      <w:szCs w:val="21"/>
                    </w:rPr>
                    <w:t>瓶装</w:t>
                  </w:r>
                </w:p>
              </w:tc>
              <w:tc>
                <w:tcPr>
                  <w:tcW w:w="1442" w:type="dxa"/>
                  <w:tcBorders>
                    <w:tl2br w:val="nil"/>
                    <w:tr2bl w:val="nil"/>
                  </w:tcBorders>
                  <w:vAlign w:val="center"/>
                </w:tcPr>
                <w:p>
                  <w:pPr>
                    <w:jc w:val="center"/>
                    <w:rPr>
                      <w:szCs w:val="21"/>
                    </w:rPr>
                  </w:pPr>
                  <w:r>
                    <w:rPr>
                      <w:szCs w:val="21"/>
                    </w:rPr>
                    <w:t>是</w:t>
                  </w:r>
                </w:p>
              </w:tc>
              <w:tc>
                <w:tcPr>
                  <w:tcW w:w="1857" w:type="dxa"/>
                  <w:tcBorders>
                    <w:tl2br w:val="nil"/>
                    <w:tr2bl w:val="nil"/>
                  </w:tcBorders>
                  <w:vAlign w:val="center"/>
                </w:tcPr>
                <w:p>
                  <w:pPr>
                    <w:pStyle w:val="41"/>
                    <w:adjustRightInd/>
                    <w:snapToGrid/>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0" w:type="dxa"/>
                  <w:tcBorders>
                    <w:tl2br w:val="nil"/>
                    <w:tr2bl w:val="nil"/>
                  </w:tcBorders>
                  <w:vAlign w:val="center"/>
                </w:tcPr>
                <w:p>
                  <w:pPr>
                    <w:pStyle w:val="18"/>
                    <w:spacing w:after="0"/>
                    <w:ind w:firstLine="0" w:firstLineChars="0"/>
                    <w:jc w:val="center"/>
                    <w:rPr>
                      <w:rFonts w:hint="eastAsia" w:eastAsia="宋体"/>
                      <w:szCs w:val="21"/>
                      <w:lang w:val="en-US" w:eastAsia="zh-CN"/>
                    </w:rPr>
                  </w:pPr>
                  <w:r>
                    <w:rPr>
                      <w:rFonts w:hint="eastAsia"/>
                      <w:szCs w:val="21"/>
                      <w:lang w:val="en-US" w:eastAsia="zh-CN"/>
                    </w:rPr>
                    <w:t>乙酸乙酯（油漆）</w:t>
                  </w:r>
                </w:p>
              </w:tc>
              <w:tc>
                <w:tcPr>
                  <w:tcW w:w="1657" w:type="dxa"/>
                  <w:tcBorders>
                    <w:tl2br w:val="nil"/>
                    <w:tr2bl w:val="nil"/>
                  </w:tcBorders>
                  <w:vAlign w:val="center"/>
                </w:tcPr>
                <w:p>
                  <w:pPr>
                    <w:pStyle w:val="47"/>
                    <w:ind w:left="-105" w:leftChars="-50" w:right="-105" w:rightChars="-50"/>
                    <w:rPr>
                      <w:rFonts w:hint="default"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0.01</w:t>
                  </w:r>
                </w:p>
              </w:tc>
              <w:tc>
                <w:tcPr>
                  <w:tcW w:w="866" w:type="dxa"/>
                  <w:tcBorders>
                    <w:tl2br w:val="nil"/>
                    <w:tr2bl w:val="nil"/>
                  </w:tcBorders>
                  <w:vAlign w:val="center"/>
                </w:tcPr>
                <w:p>
                  <w:pPr>
                    <w:spacing w:line="360" w:lineRule="exact"/>
                    <w:jc w:val="center"/>
                    <w:rPr>
                      <w:szCs w:val="21"/>
                    </w:rPr>
                  </w:pPr>
                  <w:r>
                    <w:rPr>
                      <w:szCs w:val="21"/>
                    </w:rPr>
                    <w:t>桶装</w:t>
                  </w:r>
                </w:p>
              </w:tc>
              <w:tc>
                <w:tcPr>
                  <w:tcW w:w="1442" w:type="dxa"/>
                  <w:tcBorders>
                    <w:tl2br w:val="nil"/>
                    <w:tr2bl w:val="nil"/>
                  </w:tcBorders>
                  <w:vAlign w:val="center"/>
                </w:tcPr>
                <w:p>
                  <w:pPr>
                    <w:jc w:val="center"/>
                    <w:rPr>
                      <w:szCs w:val="21"/>
                    </w:rPr>
                  </w:pPr>
                  <w:r>
                    <w:rPr>
                      <w:szCs w:val="21"/>
                    </w:rPr>
                    <w:t>是</w:t>
                  </w:r>
                </w:p>
              </w:tc>
              <w:tc>
                <w:tcPr>
                  <w:tcW w:w="1857" w:type="dxa"/>
                  <w:tcBorders>
                    <w:tl2br w:val="nil"/>
                    <w:tr2bl w:val="nil"/>
                  </w:tcBorders>
                  <w:vAlign w:val="center"/>
                </w:tcPr>
                <w:p>
                  <w:pPr>
                    <w:pStyle w:val="41"/>
                    <w:adjustRightInd/>
                    <w:snapToGrid/>
                    <w:rPr>
                      <w:rFonts w:hint="default" w:ascii="Times New Roman" w:hAnsi="Times New Roman" w:eastAsia="宋体"/>
                      <w:szCs w:val="21"/>
                      <w:lang w:val="en-US" w:eastAsia="zh-CN"/>
                    </w:rPr>
                  </w:pPr>
                  <w:r>
                    <w:rPr>
                      <w:rFonts w:hint="eastAsia" w:ascii="Times New Roman" w:hAnsi="Times New Roman"/>
                      <w:szCs w:val="21"/>
                      <w:lang w:val="en-US" w:eastAsia="zh-CN"/>
                    </w:rPr>
                    <w:t>油漆成分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0" w:type="dxa"/>
                  <w:tcBorders>
                    <w:tl2br w:val="nil"/>
                    <w:tr2bl w:val="nil"/>
                  </w:tcBorders>
                  <w:vAlign w:val="center"/>
                </w:tcPr>
                <w:p>
                  <w:pPr>
                    <w:pStyle w:val="18"/>
                    <w:spacing w:after="0"/>
                    <w:ind w:firstLine="0" w:firstLineChars="0"/>
                    <w:jc w:val="center"/>
                    <w:rPr>
                      <w:rFonts w:ascii="Times New Roman" w:hAnsi="Times New Roman" w:eastAsia="宋体" w:cs="Times New Roman"/>
                      <w:kern w:val="2"/>
                      <w:sz w:val="21"/>
                      <w:szCs w:val="21"/>
                      <w:lang w:val="en-US" w:eastAsia="zh-CN" w:bidi="ar-SA"/>
                    </w:rPr>
                  </w:pPr>
                  <w:r>
                    <w:rPr>
                      <w:szCs w:val="21"/>
                    </w:rPr>
                    <w:t>危险废物</w:t>
                  </w:r>
                </w:p>
              </w:tc>
              <w:tc>
                <w:tcPr>
                  <w:tcW w:w="1657" w:type="dxa"/>
                  <w:tcBorders>
                    <w:tl2br w:val="nil"/>
                    <w:tr2bl w:val="nil"/>
                  </w:tcBorders>
                  <w:vAlign w:val="center"/>
                </w:tcPr>
                <w:p>
                  <w:pPr>
                    <w:pStyle w:val="47"/>
                    <w:ind w:left="-105" w:leftChars="-50" w:right="-105" w:rightChars="-50"/>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b w:val="0"/>
                      <w:bCs/>
                      <w:sz w:val="21"/>
                      <w:szCs w:val="21"/>
                    </w:rPr>
                    <w:t>0.1</w:t>
                  </w:r>
                </w:p>
              </w:tc>
              <w:tc>
                <w:tcPr>
                  <w:tcW w:w="866" w:type="dxa"/>
                  <w:tcBorders>
                    <w:tl2br w:val="nil"/>
                    <w:tr2bl w:val="nil"/>
                  </w:tcBorders>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专用容器</w:t>
                  </w:r>
                </w:p>
              </w:tc>
              <w:tc>
                <w:tcPr>
                  <w:tcW w:w="1442"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是</w:t>
                  </w:r>
                </w:p>
              </w:tc>
              <w:tc>
                <w:tcPr>
                  <w:tcW w:w="1857" w:type="dxa"/>
                  <w:tcBorders>
                    <w:tl2br w:val="nil"/>
                    <w:tr2bl w:val="nil"/>
                  </w:tcBorders>
                  <w:vAlign w:val="center"/>
                </w:tcPr>
                <w:p>
                  <w:pPr>
                    <w:pStyle w:val="41"/>
                    <w:adjustRightInd/>
                    <w:snapToGrid/>
                    <w:rPr>
                      <w:rFonts w:ascii="Times New Roman" w:hAnsi="Times New Roman" w:eastAsia="宋体" w:cs="Times New Roman"/>
                      <w:kern w:val="2"/>
                      <w:sz w:val="21"/>
                      <w:szCs w:val="21"/>
                      <w:lang w:val="en-US" w:eastAsia="zh-CN" w:bidi="ar-SA"/>
                    </w:rPr>
                  </w:pPr>
                  <w:r>
                    <w:rPr>
                      <w:rFonts w:ascii="Times New Roman" w:hAnsi="Times New Roman"/>
                      <w:szCs w:val="21"/>
                    </w:rPr>
                    <w:t>含废油、废活性炭、废蓄电池等（不含隔油池废水处理污泥）</w:t>
                  </w:r>
                </w:p>
              </w:tc>
            </w:tr>
          </w:tbl>
          <w:p>
            <w:pPr>
              <w:spacing w:line="360" w:lineRule="auto"/>
              <w:ind w:firstLine="480" w:firstLineChars="200"/>
              <w:rPr>
                <w:sz w:val="24"/>
                <w:lang w:val="zh-CN"/>
              </w:rPr>
            </w:pPr>
            <w:r>
              <w:rPr>
                <w:sz w:val="24"/>
              </w:rPr>
              <w:t>（2）风险潜势初判</w:t>
            </w:r>
          </w:p>
          <w:p>
            <w:pPr>
              <w:spacing w:line="360" w:lineRule="auto"/>
              <w:ind w:firstLine="480" w:firstLineChars="200"/>
              <w:rPr>
                <w:sz w:val="24"/>
                <w:lang w:val="zh-CN"/>
              </w:rPr>
            </w:pPr>
            <w:r>
              <w:rPr>
                <w:sz w:val="24"/>
                <w:lang w:val="zh-CN"/>
              </w:rPr>
              <w:t>根据《建设项目环境风险评价技术导则 HJ169-2018》附表 B 突发环境事件风险物质及临界量表，根据本项目环境风险物质最大存在总量（以折纯计）与其对应的临界量，计算（Q），计算公式如下：</w:t>
            </w:r>
          </w:p>
          <w:p>
            <w:pPr>
              <w:spacing w:line="360" w:lineRule="auto"/>
              <w:jc w:val="center"/>
              <w:rPr>
                <w:sz w:val="24"/>
              </w:rPr>
            </w:pPr>
            <w:r>
              <w:rPr>
                <w:sz w:val="24"/>
              </w:rPr>
              <w:t>Q=q</w:t>
            </w:r>
            <w:r>
              <w:rPr>
                <w:sz w:val="24"/>
                <w:vertAlign w:val="subscript"/>
              </w:rPr>
              <w:t>1</w:t>
            </w:r>
            <w:r>
              <w:rPr>
                <w:sz w:val="24"/>
              </w:rPr>
              <w:t>/Q</w:t>
            </w:r>
            <w:r>
              <w:rPr>
                <w:sz w:val="24"/>
                <w:vertAlign w:val="subscript"/>
              </w:rPr>
              <w:t>1</w:t>
            </w:r>
            <w:r>
              <w:rPr>
                <w:sz w:val="24"/>
              </w:rPr>
              <w:t xml:space="preserve"> +q</w:t>
            </w:r>
            <w:r>
              <w:rPr>
                <w:sz w:val="24"/>
                <w:vertAlign w:val="subscript"/>
              </w:rPr>
              <w:t>2</w:t>
            </w:r>
            <w:r>
              <w:rPr>
                <w:sz w:val="24"/>
              </w:rPr>
              <w:t>/Q</w:t>
            </w:r>
            <w:r>
              <w:rPr>
                <w:sz w:val="24"/>
                <w:vertAlign w:val="subscript"/>
              </w:rPr>
              <w:t>2</w:t>
            </w:r>
            <w:r>
              <w:rPr>
                <w:sz w:val="24"/>
              </w:rPr>
              <w:t xml:space="preserve"> +…+q</w:t>
            </w:r>
            <w:r>
              <w:rPr>
                <w:sz w:val="24"/>
                <w:vertAlign w:val="subscript"/>
              </w:rPr>
              <w:t>n</w:t>
            </w:r>
            <w:r>
              <w:rPr>
                <w:sz w:val="24"/>
              </w:rPr>
              <w:t xml:space="preserve"> /Q</w:t>
            </w:r>
            <w:r>
              <w:rPr>
                <w:sz w:val="24"/>
                <w:vertAlign w:val="subscript"/>
              </w:rPr>
              <w:t>n</w:t>
            </w:r>
          </w:p>
          <w:p>
            <w:pPr>
              <w:spacing w:line="360" w:lineRule="auto"/>
              <w:ind w:firstLine="480" w:firstLineChars="200"/>
              <w:rPr>
                <w:sz w:val="24"/>
              </w:rPr>
            </w:pPr>
            <w:r>
              <w:rPr>
                <w:sz w:val="24"/>
              </w:rPr>
              <w:t>式中：q</w:t>
            </w:r>
            <w:r>
              <w:rPr>
                <w:sz w:val="24"/>
                <w:vertAlign w:val="subscript"/>
              </w:rPr>
              <w:t>1</w:t>
            </w:r>
            <w:r>
              <w:rPr>
                <w:sz w:val="24"/>
              </w:rPr>
              <w:t>，q</w:t>
            </w:r>
            <w:r>
              <w:rPr>
                <w:sz w:val="24"/>
                <w:vertAlign w:val="subscript"/>
              </w:rPr>
              <w:t>2</w:t>
            </w:r>
            <w:r>
              <w:rPr>
                <w:sz w:val="24"/>
              </w:rPr>
              <w:t>，…，q</w:t>
            </w:r>
            <w:r>
              <w:rPr>
                <w:sz w:val="24"/>
                <w:vertAlign w:val="subscript"/>
              </w:rPr>
              <w:t>n</w:t>
            </w:r>
            <w:r>
              <w:rPr>
                <w:sz w:val="24"/>
              </w:rPr>
              <w:t xml:space="preserve"> ———每种危险物质的最大存在总量，t；</w:t>
            </w:r>
          </w:p>
          <w:p>
            <w:pPr>
              <w:spacing w:line="360" w:lineRule="auto"/>
              <w:ind w:firstLine="480" w:firstLineChars="200"/>
              <w:rPr>
                <w:sz w:val="24"/>
              </w:rPr>
            </w:pPr>
            <w:r>
              <w:rPr>
                <w:sz w:val="24"/>
              </w:rPr>
              <w:t>Q</w:t>
            </w:r>
            <w:r>
              <w:rPr>
                <w:sz w:val="24"/>
                <w:vertAlign w:val="subscript"/>
              </w:rPr>
              <w:t>1</w:t>
            </w:r>
            <w:r>
              <w:rPr>
                <w:sz w:val="24"/>
              </w:rPr>
              <w:t>，Q</w:t>
            </w:r>
            <w:r>
              <w:rPr>
                <w:sz w:val="24"/>
                <w:vertAlign w:val="subscript"/>
              </w:rPr>
              <w:t>2</w:t>
            </w:r>
            <w:r>
              <w:rPr>
                <w:sz w:val="24"/>
              </w:rPr>
              <w:t>，…，Q</w:t>
            </w:r>
            <w:r>
              <w:rPr>
                <w:sz w:val="24"/>
                <w:vertAlign w:val="subscript"/>
              </w:rPr>
              <w:t>n</w:t>
            </w:r>
            <w:r>
              <w:rPr>
                <w:sz w:val="24"/>
              </w:rPr>
              <w:t xml:space="preserve"> ———每种危险物质的临界量，t。</w:t>
            </w:r>
          </w:p>
          <w:p>
            <w:pPr>
              <w:autoSpaceDE w:val="0"/>
              <w:autoSpaceDN w:val="0"/>
              <w:adjustRightInd w:val="0"/>
              <w:snapToGrid w:val="0"/>
              <w:spacing w:line="360" w:lineRule="auto"/>
              <w:ind w:firstLine="480" w:firstLineChars="200"/>
              <w:jc w:val="left"/>
              <w:rPr>
                <w:sz w:val="24"/>
                <w:szCs w:val="24"/>
              </w:rPr>
            </w:pPr>
            <w:r>
              <w:rPr>
                <w:sz w:val="24"/>
              </w:rPr>
              <w:t>本项目涉及的危险物质为稀释剂、机油和油漆，</w:t>
            </w:r>
            <w:r>
              <w:rPr>
                <w:sz w:val="24"/>
                <w:szCs w:val="24"/>
              </w:rPr>
              <w:t>危险物质数量与临界量的比值（Q）如下所示</w:t>
            </w:r>
            <w:r>
              <w:rPr>
                <w:bCs/>
                <w:sz w:val="24"/>
                <w:szCs w:val="24"/>
              </w:rPr>
              <w:t>。</w:t>
            </w:r>
          </w:p>
          <w:p>
            <w:pPr>
              <w:jc w:val="center"/>
              <w:rPr>
                <w:b/>
                <w:bCs/>
              </w:rPr>
            </w:pPr>
            <w:r>
              <w:rPr>
                <w:b/>
                <w:bCs/>
              </w:rPr>
              <w:t>表7-14  危险物质数量与临界量一览表</w:t>
            </w:r>
          </w:p>
          <w:tbl>
            <w:tblPr>
              <w:tblStyle w:val="20"/>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89"/>
              <w:gridCol w:w="1089"/>
              <w:gridCol w:w="1098"/>
              <w:gridCol w:w="1096"/>
              <w:gridCol w:w="1110"/>
              <w:gridCol w:w="1091"/>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l2br w:val="nil"/>
                    <w:tr2bl w:val="nil"/>
                  </w:tcBorders>
                  <w:vAlign w:val="center"/>
                </w:tcPr>
                <w:p>
                  <w:pPr>
                    <w:jc w:val="center"/>
                    <w:rPr>
                      <w:b/>
                      <w:bCs/>
                      <w:szCs w:val="21"/>
                    </w:rPr>
                  </w:pPr>
                  <w:r>
                    <w:rPr>
                      <w:b/>
                      <w:bCs/>
                      <w:szCs w:val="21"/>
                    </w:rPr>
                    <w:t>序号</w:t>
                  </w:r>
                </w:p>
              </w:tc>
              <w:tc>
                <w:tcPr>
                  <w:tcW w:w="1089" w:type="dxa"/>
                  <w:tcBorders>
                    <w:tl2br w:val="nil"/>
                    <w:tr2bl w:val="nil"/>
                  </w:tcBorders>
                  <w:vAlign w:val="center"/>
                </w:tcPr>
                <w:p>
                  <w:pPr>
                    <w:jc w:val="center"/>
                    <w:rPr>
                      <w:b/>
                      <w:bCs/>
                      <w:szCs w:val="21"/>
                    </w:rPr>
                  </w:pPr>
                  <w:r>
                    <w:rPr>
                      <w:b/>
                      <w:bCs/>
                      <w:szCs w:val="21"/>
                    </w:rPr>
                    <w:t>名称</w:t>
                  </w:r>
                </w:p>
              </w:tc>
              <w:tc>
                <w:tcPr>
                  <w:tcW w:w="1089" w:type="dxa"/>
                  <w:tcBorders>
                    <w:tl2br w:val="nil"/>
                    <w:tr2bl w:val="nil"/>
                  </w:tcBorders>
                  <w:vAlign w:val="center"/>
                </w:tcPr>
                <w:p>
                  <w:pPr>
                    <w:jc w:val="center"/>
                    <w:rPr>
                      <w:b/>
                      <w:bCs/>
                      <w:szCs w:val="21"/>
                    </w:rPr>
                  </w:pPr>
                  <w:r>
                    <w:rPr>
                      <w:b/>
                      <w:bCs/>
                      <w:szCs w:val="21"/>
                    </w:rPr>
                    <w:t>形态</w:t>
                  </w:r>
                </w:p>
              </w:tc>
              <w:tc>
                <w:tcPr>
                  <w:tcW w:w="1098" w:type="dxa"/>
                  <w:tcBorders>
                    <w:tl2br w:val="nil"/>
                    <w:tr2bl w:val="nil"/>
                  </w:tcBorders>
                  <w:vAlign w:val="center"/>
                </w:tcPr>
                <w:p>
                  <w:pPr>
                    <w:jc w:val="center"/>
                    <w:rPr>
                      <w:b/>
                      <w:bCs/>
                      <w:szCs w:val="21"/>
                    </w:rPr>
                  </w:pPr>
                  <w:r>
                    <w:rPr>
                      <w:b/>
                      <w:bCs/>
                      <w:szCs w:val="21"/>
                    </w:rPr>
                    <w:t>存在量qi（t）</w:t>
                  </w:r>
                </w:p>
              </w:tc>
              <w:tc>
                <w:tcPr>
                  <w:tcW w:w="1096" w:type="dxa"/>
                  <w:tcBorders>
                    <w:tl2br w:val="nil"/>
                    <w:tr2bl w:val="nil"/>
                  </w:tcBorders>
                  <w:vAlign w:val="center"/>
                </w:tcPr>
                <w:p>
                  <w:pPr>
                    <w:jc w:val="center"/>
                    <w:rPr>
                      <w:b/>
                      <w:bCs/>
                      <w:szCs w:val="21"/>
                    </w:rPr>
                  </w:pPr>
                  <w:r>
                    <w:rPr>
                      <w:b/>
                      <w:bCs/>
                      <w:szCs w:val="21"/>
                    </w:rPr>
                    <w:t>临界量Qi（t）</w:t>
                  </w:r>
                </w:p>
              </w:tc>
              <w:tc>
                <w:tcPr>
                  <w:tcW w:w="1110" w:type="dxa"/>
                  <w:tcBorders>
                    <w:tl2br w:val="nil"/>
                    <w:tr2bl w:val="nil"/>
                  </w:tcBorders>
                  <w:vAlign w:val="center"/>
                </w:tcPr>
                <w:p>
                  <w:pPr>
                    <w:jc w:val="center"/>
                    <w:rPr>
                      <w:b/>
                      <w:bCs/>
                      <w:szCs w:val="21"/>
                    </w:rPr>
                  </w:pPr>
                  <w:r>
                    <w:rPr>
                      <w:b/>
                      <w:bCs/>
                      <w:szCs w:val="21"/>
                    </w:rPr>
                    <w:t>qi/Qi</w:t>
                  </w:r>
                </w:p>
              </w:tc>
              <w:tc>
                <w:tcPr>
                  <w:tcW w:w="1091" w:type="dxa"/>
                  <w:tcBorders>
                    <w:tl2br w:val="nil"/>
                    <w:tr2bl w:val="nil"/>
                  </w:tcBorders>
                  <w:vAlign w:val="center"/>
                </w:tcPr>
                <w:p>
                  <w:pPr>
                    <w:jc w:val="center"/>
                    <w:rPr>
                      <w:b/>
                      <w:bCs/>
                      <w:szCs w:val="21"/>
                    </w:rPr>
                  </w:pPr>
                  <w:r>
                    <w:rPr>
                      <w:b/>
                      <w:bCs/>
                      <w:szCs w:val="21"/>
                    </w:rPr>
                    <w:t>危险特性</w:t>
                  </w:r>
                </w:p>
              </w:tc>
              <w:tc>
                <w:tcPr>
                  <w:tcW w:w="1110" w:type="dxa"/>
                  <w:tcBorders>
                    <w:tl2br w:val="nil"/>
                    <w:tr2bl w:val="nil"/>
                  </w:tcBorders>
                  <w:vAlign w:val="center"/>
                </w:tcPr>
                <w:p>
                  <w:pPr>
                    <w:jc w:val="center"/>
                    <w:rPr>
                      <w:b/>
                      <w:bCs/>
                      <w:szCs w:val="21"/>
                    </w:rPr>
                  </w:pPr>
                  <w:r>
                    <w:rPr>
                      <w:b/>
                      <w:bCs/>
                      <w:szCs w:val="21"/>
                    </w:rPr>
                    <w:t>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15" w:type="dxa"/>
                  <w:tcBorders>
                    <w:tl2br w:val="nil"/>
                    <w:tr2bl w:val="nil"/>
                  </w:tcBorders>
                  <w:vAlign w:val="center"/>
                </w:tcPr>
                <w:p>
                  <w:pPr>
                    <w:jc w:val="center"/>
                    <w:rPr>
                      <w:szCs w:val="21"/>
                    </w:rPr>
                  </w:pPr>
                  <w:r>
                    <w:rPr>
                      <w:szCs w:val="21"/>
                    </w:rPr>
                    <w:t>1</w:t>
                  </w:r>
                </w:p>
              </w:tc>
              <w:tc>
                <w:tcPr>
                  <w:tcW w:w="1089" w:type="dxa"/>
                  <w:tcBorders>
                    <w:tl2br w:val="nil"/>
                    <w:tr2bl w:val="nil"/>
                  </w:tcBorders>
                  <w:vAlign w:val="center"/>
                </w:tcPr>
                <w:p>
                  <w:pPr>
                    <w:ind w:left="-105" w:leftChars="-50" w:right="-105" w:rightChars="-50"/>
                    <w:jc w:val="center"/>
                    <w:rPr>
                      <w:szCs w:val="21"/>
                    </w:rPr>
                  </w:pPr>
                  <w:r>
                    <w:rPr>
                      <w:szCs w:val="21"/>
                    </w:rPr>
                    <w:t>稀释剂</w:t>
                  </w:r>
                </w:p>
              </w:tc>
              <w:tc>
                <w:tcPr>
                  <w:tcW w:w="1089" w:type="dxa"/>
                  <w:tcBorders>
                    <w:tl2br w:val="nil"/>
                    <w:tr2bl w:val="nil"/>
                  </w:tcBorders>
                  <w:vAlign w:val="center"/>
                </w:tcPr>
                <w:p>
                  <w:pPr>
                    <w:jc w:val="center"/>
                    <w:rPr>
                      <w:szCs w:val="21"/>
                    </w:rPr>
                  </w:pPr>
                  <w:r>
                    <w:rPr>
                      <w:szCs w:val="21"/>
                    </w:rPr>
                    <w:t>液态</w:t>
                  </w:r>
                </w:p>
              </w:tc>
              <w:tc>
                <w:tcPr>
                  <w:tcW w:w="1098" w:type="dxa"/>
                  <w:tcBorders>
                    <w:tl2br w:val="nil"/>
                    <w:tr2bl w:val="nil"/>
                  </w:tcBorders>
                  <w:vAlign w:val="center"/>
                </w:tcPr>
                <w:p>
                  <w:pPr>
                    <w:pStyle w:val="47"/>
                    <w:ind w:left="-105" w:leftChars="-50" w:right="-105" w:rightChars="-50"/>
                    <w:rPr>
                      <w:rFonts w:ascii="Times New Roman" w:hAnsi="Times New Roman"/>
                      <w:b w:val="0"/>
                      <w:bCs/>
                      <w:sz w:val="21"/>
                      <w:szCs w:val="21"/>
                    </w:rPr>
                  </w:pPr>
                  <w:r>
                    <w:rPr>
                      <w:rFonts w:hint="eastAsia" w:ascii="Times New Roman" w:hAnsi="Times New Roman"/>
                      <w:b w:val="0"/>
                      <w:bCs/>
                      <w:sz w:val="21"/>
                      <w:szCs w:val="21"/>
                    </w:rPr>
                    <w:t>0.05</w:t>
                  </w:r>
                </w:p>
              </w:tc>
              <w:tc>
                <w:tcPr>
                  <w:tcW w:w="1096" w:type="dxa"/>
                  <w:tcBorders>
                    <w:tl2br w:val="nil"/>
                    <w:tr2bl w:val="nil"/>
                  </w:tcBorders>
                  <w:vAlign w:val="center"/>
                </w:tcPr>
                <w:p>
                  <w:pPr>
                    <w:tabs>
                      <w:tab w:val="left" w:pos="0"/>
                    </w:tabs>
                    <w:jc w:val="center"/>
                    <w:rPr>
                      <w:szCs w:val="21"/>
                    </w:rPr>
                  </w:pPr>
                  <w:r>
                    <w:rPr>
                      <w:szCs w:val="21"/>
                    </w:rPr>
                    <w:t>2500</w:t>
                  </w:r>
                </w:p>
              </w:tc>
              <w:tc>
                <w:tcPr>
                  <w:tcW w:w="1110" w:type="dxa"/>
                  <w:tcBorders>
                    <w:tl2br w:val="nil"/>
                    <w:tr2bl w:val="nil"/>
                  </w:tcBorders>
                  <w:vAlign w:val="center"/>
                </w:tcPr>
                <w:p>
                  <w:pPr>
                    <w:jc w:val="center"/>
                    <w:textAlignment w:val="center"/>
                    <w:rPr>
                      <w:szCs w:val="21"/>
                    </w:rPr>
                  </w:pPr>
                  <w:r>
                    <w:rPr>
                      <w:szCs w:val="21"/>
                    </w:rPr>
                    <w:t>0.0000</w:t>
                  </w:r>
                  <w:r>
                    <w:rPr>
                      <w:rFonts w:hint="eastAsia"/>
                      <w:szCs w:val="21"/>
                    </w:rPr>
                    <w:t>2</w:t>
                  </w:r>
                </w:p>
              </w:tc>
              <w:tc>
                <w:tcPr>
                  <w:tcW w:w="1091" w:type="dxa"/>
                  <w:tcBorders>
                    <w:tl2br w:val="nil"/>
                    <w:tr2bl w:val="nil"/>
                  </w:tcBorders>
                  <w:vAlign w:val="center"/>
                </w:tcPr>
                <w:p>
                  <w:pPr>
                    <w:jc w:val="center"/>
                    <w:rPr>
                      <w:szCs w:val="21"/>
                    </w:rPr>
                  </w:pPr>
                  <w:r>
                    <w:rPr>
                      <w:szCs w:val="21"/>
                    </w:rPr>
                    <w:t>易燃</w:t>
                  </w:r>
                </w:p>
              </w:tc>
              <w:tc>
                <w:tcPr>
                  <w:tcW w:w="1110" w:type="dxa"/>
                  <w:vMerge w:val="restart"/>
                  <w:tcBorders>
                    <w:tl2br w:val="nil"/>
                    <w:tr2bl w:val="nil"/>
                  </w:tcBorders>
                  <w:vAlign w:val="center"/>
                </w:tcPr>
                <w:p>
                  <w:pPr>
                    <w:jc w:val="center"/>
                    <w:rPr>
                      <w:szCs w:val="21"/>
                    </w:rPr>
                  </w:pPr>
                  <w:r>
                    <w:rPr>
                      <w:szCs w:val="21"/>
                    </w:rPr>
                    <w:t>0.00</w:t>
                  </w:r>
                  <w:r>
                    <w:rPr>
                      <w:rFonts w:hint="eastAsia"/>
                      <w:szCs w:val="21"/>
                      <w:lang w:val="en-US" w:eastAsia="zh-CN"/>
                    </w:rPr>
                    <w:t>1</w:t>
                  </w:r>
                  <w:r>
                    <w:rPr>
                      <w:rFonts w:hint="eastAsia"/>
                      <w:szCs w:val="21"/>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l2br w:val="nil"/>
                    <w:tr2bl w:val="nil"/>
                  </w:tcBorders>
                  <w:vAlign w:val="center"/>
                </w:tcPr>
                <w:p>
                  <w:pPr>
                    <w:jc w:val="center"/>
                    <w:rPr>
                      <w:szCs w:val="21"/>
                    </w:rPr>
                  </w:pPr>
                  <w:r>
                    <w:rPr>
                      <w:szCs w:val="21"/>
                    </w:rPr>
                    <w:t>2</w:t>
                  </w:r>
                </w:p>
              </w:tc>
              <w:tc>
                <w:tcPr>
                  <w:tcW w:w="1089" w:type="dxa"/>
                  <w:tcBorders>
                    <w:tl2br w:val="nil"/>
                    <w:tr2bl w:val="nil"/>
                  </w:tcBorders>
                  <w:vAlign w:val="center"/>
                </w:tcPr>
                <w:p>
                  <w:pPr>
                    <w:tabs>
                      <w:tab w:val="left" w:pos="8820"/>
                      <w:tab w:val="left" w:pos="9000"/>
                    </w:tabs>
                    <w:ind w:left="-105" w:leftChars="-50" w:right="-105" w:rightChars="-50"/>
                    <w:jc w:val="center"/>
                    <w:rPr>
                      <w:szCs w:val="21"/>
                    </w:rPr>
                  </w:pPr>
                  <w:r>
                    <w:rPr>
                      <w:szCs w:val="21"/>
                    </w:rPr>
                    <w:t>机油</w:t>
                  </w:r>
                </w:p>
              </w:tc>
              <w:tc>
                <w:tcPr>
                  <w:tcW w:w="1089" w:type="dxa"/>
                  <w:tcBorders>
                    <w:tl2br w:val="nil"/>
                    <w:tr2bl w:val="nil"/>
                  </w:tcBorders>
                  <w:vAlign w:val="center"/>
                </w:tcPr>
                <w:p>
                  <w:pPr>
                    <w:jc w:val="center"/>
                    <w:rPr>
                      <w:szCs w:val="21"/>
                    </w:rPr>
                  </w:pPr>
                  <w:r>
                    <w:rPr>
                      <w:szCs w:val="21"/>
                    </w:rPr>
                    <w:t>液态</w:t>
                  </w:r>
                </w:p>
              </w:tc>
              <w:tc>
                <w:tcPr>
                  <w:tcW w:w="1098" w:type="dxa"/>
                  <w:tcBorders>
                    <w:tl2br w:val="nil"/>
                    <w:tr2bl w:val="nil"/>
                  </w:tcBorders>
                  <w:vAlign w:val="center"/>
                </w:tcPr>
                <w:p>
                  <w:pPr>
                    <w:pStyle w:val="47"/>
                    <w:ind w:left="-105" w:leftChars="-50" w:right="-105" w:rightChars="-50"/>
                    <w:rPr>
                      <w:rFonts w:ascii="Times New Roman" w:hAnsi="Times New Roman"/>
                      <w:b w:val="0"/>
                      <w:bCs/>
                      <w:sz w:val="21"/>
                      <w:szCs w:val="21"/>
                    </w:rPr>
                  </w:pPr>
                  <w:r>
                    <w:rPr>
                      <w:rFonts w:hint="eastAsia" w:ascii="Times New Roman" w:hAnsi="Times New Roman"/>
                      <w:b w:val="0"/>
                      <w:bCs/>
                      <w:sz w:val="21"/>
                      <w:szCs w:val="21"/>
                    </w:rPr>
                    <w:t>1.2</w:t>
                  </w:r>
                </w:p>
              </w:tc>
              <w:tc>
                <w:tcPr>
                  <w:tcW w:w="1096" w:type="dxa"/>
                  <w:tcBorders>
                    <w:tl2br w:val="nil"/>
                    <w:tr2bl w:val="nil"/>
                  </w:tcBorders>
                  <w:vAlign w:val="center"/>
                </w:tcPr>
                <w:p>
                  <w:pPr>
                    <w:tabs>
                      <w:tab w:val="left" w:pos="0"/>
                    </w:tabs>
                    <w:jc w:val="center"/>
                    <w:rPr>
                      <w:szCs w:val="21"/>
                    </w:rPr>
                  </w:pPr>
                  <w:r>
                    <w:rPr>
                      <w:szCs w:val="21"/>
                    </w:rPr>
                    <w:t>2500</w:t>
                  </w:r>
                </w:p>
              </w:tc>
              <w:tc>
                <w:tcPr>
                  <w:tcW w:w="1110" w:type="dxa"/>
                  <w:tcBorders>
                    <w:tl2br w:val="nil"/>
                    <w:tr2bl w:val="nil"/>
                  </w:tcBorders>
                  <w:vAlign w:val="center"/>
                </w:tcPr>
                <w:p>
                  <w:pPr>
                    <w:jc w:val="center"/>
                    <w:textAlignment w:val="center"/>
                    <w:rPr>
                      <w:szCs w:val="21"/>
                    </w:rPr>
                  </w:pPr>
                  <w:r>
                    <w:rPr>
                      <w:szCs w:val="21"/>
                    </w:rPr>
                    <w:t>0.000</w:t>
                  </w:r>
                  <w:r>
                    <w:rPr>
                      <w:rFonts w:hint="eastAsia"/>
                      <w:szCs w:val="21"/>
                    </w:rPr>
                    <w:t>48</w:t>
                  </w:r>
                </w:p>
              </w:tc>
              <w:tc>
                <w:tcPr>
                  <w:tcW w:w="1091" w:type="dxa"/>
                  <w:tcBorders>
                    <w:tl2br w:val="nil"/>
                    <w:tr2bl w:val="nil"/>
                  </w:tcBorders>
                  <w:vAlign w:val="center"/>
                </w:tcPr>
                <w:p>
                  <w:pPr>
                    <w:jc w:val="center"/>
                    <w:rPr>
                      <w:szCs w:val="21"/>
                    </w:rPr>
                  </w:pPr>
                  <w:r>
                    <w:rPr>
                      <w:szCs w:val="21"/>
                    </w:rPr>
                    <w:t>易燃</w:t>
                  </w:r>
                </w:p>
              </w:tc>
              <w:tc>
                <w:tcPr>
                  <w:tcW w:w="1110"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5" w:type="dxa"/>
                  <w:tcBorders>
                    <w:tl2br w:val="nil"/>
                    <w:tr2bl w:val="nil"/>
                  </w:tcBorders>
                  <w:vAlign w:val="center"/>
                </w:tcPr>
                <w:p>
                  <w:pPr>
                    <w:jc w:val="center"/>
                    <w:rPr>
                      <w:szCs w:val="21"/>
                    </w:rPr>
                  </w:pPr>
                  <w:r>
                    <w:rPr>
                      <w:szCs w:val="21"/>
                    </w:rPr>
                    <w:t>3</w:t>
                  </w:r>
                </w:p>
              </w:tc>
              <w:tc>
                <w:tcPr>
                  <w:tcW w:w="1089" w:type="dxa"/>
                  <w:tcBorders>
                    <w:tl2br w:val="nil"/>
                    <w:tr2bl w:val="nil"/>
                  </w:tcBorders>
                  <w:vAlign w:val="center"/>
                </w:tcPr>
                <w:p>
                  <w:pPr>
                    <w:ind w:left="-105" w:leftChars="-50" w:right="-105" w:rightChars="-50"/>
                    <w:jc w:val="center"/>
                    <w:rPr>
                      <w:szCs w:val="21"/>
                    </w:rPr>
                  </w:pPr>
                  <w:r>
                    <w:rPr>
                      <w:szCs w:val="21"/>
                    </w:rPr>
                    <w:t>油漆</w:t>
                  </w:r>
                </w:p>
              </w:tc>
              <w:tc>
                <w:tcPr>
                  <w:tcW w:w="1089" w:type="dxa"/>
                  <w:tcBorders>
                    <w:tl2br w:val="nil"/>
                    <w:tr2bl w:val="nil"/>
                  </w:tcBorders>
                  <w:vAlign w:val="center"/>
                </w:tcPr>
                <w:p>
                  <w:pPr>
                    <w:jc w:val="center"/>
                    <w:rPr>
                      <w:szCs w:val="21"/>
                    </w:rPr>
                  </w:pPr>
                  <w:r>
                    <w:rPr>
                      <w:szCs w:val="21"/>
                    </w:rPr>
                    <w:t>液态</w:t>
                  </w:r>
                </w:p>
              </w:tc>
              <w:tc>
                <w:tcPr>
                  <w:tcW w:w="1098" w:type="dxa"/>
                  <w:tcBorders>
                    <w:tl2br w:val="nil"/>
                    <w:tr2bl w:val="nil"/>
                  </w:tcBorders>
                  <w:vAlign w:val="center"/>
                </w:tcPr>
                <w:p>
                  <w:pPr>
                    <w:pStyle w:val="47"/>
                    <w:ind w:left="-105" w:leftChars="-50" w:right="-105" w:rightChars="-50"/>
                    <w:rPr>
                      <w:rFonts w:ascii="Times New Roman" w:hAnsi="Times New Roman"/>
                      <w:b w:val="0"/>
                      <w:bCs/>
                      <w:sz w:val="21"/>
                      <w:szCs w:val="21"/>
                    </w:rPr>
                  </w:pPr>
                  <w:r>
                    <w:rPr>
                      <w:rFonts w:hint="eastAsia" w:ascii="Times New Roman" w:hAnsi="Times New Roman"/>
                      <w:b w:val="0"/>
                      <w:bCs/>
                      <w:sz w:val="21"/>
                      <w:szCs w:val="21"/>
                    </w:rPr>
                    <w:t>0.1</w:t>
                  </w:r>
                </w:p>
              </w:tc>
              <w:tc>
                <w:tcPr>
                  <w:tcW w:w="1096" w:type="dxa"/>
                  <w:tcBorders>
                    <w:tl2br w:val="nil"/>
                    <w:tr2bl w:val="nil"/>
                  </w:tcBorders>
                  <w:vAlign w:val="center"/>
                </w:tcPr>
                <w:p>
                  <w:pPr>
                    <w:jc w:val="center"/>
                    <w:textAlignment w:val="center"/>
                    <w:rPr>
                      <w:szCs w:val="21"/>
                    </w:rPr>
                  </w:pPr>
                  <w:r>
                    <w:rPr>
                      <w:szCs w:val="21"/>
                    </w:rPr>
                    <w:t>2500</w:t>
                  </w:r>
                </w:p>
              </w:tc>
              <w:tc>
                <w:tcPr>
                  <w:tcW w:w="1110" w:type="dxa"/>
                  <w:tcBorders>
                    <w:tl2br w:val="nil"/>
                    <w:tr2bl w:val="nil"/>
                  </w:tcBorders>
                  <w:vAlign w:val="center"/>
                </w:tcPr>
                <w:p>
                  <w:pPr>
                    <w:jc w:val="center"/>
                    <w:textAlignment w:val="center"/>
                    <w:rPr>
                      <w:szCs w:val="21"/>
                    </w:rPr>
                  </w:pPr>
                  <w:r>
                    <w:rPr>
                      <w:szCs w:val="21"/>
                    </w:rPr>
                    <w:t>0.0000</w:t>
                  </w:r>
                  <w:r>
                    <w:rPr>
                      <w:rFonts w:hint="eastAsia"/>
                      <w:szCs w:val="21"/>
                    </w:rPr>
                    <w:t>4</w:t>
                  </w:r>
                </w:p>
              </w:tc>
              <w:tc>
                <w:tcPr>
                  <w:tcW w:w="1091" w:type="dxa"/>
                  <w:tcBorders>
                    <w:tl2br w:val="nil"/>
                    <w:tr2bl w:val="nil"/>
                  </w:tcBorders>
                  <w:vAlign w:val="center"/>
                </w:tcPr>
                <w:p>
                  <w:pPr>
                    <w:jc w:val="center"/>
                    <w:rPr>
                      <w:szCs w:val="21"/>
                    </w:rPr>
                  </w:pPr>
                  <w:r>
                    <w:rPr>
                      <w:szCs w:val="21"/>
                    </w:rPr>
                    <w:t>易燃</w:t>
                  </w:r>
                </w:p>
              </w:tc>
              <w:tc>
                <w:tcPr>
                  <w:tcW w:w="1110"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5" w:type="dxa"/>
                  <w:tcBorders>
                    <w:tl2br w:val="nil"/>
                    <w:tr2bl w:val="nil"/>
                  </w:tcBorders>
                  <w:vAlign w:val="center"/>
                </w:tcPr>
                <w:p>
                  <w:pPr>
                    <w:jc w:val="center"/>
                    <w:rPr>
                      <w:szCs w:val="21"/>
                    </w:rPr>
                  </w:pPr>
                  <w:r>
                    <w:rPr>
                      <w:szCs w:val="21"/>
                    </w:rPr>
                    <w:t>4</w:t>
                  </w:r>
                </w:p>
              </w:tc>
              <w:tc>
                <w:tcPr>
                  <w:tcW w:w="1089" w:type="dxa"/>
                  <w:tcBorders>
                    <w:tl2br w:val="nil"/>
                    <w:tr2bl w:val="nil"/>
                  </w:tcBorders>
                  <w:vAlign w:val="center"/>
                </w:tcPr>
                <w:p>
                  <w:pPr>
                    <w:ind w:left="-105" w:leftChars="-50" w:right="-105" w:rightChars="-50"/>
                    <w:jc w:val="center"/>
                    <w:rPr>
                      <w:szCs w:val="21"/>
                    </w:rPr>
                  </w:pPr>
                  <w:r>
                    <w:rPr>
                      <w:szCs w:val="21"/>
                    </w:rPr>
                    <w:t>危险废物</w:t>
                  </w:r>
                </w:p>
              </w:tc>
              <w:tc>
                <w:tcPr>
                  <w:tcW w:w="1089" w:type="dxa"/>
                  <w:tcBorders>
                    <w:tl2br w:val="nil"/>
                    <w:tr2bl w:val="nil"/>
                  </w:tcBorders>
                  <w:vAlign w:val="center"/>
                </w:tcPr>
                <w:p>
                  <w:pPr>
                    <w:jc w:val="center"/>
                    <w:rPr>
                      <w:szCs w:val="21"/>
                    </w:rPr>
                  </w:pPr>
                  <w:r>
                    <w:rPr>
                      <w:szCs w:val="21"/>
                    </w:rPr>
                    <w:t>固态/液态</w:t>
                  </w:r>
                </w:p>
              </w:tc>
              <w:tc>
                <w:tcPr>
                  <w:tcW w:w="1098" w:type="dxa"/>
                  <w:tcBorders>
                    <w:tl2br w:val="nil"/>
                    <w:tr2bl w:val="nil"/>
                  </w:tcBorders>
                  <w:vAlign w:val="center"/>
                </w:tcPr>
                <w:p>
                  <w:pPr>
                    <w:pStyle w:val="47"/>
                    <w:ind w:left="-105" w:leftChars="-50" w:right="-105" w:rightChars="-50"/>
                    <w:rPr>
                      <w:rFonts w:ascii="Times New Roman" w:hAnsi="Times New Roman"/>
                      <w:b w:val="0"/>
                      <w:bCs/>
                      <w:sz w:val="21"/>
                      <w:szCs w:val="21"/>
                    </w:rPr>
                  </w:pPr>
                  <w:r>
                    <w:rPr>
                      <w:rFonts w:hint="eastAsia" w:ascii="Times New Roman" w:hAnsi="Times New Roman"/>
                      <w:b w:val="0"/>
                      <w:bCs/>
                      <w:sz w:val="21"/>
                      <w:szCs w:val="21"/>
                    </w:rPr>
                    <w:t>0.1</w:t>
                  </w:r>
                </w:p>
              </w:tc>
              <w:tc>
                <w:tcPr>
                  <w:tcW w:w="1096" w:type="dxa"/>
                  <w:tcBorders>
                    <w:tl2br w:val="nil"/>
                    <w:tr2bl w:val="nil"/>
                  </w:tcBorders>
                  <w:vAlign w:val="center"/>
                </w:tcPr>
                <w:p>
                  <w:pPr>
                    <w:jc w:val="center"/>
                    <w:textAlignment w:val="center"/>
                    <w:rPr>
                      <w:szCs w:val="21"/>
                    </w:rPr>
                  </w:pPr>
                  <w:r>
                    <w:rPr>
                      <w:szCs w:val="21"/>
                    </w:rPr>
                    <w:t>/</w:t>
                  </w:r>
                </w:p>
              </w:tc>
              <w:tc>
                <w:tcPr>
                  <w:tcW w:w="1110" w:type="dxa"/>
                  <w:tcBorders>
                    <w:tl2br w:val="nil"/>
                    <w:tr2bl w:val="nil"/>
                  </w:tcBorders>
                  <w:vAlign w:val="center"/>
                </w:tcPr>
                <w:p>
                  <w:pPr>
                    <w:jc w:val="center"/>
                    <w:textAlignment w:val="center"/>
                    <w:rPr>
                      <w:szCs w:val="21"/>
                    </w:rPr>
                  </w:pPr>
                  <w:r>
                    <w:rPr>
                      <w:szCs w:val="21"/>
                    </w:rPr>
                    <w:t>/</w:t>
                  </w:r>
                </w:p>
              </w:tc>
              <w:tc>
                <w:tcPr>
                  <w:tcW w:w="1091" w:type="dxa"/>
                  <w:tcBorders>
                    <w:tl2br w:val="nil"/>
                    <w:tr2bl w:val="nil"/>
                  </w:tcBorders>
                  <w:vAlign w:val="center"/>
                </w:tcPr>
                <w:p>
                  <w:pPr>
                    <w:jc w:val="center"/>
                    <w:rPr>
                      <w:szCs w:val="21"/>
                    </w:rPr>
                  </w:pPr>
                  <w:r>
                    <w:rPr>
                      <w:szCs w:val="21"/>
                    </w:rPr>
                    <w:t>易燃/有毒</w:t>
                  </w:r>
                </w:p>
              </w:tc>
              <w:tc>
                <w:tcPr>
                  <w:tcW w:w="1110"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5" w:type="dxa"/>
                  <w:tcBorders>
                    <w:tl2br w:val="nil"/>
                    <w:tr2bl w:val="nil"/>
                  </w:tcBorders>
                  <w:vAlign w:val="center"/>
                </w:tcPr>
                <w:p>
                  <w:pPr>
                    <w:jc w:val="center"/>
                    <w:rPr>
                      <w:rFonts w:hint="eastAsia" w:eastAsia="宋体"/>
                      <w:szCs w:val="21"/>
                      <w:lang w:val="en-US" w:eastAsia="zh-CN"/>
                    </w:rPr>
                  </w:pPr>
                  <w:r>
                    <w:rPr>
                      <w:rFonts w:hint="eastAsia"/>
                      <w:szCs w:val="21"/>
                      <w:lang w:val="en-US" w:eastAsia="zh-CN"/>
                    </w:rPr>
                    <w:t>5</w:t>
                  </w:r>
                </w:p>
              </w:tc>
              <w:tc>
                <w:tcPr>
                  <w:tcW w:w="1089" w:type="dxa"/>
                  <w:tcBorders>
                    <w:tl2br w:val="nil"/>
                    <w:tr2bl w:val="nil"/>
                  </w:tcBorders>
                  <w:vAlign w:val="center"/>
                </w:tcPr>
                <w:p>
                  <w:pPr>
                    <w:ind w:left="-105" w:leftChars="-50" w:right="-105" w:rightChars="-50"/>
                    <w:jc w:val="center"/>
                    <w:rPr>
                      <w:szCs w:val="21"/>
                    </w:rPr>
                  </w:pPr>
                  <w:r>
                    <w:rPr>
                      <w:rFonts w:hint="eastAsia"/>
                      <w:lang w:eastAsia="zh-CN"/>
                    </w:rPr>
                    <w:t>乙酸乙酯</w:t>
                  </w:r>
                </w:p>
              </w:tc>
              <w:tc>
                <w:tcPr>
                  <w:tcW w:w="1089" w:type="dxa"/>
                  <w:tcBorders>
                    <w:tl2br w:val="nil"/>
                    <w:tr2bl w:val="nil"/>
                  </w:tcBorders>
                  <w:vAlign w:val="center"/>
                </w:tcPr>
                <w:p>
                  <w:pPr>
                    <w:jc w:val="center"/>
                    <w:rPr>
                      <w:szCs w:val="21"/>
                    </w:rPr>
                  </w:pPr>
                  <w:r>
                    <w:rPr>
                      <w:szCs w:val="21"/>
                    </w:rPr>
                    <w:t>液态</w:t>
                  </w:r>
                </w:p>
              </w:tc>
              <w:tc>
                <w:tcPr>
                  <w:tcW w:w="1098" w:type="dxa"/>
                  <w:tcBorders>
                    <w:tl2br w:val="nil"/>
                    <w:tr2bl w:val="nil"/>
                  </w:tcBorders>
                  <w:vAlign w:val="center"/>
                </w:tcPr>
                <w:p>
                  <w:pPr>
                    <w:pStyle w:val="47"/>
                    <w:ind w:left="-105" w:leftChars="-50" w:right="-105" w:rightChars="-50"/>
                    <w:rPr>
                      <w:rFonts w:hint="default"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0.01</w:t>
                  </w:r>
                </w:p>
              </w:tc>
              <w:tc>
                <w:tcPr>
                  <w:tcW w:w="1096" w:type="dxa"/>
                  <w:tcBorders>
                    <w:tl2br w:val="nil"/>
                    <w:tr2bl w:val="nil"/>
                  </w:tcBorders>
                  <w:vAlign w:val="center"/>
                </w:tcPr>
                <w:p>
                  <w:pPr>
                    <w:jc w:val="center"/>
                    <w:textAlignment w:val="center"/>
                    <w:rPr>
                      <w:rFonts w:hint="default" w:eastAsia="宋体"/>
                      <w:szCs w:val="21"/>
                      <w:lang w:val="en-US" w:eastAsia="zh-CN"/>
                    </w:rPr>
                  </w:pPr>
                  <w:r>
                    <w:rPr>
                      <w:rFonts w:hint="eastAsia"/>
                      <w:szCs w:val="21"/>
                      <w:lang w:val="en-US" w:eastAsia="zh-CN"/>
                    </w:rPr>
                    <w:t>10</w:t>
                  </w:r>
                </w:p>
              </w:tc>
              <w:tc>
                <w:tcPr>
                  <w:tcW w:w="1110" w:type="dxa"/>
                  <w:tcBorders>
                    <w:tl2br w:val="nil"/>
                    <w:tr2bl w:val="nil"/>
                  </w:tcBorders>
                  <w:vAlign w:val="center"/>
                </w:tcPr>
                <w:p>
                  <w:pPr>
                    <w:jc w:val="center"/>
                    <w:textAlignment w:val="center"/>
                    <w:rPr>
                      <w:rFonts w:hint="default" w:eastAsia="宋体"/>
                      <w:szCs w:val="21"/>
                      <w:lang w:val="en-US" w:eastAsia="zh-CN"/>
                    </w:rPr>
                  </w:pPr>
                  <w:r>
                    <w:rPr>
                      <w:rFonts w:hint="eastAsia"/>
                      <w:szCs w:val="21"/>
                      <w:lang w:val="en-US" w:eastAsia="zh-CN"/>
                    </w:rPr>
                    <w:t>0.001</w:t>
                  </w:r>
                </w:p>
              </w:tc>
              <w:tc>
                <w:tcPr>
                  <w:tcW w:w="1091" w:type="dxa"/>
                  <w:tcBorders>
                    <w:tl2br w:val="nil"/>
                    <w:tr2bl w:val="nil"/>
                  </w:tcBorders>
                  <w:vAlign w:val="center"/>
                </w:tcPr>
                <w:p>
                  <w:pPr>
                    <w:jc w:val="center"/>
                    <w:rPr>
                      <w:szCs w:val="21"/>
                    </w:rPr>
                  </w:pPr>
                  <w:r>
                    <w:rPr>
                      <w:szCs w:val="21"/>
                    </w:rPr>
                    <w:t>易燃</w:t>
                  </w:r>
                </w:p>
              </w:tc>
              <w:tc>
                <w:tcPr>
                  <w:tcW w:w="1110" w:type="dxa"/>
                  <w:vMerge w:val="continue"/>
                  <w:tcBorders>
                    <w:tl2br w:val="nil"/>
                    <w:tr2bl w:val="nil"/>
                  </w:tcBorders>
                  <w:vAlign w:val="center"/>
                </w:tcPr>
                <w:p>
                  <w:pPr>
                    <w:jc w:val="center"/>
                    <w:rPr>
                      <w:szCs w:val="21"/>
                    </w:rPr>
                  </w:pPr>
                </w:p>
              </w:tc>
            </w:tr>
          </w:tbl>
          <w:p>
            <w:pPr>
              <w:autoSpaceDE w:val="0"/>
              <w:autoSpaceDN w:val="0"/>
              <w:adjustRightInd w:val="0"/>
              <w:snapToGrid w:val="0"/>
              <w:spacing w:line="360" w:lineRule="auto"/>
              <w:ind w:firstLine="480" w:firstLineChars="200"/>
              <w:jc w:val="left"/>
              <w:rPr>
                <w:sz w:val="24"/>
              </w:rPr>
            </w:pPr>
            <w:r>
              <w:rPr>
                <w:sz w:val="24"/>
              </w:rPr>
              <w:t>根据上表可知，Q值远小于1，根据《建设项目环境风险评价技术导则》（HJ169-2018）附录C可知，当Q＜1时，该项目环境风险潜势为Ⅰ。</w:t>
            </w:r>
          </w:p>
          <w:p>
            <w:pPr>
              <w:pStyle w:val="2"/>
              <w:snapToGrid w:val="0"/>
              <w:spacing w:after="0" w:line="360" w:lineRule="auto"/>
              <w:ind w:firstLine="480" w:firstLineChars="200"/>
              <w:rPr>
                <w:sz w:val="24"/>
              </w:rPr>
            </w:pPr>
            <w:r>
              <w:rPr>
                <w:sz w:val="24"/>
              </w:rPr>
              <w:t>（3）风险评价等级判定</w:t>
            </w:r>
          </w:p>
          <w:p>
            <w:pPr>
              <w:autoSpaceDE w:val="0"/>
              <w:autoSpaceDN w:val="0"/>
              <w:adjustRightInd w:val="0"/>
              <w:snapToGrid w:val="0"/>
              <w:spacing w:line="360" w:lineRule="auto"/>
              <w:ind w:firstLine="480" w:firstLineChars="200"/>
              <w:jc w:val="left"/>
              <w:rPr>
                <w:sz w:val="24"/>
              </w:rPr>
            </w:pPr>
            <w:r>
              <w:rPr>
                <w:sz w:val="24"/>
              </w:rPr>
              <w:t>由于本项目环境风险潜势为Ⅰ，故本项目环境风险可开展简要分析，具体详见表7-15。</w:t>
            </w:r>
          </w:p>
          <w:p>
            <w:pPr>
              <w:ind w:firstLine="422" w:firstLineChars="200"/>
              <w:jc w:val="center"/>
              <w:rPr>
                <w:b/>
                <w:szCs w:val="21"/>
              </w:rPr>
            </w:pPr>
            <w:r>
              <w:rPr>
                <w:b/>
                <w:szCs w:val="21"/>
              </w:rPr>
              <w:t>表7-15   评价工作等级划分</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1714"/>
              <w:gridCol w:w="1715"/>
              <w:gridCol w:w="1714"/>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1612" w:type="dxa"/>
                </w:tcPr>
                <w:p>
                  <w:pPr>
                    <w:jc w:val="center"/>
                    <w:rPr>
                      <w:szCs w:val="21"/>
                    </w:rPr>
                  </w:pPr>
                  <w:r>
                    <w:rPr>
                      <w:szCs w:val="21"/>
                    </w:rPr>
                    <w:t>环境风险潜势</w:t>
                  </w:r>
                </w:p>
              </w:tc>
              <w:tc>
                <w:tcPr>
                  <w:tcW w:w="1714" w:type="dxa"/>
                </w:tcPr>
                <w:p>
                  <w:pPr>
                    <w:jc w:val="center"/>
                    <w:rPr>
                      <w:szCs w:val="21"/>
                    </w:rPr>
                  </w:pPr>
                  <w:r>
                    <w:rPr>
                      <w:szCs w:val="21"/>
                    </w:rPr>
                    <w:t>Ⅳ、Ⅳ</w:t>
                  </w:r>
                  <w:r>
                    <w:rPr>
                      <w:szCs w:val="21"/>
                      <w:vertAlign w:val="superscript"/>
                    </w:rPr>
                    <w:t>+</w:t>
                  </w:r>
                </w:p>
              </w:tc>
              <w:tc>
                <w:tcPr>
                  <w:tcW w:w="1715" w:type="dxa"/>
                </w:tcPr>
                <w:p>
                  <w:pPr>
                    <w:jc w:val="center"/>
                    <w:rPr>
                      <w:szCs w:val="21"/>
                    </w:rPr>
                  </w:pPr>
                  <w:r>
                    <w:rPr>
                      <w:szCs w:val="21"/>
                    </w:rPr>
                    <w:t>Ⅲ</w:t>
                  </w:r>
                </w:p>
              </w:tc>
              <w:tc>
                <w:tcPr>
                  <w:tcW w:w="1714" w:type="dxa"/>
                </w:tcPr>
                <w:p>
                  <w:pPr>
                    <w:jc w:val="center"/>
                    <w:rPr>
                      <w:szCs w:val="21"/>
                    </w:rPr>
                  </w:pPr>
                  <w:r>
                    <w:rPr>
                      <w:szCs w:val="21"/>
                    </w:rPr>
                    <w:t>Ⅱ</w:t>
                  </w:r>
                </w:p>
              </w:tc>
              <w:tc>
                <w:tcPr>
                  <w:tcW w:w="1527" w:type="dxa"/>
                </w:tcPr>
                <w:p>
                  <w:pPr>
                    <w:jc w:val="center"/>
                    <w:rPr>
                      <w:szCs w:val="21"/>
                    </w:rPr>
                  </w:pPr>
                  <w:r>
                    <w:rPr>
                      <w:szCs w:val="21"/>
                    </w:rPr>
                    <w:t>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1612" w:type="dxa"/>
                </w:tcPr>
                <w:p>
                  <w:pPr>
                    <w:jc w:val="center"/>
                    <w:rPr>
                      <w:szCs w:val="21"/>
                    </w:rPr>
                  </w:pPr>
                  <w:r>
                    <w:rPr>
                      <w:szCs w:val="21"/>
                    </w:rPr>
                    <w:t xml:space="preserve">评价工作等级  </w:t>
                  </w:r>
                </w:p>
              </w:tc>
              <w:tc>
                <w:tcPr>
                  <w:tcW w:w="1714" w:type="dxa"/>
                </w:tcPr>
                <w:p>
                  <w:pPr>
                    <w:jc w:val="center"/>
                    <w:rPr>
                      <w:szCs w:val="21"/>
                    </w:rPr>
                  </w:pPr>
                  <w:r>
                    <w:rPr>
                      <w:szCs w:val="21"/>
                    </w:rPr>
                    <w:t>一</w:t>
                  </w:r>
                </w:p>
              </w:tc>
              <w:tc>
                <w:tcPr>
                  <w:tcW w:w="1715" w:type="dxa"/>
                </w:tcPr>
                <w:p>
                  <w:pPr>
                    <w:jc w:val="center"/>
                    <w:rPr>
                      <w:szCs w:val="21"/>
                    </w:rPr>
                  </w:pPr>
                  <w:r>
                    <w:rPr>
                      <w:szCs w:val="21"/>
                    </w:rPr>
                    <w:t>二</w:t>
                  </w:r>
                </w:p>
              </w:tc>
              <w:tc>
                <w:tcPr>
                  <w:tcW w:w="1714" w:type="dxa"/>
                </w:tcPr>
                <w:p>
                  <w:pPr>
                    <w:jc w:val="center"/>
                    <w:rPr>
                      <w:szCs w:val="21"/>
                    </w:rPr>
                  </w:pPr>
                  <w:r>
                    <w:rPr>
                      <w:szCs w:val="21"/>
                    </w:rPr>
                    <w:t>三</w:t>
                  </w:r>
                </w:p>
              </w:tc>
              <w:tc>
                <w:tcPr>
                  <w:tcW w:w="1527" w:type="dxa"/>
                </w:tcPr>
                <w:p>
                  <w:pPr>
                    <w:jc w:val="center"/>
                    <w:rPr>
                      <w:szCs w:val="21"/>
                    </w:rPr>
                  </w:pPr>
                  <w:r>
                    <w:rPr>
                      <w:szCs w:val="21"/>
                    </w:rPr>
                    <w:t>简单分析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282" w:type="dxa"/>
                  <w:gridSpan w:val="5"/>
                </w:tcPr>
                <w:p>
                  <w:pPr>
                    <w:rPr>
                      <w:szCs w:val="21"/>
                    </w:rPr>
                  </w:pPr>
                  <w:r>
                    <w:rPr>
                      <w:szCs w:val="21"/>
                    </w:rPr>
                    <w:t>注：是相对于详细评价工作而言，在描述危险物质、环境影响途径、环境危害后果、风险防范措施等方面给出定性说明，详见导则附录 A。</w:t>
                  </w:r>
                </w:p>
              </w:tc>
            </w:tr>
          </w:tbl>
          <w:p>
            <w:pPr>
              <w:spacing w:line="360" w:lineRule="auto"/>
              <w:ind w:firstLine="482" w:firstLineChars="200"/>
              <w:rPr>
                <w:b/>
                <w:sz w:val="24"/>
              </w:rPr>
            </w:pPr>
            <w:bookmarkStart w:id="75" w:name="_Toc3886020"/>
            <w:r>
              <w:rPr>
                <w:b/>
                <w:sz w:val="24"/>
              </w:rPr>
              <w:t>2、环境敏感目标概况</w:t>
            </w:r>
            <w:bookmarkEnd w:id="75"/>
          </w:p>
          <w:p>
            <w:pPr>
              <w:spacing w:line="360" w:lineRule="auto"/>
              <w:ind w:firstLine="482"/>
              <w:rPr>
                <w:sz w:val="24"/>
                <w:lang w:val="zh-CN"/>
              </w:rPr>
            </w:pPr>
            <w:r>
              <w:rPr>
                <w:sz w:val="24"/>
                <w:lang w:val="zh-CN"/>
              </w:rPr>
              <w:t>环境风险保护目标：保护项目所在地周围居民的生活环境质量不受影响；保护附近的企业和居民生命、财产的安全。建设项目周围主要环境敏感目标分布情况见下表。</w:t>
            </w:r>
          </w:p>
          <w:p>
            <w:pPr>
              <w:ind w:firstLine="422" w:firstLineChars="200"/>
              <w:jc w:val="center"/>
              <w:rPr>
                <w:b/>
                <w:szCs w:val="21"/>
              </w:rPr>
            </w:pPr>
            <w:r>
              <w:rPr>
                <w:b/>
                <w:szCs w:val="21"/>
              </w:rPr>
              <w:t>表7-16  环境风险保护目标</w:t>
            </w:r>
          </w:p>
          <w:tbl>
            <w:tblPr>
              <w:tblStyle w:val="20"/>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65"/>
              <w:gridCol w:w="1628"/>
              <w:gridCol w:w="145"/>
              <w:gridCol w:w="259"/>
              <w:gridCol w:w="122"/>
              <w:gridCol w:w="947"/>
              <w:gridCol w:w="136"/>
              <w:gridCol w:w="1003"/>
              <w:gridCol w:w="507"/>
              <w:gridCol w:w="863"/>
              <w:gridCol w:w="12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blHeader/>
                <w:jc w:val="center"/>
              </w:trPr>
              <w:tc>
                <w:tcPr>
                  <w:tcW w:w="765" w:type="dxa"/>
                  <w:vAlign w:val="center"/>
                </w:tcPr>
                <w:p>
                  <w:pPr>
                    <w:contextualSpacing/>
                    <w:jc w:val="center"/>
                    <w:rPr>
                      <w:b/>
                      <w:bCs/>
                      <w:szCs w:val="21"/>
                    </w:rPr>
                  </w:pPr>
                  <w:r>
                    <w:rPr>
                      <w:b/>
                      <w:bCs/>
                      <w:szCs w:val="21"/>
                    </w:rPr>
                    <w:t>类别</w:t>
                  </w:r>
                </w:p>
              </w:tc>
              <w:tc>
                <w:tcPr>
                  <w:tcW w:w="7517" w:type="dxa"/>
                  <w:gridSpan w:val="11"/>
                  <w:vAlign w:val="center"/>
                </w:tcPr>
                <w:p>
                  <w:pPr>
                    <w:contextualSpacing/>
                    <w:jc w:val="center"/>
                    <w:rPr>
                      <w:b/>
                      <w:bCs/>
                      <w:szCs w:val="21"/>
                    </w:rPr>
                  </w:pPr>
                  <w:r>
                    <w:rPr>
                      <w:b/>
                      <w:bCs/>
                      <w:szCs w:val="21"/>
                    </w:rPr>
                    <w:t>环境敏感特征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contextualSpacing/>
                    <w:jc w:val="center"/>
                    <w:rPr>
                      <w:szCs w:val="21"/>
                    </w:rPr>
                  </w:pPr>
                  <w:r>
                    <w:rPr>
                      <w:szCs w:val="21"/>
                    </w:rPr>
                    <w:t>环境空气</w:t>
                  </w:r>
                </w:p>
              </w:tc>
              <w:tc>
                <w:tcPr>
                  <w:tcW w:w="7517" w:type="dxa"/>
                  <w:gridSpan w:val="11"/>
                  <w:vAlign w:val="center"/>
                </w:tcPr>
                <w:p>
                  <w:pPr>
                    <w:contextualSpacing/>
                    <w:rPr>
                      <w:szCs w:val="21"/>
                    </w:rPr>
                  </w:pPr>
                  <w:r>
                    <w:rPr>
                      <w:bCs/>
                      <w:szCs w:val="21"/>
                    </w:rPr>
                    <w:t>厂址周边500m范围内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bCs/>
                      <w:szCs w:val="21"/>
                    </w:rPr>
                    <w:t>序号</w:t>
                  </w:r>
                </w:p>
              </w:tc>
              <w:tc>
                <w:tcPr>
                  <w:tcW w:w="2032" w:type="dxa"/>
                  <w:gridSpan w:val="3"/>
                  <w:vAlign w:val="center"/>
                </w:tcPr>
                <w:p>
                  <w:pPr>
                    <w:contextualSpacing/>
                    <w:jc w:val="center"/>
                    <w:rPr>
                      <w:szCs w:val="21"/>
                    </w:rPr>
                  </w:pPr>
                  <w:r>
                    <w:rPr>
                      <w:szCs w:val="21"/>
                    </w:rPr>
                    <w:t>敏感目标名称</w:t>
                  </w:r>
                </w:p>
              </w:tc>
              <w:tc>
                <w:tcPr>
                  <w:tcW w:w="1069" w:type="dxa"/>
                  <w:gridSpan w:val="2"/>
                  <w:vAlign w:val="center"/>
                </w:tcPr>
                <w:p>
                  <w:pPr>
                    <w:contextualSpacing/>
                    <w:jc w:val="center"/>
                    <w:rPr>
                      <w:szCs w:val="21"/>
                    </w:rPr>
                  </w:pPr>
                  <w:r>
                    <w:rPr>
                      <w:szCs w:val="21"/>
                    </w:rPr>
                    <w:t>相对方位</w:t>
                  </w:r>
                </w:p>
              </w:tc>
              <w:tc>
                <w:tcPr>
                  <w:tcW w:w="1139" w:type="dxa"/>
                  <w:gridSpan w:val="2"/>
                  <w:vAlign w:val="center"/>
                </w:tcPr>
                <w:p>
                  <w:pPr>
                    <w:contextualSpacing/>
                    <w:jc w:val="center"/>
                    <w:rPr>
                      <w:szCs w:val="21"/>
                    </w:rPr>
                  </w:pPr>
                  <w:r>
                    <w:rPr>
                      <w:szCs w:val="21"/>
                    </w:rPr>
                    <w:t>距离m</w:t>
                  </w:r>
                </w:p>
              </w:tc>
              <w:tc>
                <w:tcPr>
                  <w:tcW w:w="1370" w:type="dxa"/>
                  <w:gridSpan w:val="2"/>
                  <w:vAlign w:val="center"/>
                </w:tcPr>
                <w:p>
                  <w:pPr>
                    <w:contextualSpacing/>
                    <w:jc w:val="center"/>
                    <w:rPr>
                      <w:szCs w:val="21"/>
                    </w:rPr>
                  </w:pPr>
                  <w:r>
                    <w:rPr>
                      <w:szCs w:val="21"/>
                    </w:rPr>
                    <w:t>属性</w:t>
                  </w:r>
                </w:p>
              </w:tc>
              <w:tc>
                <w:tcPr>
                  <w:tcW w:w="1242" w:type="dxa"/>
                  <w:vAlign w:val="center"/>
                </w:tcPr>
                <w:p>
                  <w:pPr>
                    <w:contextualSpacing/>
                    <w:jc w:val="center"/>
                    <w:rPr>
                      <w:szCs w:val="21"/>
                    </w:rPr>
                  </w:pPr>
                  <w:r>
                    <w:rPr>
                      <w:szCs w:val="21"/>
                    </w:rPr>
                    <w:t>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1</w:t>
                  </w:r>
                </w:p>
              </w:tc>
              <w:tc>
                <w:tcPr>
                  <w:tcW w:w="2032" w:type="dxa"/>
                  <w:gridSpan w:val="3"/>
                  <w:vAlign w:val="center"/>
                </w:tcPr>
                <w:p>
                  <w:pPr>
                    <w:widowControl/>
                    <w:jc w:val="center"/>
                    <w:textAlignment w:val="center"/>
                    <w:rPr>
                      <w:szCs w:val="21"/>
                    </w:rPr>
                  </w:pPr>
                  <w:r>
                    <w:rPr>
                      <w:szCs w:val="21"/>
                    </w:rPr>
                    <w:t>碧桂园</w:t>
                  </w:r>
                </w:p>
              </w:tc>
              <w:tc>
                <w:tcPr>
                  <w:tcW w:w="1069" w:type="dxa"/>
                  <w:gridSpan w:val="2"/>
                  <w:vAlign w:val="center"/>
                </w:tcPr>
                <w:p>
                  <w:pPr>
                    <w:widowControl/>
                    <w:jc w:val="center"/>
                    <w:textAlignment w:val="center"/>
                    <w:rPr>
                      <w:szCs w:val="21"/>
                    </w:rPr>
                  </w:pPr>
                  <w:r>
                    <w:rPr>
                      <w:szCs w:val="21"/>
                    </w:rPr>
                    <w:t>东</w:t>
                  </w:r>
                </w:p>
              </w:tc>
              <w:tc>
                <w:tcPr>
                  <w:tcW w:w="1139" w:type="dxa"/>
                  <w:gridSpan w:val="2"/>
                  <w:vAlign w:val="center"/>
                </w:tcPr>
                <w:p>
                  <w:pPr>
                    <w:widowControl/>
                    <w:jc w:val="center"/>
                    <w:textAlignment w:val="center"/>
                    <w:rPr>
                      <w:szCs w:val="21"/>
                    </w:rPr>
                  </w:pPr>
                  <w:r>
                    <w:rPr>
                      <w:szCs w:val="21"/>
                    </w:rPr>
                    <w:t>1</w:t>
                  </w:r>
                  <w:r>
                    <w:rPr>
                      <w:rFonts w:hint="eastAsia"/>
                      <w:szCs w:val="21"/>
                    </w:rPr>
                    <w:t>60</w:t>
                  </w:r>
                  <w:r>
                    <w:rPr>
                      <w:szCs w:val="21"/>
                    </w:rPr>
                    <w:t>~500</w:t>
                  </w:r>
                </w:p>
              </w:tc>
              <w:tc>
                <w:tcPr>
                  <w:tcW w:w="1370" w:type="dxa"/>
                  <w:gridSpan w:val="2"/>
                  <w:vAlign w:val="center"/>
                </w:tcPr>
                <w:p>
                  <w:pPr>
                    <w:jc w:val="center"/>
                    <w:rPr>
                      <w:szCs w:val="21"/>
                    </w:rPr>
                  </w:pPr>
                  <w:r>
                    <w:rPr>
                      <w:szCs w:val="21"/>
                    </w:rPr>
                    <w:t>居民</w:t>
                  </w:r>
                </w:p>
              </w:tc>
              <w:tc>
                <w:tcPr>
                  <w:tcW w:w="1242" w:type="dxa"/>
                  <w:vAlign w:val="center"/>
                </w:tcPr>
                <w:p>
                  <w:pPr>
                    <w:widowControl/>
                    <w:jc w:val="center"/>
                    <w:textAlignment w:val="center"/>
                    <w:rPr>
                      <w:szCs w:val="21"/>
                    </w:rPr>
                  </w:pPr>
                  <w:r>
                    <w:rPr>
                      <w:szCs w:val="21"/>
                    </w:rPr>
                    <w:t>约4200</w:t>
                  </w:r>
                  <w:r>
                    <w:rPr>
                      <w:bCs/>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2</w:t>
                  </w:r>
                </w:p>
              </w:tc>
              <w:tc>
                <w:tcPr>
                  <w:tcW w:w="2032" w:type="dxa"/>
                  <w:gridSpan w:val="3"/>
                  <w:vAlign w:val="center"/>
                </w:tcPr>
                <w:p>
                  <w:pPr>
                    <w:widowControl/>
                    <w:jc w:val="center"/>
                    <w:textAlignment w:val="center"/>
                    <w:rPr>
                      <w:szCs w:val="21"/>
                    </w:rPr>
                  </w:pPr>
                  <w:r>
                    <w:rPr>
                      <w:rFonts w:hint="eastAsia"/>
                      <w:szCs w:val="21"/>
                    </w:rPr>
                    <w:t>小湖湾</w:t>
                  </w:r>
                </w:p>
              </w:tc>
              <w:tc>
                <w:tcPr>
                  <w:tcW w:w="1069" w:type="dxa"/>
                  <w:gridSpan w:val="2"/>
                  <w:vAlign w:val="center"/>
                </w:tcPr>
                <w:p>
                  <w:pPr>
                    <w:widowControl/>
                    <w:jc w:val="center"/>
                    <w:textAlignment w:val="center"/>
                    <w:rPr>
                      <w:szCs w:val="21"/>
                    </w:rPr>
                  </w:pPr>
                  <w:r>
                    <w:rPr>
                      <w:szCs w:val="21"/>
                    </w:rPr>
                    <w:t>东</w:t>
                  </w:r>
                  <w:r>
                    <w:rPr>
                      <w:rFonts w:hint="eastAsia"/>
                      <w:szCs w:val="21"/>
                    </w:rPr>
                    <w:t>南</w:t>
                  </w:r>
                </w:p>
              </w:tc>
              <w:tc>
                <w:tcPr>
                  <w:tcW w:w="1139" w:type="dxa"/>
                  <w:gridSpan w:val="2"/>
                  <w:vAlign w:val="center"/>
                </w:tcPr>
                <w:p>
                  <w:pPr>
                    <w:widowControl/>
                    <w:jc w:val="center"/>
                    <w:textAlignment w:val="center"/>
                    <w:rPr>
                      <w:szCs w:val="21"/>
                    </w:rPr>
                  </w:pPr>
                  <w:r>
                    <w:rPr>
                      <w:rFonts w:hint="eastAsia"/>
                      <w:szCs w:val="21"/>
                    </w:rPr>
                    <w:t>389~462</w:t>
                  </w:r>
                </w:p>
              </w:tc>
              <w:tc>
                <w:tcPr>
                  <w:tcW w:w="1370" w:type="dxa"/>
                  <w:gridSpan w:val="2"/>
                  <w:vAlign w:val="center"/>
                </w:tcPr>
                <w:p>
                  <w:pPr>
                    <w:jc w:val="center"/>
                    <w:rPr>
                      <w:szCs w:val="21"/>
                    </w:rPr>
                  </w:pPr>
                  <w:r>
                    <w:rPr>
                      <w:szCs w:val="21"/>
                    </w:rPr>
                    <w:t>居民</w:t>
                  </w:r>
                </w:p>
              </w:tc>
              <w:tc>
                <w:tcPr>
                  <w:tcW w:w="1242" w:type="dxa"/>
                  <w:vAlign w:val="center"/>
                </w:tcPr>
                <w:p>
                  <w:pPr>
                    <w:widowControl/>
                    <w:jc w:val="center"/>
                    <w:textAlignment w:val="center"/>
                    <w:rPr>
                      <w:szCs w:val="21"/>
                    </w:rPr>
                  </w:pPr>
                  <w:r>
                    <w:rPr>
                      <w:szCs w:val="21"/>
                    </w:rPr>
                    <w:t>约657</w:t>
                  </w:r>
                  <w:r>
                    <w:rPr>
                      <w:bCs/>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3</w:t>
                  </w:r>
                </w:p>
              </w:tc>
              <w:tc>
                <w:tcPr>
                  <w:tcW w:w="2032" w:type="dxa"/>
                  <w:gridSpan w:val="3"/>
                  <w:vAlign w:val="center"/>
                </w:tcPr>
                <w:p>
                  <w:pPr>
                    <w:widowControl/>
                    <w:jc w:val="center"/>
                    <w:textAlignment w:val="center"/>
                    <w:rPr>
                      <w:szCs w:val="21"/>
                    </w:rPr>
                  </w:pPr>
                  <w:r>
                    <w:rPr>
                      <w:szCs w:val="21"/>
                    </w:rPr>
                    <w:t>滨湖村</w:t>
                  </w:r>
                </w:p>
              </w:tc>
              <w:tc>
                <w:tcPr>
                  <w:tcW w:w="1069" w:type="dxa"/>
                  <w:gridSpan w:val="2"/>
                  <w:vAlign w:val="center"/>
                </w:tcPr>
                <w:p>
                  <w:pPr>
                    <w:widowControl/>
                    <w:jc w:val="center"/>
                    <w:textAlignment w:val="center"/>
                    <w:rPr>
                      <w:szCs w:val="21"/>
                    </w:rPr>
                  </w:pPr>
                  <w:r>
                    <w:rPr>
                      <w:szCs w:val="21"/>
                    </w:rPr>
                    <w:t>西</w:t>
                  </w:r>
                  <w:r>
                    <w:rPr>
                      <w:rFonts w:hint="eastAsia"/>
                      <w:szCs w:val="21"/>
                    </w:rPr>
                    <w:t>南</w:t>
                  </w:r>
                </w:p>
              </w:tc>
              <w:tc>
                <w:tcPr>
                  <w:tcW w:w="1139" w:type="dxa"/>
                  <w:gridSpan w:val="2"/>
                  <w:vAlign w:val="center"/>
                </w:tcPr>
                <w:p>
                  <w:pPr>
                    <w:widowControl/>
                    <w:jc w:val="center"/>
                    <w:textAlignment w:val="center"/>
                    <w:rPr>
                      <w:szCs w:val="21"/>
                    </w:rPr>
                  </w:pPr>
                  <w:r>
                    <w:rPr>
                      <w:rFonts w:hint="eastAsia"/>
                      <w:szCs w:val="21"/>
                    </w:rPr>
                    <w:t>474</w:t>
                  </w:r>
                  <w:r>
                    <w:rPr>
                      <w:szCs w:val="21"/>
                    </w:rPr>
                    <w:t>~</w:t>
                  </w:r>
                  <w:r>
                    <w:rPr>
                      <w:rFonts w:hint="eastAsia"/>
                      <w:szCs w:val="21"/>
                    </w:rPr>
                    <w:t>558</w:t>
                  </w:r>
                </w:p>
              </w:tc>
              <w:tc>
                <w:tcPr>
                  <w:tcW w:w="1370" w:type="dxa"/>
                  <w:gridSpan w:val="2"/>
                  <w:vAlign w:val="center"/>
                </w:tcPr>
                <w:p>
                  <w:pPr>
                    <w:jc w:val="center"/>
                    <w:rPr>
                      <w:szCs w:val="21"/>
                    </w:rPr>
                  </w:pPr>
                  <w:r>
                    <w:rPr>
                      <w:szCs w:val="21"/>
                    </w:rPr>
                    <w:t>居民</w:t>
                  </w:r>
                </w:p>
              </w:tc>
              <w:tc>
                <w:tcPr>
                  <w:tcW w:w="1242" w:type="dxa"/>
                  <w:vAlign w:val="center"/>
                </w:tcPr>
                <w:p>
                  <w:pPr>
                    <w:widowControl/>
                    <w:jc w:val="center"/>
                    <w:textAlignment w:val="center"/>
                    <w:rPr>
                      <w:szCs w:val="21"/>
                    </w:rPr>
                  </w:pPr>
                  <w:r>
                    <w:rPr>
                      <w:szCs w:val="21"/>
                    </w:rPr>
                    <w:t>约711</w:t>
                  </w:r>
                  <w:r>
                    <w:rPr>
                      <w:bCs/>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4</w:t>
                  </w:r>
                </w:p>
              </w:tc>
              <w:tc>
                <w:tcPr>
                  <w:tcW w:w="2032" w:type="dxa"/>
                  <w:gridSpan w:val="3"/>
                  <w:vAlign w:val="center"/>
                </w:tcPr>
                <w:p>
                  <w:pPr>
                    <w:widowControl/>
                    <w:jc w:val="center"/>
                    <w:textAlignment w:val="center"/>
                    <w:rPr>
                      <w:szCs w:val="21"/>
                    </w:rPr>
                  </w:pPr>
                  <w:r>
                    <w:rPr>
                      <w:szCs w:val="21"/>
                    </w:rPr>
                    <w:t>赵家垄</w:t>
                  </w:r>
                </w:p>
              </w:tc>
              <w:tc>
                <w:tcPr>
                  <w:tcW w:w="1069" w:type="dxa"/>
                  <w:gridSpan w:val="2"/>
                  <w:vAlign w:val="center"/>
                </w:tcPr>
                <w:p>
                  <w:pPr>
                    <w:widowControl/>
                    <w:jc w:val="center"/>
                    <w:textAlignment w:val="center"/>
                    <w:rPr>
                      <w:szCs w:val="21"/>
                    </w:rPr>
                  </w:pPr>
                  <w:r>
                    <w:rPr>
                      <w:szCs w:val="21"/>
                    </w:rPr>
                    <w:t>西</w:t>
                  </w:r>
                </w:p>
              </w:tc>
              <w:tc>
                <w:tcPr>
                  <w:tcW w:w="1139" w:type="dxa"/>
                  <w:gridSpan w:val="2"/>
                  <w:vAlign w:val="center"/>
                </w:tcPr>
                <w:p>
                  <w:pPr>
                    <w:widowControl/>
                    <w:jc w:val="center"/>
                    <w:textAlignment w:val="center"/>
                    <w:rPr>
                      <w:szCs w:val="21"/>
                    </w:rPr>
                  </w:pPr>
                  <w:r>
                    <w:rPr>
                      <w:szCs w:val="21"/>
                    </w:rPr>
                    <w:t>166~500</w:t>
                  </w:r>
                </w:p>
              </w:tc>
              <w:tc>
                <w:tcPr>
                  <w:tcW w:w="1370" w:type="dxa"/>
                  <w:gridSpan w:val="2"/>
                  <w:vAlign w:val="center"/>
                </w:tcPr>
                <w:p>
                  <w:pPr>
                    <w:jc w:val="center"/>
                    <w:rPr>
                      <w:szCs w:val="21"/>
                    </w:rPr>
                  </w:pPr>
                  <w:r>
                    <w:rPr>
                      <w:szCs w:val="21"/>
                    </w:rPr>
                    <w:t>居民</w:t>
                  </w:r>
                </w:p>
              </w:tc>
              <w:tc>
                <w:tcPr>
                  <w:tcW w:w="1242" w:type="dxa"/>
                  <w:vAlign w:val="center"/>
                </w:tcPr>
                <w:p>
                  <w:pPr>
                    <w:widowControl/>
                    <w:jc w:val="center"/>
                    <w:textAlignment w:val="center"/>
                    <w:rPr>
                      <w:szCs w:val="21"/>
                    </w:rPr>
                  </w:pPr>
                  <w:r>
                    <w:rPr>
                      <w:szCs w:val="21"/>
                    </w:rPr>
                    <w:t>约581</w:t>
                  </w:r>
                  <w:r>
                    <w:rPr>
                      <w:bCs/>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275" w:type="dxa"/>
                  <w:gridSpan w:val="10"/>
                  <w:vAlign w:val="center"/>
                </w:tcPr>
                <w:p>
                  <w:pPr>
                    <w:contextualSpacing/>
                    <w:rPr>
                      <w:bCs/>
                      <w:szCs w:val="21"/>
                    </w:rPr>
                  </w:pPr>
                  <w:r>
                    <w:rPr>
                      <w:bCs/>
                      <w:szCs w:val="21"/>
                    </w:rPr>
                    <w:t>厂址周边500m范围内人口数小计</w:t>
                  </w:r>
                </w:p>
              </w:tc>
              <w:tc>
                <w:tcPr>
                  <w:tcW w:w="1242" w:type="dxa"/>
                  <w:vAlign w:val="center"/>
                </w:tcPr>
                <w:p>
                  <w:pPr>
                    <w:contextualSpacing/>
                    <w:jc w:val="center"/>
                    <w:rPr>
                      <w:bCs/>
                      <w:szCs w:val="21"/>
                    </w:rPr>
                  </w:pPr>
                  <w:r>
                    <w:rPr>
                      <w:bCs/>
                      <w:szCs w:val="21"/>
                    </w:rPr>
                    <w:t>约6149人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275" w:type="dxa"/>
                  <w:gridSpan w:val="10"/>
                  <w:vAlign w:val="center"/>
                </w:tcPr>
                <w:p>
                  <w:pPr>
                    <w:contextualSpacing/>
                    <w:rPr>
                      <w:bCs/>
                      <w:szCs w:val="21"/>
                    </w:rPr>
                  </w:pPr>
                  <w:r>
                    <w:rPr>
                      <w:bCs/>
                      <w:szCs w:val="21"/>
                    </w:rPr>
                    <w:t>大气环境敏感程度E值</w:t>
                  </w:r>
                </w:p>
              </w:tc>
              <w:tc>
                <w:tcPr>
                  <w:tcW w:w="1242" w:type="dxa"/>
                  <w:vAlign w:val="center"/>
                </w:tcPr>
                <w:p>
                  <w:pPr>
                    <w:contextualSpacing/>
                    <w:jc w:val="center"/>
                    <w:rPr>
                      <w:bCs/>
                      <w:szCs w:val="21"/>
                    </w:rPr>
                  </w:pPr>
                  <w:r>
                    <w:rPr>
                      <w:bCs/>
                      <w:szCs w:val="21"/>
                    </w:rPr>
                    <w:t>E1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contextualSpacing/>
                    <w:jc w:val="center"/>
                    <w:rPr>
                      <w:szCs w:val="21"/>
                    </w:rPr>
                  </w:pPr>
                  <w:r>
                    <w:rPr>
                      <w:szCs w:val="21"/>
                    </w:rPr>
                    <w:t>地表水</w:t>
                  </w:r>
                </w:p>
              </w:tc>
              <w:tc>
                <w:tcPr>
                  <w:tcW w:w="7517" w:type="dxa"/>
                  <w:gridSpan w:val="11"/>
                  <w:vAlign w:val="center"/>
                </w:tcPr>
                <w:p>
                  <w:pPr>
                    <w:contextualSpacing/>
                    <w:jc w:val="center"/>
                    <w:rPr>
                      <w:bCs/>
                      <w:szCs w:val="21"/>
                    </w:rPr>
                  </w:pPr>
                  <w:r>
                    <w:rPr>
                      <w:bCs/>
                      <w:szCs w:val="21"/>
                    </w:rPr>
                    <w:t>受纳水体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序号</w:t>
                  </w:r>
                </w:p>
              </w:tc>
              <w:tc>
                <w:tcPr>
                  <w:tcW w:w="1628" w:type="dxa"/>
                  <w:vAlign w:val="center"/>
                </w:tcPr>
                <w:p>
                  <w:pPr>
                    <w:contextualSpacing/>
                    <w:jc w:val="center"/>
                    <w:rPr>
                      <w:szCs w:val="21"/>
                    </w:rPr>
                  </w:pPr>
                  <w:r>
                    <w:rPr>
                      <w:szCs w:val="21"/>
                    </w:rPr>
                    <w:t>受纳水体名称</w:t>
                  </w:r>
                </w:p>
              </w:tc>
              <w:tc>
                <w:tcPr>
                  <w:tcW w:w="2612" w:type="dxa"/>
                  <w:gridSpan w:val="6"/>
                  <w:vAlign w:val="center"/>
                </w:tcPr>
                <w:p>
                  <w:pPr>
                    <w:contextualSpacing/>
                    <w:jc w:val="center"/>
                    <w:rPr>
                      <w:szCs w:val="21"/>
                    </w:rPr>
                  </w:pPr>
                  <w:r>
                    <w:rPr>
                      <w:szCs w:val="21"/>
                    </w:rPr>
                    <w:t>排放点水域功能环境</w:t>
                  </w:r>
                </w:p>
              </w:tc>
              <w:tc>
                <w:tcPr>
                  <w:tcW w:w="2612" w:type="dxa"/>
                  <w:gridSpan w:val="3"/>
                  <w:vAlign w:val="center"/>
                </w:tcPr>
                <w:p>
                  <w:pPr>
                    <w:contextualSpacing/>
                    <w:jc w:val="center"/>
                    <w:rPr>
                      <w:bCs/>
                      <w:szCs w:val="21"/>
                    </w:rPr>
                  </w:pPr>
                  <w:r>
                    <w:rPr>
                      <w:szCs w:val="21"/>
                    </w:rPr>
                    <w:t>24h内流经范围/km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1</w:t>
                  </w:r>
                </w:p>
              </w:tc>
              <w:tc>
                <w:tcPr>
                  <w:tcW w:w="1628" w:type="dxa"/>
                  <w:vAlign w:val="center"/>
                </w:tcPr>
                <w:p>
                  <w:pPr>
                    <w:contextualSpacing/>
                    <w:jc w:val="center"/>
                    <w:rPr>
                      <w:szCs w:val="21"/>
                    </w:rPr>
                  </w:pPr>
                  <w:r>
                    <w:rPr>
                      <w:szCs w:val="21"/>
                    </w:rPr>
                    <w:t>长江城陵矶段</w:t>
                  </w:r>
                </w:p>
              </w:tc>
              <w:tc>
                <w:tcPr>
                  <w:tcW w:w="2612" w:type="dxa"/>
                  <w:gridSpan w:val="6"/>
                  <w:vAlign w:val="center"/>
                </w:tcPr>
                <w:p>
                  <w:pPr>
                    <w:contextualSpacing/>
                    <w:jc w:val="center"/>
                    <w:rPr>
                      <w:szCs w:val="21"/>
                    </w:rPr>
                  </w:pPr>
                  <w:r>
                    <w:rPr>
                      <w:szCs w:val="21"/>
                    </w:rPr>
                    <w:t>渔业用水</w:t>
                  </w:r>
                </w:p>
              </w:tc>
              <w:tc>
                <w:tcPr>
                  <w:tcW w:w="2612" w:type="dxa"/>
                  <w:gridSpan w:val="3"/>
                  <w:vAlign w:val="center"/>
                </w:tcPr>
                <w:p>
                  <w:pPr>
                    <w:contextualSpacing/>
                    <w:jc w:val="center"/>
                    <w:rPr>
                      <w:szCs w:val="21"/>
                    </w:rPr>
                  </w:pPr>
                  <w:r>
                    <w:rPr>
                      <w:szCs w:val="21"/>
                    </w:rPr>
                    <w:t>跨省界，对岸为湖北省行政区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2</w:t>
                  </w:r>
                </w:p>
              </w:tc>
              <w:tc>
                <w:tcPr>
                  <w:tcW w:w="1628" w:type="dxa"/>
                  <w:vAlign w:val="center"/>
                </w:tcPr>
                <w:p>
                  <w:pPr>
                    <w:jc w:val="center"/>
                    <w:rPr>
                      <w:szCs w:val="21"/>
                    </w:rPr>
                  </w:pPr>
                  <w:r>
                    <w:rPr>
                      <w:szCs w:val="21"/>
                    </w:rPr>
                    <w:t>象骨港</w:t>
                  </w:r>
                </w:p>
              </w:tc>
              <w:tc>
                <w:tcPr>
                  <w:tcW w:w="2612" w:type="dxa"/>
                  <w:gridSpan w:val="6"/>
                  <w:vAlign w:val="center"/>
                </w:tcPr>
                <w:p>
                  <w:pPr>
                    <w:contextualSpacing/>
                    <w:jc w:val="center"/>
                    <w:rPr>
                      <w:szCs w:val="21"/>
                    </w:rPr>
                  </w:pPr>
                  <w:r>
                    <w:rPr>
                      <w:szCs w:val="21"/>
                    </w:rPr>
                    <w:t>农业用水</w:t>
                  </w:r>
                </w:p>
              </w:tc>
              <w:tc>
                <w:tcPr>
                  <w:tcW w:w="2612" w:type="dxa"/>
                  <w:gridSpan w:val="3"/>
                  <w:vAlign w:val="center"/>
                </w:tcPr>
                <w:p>
                  <w:pPr>
                    <w:contextualSpacing/>
                    <w:jc w:val="center"/>
                    <w:rPr>
                      <w:szCs w:val="21"/>
                    </w:rPr>
                  </w:pPr>
                  <w:r>
                    <w:rPr>
                      <w:szCs w:val="21"/>
                    </w:rPr>
                    <w:t>城陵矶行政区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3</w:t>
                  </w:r>
                </w:p>
              </w:tc>
              <w:tc>
                <w:tcPr>
                  <w:tcW w:w="1628" w:type="dxa"/>
                  <w:vAlign w:val="center"/>
                </w:tcPr>
                <w:p>
                  <w:pPr>
                    <w:jc w:val="center"/>
                    <w:rPr>
                      <w:szCs w:val="21"/>
                    </w:rPr>
                  </w:pPr>
                  <w:r>
                    <w:rPr>
                      <w:szCs w:val="21"/>
                    </w:rPr>
                    <w:t>芭蕉湖</w:t>
                  </w:r>
                </w:p>
              </w:tc>
              <w:tc>
                <w:tcPr>
                  <w:tcW w:w="2612" w:type="dxa"/>
                  <w:gridSpan w:val="6"/>
                  <w:vAlign w:val="center"/>
                </w:tcPr>
                <w:p>
                  <w:pPr>
                    <w:contextualSpacing/>
                    <w:jc w:val="center"/>
                    <w:rPr>
                      <w:szCs w:val="21"/>
                    </w:rPr>
                  </w:pPr>
                  <w:r>
                    <w:rPr>
                      <w:szCs w:val="21"/>
                    </w:rPr>
                    <w:t>景观用水</w:t>
                  </w:r>
                </w:p>
              </w:tc>
              <w:tc>
                <w:tcPr>
                  <w:tcW w:w="2612" w:type="dxa"/>
                  <w:gridSpan w:val="3"/>
                  <w:vAlign w:val="center"/>
                </w:tcPr>
                <w:p>
                  <w:pPr>
                    <w:contextualSpacing/>
                    <w:jc w:val="center"/>
                    <w:rPr>
                      <w:szCs w:val="21"/>
                    </w:rPr>
                  </w:pPr>
                  <w:r>
                    <w:rPr>
                      <w:szCs w:val="21"/>
                    </w:rPr>
                    <w:t>城陵矶行政区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7517" w:type="dxa"/>
                  <w:gridSpan w:val="11"/>
                  <w:vAlign w:val="center"/>
                </w:tcPr>
                <w:p>
                  <w:pPr>
                    <w:contextualSpacing/>
                    <w:jc w:val="center"/>
                    <w:rPr>
                      <w:szCs w:val="21"/>
                    </w:rPr>
                  </w:pPr>
                  <w:r>
                    <w:rPr>
                      <w:szCs w:val="21"/>
                    </w:rPr>
                    <w:t>内陆水体排放点下游10km范围内敏感目标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序号</w:t>
                  </w:r>
                </w:p>
              </w:tc>
              <w:tc>
                <w:tcPr>
                  <w:tcW w:w="2154" w:type="dxa"/>
                  <w:gridSpan w:val="4"/>
                  <w:vAlign w:val="center"/>
                </w:tcPr>
                <w:p>
                  <w:pPr>
                    <w:contextualSpacing/>
                    <w:jc w:val="center"/>
                    <w:rPr>
                      <w:szCs w:val="21"/>
                    </w:rPr>
                  </w:pPr>
                  <w:r>
                    <w:rPr>
                      <w:szCs w:val="21"/>
                    </w:rPr>
                    <w:t>敏感目标名称</w:t>
                  </w:r>
                </w:p>
              </w:tc>
              <w:tc>
                <w:tcPr>
                  <w:tcW w:w="2593" w:type="dxa"/>
                  <w:gridSpan w:val="4"/>
                  <w:vAlign w:val="center"/>
                </w:tcPr>
                <w:p>
                  <w:pPr>
                    <w:contextualSpacing/>
                    <w:jc w:val="center"/>
                    <w:rPr>
                      <w:szCs w:val="21"/>
                    </w:rPr>
                  </w:pPr>
                  <w:r>
                    <w:rPr>
                      <w:szCs w:val="21"/>
                    </w:rPr>
                    <w:t>环境敏感特征</w:t>
                  </w:r>
                </w:p>
              </w:tc>
              <w:tc>
                <w:tcPr>
                  <w:tcW w:w="863" w:type="dxa"/>
                  <w:vAlign w:val="center"/>
                </w:tcPr>
                <w:p>
                  <w:pPr>
                    <w:contextualSpacing/>
                    <w:jc w:val="center"/>
                    <w:rPr>
                      <w:szCs w:val="21"/>
                    </w:rPr>
                  </w:pPr>
                  <w:r>
                    <w:rPr>
                      <w:szCs w:val="21"/>
                    </w:rPr>
                    <w:t>水质目标</w:t>
                  </w:r>
                </w:p>
              </w:tc>
              <w:tc>
                <w:tcPr>
                  <w:tcW w:w="1242" w:type="dxa"/>
                  <w:vAlign w:val="center"/>
                </w:tcPr>
                <w:p>
                  <w:pPr>
                    <w:contextualSpacing/>
                    <w:jc w:val="center"/>
                    <w:rPr>
                      <w:bCs/>
                      <w:szCs w:val="21"/>
                    </w:rPr>
                  </w:pPr>
                  <w:r>
                    <w:rPr>
                      <w:bCs/>
                      <w:szCs w:val="21"/>
                    </w:rPr>
                    <w:t>与排放点距离/m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1</w:t>
                  </w:r>
                </w:p>
              </w:tc>
              <w:tc>
                <w:tcPr>
                  <w:tcW w:w="2154" w:type="dxa"/>
                  <w:gridSpan w:val="4"/>
                  <w:vAlign w:val="center"/>
                </w:tcPr>
                <w:p>
                  <w:pPr>
                    <w:contextualSpacing/>
                    <w:jc w:val="center"/>
                    <w:rPr>
                      <w:szCs w:val="21"/>
                    </w:rPr>
                  </w:pPr>
                  <w:r>
                    <w:rPr>
                      <w:szCs w:val="21"/>
                    </w:rPr>
                    <w:t>长江四大家鱼种质资源保护区</w:t>
                  </w:r>
                </w:p>
              </w:tc>
              <w:tc>
                <w:tcPr>
                  <w:tcW w:w="2593" w:type="dxa"/>
                  <w:gridSpan w:val="4"/>
                  <w:vAlign w:val="center"/>
                </w:tcPr>
                <w:p>
                  <w:pPr>
                    <w:contextualSpacing/>
                    <w:jc w:val="center"/>
                    <w:rPr>
                      <w:szCs w:val="21"/>
                    </w:rPr>
                  </w:pPr>
                  <w:r>
                    <w:rPr>
                      <w:szCs w:val="21"/>
                    </w:rPr>
                    <w:t>重要水生生物的自然产卵场及索饵场、洄游通道</w:t>
                  </w:r>
                </w:p>
              </w:tc>
              <w:tc>
                <w:tcPr>
                  <w:tcW w:w="863" w:type="dxa"/>
                  <w:vAlign w:val="center"/>
                </w:tcPr>
                <w:p>
                  <w:pPr>
                    <w:contextualSpacing/>
                    <w:jc w:val="center"/>
                    <w:rPr>
                      <w:szCs w:val="21"/>
                    </w:rPr>
                  </w:pPr>
                  <w:r>
                    <w:rPr>
                      <w:szCs w:val="21"/>
                    </w:rPr>
                    <w:t>Ⅲ类</w:t>
                  </w:r>
                </w:p>
              </w:tc>
              <w:tc>
                <w:tcPr>
                  <w:tcW w:w="1242" w:type="dxa"/>
                  <w:vAlign w:val="center"/>
                </w:tcPr>
                <w:p>
                  <w:pPr>
                    <w:contextualSpacing/>
                    <w:jc w:val="center"/>
                    <w:rPr>
                      <w:bCs/>
                      <w:szCs w:val="21"/>
                    </w:rPr>
                  </w:pPr>
                  <w:r>
                    <w:rPr>
                      <w:bCs/>
                      <w:szCs w:val="21"/>
                    </w:rPr>
                    <w:t>排放口位于上游6.3公里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275" w:type="dxa"/>
                  <w:gridSpan w:val="10"/>
                  <w:vAlign w:val="center"/>
                </w:tcPr>
                <w:p>
                  <w:pPr>
                    <w:contextualSpacing/>
                    <w:rPr>
                      <w:szCs w:val="21"/>
                    </w:rPr>
                  </w:pPr>
                  <w:r>
                    <w:rPr>
                      <w:szCs w:val="21"/>
                    </w:rPr>
                    <w:t>地表水环境敏感程度E值</w:t>
                  </w:r>
                </w:p>
              </w:tc>
              <w:tc>
                <w:tcPr>
                  <w:tcW w:w="1242" w:type="dxa"/>
                  <w:vAlign w:val="center"/>
                </w:tcPr>
                <w:p>
                  <w:pPr>
                    <w:contextualSpacing/>
                    <w:jc w:val="center"/>
                    <w:rPr>
                      <w:bCs/>
                      <w:szCs w:val="21"/>
                    </w:rPr>
                  </w:pPr>
                  <w:r>
                    <w:rPr>
                      <w:bCs/>
                      <w:szCs w:val="21"/>
                    </w:rPr>
                    <w:t>E1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contextualSpacing/>
                    <w:jc w:val="center"/>
                    <w:rPr>
                      <w:szCs w:val="21"/>
                    </w:rPr>
                  </w:pPr>
                  <w:r>
                    <w:rPr>
                      <w:szCs w:val="21"/>
                    </w:rPr>
                    <w:t>地下水</w:t>
                  </w:r>
                </w:p>
              </w:tc>
              <w:tc>
                <w:tcPr>
                  <w:tcW w:w="665" w:type="dxa"/>
                  <w:vAlign w:val="center"/>
                </w:tcPr>
                <w:p>
                  <w:pPr>
                    <w:contextualSpacing/>
                    <w:jc w:val="center"/>
                    <w:rPr>
                      <w:szCs w:val="21"/>
                    </w:rPr>
                  </w:pPr>
                  <w:r>
                    <w:rPr>
                      <w:szCs w:val="21"/>
                    </w:rPr>
                    <w:t>序号</w:t>
                  </w:r>
                </w:p>
              </w:tc>
              <w:tc>
                <w:tcPr>
                  <w:tcW w:w="1773" w:type="dxa"/>
                  <w:gridSpan w:val="2"/>
                  <w:vAlign w:val="center"/>
                </w:tcPr>
                <w:p>
                  <w:pPr>
                    <w:contextualSpacing/>
                    <w:jc w:val="center"/>
                    <w:rPr>
                      <w:szCs w:val="21"/>
                    </w:rPr>
                  </w:pPr>
                  <w:r>
                    <w:rPr>
                      <w:szCs w:val="21"/>
                    </w:rPr>
                    <w:t>敏感目标名称</w:t>
                  </w:r>
                </w:p>
              </w:tc>
              <w:tc>
                <w:tcPr>
                  <w:tcW w:w="1464" w:type="dxa"/>
                  <w:gridSpan w:val="4"/>
                  <w:vAlign w:val="center"/>
                </w:tcPr>
                <w:p>
                  <w:pPr>
                    <w:contextualSpacing/>
                    <w:jc w:val="center"/>
                    <w:rPr>
                      <w:szCs w:val="21"/>
                    </w:rPr>
                  </w:pPr>
                  <w:r>
                    <w:rPr>
                      <w:szCs w:val="21"/>
                    </w:rPr>
                    <w:t>环境敏感特征</w:t>
                  </w:r>
                </w:p>
              </w:tc>
              <w:tc>
                <w:tcPr>
                  <w:tcW w:w="1510" w:type="dxa"/>
                  <w:gridSpan w:val="2"/>
                  <w:vAlign w:val="center"/>
                </w:tcPr>
                <w:p>
                  <w:pPr>
                    <w:contextualSpacing/>
                    <w:jc w:val="center"/>
                    <w:rPr>
                      <w:szCs w:val="21"/>
                    </w:rPr>
                  </w:pPr>
                  <w:r>
                    <w:rPr>
                      <w:szCs w:val="21"/>
                    </w:rPr>
                    <w:t>水质目标</w:t>
                  </w:r>
                </w:p>
              </w:tc>
              <w:tc>
                <w:tcPr>
                  <w:tcW w:w="863" w:type="dxa"/>
                  <w:vAlign w:val="center"/>
                </w:tcPr>
                <w:p>
                  <w:pPr>
                    <w:contextualSpacing/>
                    <w:jc w:val="center"/>
                    <w:rPr>
                      <w:szCs w:val="21"/>
                    </w:rPr>
                  </w:pPr>
                  <w:r>
                    <w:rPr>
                      <w:szCs w:val="21"/>
                    </w:rPr>
                    <w:t>包气带防污性能</w:t>
                  </w:r>
                </w:p>
              </w:tc>
              <w:tc>
                <w:tcPr>
                  <w:tcW w:w="1242" w:type="dxa"/>
                  <w:vAlign w:val="center"/>
                </w:tcPr>
                <w:p>
                  <w:pPr>
                    <w:contextualSpacing/>
                    <w:jc w:val="center"/>
                    <w:rPr>
                      <w:bCs/>
                      <w:szCs w:val="21"/>
                    </w:rPr>
                  </w:pPr>
                  <w:r>
                    <w:rPr>
                      <w:bCs/>
                      <w:szCs w:val="21"/>
                    </w:rPr>
                    <w:t>与下游厂界距离/m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65" w:type="dxa"/>
                  <w:vAlign w:val="center"/>
                </w:tcPr>
                <w:p>
                  <w:pPr>
                    <w:contextualSpacing/>
                    <w:jc w:val="center"/>
                    <w:rPr>
                      <w:szCs w:val="21"/>
                    </w:rPr>
                  </w:pPr>
                  <w:r>
                    <w:rPr>
                      <w:szCs w:val="21"/>
                    </w:rPr>
                    <w:t>1</w:t>
                  </w:r>
                </w:p>
              </w:tc>
              <w:tc>
                <w:tcPr>
                  <w:tcW w:w="1773" w:type="dxa"/>
                  <w:gridSpan w:val="2"/>
                  <w:vAlign w:val="center"/>
                </w:tcPr>
                <w:p>
                  <w:pPr>
                    <w:contextualSpacing/>
                    <w:jc w:val="center"/>
                    <w:rPr>
                      <w:szCs w:val="21"/>
                    </w:rPr>
                  </w:pPr>
                  <w:r>
                    <w:rPr>
                      <w:szCs w:val="21"/>
                    </w:rPr>
                    <w:t>区域地下水环境</w:t>
                  </w:r>
                </w:p>
              </w:tc>
              <w:tc>
                <w:tcPr>
                  <w:tcW w:w="1464" w:type="dxa"/>
                  <w:gridSpan w:val="4"/>
                  <w:vAlign w:val="center"/>
                </w:tcPr>
                <w:p>
                  <w:pPr>
                    <w:contextualSpacing/>
                    <w:jc w:val="center"/>
                    <w:rPr>
                      <w:szCs w:val="21"/>
                    </w:rPr>
                  </w:pPr>
                  <w:r>
                    <w:rPr>
                      <w:szCs w:val="21"/>
                    </w:rPr>
                    <w:t>工农业用水，无饮用水功能</w:t>
                  </w:r>
                </w:p>
              </w:tc>
              <w:tc>
                <w:tcPr>
                  <w:tcW w:w="1510" w:type="dxa"/>
                  <w:gridSpan w:val="2"/>
                  <w:vAlign w:val="center"/>
                </w:tcPr>
                <w:p>
                  <w:pPr>
                    <w:contextualSpacing/>
                    <w:jc w:val="center"/>
                    <w:rPr>
                      <w:szCs w:val="21"/>
                    </w:rPr>
                  </w:pPr>
                  <w:r>
                    <w:rPr>
                      <w:szCs w:val="21"/>
                    </w:rPr>
                    <w:t>Ⅲ类</w:t>
                  </w:r>
                </w:p>
              </w:tc>
              <w:tc>
                <w:tcPr>
                  <w:tcW w:w="863" w:type="dxa"/>
                  <w:vAlign w:val="center"/>
                </w:tcPr>
                <w:p>
                  <w:pPr>
                    <w:contextualSpacing/>
                    <w:jc w:val="center"/>
                    <w:rPr>
                      <w:szCs w:val="21"/>
                    </w:rPr>
                  </w:pPr>
                  <w:r>
                    <w:rPr>
                      <w:szCs w:val="21"/>
                    </w:rPr>
                    <w:t>D2</w:t>
                  </w:r>
                </w:p>
              </w:tc>
              <w:tc>
                <w:tcPr>
                  <w:tcW w:w="1242" w:type="dxa"/>
                  <w:vAlign w:val="center"/>
                </w:tcPr>
                <w:p>
                  <w:pPr>
                    <w:contextualSpacing/>
                    <w:jc w:val="center"/>
                    <w:rPr>
                      <w:bCs/>
                      <w:szCs w:val="21"/>
                    </w:rPr>
                  </w:pPr>
                  <w:r>
                    <w:rPr>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contextualSpacing/>
                    <w:jc w:val="center"/>
                    <w:rPr>
                      <w:szCs w:val="21"/>
                    </w:rPr>
                  </w:pPr>
                </w:p>
              </w:tc>
              <w:tc>
                <w:tcPr>
                  <w:tcW w:w="6275" w:type="dxa"/>
                  <w:gridSpan w:val="10"/>
                  <w:vAlign w:val="center"/>
                </w:tcPr>
                <w:p>
                  <w:pPr>
                    <w:contextualSpacing/>
                    <w:rPr>
                      <w:szCs w:val="21"/>
                    </w:rPr>
                  </w:pPr>
                  <w:r>
                    <w:rPr>
                      <w:szCs w:val="21"/>
                    </w:rPr>
                    <w:t>地下水环境敏感程度E值</w:t>
                  </w:r>
                </w:p>
              </w:tc>
              <w:tc>
                <w:tcPr>
                  <w:tcW w:w="1242" w:type="dxa"/>
                  <w:vAlign w:val="center"/>
                </w:tcPr>
                <w:p>
                  <w:pPr>
                    <w:contextualSpacing/>
                    <w:jc w:val="center"/>
                    <w:rPr>
                      <w:bCs/>
                      <w:szCs w:val="21"/>
                    </w:rPr>
                  </w:pPr>
                  <w:r>
                    <w:rPr>
                      <w:bCs/>
                      <w:szCs w:val="21"/>
                    </w:rPr>
                    <w:t>E3</w:t>
                  </w:r>
                </w:p>
              </w:tc>
            </w:tr>
          </w:tbl>
          <w:p>
            <w:pPr>
              <w:spacing w:line="360" w:lineRule="auto"/>
              <w:ind w:firstLine="482" w:firstLineChars="200"/>
              <w:rPr>
                <w:b/>
                <w:sz w:val="24"/>
              </w:rPr>
            </w:pPr>
            <w:bookmarkStart w:id="76" w:name="_Toc3886021"/>
            <w:r>
              <w:rPr>
                <w:b/>
                <w:sz w:val="24"/>
              </w:rPr>
              <w:t>3、环境风险识别</w:t>
            </w:r>
            <w:bookmarkEnd w:id="76"/>
          </w:p>
          <w:p>
            <w:pPr>
              <w:spacing w:line="360" w:lineRule="auto"/>
              <w:ind w:firstLine="482"/>
              <w:rPr>
                <w:sz w:val="24"/>
                <w:lang w:val="zh-CN"/>
              </w:rPr>
            </w:pPr>
            <w:r>
              <w:rPr>
                <w:sz w:val="24"/>
                <w:lang w:val="zh-CN"/>
              </w:rPr>
              <w:t>风险识别范围包括生产过程中所涉及的物质风险识别和生产设施风险识别。根据导则要求，识别范围主要有如下：</w:t>
            </w:r>
          </w:p>
          <w:p>
            <w:pPr>
              <w:spacing w:line="360" w:lineRule="auto"/>
              <w:ind w:firstLine="482"/>
              <w:rPr>
                <w:sz w:val="24"/>
                <w:lang w:val="zh-CN"/>
              </w:rPr>
            </w:pPr>
            <w:r>
              <w:rPr>
                <w:sz w:val="24"/>
                <w:lang w:val="zh-CN"/>
              </w:rPr>
              <w:t>①物质风险识别范围主要有原材料及辅助材料、燃料、中间产品、最终产品以及生产过程排放的“三废”污染物等；</w:t>
            </w:r>
          </w:p>
          <w:p>
            <w:pPr>
              <w:spacing w:line="360" w:lineRule="auto"/>
              <w:ind w:firstLine="482"/>
              <w:rPr>
                <w:sz w:val="24"/>
                <w:lang w:val="zh-CN"/>
              </w:rPr>
            </w:pPr>
            <w:r>
              <w:rPr>
                <w:sz w:val="24"/>
                <w:lang w:val="zh-CN"/>
              </w:rPr>
              <w:t>②生产设施风险识别范围：主要生产装置、贮运系统、公用工程系统、工程环保设施及辅助生产设施等。</w:t>
            </w:r>
          </w:p>
          <w:p>
            <w:pPr>
              <w:spacing w:line="360" w:lineRule="auto"/>
              <w:ind w:firstLine="482"/>
              <w:rPr>
                <w:sz w:val="24"/>
                <w:lang w:val="zh-CN"/>
              </w:rPr>
            </w:pPr>
            <w:r>
              <w:rPr>
                <w:sz w:val="24"/>
                <w:lang w:val="zh-CN"/>
              </w:rPr>
              <w:t>③受影响的环境要素识别：应当根据有毒有害物质排放途径确定，如大气环境、水环境、土壤、生态环境等，明确受影响的环境保护目标。</w:t>
            </w:r>
          </w:p>
          <w:p>
            <w:pPr>
              <w:pStyle w:val="9"/>
              <w:tabs>
                <w:tab w:val="left" w:pos="3794"/>
              </w:tabs>
              <w:spacing w:line="360" w:lineRule="auto"/>
              <w:ind w:firstLine="482" w:firstLineChars="200"/>
              <w:outlineLvl w:val="2"/>
              <w:rPr>
                <w:rFonts w:ascii="Times New Roman" w:hAnsi="Times New Roman"/>
                <w:b/>
                <w:bCs/>
                <w:sz w:val="24"/>
                <w:szCs w:val="24"/>
              </w:rPr>
            </w:pPr>
            <w:r>
              <w:rPr>
                <w:rFonts w:ascii="Times New Roman" w:hAnsi="Times New Roman"/>
                <w:b/>
                <w:bCs/>
                <w:sz w:val="24"/>
                <w:szCs w:val="24"/>
              </w:rPr>
              <w:t>（1）物质危险性识别</w:t>
            </w:r>
          </w:p>
          <w:p>
            <w:pPr>
              <w:spacing w:line="360" w:lineRule="auto"/>
              <w:ind w:firstLine="482"/>
              <w:rPr>
                <w:sz w:val="24"/>
                <w:lang w:val="zh-CN"/>
              </w:rPr>
            </w:pPr>
            <w:r>
              <w:rPr>
                <w:sz w:val="24"/>
                <w:lang w:val="zh-CN"/>
              </w:rPr>
              <w:t>项目涉及的风险物质为机油</w:t>
            </w:r>
            <w:bookmarkStart w:id="77" w:name="_Toc215736207"/>
            <w:bookmarkStart w:id="78" w:name="_Toc334176466"/>
            <w:bookmarkStart w:id="79" w:name="_Toc505237226"/>
            <w:bookmarkStart w:id="80" w:name="_Toc420078305"/>
            <w:r>
              <w:rPr>
                <w:sz w:val="24"/>
                <w:lang w:val="zh-CN"/>
              </w:rPr>
              <w:t>、油漆、稀释剂及危险废物，主要风险为易燃物质。</w:t>
            </w:r>
          </w:p>
          <w:p>
            <w:pPr>
              <w:pStyle w:val="9"/>
              <w:tabs>
                <w:tab w:val="left" w:pos="3794"/>
              </w:tabs>
              <w:spacing w:line="360" w:lineRule="auto"/>
              <w:ind w:firstLine="482" w:firstLineChars="200"/>
              <w:outlineLvl w:val="2"/>
              <w:rPr>
                <w:rFonts w:ascii="Times New Roman" w:hAnsi="Times New Roman"/>
                <w:b/>
                <w:bCs/>
                <w:sz w:val="24"/>
                <w:szCs w:val="24"/>
              </w:rPr>
            </w:pPr>
            <w:r>
              <w:rPr>
                <w:rFonts w:ascii="Times New Roman" w:hAnsi="Times New Roman"/>
                <w:b/>
                <w:bCs/>
                <w:sz w:val="24"/>
                <w:szCs w:val="24"/>
              </w:rPr>
              <w:t>（2）生产设施风险识别</w:t>
            </w:r>
          </w:p>
          <w:p>
            <w:pPr>
              <w:spacing w:line="360" w:lineRule="auto"/>
              <w:ind w:firstLine="480" w:firstLineChars="200"/>
              <w:rPr>
                <w:sz w:val="24"/>
              </w:rPr>
            </w:pPr>
            <w:r>
              <w:rPr>
                <w:sz w:val="24"/>
              </w:rPr>
              <w:t>生产设施风险识别是通过对生产装置、贮运系统、公用工程系统、工程环保设施及辅助生产设施等运行过程中存在的危险因素和可能发生的风险类型进行识别。</w:t>
            </w:r>
          </w:p>
          <w:p>
            <w:pPr>
              <w:spacing w:line="360" w:lineRule="auto"/>
              <w:ind w:firstLine="480" w:firstLineChars="200"/>
              <w:rPr>
                <w:sz w:val="24"/>
              </w:rPr>
            </w:pPr>
            <w:r>
              <w:rPr>
                <w:sz w:val="24"/>
              </w:rPr>
              <w:t>本环评从废气处理装置和辅助工程对生产设施进行风险识别。</w:t>
            </w:r>
          </w:p>
          <w:p>
            <w:pPr>
              <w:spacing w:line="360" w:lineRule="auto"/>
              <w:ind w:firstLine="480" w:firstLineChars="200"/>
              <w:rPr>
                <w:sz w:val="24"/>
              </w:rPr>
            </w:pPr>
            <w:r>
              <w:rPr>
                <w:sz w:val="24"/>
              </w:rPr>
              <w:t>①废气处理装置：喷烤漆废气在处理装置发生故障情况下，由于设备的处理效率大大降低，致使外排有机废气浓度大大增加而不能达标排放，进而严重危害周边环境。</w:t>
            </w:r>
          </w:p>
          <w:p>
            <w:pPr>
              <w:spacing w:line="360" w:lineRule="auto"/>
              <w:ind w:firstLine="480" w:firstLineChars="200"/>
              <w:rPr>
                <w:sz w:val="24"/>
              </w:rPr>
            </w:pPr>
            <w:r>
              <w:rPr>
                <w:sz w:val="24"/>
              </w:rPr>
              <w:t>②</w:t>
            </w:r>
            <w:r>
              <w:rPr>
                <w:rFonts w:hint="eastAsia"/>
                <w:sz w:val="24"/>
              </w:rPr>
              <w:t>废水处理设施：主要因废水管网系统、池体出现破裂、损耗等情形，导致废水渗入土壤及地下水。</w:t>
            </w:r>
          </w:p>
          <w:p>
            <w:pPr>
              <w:spacing w:line="360" w:lineRule="auto"/>
              <w:ind w:firstLine="480" w:firstLineChars="200"/>
              <w:rPr>
                <w:sz w:val="24"/>
              </w:rPr>
            </w:pPr>
            <w:r>
              <w:rPr>
                <w:rFonts w:hint="eastAsia"/>
                <w:sz w:val="24"/>
              </w:rPr>
              <w:t>③</w:t>
            </w:r>
            <w:r>
              <w:rPr>
                <w:sz w:val="24"/>
              </w:rPr>
              <w:t>辅助工程：项目辅助工程主要风险是危废暂存间危废的泄露，危害周边土壤、地下水和地表水环境。</w:t>
            </w:r>
          </w:p>
          <w:p>
            <w:pPr>
              <w:spacing w:line="360" w:lineRule="auto"/>
              <w:ind w:firstLine="480" w:firstLineChars="200"/>
              <w:rPr>
                <w:sz w:val="24"/>
              </w:rPr>
            </w:pPr>
            <w:r>
              <w:rPr>
                <w:sz w:val="24"/>
              </w:rPr>
              <w:t>根据上述对风险识别结果，生产设施风险识别情况见表7-17。</w:t>
            </w:r>
          </w:p>
          <w:p>
            <w:pPr>
              <w:ind w:firstLine="316" w:firstLineChars="150"/>
              <w:jc w:val="center"/>
              <w:rPr>
                <w:b/>
                <w:szCs w:val="16"/>
              </w:rPr>
            </w:pPr>
            <w:r>
              <w:rPr>
                <w:b/>
                <w:szCs w:val="16"/>
              </w:rPr>
              <w:t>表7-17  设施风险识别情况一览表</w:t>
            </w:r>
          </w:p>
          <w:tbl>
            <w:tblPr>
              <w:tblStyle w:val="20"/>
              <w:tblW w:w="82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1393"/>
              <w:gridCol w:w="1497"/>
              <w:gridCol w:w="1497"/>
              <w:gridCol w:w="24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414" w:type="dxa"/>
                  <w:vAlign w:val="center"/>
                </w:tcPr>
                <w:p>
                  <w:pPr>
                    <w:widowControl/>
                    <w:jc w:val="center"/>
                    <w:rPr>
                      <w:b/>
                      <w:bCs/>
                      <w:kern w:val="21"/>
                      <w:szCs w:val="21"/>
                    </w:rPr>
                  </w:pPr>
                  <w:r>
                    <w:rPr>
                      <w:b/>
                      <w:bCs/>
                      <w:kern w:val="21"/>
                      <w:szCs w:val="21"/>
                    </w:rPr>
                    <w:t>设施</w:t>
                  </w:r>
                </w:p>
              </w:tc>
              <w:tc>
                <w:tcPr>
                  <w:tcW w:w="1393" w:type="dxa"/>
                  <w:vAlign w:val="center"/>
                </w:tcPr>
                <w:p>
                  <w:pPr>
                    <w:widowControl/>
                    <w:jc w:val="center"/>
                    <w:rPr>
                      <w:b/>
                      <w:bCs/>
                      <w:kern w:val="21"/>
                      <w:szCs w:val="21"/>
                    </w:rPr>
                  </w:pPr>
                  <w:r>
                    <w:rPr>
                      <w:b/>
                      <w:bCs/>
                      <w:kern w:val="21"/>
                      <w:szCs w:val="21"/>
                    </w:rPr>
                    <w:t>主要</w:t>
                  </w:r>
                </w:p>
                <w:p>
                  <w:pPr>
                    <w:widowControl/>
                    <w:jc w:val="center"/>
                    <w:rPr>
                      <w:b/>
                      <w:bCs/>
                      <w:kern w:val="21"/>
                      <w:szCs w:val="21"/>
                    </w:rPr>
                  </w:pPr>
                  <w:r>
                    <w:rPr>
                      <w:b/>
                      <w:bCs/>
                      <w:kern w:val="21"/>
                      <w:szCs w:val="21"/>
                    </w:rPr>
                    <w:t>危险部位</w:t>
                  </w:r>
                </w:p>
              </w:tc>
              <w:tc>
                <w:tcPr>
                  <w:tcW w:w="1497" w:type="dxa"/>
                  <w:vAlign w:val="center"/>
                </w:tcPr>
                <w:p>
                  <w:pPr>
                    <w:widowControl/>
                    <w:jc w:val="center"/>
                    <w:rPr>
                      <w:b/>
                      <w:bCs/>
                      <w:kern w:val="21"/>
                      <w:szCs w:val="21"/>
                    </w:rPr>
                  </w:pPr>
                  <w:r>
                    <w:rPr>
                      <w:b/>
                      <w:bCs/>
                      <w:kern w:val="21"/>
                      <w:szCs w:val="21"/>
                    </w:rPr>
                    <w:t>主要危险物质</w:t>
                  </w:r>
                </w:p>
              </w:tc>
              <w:tc>
                <w:tcPr>
                  <w:tcW w:w="1497" w:type="dxa"/>
                  <w:vAlign w:val="center"/>
                </w:tcPr>
                <w:p>
                  <w:pPr>
                    <w:widowControl/>
                    <w:jc w:val="center"/>
                    <w:rPr>
                      <w:b/>
                      <w:bCs/>
                      <w:kern w:val="21"/>
                      <w:szCs w:val="21"/>
                    </w:rPr>
                  </w:pPr>
                  <w:r>
                    <w:rPr>
                      <w:b/>
                      <w:bCs/>
                      <w:kern w:val="21"/>
                      <w:szCs w:val="21"/>
                    </w:rPr>
                    <w:t>事故类型</w:t>
                  </w:r>
                </w:p>
              </w:tc>
              <w:tc>
                <w:tcPr>
                  <w:tcW w:w="2433" w:type="dxa"/>
                  <w:vAlign w:val="center"/>
                </w:tcPr>
                <w:p>
                  <w:pPr>
                    <w:widowControl/>
                    <w:jc w:val="center"/>
                    <w:rPr>
                      <w:b/>
                      <w:bCs/>
                      <w:kern w:val="21"/>
                      <w:szCs w:val="21"/>
                    </w:rPr>
                  </w:pPr>
                  <w:r>
                    <w:rPr>
                      <w:b/>
                      <w:bCs/>
                      <w:kern w:val="21"/>
                      <w:szCs w:val="21"/>
                    </w:rPr>
                    <w:t>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414" w:type="dxa"/>
                  <w:vAlign w:val="center"/>
                </w:tcPr>
                <w:p>
                  <w:pPr>
                    <w:adjustRightInd w:val="0"/>
                    <w:snapToGrid w:val="0"/>
                    <w:jc w:val="center"/>
                    <w:rPr>
                      <w:kern w:val="21"/>
                      <w:szCs w:val="21"/>
                    </w:rPr>
                  </w:pPr>
                  <w:r>
                    <w:rPr>
                      <w:kern w:val="21"/>
                      <w:szCs w:val="21"/>
                    </w:rPr>
                    <w:t>废气处理装置</w:t>
                  </w:r>
                </w:p>
              </w:tc>
              <w:tc>
                <w:tcPr>
                  <w:tcW w:w="1393" w:type="dxa"/>
                  <w:vAlign w:val="center"/>
                </w:tcPr>
                <w:p>
                  <w:pPr>
                    <w:adjustRightInd w:val="0"/>
                    <w:snapToGrid w:val="0"/>
                    <w:jc w:val="center"/>
                    <w:rPr>
                      <w:kern w:val="21"/>
                      <w:szCs w:val="21"/>
                    </w:rPr>
                  </w:pPr>
                  <w:r>
                    <w:rPr>
                      <w:kern w:val="21"/>
                      <w:szCs w:val="21"/>
                    </w:rPr>
                    <w:t>喷漆区</w:t>
                  </w:r>
                </w:p>
              </w:tc>
              <w:tc>
                <w:tcPr>
                  <w:tcW w:w="1497" w:type="dxa"/>
                  <w:vAlign w:val="center"/>
                </w:tcPr>
                <w:p>
                  <w:pPr>
                    <w:adjustRightInd w:val="0"/>
                    <w:snapToGrid w:val="0"/>
                    <w:jc w:val="center"/>
                    <w:rPr>
                      <w:kern w:val="21"/>
                      <w:szCs w:val="21"/>
                    </w:rPr>
                  </w:pPr>
                  <w:r>
                    <w:rPr>
                      <w:kern w:val="21"/>
                      <w:szCs w:val="21"/>
                    </w:rPr>
                    <w:t>有机废气</w:t>
                  </w:r>
                </w:p>
              </w:tc>
              <w:tc>
                <w:tcPr>
                  <w:tcW w:w="1497" w:type="dxa"/>
                  <w:vAlign w:val="center"/>
                </w:tcPr>
                <w:p>
                  <w:pPr>
                    <w:adjustRightInd w:val="0"/>
                    <w:snapToGrid w:val="0"/>
                    <w:jc w:val="center"/>
                    <w:rPr>
                      <w:kern w:val="21"/>
                      <w:szCs w:val="21"/>
                    </w:rPr>
                  </w:pPr>
                  <w:r>
                    <w:rPr>
                      <w:kern w:val="21"/>
                      <w:szCs w:val="21"/>
                    </w:rPr>
                    <w:t>事故排放</w:t>
                  </w:r>
                </w:p>
              </w:tc>
              <w:tc>
                <w:tcPr>
                  <w:tcW w:w="2433" w:type="dxa"/>
                  <w:vAlign w:val="center"/>
                </w:tcPr>
                <w:p>
                  <w:pPr>
                    <w:adjustRightInd w:val="0"/>
                    <w:snapToGrid w:val="0"/>
                    <w:jc w:val="center"/>
                    <w:rPr>
                      <w:kern w:val="21"/>
                      <w:szCs w:val="21"/>
                    </w:rPr>
                  </w:pPr>
                  <w:r>
                    <w:rPr>
                      <w:kern w:val="21"/>
                      <w:szCs w:val="21"/>
                    </w:rPr>
                    <w:t xml:space="preserve">活性炭失效、风机故障等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414" w:type="dxa"/>
                  <w:vAlign w:val="center"/>
                </w:tcPr>
                <w:p>
                  <w:pPr>
                    <w:adjustRightInd w:val="0"/>
                    <w:snapToGrid w:val="0"/>
                    <w:jc w:val="center"/>
                    <w:rPr>
                      <w:kern w:val="21"/>
                      <w:szCs w:val="21"/>
                    </w:rPr>
                  </w:pPr>
                  <w:r>
                    <w:rPr>
                      <w:kern w:val="21"/>
                      <w:szCs w:val="21"/>
                    </w:rPr>
                    <w:t>辅助工程</w:t>
                  </w:r>
                  <w:r>
                    <w:rPr>
                      <w:rFonts w:hint="eastAsia"/>
                      <w:kern w:val="21"/>
                      <w:szCs w:val="21"/>
                    </w:rPr>
                    <w:t>、</w:t>
                  </w:r>
                  <w:r>
                    <w:rPr>
                      <w:kern w:val="21"/>
                      <w:szCs w:val="21"/>
                    </w:rPr>
                    <w:t>废水处理设施</w:t>
                  </w:r>
                </w:p>
              </w:tc>
              <w:tc>
                <w:tcPr>
                  <w:tcW w:w="1393" w:type="dxa"/>
                  <w:vAlign w:val="center"/>
                </w:tcPr>
                <w:p>
                  <w:pPr>
                    <w:adjustRightInd w:val="0"/>
                    <w:snapToGrid w:val="0"/>
                    <w:jc w:val="center"/>
                    <w:rPr>
                      <w:kern w:val="21"/>
                      <w:szCs w:val="21"/>
                    </w:rPr>
                  </w:pPr>
                  <w:r>
                    <w:rPr>
                      <w:kern w:val="21"/>
                      <w:szCs w:val="21"/>
                    </w:rPr>
                    <w:t>危废暂存间、</w:t>
                  </w:r>
                  <w:r>
                    <w:rPr>
                      <w:rFonts w:hint="eastAsia"/>
                      <w:kern w:val="21"/>
                      <w:szCs w:val="21"/>
                    </w:rPr>
                    <w:t>隔油池、化粪池</w:t>
                  </w:r>
                </w:p>
              </w:tc>
              <w:tc>
                <w:tcPr>
                  <w:tcW w:w="1497" w:type="dxa"/>
                  <w:vAlign w:val="center"/>
                </w:tcPr>
                <w:p>
                  <w:pPr>
                    <w:adjustRightInd w:val="0"/>
                    <w:snapToGrid w:val="0"/>
                    <w:jc w:val="center"/>
                    <w:rPr>
                      <w:kern w:val="21"/>
                      <w:szCs w:val="21"/>
                    </w:rPr>
                  </w:pPr>
                  <w:r>
                    <w:rPr>
                      <w:szCs w:val="21"/>
                    </w:rPr>
                    <w:t>废机油等</w:t>
                  </w:r>
                </w:p>
              </w:tc>
              <w:tc>
                <w:tcPr>
                  <w:tcW w:w="1497" w:type="dxa"/>
                  <w:vAlign w:val="center"/>
                </w:tcPr>
                <w:p>
                  <w:pPr>
                    <w:adjustRightInd w:val="0"/>
                    <w:snapToGrid w:val="0"/>
                    <w:jc w:val="center"/>
                    <w:rPr>
                      <w:kern w:val="21"/>
                      <w:szCs w:val="21"/>
                    </w:rPr>
                  </w:pPr>
                  <w:r>
                    <w:rPr>
                      <w:kern w:val="21"/>
                      <w:szCs w:val="21"/>
                    </w:rPr>
                    <w:t>泄漏污染土壤、地下水和地表水</w:t>
                  </w:r>
                </w:p>
              </w:tc>
              <w:tc>
                <w:tcPr>
                  <w:tcW w:w="2433" w:type="dxa"/>
                  <w:vAlign w:val="center"/>
                </w:tcPr>
                <w:p>
                  <w:pPr>
                    <w:adjustRightInd w:val="0"/>
                    <w:snapToGrid w:val="0"/>
                    <w:jc w:val="center"/>
                    <w:rPr>
                      <w:kern w:val="21"/>
                      <w:szCs w:val="21"/>
                    </w:rPr>
                  </w:pPr>
                  <w:r>
                    <w:rPr>
                      <w:kern w:val="21"/>
                      <w:szCs w:val="21"/>
                    </w:rPr>
                    <w:t>腐蚀、破损、管理不规范</w:t>
                  </w:r>
                </w:p>
              </w:tc>
            </w:tr>
          </w:tbl>
          <w:p>
            <w:pPr>
              <w:spacing w:line="360" w:lineRule="auto"/>
              <w:ind w:firstLine="482" w:firstLineChars="200"/>
              <w:rPr>
                <w:b/>
                <w:sz w:val="24"/>
              </w:rPr>
            </w:pPr>
            <w:bookmarkStart w:id="81" w:name="_Toc3886022"/>
            <w:r>
              <w:rPr>
                <w:b/>
                <w:sz w:val="24"/>
              </w:rPr>
              <w:t>4、环境风险分析</w:t>
            </w:r>
            <w:bookmarkEnd w:id="81"/>
          </w:p>
          <w:p>
            <w:pPr>
              <w:spacing w:line="360" w:lineRule="auto"/>
              <w:ind w:firstLine="480" w:firstLineChars="200"/>
              <w:outlineLvl w:val="2"/>
              <w:rPr>
                <w:sz w:val="24"/>
              </w:rPr>
            </w:pPr>
            <w:r>
              <w:rPr>
                <w:sz w:val="24"/>
              </w:rPr>
              <w:t>（1）非正常工况大气环境事故风险评价</w:t>
            </w:r>
          </w:p>
          <w:p>
            <w:pPr>
              <w:spacing w:line="360" w:lineRule="auto"/>
              <w:ind w:firstLine="480" w:firstLineChars="200"/>
              <w:rPr>
                <w:sz w:val="24"/>
              </w:rPr>
            </w:pPr>
            <w:r>
              <w:rPr>
                <w:sz w:val="24"/>
              </w:rPr>
              <w:t>项目发现废气处理装置失效事故时，应立即停止生产作业，控制事故影响。只要企业加强监管监控，定期维护和保养，其风险是可以控制的。</w:t>
            </w:r>
          </w:p>
          <w:p>
            <w:pPr>
              <w:spacing w:line="360" w:lineRule="auto"/>
              <w:ind w:firstLine="480" w:firstLineChars="200"/>
              <w:outlineLvl w:val="2"/>
              <w:rPr>
                <w:sz w:val="24"/>
              </w:rPr>
            </w:pPr>
            <w:r>
              <w:rPr>
                <w:sz w:val="24"/>
              </w:rPr>
              <w:t>（2）机油和油漆等泄漏发生火灾、爆炸事件</w:t>
            </w:r>
          </w:p>
          <w:p>
            <w:pPr>
              <w:spacing w:line="360" w:lineRule="auto"/>
              <w:ind w:firstLine="480" w:firstLineChars="200"/>
              <w:rPr>
                <w:sz w:val="24"/>
              </w:rPr>
            </w:pPr>
            <w:r>
              <w:rPr>
                <w:sz w:val="24"/>
              </w:rPr>
              <w:t>当机油和油漆等使用和管理不善，出现大量泄漏而遇火苗时可能产生火灾、爆炸事故。火灾、爆炸引发的次生环境危害主要：①火灾、爆炸次生污染物 CO 和火灾事故散发的烟气对周边大气直接造成影响，空气环境质量恶化；②火灾、爆炸产生的洗消废水等对周边地表水环境产生不利影响，污染地表水质。</w:t>
            </w:r>
          </w:p>
          <w:p>
            <w:pPr>
              <w:spacing w:line="360" w:lineRule="auto"/>
              <w:ind w:firstLine="480" w:firstLineChars="200"/>
              <w:rPr>
                <w:sz w:val="24"/>
              </w:rPr>
            </w:pPr>
            <w:r>
              <w:rPr>
                <w:sz w:val="24"/>
              </w:rPr>
              <w:t>①次生大气环境污染事故影响分析</w:t>
            </w:r>
          </w:p>
          <w:p>
            <w:pPr>
              <w:spacing w:line="360" w:lineRule="auto"/>
              <w:ind w:firstLine="480" w:firstLineChars="200"/>
              <w:rPr>
                <w:sz w:val="24"/>
              </w:rPr>
            </w:pPr>
            <w:r>
              <w:rPr>
                <w:sz w:val="24"/>
              </w:rPr>
              <w:t>企业发生火灾爆炸事故时，在燃烧过程中不仅会产生 CO，还可能伴生大量的烟尘和 CO</w:t>
            </w:r>
            <w:r>
              <w:rPr>
                <w:sz w:val="24"/>
                <w:vertAlign w:val="subscript"/>
              </w:rPr>
              <w:t>2</w:t>
            </w:r>
            <w:r>
              <w:rPr>
                <w:sz w:val="24"/>
              </w:rPr>
              <w:t>等污染物，会在短时间内对周围环境产生较大的不利影响，其中以 CO对人体及周边环境的的影响最大。CO为有毒气体，其 LC</w:t>
            </w:r>
            <w:r>
              <w:rPr>
                <w:sz w:val="24"/>
                <w:vertAlign w:val="subscript"/>
              </w:rPr>
              <w:t>50</w:t>
            </w:r>
            <w:r>
              <w:rPr>
                <w:sz w:val="24"/>
              </w:rPr>
              <w:t>：小鼠 2300～5700mg/m</w:t>
            </w:r>
            <w:r>
              <w:rPr>
                <w:sz w:val="24"/>
                <w:vertAlign w:val="superscript"/>
              </w:rPr>
              <w:t>3</w:t>
            </w:r>
            <w:r>
              <w:rPr>
                <w:sz w:val="24"/>
              </w:rPr>
              <w:t>时，其进入人体之后会和血液中的血红蛋白结合，进而排挤血红蛋白与氧气的结合，从而使人体出现缺氧现象而导致中毒。</w:t>
            </w:r>
          </w:p>
          <w:p>
            <w:pPr>
              <w:spacing w:line="360" w:lineRule="auto"/>
              <w:ind w:firstLine="480" w:firstLineChars="200"/>
              <w:rPr>
                <w:sz w:val="24"/>
              </w:rPr>
            </w:pPr>
            <w:r>
              <w:rPr>
                <w:sz w:val="24"/>
              </w:rPr>
              <w:t>②次生水环境污染事故影响分析</w:t>
            </w:r>
          </w:p>
          <w:p>
            <w:pPr>
              <w:spacing w:line="360" w:lineRule="auto"/>
              <w:ind w:firstLine="480" w:firstLineChars="200"/>
              <w:rPr>
                <w:sz w:val="24"/>
              </w:rPr>
            </w:pPr>
            <w:r>
              <w:rPr>
                <w:sz w:val="24"/>
              </w:rPr>
              <w:t>机油和油漆等储存桶发生泄漏和火灾事故时，消防部门迅速到达事故现场取出消防带将消防水引至现场，灭火过程中的消防喷淋水和使用消防泡沫也会产生大量的消防污水，这些污水可能通过厂区排水管网进入城陵矶新港区污水处理厂，对污水厂处理系统造成冲击，或由雨水管网进入周边地表水体，甚至是渗入地下，对地表、地下水水质造成污染。</w:t>
            </w:r>
          </w:p>
          <w:p>
            <w:pPr>
              <w:spacing w:line="360" w:lineRule="auto"/>
              <w:ind w:firstLine="480" w:firstLineChars="200"/>
              <w:outlineLvl w:val="2"/>
              <w:rPr>
                <w:sz w:val="24"/>
              </w:rPr>
            </w:pPr>
            <w:r>
              <w:rPr>
                <w:sz w:val="24"/>
              </w:rPr>
              <w:t>（3）稀释剂泄漏发生火灾、爆炸事件</w:t>
            </w:r>
          </w:p>
          <w:p>
            <w:pPr>
              <w:spacing w:line="360" w:lineRule="auto"/>
              <w:ind w:firstLine="480" w:firstLineChars="200"/>
              <w:rPr>
                <w:sz w:val="24"/>
                <w:szCs w:val="22"/>
              </w:rPr>
            </w:pPr>
            <w:r>
              <w:rPr>
                <w:sz w:val="24"/>
                <w:szCs w:val="22"/>
              </w:rPr>
              <w:t>由于稀释剂具有较强挥发性和易燃的特性。其挥发后蒸气滞留会积累电荷，因此空气重，当传播至远处，遇火源可能造成回火。爆炸、火灾等高温会分解产生毒气，火场中的容器可能会破裂、爆炸，主要有害燃烧物为一氧化碳、多氧化氮等有毒害气体。在灭火时会产生次生水环境污染事故，主要为消防废水进入污水管网、对地表、地下和土壤造成污染事故。</w:t>
            </w:r>
          </w:p>
          <w:p>
            <w:pPr>
              <w:spacing w:line="360" w:lineRule="auto"/>
              <w:ind w:firstLine="480" w:firstLineChars="200"/>
              <w:outlineLvl w:val="2"/>
              <w:rPr>
                <w:sz w:val="24"/>
              </w:rPr>
            </w:pPr>
            <w:r>
              <w:rPr>
                <w:sz w:val="24"/>
              </w:rPr>
              <w:t>（4）危险废物暂存场所的泄漏风险分析</w:t>
            </w:r>
          </w:p>
          <w:p>
            <w:pPr>
              <w:spacing w:line="360" w:lineRule="auto"/>
              <w:ind w:firstLine="480" w:firstLineChars="200"/>
              <w:rPr>
                <w:sz w:val="24"/>
              </w:rPr>
            </w:pPr>
            <w:r>
              <w:rPr>
                <w:sz w:val="24"/>
              </w:rPr>
              <w:t>公司产生的危险废物量不大，要求企业按规范设置专门收集容器和专门的储存场所</w:t>
            </w:r>
            <w:r>
              <w:rPr>
                <w:rFonts w:hint="eastAsia"/>
                <w:sz w:val="24"/>
              </w:rPr>
              <w:t>，并且贴上相应有毒有害标识</w:t>
            </w:r>
            <w:r>
              <w:rPr>
                <w:sz w:val="24"/>
              </w:rPr>
              <w:t>，储存场所采取硬底化、防渗处理，存放场设置围堰。收集的危险废物均委托有资质单位专门收运和处置。根据同类企业危险废物储存场的运营调查，在采取以上措施后很难发生危险废弃物泄漏和污染事故。</w:t>
            </w:r>
            <w:bookmarkEnd w:id="77"/>
            <w:bookmarkEnd w:id="78"/>
            <w:bookmarkEnd w:id="79"/>
            <w:bookmarkEnd w:id="80"/>
          </w:p>
          <w:p>
            <w:pPr>
              <w:spacing w:line="360" w:lineRule="auto"/>
              <w:ind w:firstLine="480" w:firstLineChars="200"/>
              <w:outlineLvl w:val="2"/>
              <w:rPr>
                <w:sz w:val="24"/>
                <w:szCs w:val="22"/>
              </w:rPr>
            </w:pPr>
            <w:bookmarkStart w:id="82" w:name="_Toc18531"/>
            <w:bookmarkStart w:id="83" w:name="_Toc21718"/>
            <w:r>
              <w:rPr>
                <w:sz w:val="24"/>
                <w:szCs w:val="22"/>
              </w:rPr>
              <w:t>（5）地下水环境风险影响分析</w:t>
            </w:r>
            <w:bookmarkEnd w:id="82"/>
            <w:bookmarkEnd w:id="83"/>
          </w:p>
          <w:p>
            <w:pPr>
              <w:spacing w:line="360" w:lineRule="auto"/>
              <w:ind w:firstLine="480" w:firstLineChars="200"/>
              <w:rPr>
                <w:sz w:val="24"/>
              </w:rPr>
            </w:pPr>
            <w:r>
              <w:rPr>
                <w:bCs/>
                <w:sz w:val="24"/>
                <w:szCs w:val="24"/>
                <w:lang w:val="zh-CN"/>
              </w:rPr>
              <w:t>根据本报“告地下水环境影响分析”，建设单位在依据本次评价提出的各项分区防渗措施及源头控制措施后，在非正常情况下不会对周边区域地下水环境造成明显影响。</w:t>
            </w:r>
          </w:p>
          <w:p>
            <w:pPr>
              <w:spacing w:line="360" w:lineRule="auto"/>
              <w:ind w:firstLine="482" w:firstLineChars="200"/>
              <w:outlineLvl w:val="2"/>
              <w:rPr>
                <w:b/>
                <w:sz w:val="24"/>
              </w:rPr>
            </w:pPr>
            <w:r>
              <w:rPr>
                <w:b/>
                <w:sz w:val="24"/>
              </w:rPr>
              <w:t>5、环境风险防范措施</w:t>
            </w:r>
          </w:p>
          <w:p>
            <w:pPr>
              <w:pStyle w:val="2"/>
              <w:spacing w:after="0" w:line="360" w:lineRule="auto"/>
              <w:ind w:firstLine="480" w:firstLineChars="200"/>
              <w:jc w:val="left"/>
              <w:rPr>
                <w:sz w:val="24"/>
              </w:rPr>
            </w:pPr>
            <w:r>
              <w:rPr>
                <w:sz w:val="24"/>
              </w:rPr>
              <w:t>（1）防范措施</w:t>
            </w:r>
          </w:p>
          <w:p>
            <w:pPr>
              <w:pStyle w:val="2"/>
              <w:spacing w:after="0" w:line="360" w:lineRule="auto"/>
              <w:ind w:firstLine="480" w:firstLineChars="200"/>
              <w:jc w:val="left"/>
              <w:rPr>
                <w:sz w:val="24"/>
              </w:rPr>
            </w:pPr>
            <w:r>
              <w:rPr>
                <w:sz w:val="24"/>
              </w:rPr>
              <w:t>其风险因素是管理防护不善或违章操作引起的机油、油漆、稀释剂的火灾爆炸风险事故，防范控制措施如下：</w:t>
            </w:r>
          </w:p>
          <w:p>
            <w:pPr>
              <w:spacing w:line="360" w:lineRule="auto"/>
              <w:ind w:firstLine="480" w:firstLineChars="200"/>
              <w:jc w:val="left"/>
              <w:rPr>
                <w:sz w:val="24"/>
              </w:rPr>
            </w:pPr>
            <w:r>
              <w:rPr>
                <w:sz w:val="24"/>
              </w:rPr>
              <w:t>①首先要求做到工艺安全化，在产品设计、施工过程中，采用各种技术手段，达到建筑物、工艺、设备、设备部件等结构布置安全、机械产品安全、消防安全，从本质上根除潜在的危险。</w:t>
            </w:r>
          </w:p>
          <w:p>
            <w:pPr>
              <w:spacing w:line="360" w:lineRule="auto"/>
              <w:ind w:firstLine="480" w:firstLineChars="200"/>
              <w:jc w:val="left"/>
              <w:rPr>
                <w:sz w:val="24"/>
              </w:rPr>
            </w:pPr>
            <w:r>
              <w:rPr>
                <w:sz w:val="24"/>
              </w:rPr>
              <w:t>②强化安全化管理来改善设备的安全性、改进工艺的安全性；完善标准及操作规程。</w:t>
            </w:r>
          </w:p>
          <w:p>
            <w:pPr>
              <w:spacing w:line="360" w:lineRule="auto"/>
              <w:ind w:firstLine="512" w:firstLineChars="200"/>
              <w:jc w:val="left"/>
              <w:rPr>
                <w:spacing w:val="8"/>
                <w:sz w:val="24"/>
              </w:rPr>
            </w:pPr>
            <w:r>
              <w:rPr>
                <w:spacing w:val="8"/>
                <w:sz w:val="24"/>
              </w:rPr>
              <w:t>③油漆、稀释剂和机油的运输存放过程、使用过程、以及盛放容器（如废漆桶等），都要注意防火，存放区和作业区应严禁烟火，禁止无关人员进入。</w:t>
            </w:r>
          </w:p>
          <w:p>
            <w:pPr>
              <w:spacing w:line="360" w:lineRule="auto"/>
              <w:ind w:firstLine="512" w:firstLineChars="200"/>
              <w:jc w:val="left"/>
              <w:rPr>
                <w:spacing w:val="8"/>
                <w:sz w:val="24"/>
              </w:rPr>
            </w:pPr>
            <w:r>
              <w:rPr>
                <w:spacing w:val="8"/>
                <w:sz w:val="24"/>
              </w:rPr>
              <w:t>④喷漆室和焊接区建筑物（厂房）应达到相关要求耐火等级，并配备相应通风设施加强通风。</w:t>
            </w:r>
          </w:p>
          <w:p>
            <w:pPr>
              <w:spacing w:line="360" w:lineRule="auto"/>
              <w:ind w:firstLine="480" w:firstLineChars="200"/>
              <w:jc w:val="left"/>
              <w:rPr>
                <w:sz w:val="24"/>
              </w:rPr>
            </w:pPr>
            <w:r>
              <w:rPr>
                <w:sz w:val="24"/>
              </w:rPr>
              <w:t>⑤加强职工的岗位操作培训，提高职工的安全意识和风险防范能力。必须按要求严格操作，定期检修，加强管理，并注意做好车间内机械通风，做好作业人员防护工作，将安全隐患降到最低。</w:t>
            </w:r>
          </w:p>
          <w:p>
            <w:pPr>
              <w:spacing w:line="360" w:lineRule="auto"/>
              <w:ind w:firstLine="480" w:firstLineChars="200"/>
              <w:jc w:val="left"/>
              <w:rPr>
                <w:kern w:val="0"/>
                <w:sz w:val="24"/>
              </w:rPr>
            </w:pPr>
            <w:r>
              <w:rPr>
                <w:kern w:val="0"/>
                <w:sz w:val="24"/>
              </w:rPr>
              <w:t>⑥万一出现火灾爆炸事故，应停止生产，及时处理，防止事故进一步恶化造成严重影响。</w:t>
            </w:r>
          </w:p>
          <w:p>
            <w:pPr>
              <w:spacing w:line="360" w:lineRule="auto"/>
              <w:ind w:firstLine="480" w:firstLineChars="200"/>
              <w:jc w:val="left"/>
              <w:rPr>
                <w:sz w:val="24"/>
              </w:rPr>
            </w:pPr>
            <w:r>
              <w:rPr>
                <w:sz w:val="24"/>
              </w:rPr>
              <w:t>⑦在</w:t>
            </w:r>
            <w:r>
              <w:rPr>
                <w:kern w:val="0"/>
                <w:sz w:val="24"/>
              </w:rPr>
              <w:t>项目调漆间、机油库与焊接工作区之间要设置一定的防火安全距离。项目油漆间，调漆间、机油库与焊接工作区</w:t>
            </w:r>
            <w:r>
              <w:rPr>
                <w:sz w:val="24"/>
              </w:rPr>
              <w:t>及其他禁止明火和生产火花的场所，应有禁止烟火的安全标志。设备、贮存容器、通风管道等在停产检修时，如需要采用电焊等明火作业，应严格执行动火安全制度，遵守安全操作规程，施工现场应有专人监管并配备灭火设施。</w:t>
            </w:r>
          </w:p>
          <w:p>
            <w:pPr>
              <w:spacing w:line="360" w:lineRule="auto"/>
              <w:ind w:firstLine="482" w:firstLineChars="200"/>
              <w:jc w:val="left"/>
              <w:rPr>
                <w:sz w:val="24"/>
              </w:rPr>
            </w:pPr>
            <w:r>
              <w:rPr>
                <w:b/>
                <w:bCs/>
                <w:sz w:val="24"/>
              </w:rPr>
              <w:t>（2）应急措施</w:t>
            </w:r>
          </w:p>
          <w:p>
            <w:pPr>
              <w:spacing w:line="360" w:lineRule="auto"/>
              <w:ind w:firstLine="480" w:firstLineChars="200"/>
              <w:jc w:val="left"/>
              <w:rPr>
                <w:sz w:val="24"/>
              </w:rPr>
            </w:pPr>
            <w:r>
              <w:rPr>
                <w:sz w:val="24"/>
              </w:rPr>
              <w:t>针对本次评价的环境风险分析，提出如下应急措施：</w:t>
            </w:r>
          </w:p>
          <w:p>
            <w:pPr>
              <w:spacing w:line="360" w:lineRule="auto"/>
              <w:ind w:firstLine="480" w:firstLineChars="200"/>
              <w:jc w:val="left"/>
              <w:rPr>
                <w:sz w:val="24"/>
              </w:rPr>
            </w:pPr>
            <w:r>
              <w:rPr>
                <w:sz w:val="24"/>
              </w:rPr>
              <w:t>①发生非正常工况大气环境事故：立即停止喷烤漆作业，关闭废气处理设施，并在做好相关防护措施的前提下对废气处理设施进行维修维护。</w:t>
            </w:r>
          </w:p>
          <w:p>
            <w:pPr>
              <w:spacing w:line="360" w:lineRule="auto"/>
              <w:ind w:firstLine="480" w:firstLineChars="200"/>
              <w:jc w:val="left"/>
              <w:rPr>
                <w:sz w:val="24"/>
              </w:rPr>
            </w:pPr>
            <w:r>
              <w:rPr>
                <w:sz w:val="24"/>
              </w:rPr>
              <w:t>②发生机油和油漆等泄漏发生火灾、爆炸事件：可采用砂石或其他吸附措施对泄漏物料进行吸附；立即启动车间内消防水管、灭火器等消防设施，若火情较大，立即拨打119求援；对相关人员进行撤离，确保人员安全；对因消防产生的消防废水进行收集，交由专业机构进行无害化处置，不得随意排放进污水管网或排入周边环境中。</w:t>
            </w:r>
          </w:p>
          <w:p>
            <w:pPr>
              <w:spacing w:line="360" w:lineRule="auto"/>
              <w:ind w:firstLine="480" w:firstLineChars="200"/>
              <w:jc w:val="left"/>
              <w:rPr>
                <w:sz w:val="24"/>
              </w:rPr>
            </w:pPr>
            <w:r>
              <w:rPr>
                <w:sz w:val="24"/>
              </w:rPr>
              <w:t>③发生稀释剂泄漏发生火灾、爆炸事件：</w:t>
            </w:r>
            <w:r>
              <w:rPr>
                <w:rFonts w:hint="eastAsia"/>
                <w:sz w:val="24"/>
              </w:rPr>
              <w:t>a.</w:t>
            </w:r>
            <w:r>
              <w:rPr>
                <w:sz w:val="24"/>
              </w:rPr>
              <w:t>发生泄漏时：不得有明火或其他火源进入、开启门窗立即通风、人员进入时需佩戴防毒面具；</w:t>
            </w:r>
            <w:r>
              <w:rPr>
                <w:rFonts w:hint="eastAsia"/>
                <w:sz w:val="24"/>
              </w:rPr>
              <w:t>b.</w:t>
            </w:r>
            <w:r>
              <w:rPr>
                <w:sz w:val="24"/>
              </w:rPr>
              <w:t>不可用高压水柱灭火、迅速移去周围可燃性物品，并使用指定之灭火剂灭火、对易燃液体之密封容器，可喷水冷却，以防高温爆炸；</w:t>
            </w:r>
            <w:r>
              <w:rPr>
                <w:rFonts w:hint="eastAsia"/>
                <w:sz w:val="24"/>
              </w:rPr>
              <w:t>c.</w:t>
            </w:r>
            <w:r>
              <w:rPr>
                <w:sz w:val="24"/>
              </w:rPr>
              <w:t>对因消防产生的消防废水进行收集，交由专业机构进行无害化处置，不得随意排放进污水管网或排入周边环境中。</w:t>
            </w:r>
          </w:p>
          <w:p>
            <w:pPr>
              <w:spacing w:line="360" w:lineRule="auto"/>
              <w:ind w:firstLine="480" w:firstLineChars="200"/>
              <w:jc w:val="left"/>
              <w:rPr>
                <w:sz w:val="24"/>
              </w:rPr>
            </w:pPr>
            <w:r>
              <w:rPr>
                <w:sz w:val="24"/>
              </w:rPr>
              <w:t>④发生危险废物暂存场所的泄漏风险时：由于贮存物料量较小，因此在危废暂存间按相关要求建设后，泄漏的物料基本不会外泄到外环境中，在采取砂石吸附或其他收纳措施后即可。</w:t>
            </w:r>
          </w:p>
          <w:p>
            <w:pPr>
              <w:spacing w:line="360" w:lineRule="auto"/>
              <w:ind w:firstLine="482" w:firstLineChars="200"/>
              <w:rPr>
                <w:b/>
                <w:sz w:val="24"/>
              </w:rPr>
            </w:pPr>
            <w:r>
              <w:rPr>
                <w:b/>
                <w:sz w:val="24"/>
              </w:rPr>
              <w:t>6、建立并实施应急预案</w:t>
            </w:r>
          </w:p>
          <w:p>
            <w:pPr>
              <w:spacing w:line="360" w:lineRule="auto"/>
              <w:ind w:firstLine="480" w:firstLineChars="200"/>
              <w:rPr>
                <w:sz w:val="24"/>
              </w:rPr>
            </w:pPr>
            <w:r>
              <w:rPr>
                <w:sz w:val="24"/>
              </w:rPr>
              <w:t>针对项目可能发生的风险事故，制定风险事故应急预案，宣贯全体员工，并进行必要的演练，以保证应急预案有效可行。应急预案主要内容应根据下表详细编制，经修订完善，由企业法人批准公布实施。</w:t>
            </w:r>
          </w:p>
          <w:p>
            <w:pPr>
              <w:spacing w:line="360" w:lineRule="auto"/>
              <w:ind w:firstLine="480" w:firstLineChars="200"/>
              <w:rPr>
                <w:sz w:val="24"/>
              </w:rPr>
            </w:pPr>
            <w:r>
              <w:rPr>
                <w:sz w:val="24"/>
              </w:rPr>
              <w:t>本项目应急预案内容编制依据见下表7-18。</w:t>
            </w:r>
          </w:p>
          <w:p>
            <w:pPr>
              <w:ind w:firstLine="198"/>
              <w:jc w:val="center"/>
              <w:rPr>
                <w:b/>
                <w:szCs w:val="16"/>
              </w:rPr>
            </w:pPr>
            <w:r>
              <w:rPr>
                <w:b/>
                <w:szCs w:val="16"/>
              </w:rPr>
              <w:t>表7-18  应急预案内容</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2271"/>
              <w:gridCol w:w="5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 w:hRule="atLeast"/>
              </w:trPr>
              <w:tc>
                <w:tcPr>
                  <w:tcW w:w="536" w:type="dxa"/>
                  <w:vAlign w:val="center"/>
                </w:tcPr>
                <w:p>
                  <w:pPr>
                    <w:adjustRightInd w:val="0"/>
                    <w:snapToGrid w:val="0"/>
                    <w:jc w:val="center"/>
                    <w:rPr>
                      <w:b/>
                      <w:bCs/>
                      <w:szCs w:val="21"/>
                    </w:rPr>
                  </w:pPr>
                  <w:r>
                    <w:rPr>
                      <w:b/>
                      <w:bCs/>
                      <w:szCs w:val="21"/>
                    </w:rPr>
                    <w:t>序号</w:t>
                  </w:r>
                </w:p>
              </w:tc>
              <w:tc>
                <w:tcPr>
                  <w:tcW w:w="2271" w:type="dxa"/>
                  <w:vAlign w:val="center"/>
                </w:tcPr>
                <w:p>
                  <w:pPr>
                    <w:jc w:val="center"/>
                    <w:rPr>
                      <w:b/>
                      <w:bCs/>
                      <w:szCs w:val="21"/>
                    </w:rPr>
                  </w:pPr>
                  <w:r>
                    <w:rPr>
                      <w:b/>
                      <w:bCs/>
                      <w:szCs w:val="21"/>
                    </w:rPr>
                    <w:t>项  目</w:t>
                  </w:r>
                </w:p>
              </w:tc>
              <w:tc>
                <w:tcPr>
                  <w:tcW w:w="5475" w:type="dxa"/>
                  <w:vAlign w:val="center"/>
                </w:tcPr>
                <w:p>
                  <w:pPr>
                    <w:jc w:val="center"/>
                    <w:rPr>
                      <w:b/>
                      <w:bCs/>
                      <w:szCs w:val="21"/>
                    </w:rPr>
                  </w:pPr>
                  <w:r>
                    <w:rPr>
                      <w:b/>
                      <w:bCs/>
                      <w:szCs w:val="21"/>
                    </w:rPr>
                    <w:t>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536" w:type="dxa"/>
                  <w:vAlign w:val="center"/>
                </w:tcPr>
                <w:p>
                  <w:pPr>
                    <w:jc w:val="center"/>
                    <w:rPr>
                      <w:szCs w:val="21"/>
                    </w:rPr>
                  </w:pPr>
                  <w:r>
                    <w:rPr>
                      <w:szCs w:val="21"/>
                    </w:rPr>
                    <w:t>1</w:t>
                  </w:r>
                </w:p>
              </w:tc>
              <w:tc>
                <w:tcPr>
                  <w:tcW w:w="2271" w:type="dxa"/>
                  <w:vAlign w:val="center"/>
                </w:tcPr>
                <w:p>
                  <w:pPr>
                    <w:jc w:val="center"/>
                    <w:rPr>
                      <w:szCs w:val="21"/>
                    </w:rPr>
                  </w:pPr>
                  <w:r>
                    <w:rPr>
                      <w:szCs w:val="21"/>
                    </w:rPr>
                    <w:t>应急计划区</w:t>
                  </w:r>
                </w:p>
              </w:tc>
              <w:tc>
                <w:tcPr>
                  <w:tcW w:w="5475" w:type="dxa"/>
                  <w:vAlign w:val="center"/>
                </w:tcPr>
                <w:p>
                  <w:pPr>
                    <w:rPr>
                      <w:szCs w:val="21"/>
                    </w:rPr>
                  </w:pPr>
                  <w:r>
                    <w:rPr>
                      <w:szCs w:val="21"/>
                    </w:rPr>
                    <w:t>危险目标：</w:t>
                  </w:r>
                  <w:r>
                    <w:rPr>
                      <w:spacing w:val="8"/>
                      <w:szCs w:val="21"/>
                    </w:rPr>
                    <w:t>油漆、稀释剂和机油</w:t>
                  </w:r>
                  <w:r>
                    <w:rPr>
                      <w:szCs w:val="21"/>
                    </w:rPr>
                    <w:t>暂存区、喷漆室、焊接车间。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536" w:type="dxa"/>
                  <w:vAlign w:val="center"/>
                </w:tcPr>
                <w:p>
                  <w:pPr>
                    <w:jc w:val="center"/>
                    <w:rPr>
                      <w:szCs w:val="21"/>
                    </w:rPr>
                  </w:pPr>
                  <w:r>
                    <w:rPr>
                      <w:szCs w:val="21"/>
                    </w:rPr>
                    <w:t>2</w:t>
                  </w:r>
                </w:p>
              </w:tc>
              <w:tc>
                <w:tcPr>
                  <w:tcW w:w="2271" w:type="dxa"/>
                  <w:vAlign w:val="center"/>
                </w:tcPr>
                <w:p>
                  <w:pPr>
                    <w:jc w:val="center"/>
                    <w:rPr>
                      <w:szCs w:val="21"/>
                    </w:rPr>
                  </w:pPr>
                  <w:r>
                    <w:rPr>
                      <w:szCs w:val="21"/>
                    </w:rPr>
                    <w:t>应急组织机构、人员</w:t>
                  </w:r>
                </w:p>
              </w:tc>
              <w:tc>
                <w:tcPr>
                  <w:tcW w:w="5475" w:type="dxa"/>
                  <w:vAlign w:val="center"/>
                </w:tcPr>
                <w:p>
                  <w:pPr>
                    <w:rPr>
                      <w:szCs w:val="21"/>
                    </w:rPr>
                  </w:pPr>
                  <w:r>
                    <w:rPr>
                      <w:szCs w:val="21"/>
                    </w:rPr>
                    <w:t>公司应急组织机构、人员。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536" w:type="dxa"/>
                  <w:vAlign w:val="center"/>
                </w:tcPr>
                <w:p>
                  <w:pPr>
                    <w:jc w:val="center"/>
                    <w:rPr>
                      <w:szCs w:val="21"/>
                    </w:rPr>
                  </w:pPr>
                  <w:r>
                    <w:rPr>
                      <w:szCs w:val="21"/>
                    </w:rPr>
                    <w:t>3</w:t>
                  </w:r>
                </w:p>
              </w:tc>
              <w:tc>
                <w:tcPr>
                  <w:tcW w:w="2271" w:type="dxa"/>
                  <w:vAlign w:val="center"/>
                </w:tcPr>
                <w:p>
                  <w:pPr>
                    <w:jc w:val="center"/>
                    <w:rPr>
                      <w:szCs w:val="21"/>
                    </w:rPr>
                  </w:pPr>
                  <w:r>
                    <w:rPr>
                      <w:szCs w:val="21"/>
                    </w:rPr>
                    <w:t>预案分级影响条件</w:t>
                  </w:r>
                </w:p>
              </w:tc>
              <w:tc>
                <w:tcPr>
                  <w:tcW w:w="5475" w:type="dxa"/>
                  <w:vAlign w:val="center"/>
                </w:tcPr>
                <w:p>
                  <w:pPr>
                    <w:rPr>
                      <w:szCs w:val="21"/>
                    </w:rPr>
                  </w:pPr>
                  <w:r>
                    <w:rPr>
                      <w:szCs w:val="21"/>
                    </w:rPr>
                    <w:t>规定预案的级别和分级影响程序。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536" w:type="dxa"/>
                  <w:vAlign w:val="center"/>
                </w:tcPr>
                <w:p>
                  <w:pPr>
                    <w:jc w:val="center"/>
                    <w:rPr>
                      <w:szCs w:val="21"/>
                    </w:rPr>
                  </w:pPr>
                  <w:r>
                    <w:rPr>
                      <w:szCs w:val="21"/>
                    </w:rPr>
                    <w:t>4</w:t>
                  </w:r>
                </w:p>
              </w:tc>
              <w:tc>
                <w:tcPr>
                  <w:tcW w:w="2271" w:type="dxa"/>
                  <w:vAlign w:val="center"/>
                </w:tcPr>
                <w:p>
                  <w:pPr>
                    <w:jc w:val="center"/>
                    <w:rPr>
                      <w:szCs w:val="21"/>
                    </w:rPr>
                  </w:pPr>
                  <w:r>
                    <w:rPr>
                      <w:szCs w:val="21"/>
                    </w:rPr>
                    <w:t>应急救援保障</w:t>
                  </w:r>
                </w:p>
              </w:tc>
              <w:tc>
                <w:tcPr>
                  <w:tcW w:w="5475" w:type="dxa"/>
                  <w:vAlign w:val="center"/>
                </w:tcPr>
                <w:p>
                  <w:pPr>
                    <w:rPr>
                      <w:szCs w:val="21"/>
                    </w:rPr>
                  </w:pPr>
                  <w:r>
                    <w:rPr>
                      <w:szCs w:val="21"/>
                    </w:rPr>
                    <w:t>应急设施、设备与器材等。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5</w:t>
                  </w:r>
                </w:p>
              </w:tc>
              <w:tc>
                <w:tcPr>
                  <w:tcW w:w="2271" w:type="dxa"/>
                  <w:vAlign w:val="center"/>
                </w:tcPr>
                <w:p>
                  <w:pPr>
                    <w:jc w:val="center"/>
                    <w:rPr>
                      <w:szCs w:val="21"/>
                    </w:rPr>
                  </w:pPr>
                  <w:r>
                    <w:rPr>
                      <w:szCs w:val="21"/>
                    </w:rPr>
                    <w:t>报警、通讯联络方式</w:t>
                  </w:r>
                </w:p>
              </w:tc>
              <w:tc>
                <w:tcPr>
                  <w:tcW w:w="5475" w:type="dxa"/>
                  <w:vAlign w:val="center"/>
                </w:tcPr>
                <w:p>
                  <w:pPr>
                    <w:rPr>
                      <w:szCs w:val="21"/>
                    </w:rPr>
                  </w:pPr>
                  <w:r>
                    <w:rPr>
                      <w:szCs w:val="21"/>
                    </w:rPr>
                    <w:t>规定应急状态下的报警通讯方式、通知方式和交通保障、管制。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6</w:t>
                  </w:r>
                </w:p>
              </w:tc>
              <w:tc>
                <w:tcPr>
                  <w:tcW w:w="2271" w:type="dxa"/>
                  <w:vAlign w:val="center"/>
                </w:tcPr>
                <w:p>
                  <w:pPr>
                    <w:jc w:val="center"/>
                    <w:rPr>
                      <w:szCs w:val="21"/>
                    </w:rPr>
                  </w:pPr>
                  <w:r>
                    <w:rPr>
                      <w:szCs w:val="21"/>
                    </w:rPr>
                    <w:t>应急环境监测、抢救、救援及控制措施</w:t>
                  </w:r>
                </w:p>
              </w:tc>
              <w:tc>
                <w:tcPr>
                  <w:tcW w:w="5475" w:type="dxa"/>
                  <w:vAlign w:val="center"/>
                </w:tcPr>
                <w:p>
                  <w:pPr>
                    <w:rPr>
                      <w:szCs w:val="21"/>
                    </w:rPr>
                  </w:pPr>
                  <w:r>
                    <w:rPr>
                      <w:szCs w:val="21"/>
                    </w:rPr>
                    <w:t>有专业队伍负责对事故现场进行侦察监测，对事故性质、参数后果进行评估，为指挥部门提供决策依据。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7</w:t>
                  </w:r>
                </w:p>
              </w:tc>
              <w:tc>
                <w:tcPr>
                  <w:tcW w:w="2271" w:type="dxa"/>
                  <w:vAlign w:val="center"/>
                </w:tcPr>
                <w:p>
                  <w:pPr>
                    <w:jc w:val="center"/>
                    <w:rPr>
                      <w:szCs w:val="21"/>
                    </w:rPr>
                  </w:pPr>
                  <w:r>
                    <w:rPr>
                      <w:szCs w:val="21"/>
                    </w:rPr>
                    <w:t>应急监测、防护措施器材</w:t>
                  </w:r>
                </w:p>
              </w:tc>
              <w:tc>
                <w:tcPr>
                  <w:tcW w:w="5475" w:type="dxa"/>
                  <w:vAlign w:val="center"/>
                </w:tcPr>
                <w:p>
                  <w:pPr>
                    <w:rPr>
                      <w:szCs w:val="21"/>
                    </w:rPr>
                  </w:pPr>
                  <w:r>
                    <w:rPr>
                      <w:szCs w:val="21"/>
                    </w:rPr>
                    <w:t>事故现场、临近区域、控制防火区域、控制清除污染措施及相应设施。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8</w:t>
                  </w:r>
                </w:p>
              </w:tc>
              <w:tc>
                <w:tcPr>
                  <w:tcW w:w="2271" w:type="dxa"/>
                  <w:vAlign w:val="center"/>
                </w:tcPr>
                <w:p>
                  <w:pPr>
                    <w:jc w:val="center"/>
                    <w:rPr>
                      <w:szCs w:val="21"/>
                    </w:rPr>
                  </w:pPr>
                  <w:r>
                    <w:rPr>
                      <w:szCs w:val="21"/>
                    </w:rPr>
                    <w:t>人员紧急撤离、疏散、撤离组织计划</w:t>
                  </w:r>
                </w:p>
              </w:tc>
              <w:tc>
                <w:tcPr>
                  <w:tcW w:w="5475" w:type="dxa"/>
                  <w:vAlign w:val="center"/>
                </w:tcPr>
                <w:p>
                  <w:pPr>
                    <w:rPr>
                      <w:szCs w:val="21"/>
                    </w:rPr>
                  </w:pPr>
                  <w:r>
                    <w:rPr>
                      <w:szCs w:val="21"/>
                    </w:rPr>
                    <w:t>事故现场、临近区、受事故影响的区域人员及公众对受损程度控制规定，撤离组织计划及救护，</w:t>
                  </w:r>
                </w:p>
                <w:p>
                  <w:pPr>
                    <w:rPr>
                      <w:szCs w:val="21"/>
                    </w:rPr>
                  </w:pPr>
                  <w:r>
                    <w:rPr>
                      <w:szCs w:val="21"/>
                    </w:rPr>
                    <w:t>医疗救护与公众健康。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9</w:t>
                  </w:r>
                </w:p>
              </w:tc>
              <w:tc>
                <w:tcPr>
                  <w:tcW w:w="2271" w:type="dxa"/>
                  <w:vAlign w:val="center"/>
                </w:tcPr>
                <w:p>
                  <w:pPr>
                    <w:jc w:val="center"/>
                    <w:rPr>
                      <w:szCs w:val="21"/>
                    </w:rPr>
                  </w:pPr>
                  <w:r>
                    <w:rPr>
                      <w:szCs w:val="21"/>
                    </w:rPr>
                    <w:t>事故应急救援关闭程序与恢复措施</w:t>
                  </w:r>
                </w:p>
              </w:tc>
              <w:tc>
                <w:tcPr>
                  <w:tcW w:w="5475" w:type="dxa"/>
                  <w:vAlign w:val="center"/>
                </w:tcPr>
                <w:p>
                  <w:pPr>
                    <w:rPr>
                      <w:szCs w:val="21"/>
                    </w:rPr>
                  </w:pPr>
                  <w:r>
                    <w:rPr>
                      <w:szCs w:val="21"/>
                    </w:rPr>
                    <w:t>规定应急状态终止程序。事故现场善后处理，恢复措施。临近区域解除事故警戒及善后恢复措施。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10</w:t>
                  </w:r>
                </w:p>
              </w:tc>
              <w:tc>
                <w:tcPr>
                  <w:tcW w:w="2271" w:type="dxa"/>
                  <w:vAlign w:val="center"/>
                </w:tcPr>
                <w:p>
                  <w:pPr>
                    <w:jc w:val="center"/>
                    <w:rPr>
                      <w:szCs w:val="21"/>
                    </w:rPr>
                  </w:pPr>
                  <w:r>
                    <w:rPr>
                      <w:szCs w:val="21"/>
                    </w:rPr>
                    <w:t>应急培训计划</w:t>
                  </w:r>
                </w:p>
              </w:tc>
              <w:tc>
                <w:tcPr>
                  <w:tcW w:w="5475" w:type="dxa"/>
                  <w:vAlign w:val="center"/>
                </w:tcPr>
                <w:p>
                  <w:pPr>
                    <w:rPr>
                      <w:szCs w:val="21"/>
                    </w:rPr>
                  </w:pPr>
                  <w:r>
                    <w:rPr>
                      <w:szCs w:val="21"/>
                    </w:rPr>
                    <w:t>应急计划制定后，平时安排人员培训与演练。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536" w:type="dxa"/>
                  <w:vAlign w:val="center"/>
                </w:tcPr>
                <w:p>
                  <w:pPr>
                    <w:jc w:val="center"/>
                    <w:rPr>
                      <w:szCs w:val="21"/>
                    </w:rPr>
                  </w:pPr>
                  <w:r>
                    <w:rPr>
                      <w:szCs w:val="21"/>
                    </w:rPr>
                    <w:t>11</w:t>
                  </w:r>
                </w:p>
              </w:tc>
              <w:tc>
                <w:tcPr>
                  <w:tcW w:w="2271" w:type="dxa"/>
                  <w:vAlign w:val="center"/>
                </w:tcPr>
                <w:p>
                  <w:pPr>
                    <w:jc w:val="center"/>
                    <w:rPr>
                      <w:szCs w:val="21"/>
                    </w:rPr>
                  </w:pPr>
                  <w:r>
                    <w:rPr>
                      <w:szCs w:val="21"/>
                    </w:rPr>
                    <w:t>公众教育和信息</w:t>
                  </w:r>
                </w:p>
              </w:tc>
              <w:tc>
                <w:tcPr>
                  <w:tcW w:w="5475" w:type="dxa"/>
                  <w:vAlign w:val="center"/>
                </w:tcPr>
                <w:p>
                  <w:pPr>
                    <w:rPr>
                      <w:szCs w:val="21"/>
                    </w:rPr>
                  </w:pPr>
                  <w:r>
                    <w:rPr>
                      <w:szCs w:val="21"/>
                    </w:rPr>
                    <w:t>对相关人员开展公众教育，培训和发布有关信息。</w:t>
                  </w:r>
                </w:p>
              </w:tc>
            </w:tr>
          </w:tbl>
          <w:p>
            <w:pPr>
              <w:spacing w:line="360" w:lineRule="auto"/>
              <w:ind w:firstLine="482" w:firstLineChars="200"/>
              <w:rPr>
                <w:b/>
                <w:sz w:val="24"/>
              </w:rPr>
            </w:pPr>
            <w:bookmarkStart w:id="84" w:name="_Toc505237230"/>
            <w:bookmarkStart w:id="85" w:name="_Toc3886025"/>
            <w:r>
              <w:rPr>
                <w:b/>
                <w:sz w:val="24"/>
              </w:rPr>
              <w:t>7、环境风险评价结论</w:t>
            </w:r>
            <w:bookmarkEnd w:id="84"/>
            <w:bookmarkEnd w:id="85"/>
          </w:p>
          <w:p>
            <w:pPr>
              <w:spacing w:line="360" w:lineRule="auto"/>
              <w:ind w:firstLine="482"/>
              <w:rPr>
                <w:sz w:val="24"/>
              </w:rPr>
            </w:pPr>
            <w:r>
              <w:rPr>
                <w:sz w:val="24"/>
              </w:rPr>
              <w:t>建设项目环境风险简单分析内容表如下：</w:t>
            </w:r>
          </w:p>
          <w:p>
            <w:pPr>
              <w:jc w:val="center"/>
              <w:rPr>
                <w:b/>
                <w:sz w:val="24"/>
                <w:szCs w:val="24"/>
              </w:rPr>
            </w:pPr>
            <w:r>
              <w:rPr>
                <w:b/>
                <w:sz w:val="24"/>
                <w:szCs w:val="24"/>
              </w:rPr>
              <w:t>表7-19   建设项目环境风险简单分析内容表</w:t>
            </w:r>
          </w:p>
          <w:tbl>
            <w:tblPr>
              <w:tblStyle w:val="20"/>
              <w:tblW w:w="82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1215"/>
              <w:gridCol w:w="1042"/>
              <w:gridCol w:w="972"/>
              <w:gridCol w:w="1215"/>
              <w:gridCol w:w="15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9" w:hRule="atLeast"/>
              </w:trPr>
              <w:tc>
                <w:tcPr>
                  <w:tcW w:w="2257" w:type="dxa"/>
                  <w:vAlign w:val="center"/>
                </w:tcPr>
                <w:p>
                  <w:pPr>
                    <w:jc w:val="center"/>
                    <w:rPr>
                      <w:szCs w:val="21"/>
                    </w:rPr>
                  </w:pPr>
                  <w:r>
                    <w:rPr>
                      <w:szCs w:val="21"/>
                    </w:rPr>
                    <w:t>建设项目名称</w:t>
                  </w:r>
                </w:p>
              </w:tc>
              <w:tc>
                <w:tcPr>
                  <w:tcW w:w="6025" w:type="dxa"/>
                  <w:gridSpan w:val="5"/>
                  <w:vAlign w:val="center"/>
                </w:tcPr>
                <w:p>
                  <w:pPr>
                    <w:jc w:val="center"/>
                    <w:rPr>
                      <w:szCs w:val="21"/>
                    </w:rPr>
                  </w:pPr>
                  <w:r>
                    <w:rPr>
                      <w:rFonts w:hint="eastAsia"/>
                      <w:szCs w:val="21"/>
                    </w:rPr>
                    <w:t>岳阳市兴燕贸易有限公司新港分公司吉利4S店建设项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0" w:hRule="atLeast"/>
              </w:trPr>
              <w:tc>
                <w:tcPr>
                  <w:tcW w:w="2257" w:type="dxa"/>
                  <w:vAlign w:val="center"/>
                </w:tcPr>
                <w:p>
                  <w:pPr>
                    <w:jc w:val="center"/>
                    <w:rPr>
                      <w:szCs w:val="21"/>
                    </w:rPr>
                  </w:pPr>
                  <w:r>
                    <w:rPr>
                      <w:szCs w:val="21"/>
                    </w:rPr>
                    <w:t>建设地点</w:t>
                  </w:r>
                </w:p>
              </w:tc>
              <w:tc>
                <w:tcPr>
                  <w:tcW w:w="1215" w:type="dxa"/>
                  <w:vAlign w:val="center"/>
                </w:tcPr>
                <w:p>
                  <w:pPr>
                    <w:jc w:val="center"/>
                    <w:rPr>
                      <w:szCs w:val="21"/>
                    </w:rPr>
                  </w:pPr>
                  <w:r>
                    <w:rPr>
                      <w:szCs w:val="21"/>
                    </w:rPr>
                    <w:t>湖南省</w:t>
                  </w:r>
                </w:p>
              </w:tc>
              <w:tc>
                <w:tcPr>
                  <w:tcW w:w="1042" w:type="dxa"/>
                  <w:vAlign w:val="center"/>
                </w:tcPr>
                <w:p>
                  <w:pPr>
                    <w:jc w:val="center"/>
                    <w:rPr>
                      <w:szCs w:val="21"/>
                    </w:rPr>
                  </w:pPr>
                  <w:r>
                    <w:rPr>
                      <w:szCs w:val="21"/>
                    </w:rPr>
                    <w:t>岳阳市</w:t>
                  </w:r>
                </w:p>
              </w:tc>
              <w:tc>
                <w:tcPr>
                  <w:tcW w:w="972" w:type="dxa"/>
                  <w:vAlign w:val="center"/>
                </w:tcPr>
                <w:p>
                  <w:pPr>
                    <w:jc w:val="center"/>
                    <w:rPr>
                      <w:szCs w:val="21"/>
                    </w:rPr>
                  </w:pPr>
                  <w:r>
                    <w:rPr>
                      <w:szCs w:val="21"/>
                    </w:rPr>
                    <w:t>城陵矶新港区</w:t>
                  </w:r>
                </w:p>
              </w:tc>
              <w:tc>
                <w:tcPr>
                  <w:tcW w:w="2796" w:type="dxa"/>
                  <w:gridSpan w:val="2"/>
                  <w:vAlign w:val="center"/>
                </w:tcPr>
                <w:p>
                  <w:pPr>
                    <w:jc w:val="center"/>
                    <w:rPr>
                      <w:szCs w:val="21"/>
                    </w:rPr>
                  </w:pPr>
                  <w:r>
                    <w:rPr>
                      <w:szCs w:val="21"/>
                    </w:rPr>
                    <w:t>城陵矶片区联港路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257" w:type="dxa"/>
                  <w:vAlign w:val="center"/>
                </w:tcPr>
                <w:p>
                  <w:pPr>
                    <w:jc w:val="center"/>
                    <w:rPr>
                      <w:szCs w:val="21"/>
                    </w:rPr>
                  </w:pPr>
                  <w:r>
                    <w:rPr>
                      <w:szCs w:val="21"/>
                    </w:rPr>
                    <w:t>地理坐标</w:t>
                  </w:r>
                </w:p>
              </w:tc>
              <w:tc>
                <w:tcPr>
                  <w:tcW w:w="1215" w:type="dxa"/>
                  <w:vAlign w:val="center"/>
                </w:tcPr>
                <w:p>
                  <w:pPr>
                    <w:jc w:val="center"/>
                    <w:rPr>
                      <w:szCs w:val="21"/>
                    </w:rPr>
                  </w:pPr>
                  <w:r>
                    <w:rPr>
                      <w:szCs w:val="21"/>
                    </w:rPr>
                    <w:t>经度</w:t>
                  </w:r>
                </w:p>
              </w:tc>
              <w:tc>
                <w:tcPr>
                  <w:tcW w:w="2014" w:type="dxa"/>
                  <w:gridSpan w:val="2"/>
                  <w:vAlign w:val="center"/>
                </w:tcPr>
                <w:p>
                  <w:pPr>
                    <w:jc w:val="center"/>
                    <w:rPr>
                      <w:szCs w:val="21"/>
                    </w:rPr>
                  </w:pPr>
                  <w:r>
                    <w:rPr>
                      <w:szCs w:val="21"/>
                    </w:rPr>
                    <w:t>113.173653</w:t>
                  </w:r>
                </w:p>
              </w:tc>
              <w:tc>
                <w:tcPr>
                  <w:tcW w:w="1215" w:type="dxa"/>
                  <w:vAlign w:val="center"/>
                </w:tcPr>
                <w:p>
                  <w:pPr>
                    <w:jc w:val="center"/>
                    <w:rPr>
                      <w:szCs w:val="21"/>
                    </w:rPr>
                  </w:pPr>
                  <w:r>
                    <w:rPr>
                      <w:szCs w:val="21"/>
                    </w:rPr>
                    <w:t>纬度</w:t>
                  </w:r>
                </w:p>
              </w:tc>
              <w:tc>
                <w:tcPr>
                  <w:tcW w:w="1581" w:type="dxa"/>
                  <w:vAlign w:val="center"/>
                </w:tcPr>
                <w:p>
                  <w:pPr>
                    <w:jc w:val="center"/>
                    <w:rPr>
                      <w:szCs w:val="21"/>
                    </w:rPr>
                  </w:pPr>
                  <w:r>
                    <w:rPr>
                      <w:szCs w:val="21"/>
                    </w:rPr>
                    <w:t>29.418484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2257" w:type="dxa"/>
                  <w:vAlign w:val="center"/>
                </w:tcPr>
                <w:p>
                  <w:pPr>
                    <w:jc w:val="center"/>
                    <w:rPr>
                      <w:szCs w:val="21"/>
                    </w:rPr>
                  </w:pPr>
                  <w:r>
                    <w:rPr>
                      <w:szCs w:val="21"/>
                    </w:rPr>
                    <w:t>主要危险物质及分布</w:t>
                  </w:r>
                </w:p>
              </w:tc>
              <w:tc>
                <w:tcPr>
                  <w:tcW w:w="6025" w:type="dxa"/>
                  <w:gridSpan w:val="5"/>
                  <w:vAlign w:val="center"/>
                </w:tcPr>
                <w:p>
                  <w:pPr>
                    <w:jc w:val="center"/>
                    <w:rPr>
                      <w:szCs w:val="21"/>
                    </w:rPr>
                  </w:pPr>
                  <w:r>
                    <w:rPr>
                      <w:szCs w:val="21"/>
                    </w:rPr>
                    <w:t>油漆暂存间；危废暂存间的危废；生产车间废气处理设施事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2257" w:type="dxa"/>
                  <w:vAlign w:val="center"/>
                </w:tcPr>
                <w:p>
                  <w:pPr>
                    <w:jc w:val="center"/>
                    <w:rPr>
                      <w:szCs w:val="21"/>
                    </w:rPr>
                  </w:pPr>
                  <w:r>
                    <w:rPr>
                      <w:szCs w:val="21"/>
                    </w:rPr>
                    <w:t>环境影响途径及危害后果（大气、地表水、地下水等）</w:t>
                  </w:r>
                </w:p>
              </w:tc>
              <w:tc>
                <w:tcPr>
                  <w:tcW w:w="6025" w:type="dxa"/>
                  <w:gridSpan w:val="5"/>
                  <w:vAlign w:val="center"/>
                </w:tcPr>
                <w:p>
                  <w:pPr>
                    <w:jc w:val="center"/>
                    <w:rPr>
                      <w:szCs w:val="21"/>
                    </w:rPr>
                  </w:pPr>
                  <w:r>
                    <w:rPr>
                      <w:szCs w:val="21"/>
                    </w:rPr>
                    <w:t>机油和油漆等泄漏及火灾、爆炸引发次生污染物排放，造成空气、地表水、地下水环境污染；废水事故排放造成大气污染；危废外泄污染地下水和土壤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57" w:type="dxa"/>
                  <w:vAlign w:val="center"/>
                </w:tcPr>
                <w:p>
                  <w:pPr>
                    <w:jc w:val="center"/>
                    <w:rPr>
                      <w:szCs w:val="21"/>
                    </w:rPr>
                  </w:pPr>
                  <w:r>
                    <w:rPr>
                      <w:szCs w:val="21"/>
                    </w:rPr>
                    <w:t>风险防范措施要求</w:t>
                  </w:r>
                </w:p>
              </w:tc>
              <w:tc>
                <w:tcPr>
                  <w:tcW w:w="6025" w:type="dxa"/>
                  <w:gridSpan w:val="5"/>
                  <w:vAlign w:val="center"/>
                </w:tcPr>
                <w:p>
                  <w:pPr>
                    <w:jc w:val="center"/>
                  </w:pPr>
                  <w:r>
                    <w:t>①加强职工的安全教育，提高安全防范风险的意识；</w:t>
                  </w:r>
                </w:p>
                <w:p>
                  <w:pPr>
                    <w:jc w:val="center"/>
                  </w:pPr>
                  <w:r>
                    <w:t>②针对运营中可能发生的异常现象和存在的安全隐患，设置合理可行的技术措施，制定严格的操作规程；</w:t>
                  </w:r>
                </w:p>
                <w:p>
                  <w:pPr>
                    <w:jc w:val="center"/>
                  </w:pPr>
                  <w:r>
                    <w:t>③加强废气处理设施维护管理，确保处理系统正常运行；</w:t>
                  </w:r>
                </w:p>
                <w:p>
                  <w:pPr>
                    <w:jc w:val="center"/>
                  </w:pPr>
                  <w:r>
                    <w:t>④严格执行防火、防爆、防雷击、防毒害等各项要求；</w:t>
                  </w:r>
                </w:p>
                <w:p>
                  <w:pPr>
                    <w:jc w:val="center"/>
                  </w:pPr>
                  <w:r>
                    <w:t>⑤建立健全安全、环境管理体系及高效的安全生产机构，一旦发生事故，要做到快速、高效、安全处置；</w:t>
                  </w:r>
                </w:p>
                <w:p>
                  <w:pPr>
                    <w:jc w:val="center"/>
                  </w:pPr>
                  <w:r>
                    <w:t>⑥车间内电气设备严格按照防爆区划分配置；</w:t>
                  </w:r>
                </w:p>
                <w:p>
                  <w:pPr>
                    <w:jc w:val="center"/>
                    <w:rPr>
                      <w:szCs w:val="21"/>
                    </w:rPr>
                  </w:pPr>
                  <w:r>
                    <w:t>⑦做好废蓄电池的收纳工作，并及时转移。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2257" w:type="dxa"/>
                  <w:vAlign w:val="center"/>
                </w:tcPr>
                <w:p>
                  <w:pPr>
                    <w:jc w:val="center"/>
                    <w:rPr>
                      <w:szCs w:val="21"/>
                    </w:rPr>
                  </w:pPr>
                  <w:r>
                    <w:rPr>
                      <w:szCs w:val="21"/>
                    </w:rPr>
                    <w:t>填表说明（列出项目相关信息及评价说明）</w:t>
                  </w:r>
                </w:p>
              </w:tc>
              <w:tc>
                <w:tcPr>
                  <w:tcW w:w="6025" w:type="dxa"/>
                  <w:gridSpan w:val="5"/>
                  <w:vAlign w:val="center"/>
                </w:tcPr>
                <w:p>
                  <w:pPr>
                    <w:jc w:val="center"/>
                    <w:rPr>
                      <w:szCs w:val="21"/>
                    </w:rPr>
                  </w:pPr>
                  <w:r>
                    <w:rPr>
                      <w:szCs w:val="21"/>
                    </w:rPr>
                    <w:t>项目通过采取相应的风险预防、管理、应急措施后，评价认为项目环境风险是可以接受的</w:t>
                  </w:r>
                </w:p>
              </w:tc>
            </w:tr>
          </w:tbl>
          <w:p>
            <w:pPr>
              <w:spacing w:line="360" w:lineRule="auto"/>
              <w:ind w:firstLine="482"/>
              <w:rPr>
                <w:sz w:val="24"/>
              </w:rPr>
            </w:pPr>
            <w:r>
              <w:rPr>
                <w:sz w:val="24"/>
              </w:rPr>
              <w:t>项目除机油和油漆等储存、使用过程中可能会发生泄露、火灾及爆炸等环境风险事故外，部分生产设施也存在环境风险。项目风险物质存储量较小，发生泄漏可能性极小，而且泄漏后的风险可控。项目废气事故排放、危废泄漏总体对环境影响不大。建议公司落实各项风险防范措施，加强管理，建立应急预案并演练，确保其环境风险可控。</w:t>
            </w:r>
          </w:p>
          <w:p>
            <w:pPr>
              <w:snapToGrid w:val="0"/>
              <w:spacing w:line="355" w:lineRule="auto"/>
              <w:rPr>
                <w:sz w:val="24"/>
              </w:rPr>
            </w:pPr>
            <w:r>
              <w:rPr>
                <w:b/>
                <w:sz w:val="24"/>
              </w:rPr>
              <w:t>八、达标排放、总量控制分析</w:t>
            </w:r>
          </w:p>
          <w:p>
            <w:pPr>
              <w:spacing w:line="360" w:lineRule="auto"/>
              <w:ind w:firstLine="504" w:firstLineChars="200"/>
              <w:rPr>
                <w:sz w:val="24"/>
                <w:szCs w:val="24"/>
              </w:rPr>
            </w:pPr>
            <w:r>
              <w:rPr>
                <w:bCs/>
                <w:spacing w:val="6"/>
                <w:sz w:val="24"/>
                <w:szCs w:val="24"/>
              </w:rPr>
              <w:t>项目</w:t>
            </w:r>
            <w:r>
              <w:rPr>
                <w:bCs/>
                <w:sz w:val="24"/>
                <w:szCs w:val="24"/>
              </w:rPr>
              <w:t>采取本报告表中的污染防治措施后，污染物排放可以做到达标排放。</w:t>
            </w:r>
            <w:r>
              <w:rPr>
                <w:sz w:val="24"/>
                <w:szCs w:val="24"/>
              </w:rPr>
              <w:t>按照“十三五”环境保护规划，将COD、NH</w:t>
            </w:r>
            <w:r>
              <w:rPr>
                <w:sz w:val="24"/>
                <w:szCs w:val="24"/>
                <w:vertAlign w:val="subscript"/>
              </w:rPr>
              <w:t>3</w:t>
            </w:r>
            <w:r>
              <w:rPr>
                <w:sz w:val="24"/>
                <w:szCs w:val="24"/>
              </w:rPr>
              <w:t>-N、SO</w:t>
            </w:r>
            <w:r>
              <w:rPr>
                <w:sz w:val="24"/>
                <w:szCs w:val="24"/>
                <w:vertAlign w:val="subscript"/>
              </w:rPr>
              <w:t>2</w:t>
            </w:r>
            <w:r>
              <w:rPr>
                <w:sz w:val="24"/>
                <w:szCs w:val="24"/>
              </w:rPr>
              <w:t>、NO</w:t>
            </w:r>
            <w:r>
              <w:rPr>
                <w:sz w:val="24"/>
                <w:szCs w:val="24"/>
                <w:vertAlign w:val="subscript"/>
              </w:rPr>
              <w:t>X</w:t>
            </w:r>
            <w:r>
              <w:rPr>
                <w:sz w:val="24"/>
                <w:szCs w:val="24"/>
              </w:rPr>
              <w:t>四项污染物纳入总量控制指标体系。根据项目营运期特点本次评价将COD、氨氮作为本项目的总量控制指标。</w:t>
            </w:r>
          </w:p>
          <w:p>
            <w:pPr>
              <w:spacing w:line="360" w:lineRule="auto"/>
              <w:ind w:firstLine="480" w:firstLineChars="200"/>
              <w:rPr>
                <w:sz w:val="24"/>
                <w:szCs w:val="24"/>
              </w:rPr>
            </w:pPr>
            <w:r>
              <w:rPr>
                <w:kern w:val="0"/>
                <w:sz w:val="24"/>
              </w:rPr>
              <w:t>根据《环境影响评价技术导则 地表水环境》（HJ 2.3-2018）中“8.3.2  间接排放建设项目污染源排放量核算根据依托污水处理设施的控制要求核算确定”，</w:t>
            </w:r>
            <w:r>
              <w:rPr>
                <w:kern w:val="0"/>
                <w:sz w:val="24"/>
                <w:szCs w:val="22"/>
              </w:rPr>
              <w:t>因此本项目废水经污水处理厂深度处理后最终排入外环境的COD约为0.</w:t>
            </w:r>
            <w:r>
              <w:rPr>
                <w:rFonts w:hint="eastAsia"/>
                <w:kern w:val="0"/>
                <w:sz w:val="24"/>
                <w:szCs w:val="22"/>
              </w:rPr>
              <w:t>156</w:t>
            </w:r>
            <w:r>
              <w:rPr>
                <w:kern w:val="0"/>
                <w:sz w:val="24"/>
                <w:szCs w:val="22"/>
              </w:rPr>
              <w:t>t/a（50mg/L）、氨氮约为0.</w:t>
            </w:r>
            <w:r>
              <w:rPr>
                <w:rFonts w:hint="eastAsia"/>
                <w:kern w:val="0"/>
                <w:sz w:val="24"/>
                <w:szCs w:val="22"/>
              </w:rPr>
              <w:t>016</w:t>
            </w:r>
            <w:r>
              <w:rPr>
                <w:kern w:val="0"/>
                <w:sz w:val="24"/>
                <w:szCs w:val="22"/>
              </w:rPr>
              <w:t>t/a（5mg/L）、VOCs控制性建议指标为0.</w:t>
            </w:r>
            <w:r>
              <w:rPr>
                <w:rFonts w:hint="eastAsia"/>
                <w:kern w:val="0"/>
                <w:sz w:val="24"/>
                <w:szCs w:val="22"/>
              </w:rPr>
              <w:t>012</w:t>
            </w:r>
            <w:r>
              <w:rPr>
                <w:kern w:val="0"/>
                <w:sz w:val="24"/>
                <w:szCs w:val="22"/>
              </w:rPr>
              <w:t>t/a。</w:t>
            </w:r>
          </w:p>
          <w:p>
            <w:pPr>
              <w:spacing w:line="360" w:lineRule="auto"/>
              <w:rPr>
                <w:sz w:val="24"/>
              </w:rPr>
            </w:pPr>
            <w:r>
              <w:rPr>
                <w:b/>
                <w:sz w:val="24"/>
              </w:rPr>
              <w:t>九、环境管理与监测计划</w:t>
            </w:r>
          </w:p>
          <w:p>
            <w:pPr>
              <w:spacing w:line="360" w:lineRule="auto"/>
              <w:ind w:firstLine="482" w:firstLineChars="200"/>
              <w:rPr>
                <w:b/>
                <w:sz w:val="24"/>
              </w:rPr>
            </w:pPr>
            <w:r>
              <w:rPr>
                <w:b/>
                <w:sz w:val="24"/>
              </w:rPr>
              <w:t>1、环境管理</w:t>
            </w:r>
          </w:p>
          <w:p>
            <w:pPr>
              <w:spacing w:line="360" w:lineRule="auto"/>
              <w:ind w:firstLine="480" w:firstLineChars="200"/>
              <w:rPr>
                <w:sz w:val="24"/>
              </w:rPr>
            </w:pPr>
            <w:r>
              <w:rPr>
                <w:sz w:val="24"/>
              </w:rPr>
              <w:t>项目厂区应建立完整的环境保护管理体系，使厂区排放的污染物达到有关标准，消除环境隐患，达到经济与环境的的协调发展。</w:t>
            </w:r>
          </w:p>
          <w:p>
            <w:pPr>
              <w:spacing w:line="360" w:lineRule="auto"/>
              <w:ind w:firstLine="601"/>
              <w:rPr>
                <w:sz w:val="24"/>
              </w:rPr>
            </w:pPr>
            <w:r>
              <w:rPr>
                <w:sz w:val="24"/>
              </w:rPr>
              <w:t>主要环境管理措施如下：</w:t>
            </w:r>
          </w:p>
          <w:p>
            <w:pPr>
              <w:spacing w:line="360" w:lineRule="auto"/>
              <w:ind w:firstLine="601"/>
              <w:rPr>
                <w:sz w:val="24"/>
              </w:rPr>
            </w:pPr>
            <w:r>
              <w:rPr>
                <w:sz w:val="24"/>
              </w:rPr>
              <w:t>①成立环境管理机构，负责组织协调、监督实施厂区环境管理工作。设置环保专职人员1人，并由一名副总经理分管。</w:t>
            </w:r>
          </w:p>
          <w:p>
            <w:pPr>
              <w:spacing w:line="360" w:lineRule="auto"/>
              <w:ind w:firstLine="601"/>
              <w:rPr>
                <w:sz w:val="24"/>
              </w:rPr>
            </w:pPr>
            <w:r>
              <w:rPr>
                <w:sz w:val="24"/>
              </w:rPr>
              <w:t>②加强环境保护法规政策学习和宣传，落实可持续发展战略。</w:t>
            </w:r>
          </w:p>
          <w:p>
            <w:pPr>
              <w:spacing w:line="360" w:lineRule="auto"/>
              <w:ind w:firstLine="601"/>
              <w:rPr>
                <w:sz w:val="24"/>
              </w:rPr>
            </w:pPr>
            <w:r>
              <w:rPr>
                <w:sz w:val="24"/>
              </w:rPr>
              <w:t>③制定环境保护规划、计划、考核办法，将环境保护指标落实到每个岗位。</w:t>
            </w:r>
          </w:p>
          <w:p>
            <w:pPr>
              <w:spacing w:line="360" w:lineRule="auto"/>
              <w:ind w:firstLine="601"/>
              <w:rPr>
                <w:sz w:val="24"/>
              </w:rPr>
            </w:pPr>
            <w:r>
              <w:rPr>
                <w:sz w:val="24"/>
              </w:rPr>
              <w:t>④依据建设项目环境保护管理办法的规定，落实三同时措施，办理项目投产前的环保设施竣工验收手续。</w:t>
            </w:r>
          </w:p>
          <w:p>
            <w:pPr>
              <w:spacing w:line="360" w:lineRule="auto"/>
              <w:ind w:firstLine="601"/>
              <w:rPr>
                <w:sz w:val="24"/>
              </w:rPr>
            </w:pPr>
            <w:r>
              <w:rPr>
                <w:sz w:val="24"/>
              </w:rPr>
              <w:t>⑤负责厂区日常环境管理，组织现场监测和检查，开展污染控制，确保污染物达标排放。</w:t>
            </w:r>
          </w:p>
          <w:p>
            <w:pPr>
              <w:spacing w:line="360" w:lineRule="auto"/>
              <w:ind w:firstLine="601"/>
              <w:rPr>
                <w:sz w:val="24"/>
              </w:rPr>
            </w:pPr>
            <w:r>
              <w:rPr>
                <w:sz w:val="24"/>
              </w:rPr>
              <w:t>⑥及时向上级环保部门报告企业环保情况，并协助上级环保部门进行现场检查和污染纠纷的调处。</w:t>
            </w:r>
          </w:p>
          <w:p>
            <w:pPr>
              <w:spacing w:line="360" w:lineRule="auto"/>
              <w:ind w:firstLine="482" w:firstLineChars="200"/>
              <w:rPr>
                <w:b/>
                <w:sz w:val="24"/>
              </w:rPr>
            </w:pPr>
            <w:r>
              <w:rPr>
                <w:b/>
                <w:sz w:val="24"/>
              </w:rPr>
              <w:t>2、营运期环境监测计划</w:t>
            </w:r>
          </w:p>
          <w:p>
            <w:pPr>
              <w:spacing w:line="360" w:lineRule="auto"/>
              <w:ind w:firstLine="480" w:firstLineChars="200"/>
              <w:rPr>
                <w:sz w:val="24"/>
                <w:u w:val="single"/>
              </w:rPr>
            </w:pPr>
            <w:r>
              <w:rPr>
                <w:sz w:val="24"/>
                <w:u w:val="single"/>
              </w:rPr>
              <w:t>环境监测是环境管理必不可少的科学手段，通过有效的环境监测，可及时了解项目污染源排放情况，本项目的自行监测方案可委托有资质的第三方监测机构，环境监测计划包括废气、废水和噪声，根据《排污许可证申请与核发技术规范-总则》（HJ942-2018）、《排污单位自行监测技术指南 总则》（HJ 819-2017）及《排污单位自行监测技术指南 涂装》（HJ 1086-2020）中关于自行监测方案计划的要求，项目污染源自行监测计划见下列表：</w:t>
            </w:r>
          </w:p>
          <w:p>
            <w:pPr>
              <w:pStyle w:val="42"/>
              <w:spacing w:line="240" w:lineRule="auto"/>
              <w:ind w:firstLine="0" w:firstLineChars="0"/>
              <w:jc w:val="center"/>
              <w:rPr>
                <w:b/>
                <w:sz w:val="21"/>
                <w:szCs w:val="21"/>
                <w:u w:val="single"/>
              </w:rPr>
            </w:pPr>
            <w:r>
              <w:rPr>
                <w:b/>
                <w:sz w:val="21"/>
                <w:szCs w:val="21"/>
                <w:u w:val="single"/>
              </w:rPr>
              <w:t>表7-20  项目有组织废气监测方案</w:t>
            </w:r>
          </w:p>
          <w:tbl>
            <w:tblPr>
              <w:tblStyle w:val="20"/>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933"/>
              <w:gridCol w:w="1187"/>
              <w:gridCol w:w="3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32" w:type="dxa"/>
                  <w:tcBorders>
                    <w:tl2br w:val="nil"/>
                    <w:tr2bl w:val="nil"/>
                  </w:tcBorders>
                  <w:vAlign w:val="center"/>
                </w:tcPr>
                <w:p>
                  <w:pPr>
                    <w:jc w:val="center"/>
                    <w:rPr>
                      <w:b/>
                      <w:bCs/>
                      <w:kern w:val="24"/>
                      <w:szCs w:val="21"/>
                      <w:u w:val="single"/>
                    </w:rPr>
                  </w:pPr>
                  <w:r>
                    <w:rPr>
                      <w:b/>
                      <w:bCs/>
                      <w:kern w:val="24"/>
                      <w:szCs w:val="21"/>
                      <w:u w:val="single"/>
                    </w:rPr>
                    <w:t>监测点位</w:t>
                  </w:r>
                </w:p>
              </w:tc>
              <w:tc>
                <w:tcPr>
                  <w:tcW w:w="1933" w:type="dxa"/>
                  <w:tcBorders>
                    <w:tl2br w:val="nil"/>
                    <w:tr2bl w:val="nil"/>
                  </w:tcBorders>
                  <w:vAlign w:val="center"/>
                </w:tcPr>
                <w:p>
                  <w:pPr>
                    <w:jc w:val="center"/>
                    <w:rPr>
                      <w:b/>
                      <w:bCs/>
                      <w:kern w:val="24"/>
                      <w:szCs w:val="21"/>
                      <w:u w:val="single"/>
                    </w:rPr>
                  </w:pPr>
                  <w:r>
                    <w:rPr>
                      <w:b/>
                      <w:bCs/>
                      <w:kern w:val="24"/>
                      <w:szCs w:val="21"/>
                      <w:u w:val="single"/>
                    </w:rPr>
                    <w:t>监测指标</w:t>
                  </w:r>
                </w:p>
              </w:tc>
              <w:tc>
                <w:tcPr>
                  <w:tcW w:w="1187" w:type="dxa"/>
                  <w:tcBorders>
                    <w:tl2br w:val="nil"/>
                    <w:tr2bl w:val="nil"/>
                  </w:tcBorders>
                  <w:vAlign w:val="center"/>
                </w:tcPr>
                <w:p>
                  <w:pPr>
                    <w:jc w:val="center"/>
                    <w:rPr>
                      <w:b/>
                      <w:bCs/>
                      <w:kern w:val="24"/>
                      <w:szCs w:val="21"/>
                      <w:u w:val="single"/>
                    </w:rPr>
                  </w:pPr>
                  <w:r>
                    <w:rPr>
                      <w:b/>
                      <w:bCs/>
                      <w:kern w:val="24"/>
                      <w:szCs w:val="21"/>
                      <w:u w:val="single"/>
                    </w:rPr>
                    <w:t>监测频次</w:t>
                  </w:r>
                </w:p>
              </w:tc>
              <w:tc>
                <w:tcPr>
                  <w:tcW w:w="3750" w:type="dxa"/>
                  <w:tcBorders>
                    <w:tl2br w:val="nil"/>
                    <w:tr2bl w:val="nil"/>
                  </w:tcBorders>
                  <w:vAlign w:val="center"/>
                </w:tcPr>
                <w:p>
                  <w:pPr>
                    <w:jc w:val="center"/>
                    <w:rPr>
                      <w:b/>
                      <w:bCs/>
                      <w:kern w:val="24"/>
                      <w:szCs w:val="21"/>
                      <w:u w:val="single"/>
                    </w:rPr>
                  </w:pPr>
                  <w:r>
                    <w:rPr>
                      <w:b/>
                      <w:bCs/>
                      <w:kern w:val="24"/>
                      <w:szCs w:val="21"/>
                      <w:u w:val="single"/>
                    </w:rPr>
                    <w:t>排放执行标准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432" w:type="dxa"/>
                  <w:vMerge w:val="restart"/>
                  <w:tcBorders>
                    <w:tl2br w:val="nil"/>
                    <w:tr2bl w:val="nil"/>
                  </w:tcBorders>
                  <w:vAlign w:val="center"/>
                </w:tcPr>
                <w:p>
                  <w:pPr>
                    <w:jc w:val="center"/>
                    <w:rPr>
                      <w:bCs/>
                      <w:szCs w:val="21"/>
                      <w:u w:val="single"/>
                    </w:rPr>
                  </w:pPr>
                  <w:r>
                    <w:rPr>
                      <w:bCs/>
                      <w:szCs w:val="21"/>
                      <w:u w:val="single"/>
                    </w:rPr>
                    <w:t>废气排气筒DA001</w:t>
                  </w:r>
                </w:p>
              </w:tc>
              <w:tc>
                <w:tcPr>
                  <w:tcW w:w="1933" w:type="dxa"/>
                  <w:tcBorders>
                    <w:tl2br w:val="nil"/>
                    <w:tr2bl w:val="nil"/>
                  </w:tcBorders>
                  <w:vAlign w:val="center"/>
                </w:tcPr>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VOCs</w:t>
                  </w:r>
                </w:p>
              </w:tc>
              <w:tc>
                <w:tcPr>
                  <w:tcW w:w="1187" w:type="dxa"/>
                  <w:vMerge w:val="restart"/>
                  <w:tcBorders>
                    <w:tl2br w:val="nil"/>
                    <w:tr2bl w:val="nil"/>
                  </w:tcBorders>
                  <w:vAlign w:val="center"/>
                </w:tcPr>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1次/年</w:t>
                  </w:r>
                </w:p>
              </w:tc>
              <w:tc>
                <w:tcPr>
                  <w:tcW w:w="3750" w:type="dxa"/>
                  <w:tcBorders>
                    <w:tl2br w:val="nil"/>
                    <w:tr2bl w:val="nil"/>
                  </w:tcBorders>
                  <w:vAlign w:val="center"/>
                </w:tcPr>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《天津市工业企业挥发性有机物排放控制标准》（DB12/ 524-20</w:t>
                  </w:r>
                  <w:r>
                    <w:rPr>
                      <w:rFonts w:hint="eastAsia" w:ascii="Times New Roman" w:hAnsi="Times New Roman"/>
                      <w:sz w:val="21"/>
                      <w:szCs w:val="21"/>
                      <w:u w:val="single"/>
                    </w:rPr>
                    <w:t>20</w:t>
                  </w:r>
                  <w:r>
                    <w:rPr>
                      <w:rFonts w:ascii="Times New Roman" w:hAnsi="Times New Roman"/>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432" w:type="dxa"/>
                  <w:vMerge w:val="continue"/>
                  <w:tcBorders>
                    <w:tl2br w:val="nil"/>
                    <w:tr2bl w:val="nil"/>
                  </w:tcBorders>
                  <w:vAlign w:val="center"/>
                </w:tcPr>
                <w:p>
                  <w:pPr>
                    <w:pStyle w:val="48"/>
                    <w:spacing w:line="240" w:lineRule="auto"/>
                    <w:jc w:val="center"/>
                    <w:rPr>
                      <w:rFonts w:ascii="Times New Roman" w:hAnsi="Times New Roman"/>
                      <w:sz w:val="21"/>
                      <w:szCs w:val="21"/>
                      <w:u w:val="single"/>
                    </w:rPr>
                  </w:pPr>
                </w:p>
              </w:tc>
              <w:tc>
                <w:tcPr>
                  <w:tcW w:w="1933" w:type="dxa"/>
                  <w:tcBorders>
                    <w:tl2br w:val="nil"/>
                    <w:tr2bl w:val="nil"/>
                  </w:tcBorders>
                  <w:vAlign w:val="center"/>
                </w:tcPr>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非甲烷总烃</w:t>
                  </w:r>
                </w:p>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苯系物</w:t>
                  </w:r>
                </w:p>
              </w:tc>
              <w:tc>
                <w:tcPr>
                  <w:tcW w:w="1187" w:type="dxa"/>
                  <w:vMerge w:val="continue"/>
                  <w:tcBorders>
                    <w:tl2br w:val="nil"/>
                    <w:tr2bl w:val="nil"/>
                  </w:tcBorders>
                  <w:vAlign w:val="center"/>
                </w:tcPr>
                <w:p>
                  <w:pPr>
                    <w:pStyle w:val="48"/>
                    <w:spacing w:line="240" w:lineRule="auto"/>
                    <w:jc w:val="center"/>
                    <w:rPr>
                      <w:rFonts w:ascii="Times New Roman" w:hAnsi="Times New Roman"/>
                      <w:sz w:val="21"/>
                      <w:szCs w:val="21"/>
                      <w:u w:val="single"/>
                    </w:rPr>
                  </w:pPr>
                </w:p>
              </w:tc>
              <w:tc>
                <w:tcPr>
                  <w:tcW w:w="3750" w:type="dxa"/>
                  <w:tcBorders>
                    <w:tl2br w:val="nil"/>
                    <w:tr2bl w:val="nil"/>
                  </w:tcBorders>
                  <w:vAlign w:val="center"/>
                </w:tcPr>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《表面涂装（汽车制造及维修）挥发性有机物、镍排放标准》（DB43/1356-2017）</w:t>
                  </w:r>
                </w:p>
              </w:tc>
            </w:tr>
          </w:tbl>
          <w:p>
            <w:pPr>
              <w:pStyle w:val="42"/>
              <w:spacing w:line="240" w:lineRule="auto"/>
              <w:ind w:firstLine="0" w:firstLineChars="0"/>
              <w:jc w:val="center"/>
              <w:rPr>
                <w:b/>
                <w:sz w:val="21"/>
                <w:szCs w:val="21"/>
                <w:u w:val="single"/>
              </w:rPr>
            </w:pPr>
            <w:r>
              <w:rPr>
                <w:b/>
                <w:sz w:val="21"/>
                <w:szCs w:val="21"/>
                <w:u w:val="single"/>
              </w:rPr>
              <w:t>表7-21  项目无组织废气监测方案</w:t>
            </w:r>
          </w:p>
          <w:tbl>
            <w:tblPr>
              <w:tblStyle w:val="20"/>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933"/>
              <w:gridCol w:w="1187"/>
              <w:gridCol w:w="3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tcBorders>
                    <w:tl2br w:val="nil"/>
                    <w:tr2bl w:val="nil"/>
                  </w:tcBorders>
                  <w:vAlign w:val="center"/>
                </w:tcPr>
                <w:p>
                  <w:pPr>
                    <w:jc w:val="center"/>
                    <w:rPr>
                      <w:b/>
                      <w:bCs/>
                      <w:kern w:val="24"/>
                      <w:szCs w:val="21"/>
                      <w:u w:val="single"/>
                    </w:rPr>
                  </w:pPr>
                  <w:r>
                    <w:rPr>
                      <w:b/>
                      <w:bCs/>
                      <w:kern w:val="24"/>
                      <w:szCs w:val="21"/>
                      <w:u w:val="single"/>
                    </w:rPr>
                    <w:t>监测点位</w:t>
                  </w:r>
                </w:p>
              </w:tc>
              <w:tc>
                <w:tcPr>
                  <w:tcW w:w="1933" w:type="dxa"/>
                  <w:tcBorders>
                    <w:tl2br w:val="nil"/>
                    <w:tr2bl w:val="nil"/>
                  </w:tcBorders>
                  <w:vAlign w:val="center"/>
                </w:tcPr>
                <w:p>
                  <w:pPr>
                    <w:jc w:val="center"/>
                    <w:rPr>
                      <w:b/>
                      <w:bCs/>
                      <w:kern w:val="24"/>
                      <w:szCs w:val="21"/>
                      <w:u w:val="single"/>
                    </w:rPr>
                  </w:pPr>
                  <w:r>
                    <w:rPr>
                      <w:b/>
                      <w:bCs/>
                      <w:kern w:val="24"/>
                      <w:szCs w:val="21"/>
                      <w:u w:val="single"/>
                    </w:rPr>
                    <w:t>监测指标</w:t>
                  </w:r>
                </w:p>
              </w:tc>
              <w:tc>
                <w:tcPr>
                  <w:tcW w:w="1187" w:type="dxa"/>
                  <w:tcBorders>
                    <w:tl2br w:val="nil"/>
                    <w:tr2bl w:val="nil"/>
                  </w:tcBorders>
                  <w:vAlign w:val="center"/>
                </w:tcPr>
                <w:p>
                  <w:pPr>
                    <w:jc w:val="center"/>
                    <w:rPr>
                      <w:b/>
                      <w:bCs/>
                      <w:kern w:val="24"/>
                      <w:szCs w:val="21"/>
                      <w:u w:val="single"/>
                    </w:rPr>
                  </w:pPr>
                  <w:r>
                    <w:rPr>
                      <w:b/>
                      <w:bCs/>
                      <w:kern w:val="24"/>
                      <w:szCs w:val="21"/>
                      <w:u w:val="single"/>
                    </w:rPr>
                    <w:t>监测频次</w:t>
                  </w:r>
                </w:p>
              </w:tc>
              <w:tc>
                <w:tcPr>
                  <w:tcW w:w="3750" w:type="dxa"/>
                  <w:tcBorders>
                    <w:tl2br w:val="nil"/>
                    <w:tr2bl w:val="nil"/>
                  </w:tcBorders>
                  <w:vAlign w:val="center"/>
                </w:tcPr>
                <w:p>
                  <w:pPr>
                    <w:jc w:val="center"/>
                    <w:rPr>
                      <w:b/>
                      <w:bCs/>
                      <w:kern w:val="24"/>
                      <w:szCs w:val="21"/>
                      <w:u w:val="single"/>
                    </w:rPr>
                  </w:pPr>
                  <w:r>
                    <w:rPr>
                      <w:b/>
                      <w:bCs/>
                      <w:kern w:val="24"/>
                      <w:szCs w:val="21"/>
                      <w:u w:val="single"/>
                    </w:rPr>
                    <w:t>排放执行标准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restart"/>
                  <w:tcBorders>
                    <w:tl2br w:val="nil"/>
                    <w:tr2bl w:val="nil"/>
                  </w:tcBorders>
                  <w:vAlign w:val="center"/>
                </w:tcPr>
                <w:p>
                  <w:pPr>
                    <w:contextualSpacing/>
                    <w:jc w:val="center"/>
                    <w:rPr>
                      <w:rFonts w:hint="default" w:eastAsia="宋体"/>
                      <w:bCs/>
                      <w:szCs w:val="21"/>
                      <w:u w:val="single"/>
                      <w:lang w:val="en-US" w:eastAsia="zh-CN"/>
                    </w:rPr>
                  </w:pPr>
                  <w:r>
                    <w:rPr>
                      <w:rFonts w:hint="eastAsia"/>
                      <w:bCs/>
                      <w:szCs w:val="21"/>
                      <w:u w:val="single"/>
                      <w:lang w:val="en-US" w:eastAsia="zh-CN"/>
                    </w:rPr>
                    <w:t>厂界外下风向1#</w:t>
                  </w:r>
                </w:p>
              </w:tc>
              <w:tc>
                <w:tcPr>
                  <w:tcW w:w="1933" w:type="dxa"/>
                  <w:tcBorders>
                    <w:tl2br w:val="nil"/>
                    <w:tr2bl w:val="nil"/>
                  </w:tcBorders>
                  <w:vAlign w:val="center"/>
                </w:tcPr>
                <w:p>
                  <w:pPr>
                    <w:pStyle w:val="48"/>
                    <w:spacing w:line="240" w:lineRule="auto"/>
                    <w:jc w:val="center"/>
                    <w:rPr>
                      <w:rFonts w:ascii="Times New Roman" w:hAnsi="Times New Roman"/>
                      <w:bCs/>
                      <w:sz w:val="21"/>
                      <w:szCs w:val="21"/>
                      <w:u w:val="single"/>
                    </w:rPr>
                  </w:pPr>
                  <w:r>
                    <w:rPr>
                      <w:rFonts w:hint="eastAsia" w:ascii="Times New Roman" w:hAnsi="Times New Roman"/>
                      <w:sz w:val="21"/>
                      <w:szCs w:val="21"/>
                      <w:u w:val="single"/>
                      <w:lang w:val="en-US" w:eastAsia="zh-CN"/>
                    </w:rPr>
                    <w:t>挥发性有机物(</w:t>
                  </w:r>
                  <w:r>
                    <w:rPr>
                      <w:rFonts w:ascii="Times New Roman" w:hAnsi="Times New Roman"/>
                      <w:sz w:val="21"/>
                      <w:szCs w:val="21"/>
                      <w:u w:val="single"/>
                    </w:rPr>
                    <w:t>非甲烷总烃</w:t>
                  </w:r>
                  <w:r>
                    <w:rPr>
                      <w:rFonts w:hint="eastAsia" w:ascii="Times New Roman" w:hAnsi="Times New Roman"/>
                      <w:sz w:val="21"/>
                      <w:szCs w:val="21"/>
                      <w:u w:val="single"/>
                      <w:lang w:val="en-US" w:eastAsia="zh-CN"/>
                    </w:rPr>
                    <w:t>)</w:t>
                  </w:r>
                </w:p>
              </w:tc>
              <w:tc>
                <w:tcPr>
                  <w:tcW w:w="1187" w:type="dxa"/>
                  <w:tcBorders>
                    <w:tl2br w:val="nil"/>
                    <w:tr2bl w:val="nil"/>
                  </w:tcBorders>
                  <w:vAlign w:val="center"/>
                </w:tcPr>
                <w:p>
                  <w:pPr>
                    <w:pStyle w:val="48"/>
                    <w:spacing w:line="240" w:lineRule="auto"/>
                    <w:contextualSpacing/>
                    <w:jc w:val="center"/>
                    <w:rPr>
                      <w:rFonts w:ascii="Times New Roman" w:hAnsi="Times New Roman"/>
                      <w:bCs/>
                      <w:sz w:val="21"/>
                      <w:szCs w:val="21"/>
                      <w:u w:val="single"/>
                    </w:rPr>
                  </w:pPr>
                  <w:r>
                    <w:rPr>
                      <w:rFonts w:ascii="Times New Roman" w:hAnsi="Times New Roman"/>
                      <w:bCs/>
                      <w:sz w:val="21"/>
                      <w:szCs w:val="21"/>
                      <w:u w:val="single"/>
                    </w:rPr>
                    <w:t>1次/半年</w:t>
                  </w:r>
                </w:p>
              </w:tc>
              <w:tc>
                <w:tcPr>
                  <w:tcW w:w="3750" w:type="dxa"/>
                  <w:tcBorders>
                    <w:tl2br w:val="nil"/>
                    <w:tr2bl w:val="nil"/>
                  </w:tcBorders>
                  <w:vAlign w:val="center"/>
                </w:tcPr>
                <w:p>
                  <w:pPr>
                    <w:pStyle w:val="48"/>
                    <w:spacing w:line="240" w:lineRule="auto"/>
                    <w:jc w:val="center"/>
                    <w:rPr>
                      <w:rFonts w:ascii="Times New Roman" w:hAnsi="Times New Roman"/>
                      <w:bCs/>
                      <w:sz w:val="21"/>
                      <w:szCs w:val="21"/>
                      <w:u w:val="single"/>
                    </w:rPr>
                  </w:pPr>
                  <w:r>
                    <w:rPr>
                      <w:rFonts w:ascii="Times New Roman" w:hAnsi="Times New Roman"/>
                      <w:sz w:val="21"/>
                      <w:szCs w:val="21"/>
                      <w:u w:val="single"/>
                    </w:rPr>
                    <w:t>《天津市工业企业挥发性有机物排放控制标准》（DB12/ 524-20</w:t>
                  </w:r>
                  <w:r>
                    <w:rPr>
                      <w:rFonts w:hint="eastAsia" w:ascii="Times New Roman" w:hAnsi="Times New Roman"/>
                      <w:sz w:val="21"/>
                      <w:szCs w:val="21"/>
                      <w:u w:val="single"/>
                    </w:rPr>
                    <w:t>20</w:t>
                  </w:r>
                  <w:r>
                    <w:rPr>
                      <w:rFonts w:ascii="Times New Roman" w:hAnsi="Times New Roman"/>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Merge w:val="continue"/>
                  <w:tcBorders>
                    <w:tl2br w:val="nil"/>
                    <w:tr2bl w:val="nil"/>
                  </w:tcBorders>
                  <w:vAlign w:val="center"/>
                </w:tcPr>
                <w:p>
                  <w:pPr>
                    <w:contextualSpacing/>
                    <w:jc w:val="center"/>
                    <w:rPr>
                      <w:bCs/>
                      <w:szCs w:val="21"/>
                      <w:u w:val="single"/>
                    </w:rPr>
                  </w:pPr>
                </w:p>
              </w:tc>
              <w:tc>
                <w:tcPr>
                  <w:tcW w:w="1933" w:type="dxa"/>
                  <w:tcBorders>
                    <w:tl2br w:val="nil"/>
                    <w:tr2bl w:val="nil"/>
                  </w:tcBorders>
                  <w:vAlign w:val="center"/>
                </w:tcPr>
                <w:p>
                  <w:pPr>
                    <w:pStyle w:val="48"/>
                    <w:spacing w:line="240" w:lineRule="auto"/>
                    <w:jc w:val="center"/>
                    <w:rPr>
                      <w:rFonts w:ascii="Times New Roman" w:hAnsi="Times New Roman"/>
                      <w:bCs/>
                      <w:sz w:val="21"/>
                      <w:szCs w:val="21"/>
                      <w:u w:val="single"/>
                    </w:rPr>
                  </w:pPr>
                  <w:r>
                    <w:rPr>
                      <w:rFonts w:ascii="Times New Roman" w:hAnsi="Times New Roman"/>
                      <w:sz w:val="21"/>
                      <w:szCs w:val="21"/>
                      <w:u w:val="single"/>
                    </w:rPr>
                    <w:t>苯系物</w:t>
                  </w:r>
                </w:p>
              </w:tc>
              <w:tc>
                <w:tcPr>
                  <w:tcW w:w="1187" w:type="dxa"/>
                  <w:tcBorders>
                    <w:tl2br w:val="nil"/>
                    <w:tr2bl w:val="nil"/>
                  </w:tcBorders>
                  <w:vAlign w:val="center"/>
                </w:tcPr>
                <w:p>
                  <w:pPr>
                    <w:pStyle w:val="48"/>
                    <w:spacing w:line="240" w:lineRule="auto"/>
                    <w:contextualSpacing/>
                    <w:jc w:val="center"/>
                    <w:rPr>
                      <w:rFonts w:ascii="Times New Roman" w:hAnsi="Times New Roman"/>
                      <w:bCs/>
                      <w:sz w:val="21"/>
                      <w:szCs w:val="21"/>
                      <w:u w:val="single"/>
                    </w:rPr>
                  </w:pPr>
                  <w:r>
                    <w:rPr>
                      <w:rFonts w:ascii="Times New Roman" w:hAnsi="Times New Roman"/>
                      <w:bCs/>
                      <w:sz w:val="21"/>
                      <w:szCs w:val="21"/>
                      <w:u w:val="single"/>
                    </w:rPr>
                    <w:t>1次/半年</w:t>
                  </w:r>
                </w:p>
              </w:tc>
              <w:tc>
                <w:tcPr>
                  <w:tcW w:w="3750" w:type="dxa"/>
                  <w:tcBorders>
                    <w:tl2br w:val="nil"/>
                    <w:tr2bl w:val="nil"/>
                  </w:tcBorders>
                  <w:vAlign w:val="center"/>
                </w:tcPr>
                <w:p>
                  <w:pPr>
                    <w:pStyle w:val="48"/>
                    <w:spacing w:line="240" w:lineRule="auto"/>
                    <w:jc w:val="center"/>
                    <w:rPr>
                      <w:rFonts w:ascii="Times New Roman" w:hAnsi="Times New Roman"/>
                      <w:bCs/>
                      <w:sz w:val="21"/>
                      <w:szCs w:val="21"/>
                      <w:u w:val="single"/>
                    </w:rPr>
                  </w:pPr>
                  <w:r>
                    <w:rPr>
                      <w:rFonts w:ascii="Times New Roman" w:hAnsi="Times New Roman"/>
                      <w:sz w:val="21"/>
                      <w:szCs w:val="21"/>
                      <w:u w:val="single"/>
                    </w:rPr>
                    <w:t>《表面涂装（汽车制造及维修）挥发性有机物、镍排放标准》（DB43/1356-2017）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tcBorders>
                    <w:tl2br w:val="nil"/>
                    <w:tr2bl w:val="nil"/>
                  </w:tcBorders>
                  <w:vAlign w:val="center"/>
                </w:tcPr>
                <w:p>
                  <w:pPr>
                    <w:contextualSpacing/>
                    <w:jc w:val="center"/>
                    <w:rPr>
                      <w:rFonts w:hint="default" w:eastAsia="宋体"/>
                      <w:bCs/>
                      <w:szCs w:val="21"/>
                      <w:u w:val="single"/>
                      <w:lang w:val="en-US" w:eastAsia="zh-CN"/>
                    </w:rPr>
                  </w:pPr>
                  <w:r>
                    <w:rPr>
                      <w:rFonts w:hint="eastAsia"/>
                      <w:bCs/>
                      <w:szCs w:val="21"/>
                      <w:u w:val="single"/>
                      <w:lang w:val="en-US" w:eastAsia="zh-CN"/>
                    </w:rPr>
                    <w:t>厂界内喷漆房旁2#</w:t>
                  </w:r>
                </w:p>
              </w:tc>
              <w:tc>
                <w:tcPr>
                  <w:tcW w:w="1933" w:type="dxa"/>
                  <w:tcBorders>
                    <w:tl2br w:val="nil"/>
                    <w:tr2bl w:val="nil"/>
                  </w:tcBorders>
                  <w:vAlign w:val="center"/>
                </w:tcPr>
                <w:p>
                  <w:pPr>
                    <w:pStyle w:val="48"/>
                    <w:spacing w:line="240" w:lineRule="auto"/>
                    <w:jc w:val="center"/>
                    <w:rPr>
                      <w:rFonts w:hint="eastAsia"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挥发性有机物(</w:t>
                  </w:r>
                  <w:r>
                    <w:rPr>
                      <w:rFonts w:ascii="Times New Roman" w:hAnsi="Times New Roman"/>
                      <w:sz w:val="21"/>
                      <w:szCs w:val="21"/>
                      <w:u w:val="single"/>
                    </w:rPr>
                    <w:t>非甲烷总烃</w:t>
                  </w:r>
                  <w:r>
                    <w:rPr>
                      <w:rFonts w:hint="eastAsia" w:ascii="Times New Roman" w:hAnsi="Times New Roman"/>
                      <w:sz w:val="21"/>
                      <w:szCs w:val="21"/>
                      <w:u w:val="single"/>
                      <w:lang w:val="en-US" w:eastAsia="zh-CN"/>
                    </w:rPr>
                    <w:t>)</w:t>
                  </w:r>
                </w:p>
              </w:tc>
              <w:tc>
                <w:tcPr>
                  <w:tcW w:w="1187" w:type="dxa"/>
                  <w:tcBorders>
                    <w:tl2br w:val="nil"/>
                    <w:tr2bl w:val="nil"/>
                  </w:tcBorders>
                  <w:vAlign w:val="center"/>
                </w:tcPr>
                <w:p>
                  <w:pPr>
                    <w:pStyle w:val="48"/>
                    <w:spacing w:line="240" w:lineRule="auto"/>
                    <w:contextualSpacing/>
                    <w:jc w:val="center"/>
                    <w:rPr>
                      <w:rFonts w:hint="eastAsia" w:ascii="Times New Roman" w:hAnsi="Times New Roman" w:eastAsia="宋体"/>
                      <w:bCs/>
                      <w:sz w:val="21"/>
                      <w:szCs w:val="21"/>
                      <w:u w:val="single"/>
                      <w:lang w:eastAsia="zh-CN"/>
                    </w:rPr>
                  </w:pPr>
                  <w:r>
                    <w:rPr>
                      <w:rFonts w:ascii="Times New Roman" w:hAnsi="Times New Roman"/>
                      <w:bCs/>
                      <w:sz w:val="21"/>
                      <w:szCs w:val="21"/>
                      <w:u w:val="single"/>
                    </w:rPr>
                    <w:t>1次/</w:t>
                  </w:r>
                  <w:r>
                    <w:rPr>
                      <w:rFonts w:hint="eastAsia" w:ascii="Times New Roman" w:hAnsi="Times New Roman"/>
                      <w:bCs/>
                      <w:sz w:val="21"/>
                      <w:szCs w:val="21"/>
                      <w:u w:val="single"/>
                      <w:lang w:val="en-US" w:eastAsia="zh-CN"/>
                    </w:rPr>
                    <w:t>半年</w:t>
                  </w:r>
                </w:p>
              </w:tc>
              <w:tc>
                <w:tcPr>
                  <w:tcW w:w="3750" w:type="dxa"/>
                  <w:tcBorders>
                    <w:tl2br w:val="nil"/>
                    <w:tr2bl w:val="nil"/>
                  </w:tcBorders>
                  <w:vAlign w:val="center"/>
                </w:tcPr>
                <w:p>
                  <w:pPr>
                    <w:pStyle w:val="48"/>
                    <w:spacing w:line="240" w:lineRule="auto"/>
                    <w:jc w:val="center"/>
                    <w:rPr>
                      <w:rFonts w:ascii="Times New Roman" w:hAnsi="Times New Roman"/>
                      <w:sz w:val="21"/>
                      <w:szCs w:val="21"/>
                      <w:u w:val="single"/>
                    </w:rPr>
                  </w:pPr>
                  <w:r>
                    <w:rPr>
                      <w:rFonts w:ascii="Times New Roman" w:hAnsi="Times New Roman"/>
                      <w:sz w:val="21"/>
                      <w:szCs w:val="21"/>
                      <w:u w:val="single"/>
                    </w:rPr>
                    <w:t>《天津市工业企业挥发性有机物排放控制标准》（DB12/ 524-20</w:t>
                  </w:r>
                  <w:r>
                    <w:rPr>
                      <w:rFonts w:hint="eastAsia" w:ascii="Times New Roman" w:hAnsi="Times New Roman"/>
                      <w:sz w:val="21"/>
                      <w:szCs w:val="21"/>
                      <w:u w:val="single"/>
                    </w:rPr>
                    <w:t>20</w:t>
                  </w:r>
                  <w:r>
                    <w:rPr>
                      <w:rFonts w:ascii="Times New Roman" w:hAnsi="Times New Roman"/>
                      <w:sz w:val="21"/>
                      <w:szCs w:val="21"/>
                      <w:u w:val="single"/>
                    </w:rPr>
                    <w:t>）</w:t>
                  </w:r>
                </w:p>
              </w:tc>
            </w:tr>
          </w:tbl>
          <w:p>
            <w:pPr>
              <w:pStyle w:val="42"/>
              <w:spacing w:line="240" w:lineRule="auto"/>
              <w:ind w:firstLine="0" w:firstLineChars="0"/>
              <w:jc w:val="center"/>
              <w:rPr>
                <w:b/>
                <w:sz w:val="21"/>
                <w:szCs w:val="21"/>
                <w:u w:val="single"/>
              </w:rPr>
            </w:pPr>
            <w:r>
              <w:rPr>
                <w:b/>
                <w:sz w:val="21"/>
                <w:szCs w:val="21"/>
                <w:u w:val="single"/>
              </w:rPr>
              <w:t>表7-22  项目废水监测方案</w:t>
            </w:r>
          </w:p>
          <w:tbl>
            <w:tblPr>
              <w:tblStyle w:val="20"/>
              <w:tblW w:w="82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65"/>
              <w:gridCol w:w="1667"/>
              <w:gridCol w:w="816"/>
              <w:gridCol w:w="1518"/>
              <w:gridCol w:w="826"/>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0" w:type="dxa"/>
                  <w:vMerge w:val="restart"/>
                  <w:tcBorders>
                    <w:tl2br w:val="nil"/>
                    <w:tr2bl w:val="nil"/>
                  </w:tcBorders>
                  <w:vAlign w:val="center"/>
                </w:tcPr>
                <w:p>
                  <w:pPr>
                    <w:pStyle w:val="49"/>
                    <w:ind w:firstLine="0" w:firstLineChars="0"/>
                    <w:rPr>
                      <w:b/>
                      <w:szCs w:val="21"/>
                      <w:u w:val="single"/>
                    </w:rPr>
                  </w:pPr>
                  <w:r>
                    <w:rPr>
                      <w:b/>
                      <w:szCs w:val="21"/>
                      <w:u w:val="single"/>
                    </w:rPr>
                    <w:t>序号</w:t>
                  </w:r>
                </w:p>
              </w:tc>
              <w:tc>
                <w:tcPr>
                  <w:tcW w:w="965" w:type="dxa"/>
                  <w:vMerge w:val="restart"/>
                  <w:tcBorders>
                    <w:tl2br w:val="nil"/>
                    <w:tr2bl w:val="nil"/>
                  </w:tcBorders>
                  <w:vAlign w:val="center"/>
                </w:tcPr>
                <w:p>
                  <w:pPr>
                    <w:pStyle w:val="49"/>
                    <w:ind w:firstLine="0" w:firstLineChars="0"/>
                    <w:rPr>
                      <w:b/>
                      <w:szCs w:val="21"/>
                      <w:u w:val="single"/>
                    </w:rPr>
                  </w:pPr>
                  <w:r>
                    <w:rPr>
                      <w:b/>
                      <w:szCs w:val="21"/>
                      <w:u w:val="single"/>
                    </w:rPr>
                    <w:t>排放口编号</w:t>
                  </w:r>
                </w:p>
              </w:tc>
              <w:tc>
                <w:tcPr>
                  <w:tcW w:w="1667" w:type="dxa"/>
                  <w:vMerge w:val="restart"/>
                  <w:tcBorders>
                    <w:tl2br w:val="nil"/>
                    <w:tr2bl w:val="nil"/>
                  </w:tcBorders>
                  <w:vAlign w:val="center"/>
                </w:tcPr>
                <w:p>
                  <w:pPr>
                    <w:pStyle w:val="49"/>
                    <w:ind w:firstLine="0" w:firstLineChars="0"/>
                    <w:rPr>
                      <w:b/>
                      <w:szCs w:val="21"/>
                      <w:u w:val="single"/>
                    </w:rPr>
                  </w:pPr>
                  <w:r>
                    <w:rPr>
                      <w:b/>
                      <w:szCs w:val="21"/>
                      <w:u w:val="single"/>
                    </w:rPr>
                    <w:t>污染物名称</w:t>
                  </w:r>
                </w:p>
              </w:tc>
              <w:tc>
                <w:tcPr>
                  <w:tcW w:w="816" w:type="dxa"/>
                  <w:vMerge w:val="restart"/>
                  <w:tcBorders>
                    <w:tl2br w:val="nil"/>
                    <w:tr2bl w:val="nil"/>
                  </w:tcBorders>
                  <w:vAlign w:val="center"/>
                </w:tcPr>
                <w:p>
                  <w:pPr>
                    <w:pStyle w:val="49"/>
                    <w:ind w:firstLine="0" w:firstLineChars="0"/>
                    <w:rPr>
                      <w:b/>
                      <w:szCs w:val="21"/>
                      <w:u w:val="single"/>
                    </w:rPr>
                  </w:pPr>
                  <w:r>
                    <w:rPr>
                      <w:b/>
                      <w:szCs w:val="21"/>
                      <w:u w:val="single"/>
                    </w:rPr>
                    <w:t>监测设施</w:t>
                  </w:r>
                </w:p>
              </w:tc>
              <w:tc>
                <w:tcPr>
                  <w:tcW w:w="1518" w:type="dxa"/>
                  <w:vMerge w:val="restart"/>
                  <w:tcBorders>
                    <w:tl2br w:val="nil"/>
                    <w:tr2bl w:val="nil"/>
                  </w:tcBorders>
                  <w:vAlign w:val="center"/>
                </w:tcPr>
                <w:p>
                  <w:pPr>
                    <w:pStyle w:val="49"/>
                    <w:ind w:firstLine="0" w:firstLineChars="0"/>
                    <w:rPr>
                      <w:b/>
                      <w:szCs w:val="21"/>
                      <w:u w:val="single"/>
                    </w:rPr>
                  </w:pPr>
                  <w:r>
                    <w:rPr>
                      <w:b/>
                      <w:szCs w:val="21"/>
                      <w:u w:val="single"/>
                    </w:rPr>
                    <w:t>手工监测采样方法及个数</w:t>
                  </w:r>
                </w:p>
              </w:tc>
              <w:tc>
                <w:tcPr>
                  <w:tcW w:w="826" w:type="dxa"/>
                  <w:vMerge w:val="restart"/>
                  <w:tcBorders>
                    <w:tl2br w:val="nil"/>
                    <w:tr2bl w:val="nil"/>
                  </w:tcBorders>
                  <w:vAlign w:val="center"/>
                </w:tcPr>
                <w:p>
                  <w:pPr>
                    <w:pStyle w:val="49"/>
                    <w:ind w:firstLine="0" w:firstLineChars="0"/>
                    <w:rPr>
                      <w:b/>
                      <w:szCs w:val="21"/>
                      <w:u w:val="single"/>
                    </w:rPr>
                  </w:pPr>
                  <w:r>
                    <w:rPr>
                      <w:b/>
                      <w:szCs w:val="21"/>
                      <w:u w:val="single"/>
                    </w:rPr>
                    <w:t>手工监测频次</w:t>
                  </w:r>
                </w:p>
              </w:tc>
              <w:tc>
                <w:tcPr>
                  <w:tcW w:w="1980" w:type="dxa"/>
                  <w:vMerge w:val="restart"/>
                  <w:tcBorders>
                    <w:tl2br w:val="nil"/>
                    <w:tr2bl w:val="nil"/>
                  </w:tcBorders>
                  <w:vAlign w:val="center"/>
                </w:tcPr>
                <w:p>
                  <w:pPr>
                    <w:pStyle w:val="49"/>
                    <w:ind w:firstLine="0" w:firstLineChars="0"/>
                    <w:rPr>
                      <w:b/>
                      <w:szCs w:val="21"/>
                      <w:u w:val="single"/>
                    </w:rPr>
                  </w:pPr>
                  <w:r>
                    <w:rPr>
                      <w:b/>
                      <w:szCs w:val="21"/>
                      <w:u w:val="single"/>
                    </w:rPr>
                    <w:t>手工测定方法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0" w:type="dxa"/>
                  <w:vMerge w:val="continue"/>
                  <w:tcBorders>
                    <w:tl2br w:val="nil"/>
                    <w:tr2bl w:val="nil"/>
                  </w:tcBorders>
                  <w:vAlign w:val="center"/>
                </w:tcPr>
                <w:p>
                  <w:pPr>
                    <w:pStyle w:val="49"/>
                    <w:ind w:firstLine="0" w:firstLineChars="0"/>
                    <w:rPr>
                      <w:szCs w:val="21"/>
                      <w:u w:val="single"/>
                    </w:rPr>
                  </w:pPr>
                </w:p>
              </w:tc>
              <w:tc>
                <w:tcPr>
                  <w:tcW w:w="965" w:type="dxa"/>
                  <w:vMerge w:val="continue"/>
                  <w:tcBorders>
                    <w:tl2br w:val="nil"/>
                    <w:tr2bl w:val="nil"/>
                  </w:tcBorders>
                  <w:vAlign w:val="center"/>
                </w:tcPr>
                <w:p>
                  <w:pPr>
                    <w:pStyle w:val="49"/>
                    <w:ind w:firstLine="0" w:firstLineChars="0"/>
                    <w:rPr>
                      <w:szCs w:val="21"/>
                      <w:u w:val="single"/>
                    </w:rPr>
                  </w:pPr>
                </w:p>
              </w:tc>
              <w:tc>
                <w:tcPr>
                  <w:tcW w:w="1667" w:type="dxa"/>
                  <w:vMerge w:val="continue"/>
                  <w:tcBorders>
                    <w:tl2br w:val="nil"/>
                    <w:tr2bl w:val="nil"/>
                  </w:tcBorders>
                  <w:vAlign w:val="center"/>
                </w:tcPr>
                <w:p>
                  <w:pPr>
                    <w:pStyle w:val="49"/>
                    <w:ind w:firstLine="0" w:firstLineChars="0"/>
                    <w:rPr>
                      <w:szCs w:val="21"/>
                      <w:u w:val="single"/>
                    </w:rPr>
                  </w:pPr>
                </w:p>
              </w:tc>
              <w:tc>
                <w:tcPr>
                  <w:tcW w:w="816" w:type="dxa"/>
                  <w:vMerge w:val="continue"/>
                  <w:tcBorders>
                    <w:tl2br w:val="nil"/>
                    <w:tr2bl w:val="nil"/>
                  </w:tcBorders>
                  <w:vAlign w:val="center"/>
                </w:tcPr>
                <w:p>
                  <w:pPr>
                    <w:pStyle w:val="49"/>
                    <w:ind w:firstLine="0" w:firstLineChars="0"/>
                    <w:rPr>
                      <w:szCs w:val="21"/>
                      <w:u w:val="single"/>
                    </w:rPr>
                  </w:pPr>
                </w:p>
              </w:tc>
              <w:tc>
                <w:tcPr>
                  <w:tcW w:w="1518" w:type="dxa"/>
                  <w:vMerge w:val="continue"/>
                  <w:tcBorders>
                    <w:tl2br w:val="nil"/>
                    <w:tr2bl w:val="nil"/>
                  </w:tcBorders>
                  <w:vAlign w:val="center"/>
                </w:tcPr>
                <w:p>
                  <w:pPr>
                    <w:pStyle w:val="49"/>
                    <w:ind w:firstLine="0" w:firstLineChars="0"/>
                    <w:rPr>
                      <w:szCs w:val="21"/>
                      <w:u w:val="single"/>
                    </w:rPr>
                  </w:pPr>
                </w:p>
              </w:tc>
              <w:tc>
                <w:tcPr>
                  <w:tcW w:w="826" w:type="dxa"/>
                  <w:vMerge w:val="continue"/>
                  <w:tcBorders>
                    <w:tl2br w:val="nil"/>
                    <w:tr2bl w:val="nil"/>
                  </w:tcBorders>
                  <w:vAlign w:val="center"/>
                </w:tcPr>
                <w:p>
                  <w:pPr>
                    <w:pStyle w:val="49"/>
                    <w:ind w:firstLine="0" w:firstLineChars="0"/>
                    <w:rPr>
                      <w:szCs w:val="21"/>
                      <w:u w:val="single"/>
                    </w:rPr>
                  </w:pPr>
                </w:p>
              </w:tc>
              <w:tc>
                <w:tcPr>
                  <w:tcW w:w="1980" w:type="dxa"/>
                  <w:vMerge w:val="continue"/>
                  <w:tcBorders>
                    <w:tl2br w:val="nil"/>
                    <w:tr2bl w:val="nil"/>
                  </w:tcBorders>
                  <w:vAlign w:val="center"/>
                </w:tcPr>
                <w:p>
                  <w:pPr>
                    <w:pStyle w:val="49"/>
                    <w:ind w:firstLine="0" w:firstLineChars="0"/>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Merge w:val="restart"/>
                  <w:vAlign w:val="center"/>
                </w:tcPr>
                <w:p>
                  <w:pPr>
                    <w:pStyle w:val="49"/>
                    <w:ind w:firstLine="0" w:firstLineChars="0"/>
                    <w:rPr>
                      <w:szCs w:val="21"/>
                      <w:u w:val="single"/>
                    </w:rPr>
                  </w:pPr>
                  <w:r>
                    <w:rPr>
                      <w:szCs w:val="21"/>
                      <w:u w:val="single"/>
                    </w:rPr>
                    <w:t>1</w:t>
                  </w:r>
                </w:p>
              </w:tc>
              <w:tc>
                <w:tcPr>
                  <w:tcW w:w="965" w:type="dxa"/>
                  <w:vMerge w:val="restart"/>
                  <w:vAlign w:val="center"/>
                </w:tcPr>
                <w:p>
                  <w:pPr>
                    <w:pStyle w:val="49"/>
                    <w:ind w:firstLine="0" w:firstLineChars="0"/>
                    <w:rPr>
                      <w:rFonts w:hint="eastAsia" w:eastAsia="宋体"/>
                      <w:szCs w:val="21"/>
                      <w:u w:val="single"/>
                      <w:lang w:eastAsia="zh-CN"/>
                    </w:rPr>
                  </w:pPr>
                  <w:r>
                    <w:rPr>
                      <w:szCs w:val="21"/>
                      <w:u w:val="single"/>
                    </w:rPr>
                    <w:t>DW00</w:t>
                  </w:r>
                  <w:r>
                    <w:rPr>
                      <w:rFonts w:hint="eastAsia"/>
                      <w:szCs w:val="21"/>
                      <w:u w:val="single"/>
                      <w:lang w:val="en-US" w:eastAsia="zh-CN"/>
                    </w:rPr>
                    <w:t>1</w:t>
                  </w:r>
                </w:p>
              </w:tc>
              <w:tc>
                <w:tcPr>
                  <w:tcW w:w="1667" w:type="dxa"/>
                  <w:vAlign w:val="center"/>
                </w:tcPr>
                <w:p>
                  <w:pPr>
                    <w:pStyle w:val="49"/>
                    <w:ind w:firstLine="0" w:firstLineChars="0"/>
                    <w:rPr>
                      <w:szCs w:val="21"/>
                      <w:u w:val="single"/>
                    </w:rPr>
                  </w:pPr>
                  <w:r>
                    <w:rPr>
                      <w:szCs w:val="21"/>
                      <w:u w:val="single"/>
                    </w:rPr>
                    <w:t>pH</w:t>
                  </w:r>
                </w:p>
              </w:tc>
              <w:tc>
                <w:tcPr>
                  <w:tcW w:w="816" w:type="dxa"/>
                  <w:vMerge w:val="restart"/>
                  <w:vAlign w:val="center"/>
                </w:tcPr>
                <w:p>
                  <w:pPr>
                    <w:pStyle w:val="49"/>
                    <w:ind w:firstLine="0" w:firstLineChars="0"/>
                    <w:jc w:val="both"/>
                    <w:rPr>
                      <w:bCs/>
                      <w:spacing w:val="-6"/>
                      <w:szCs w:val="21"/>
                      <w:u w:val="single"/>
                    </w:rPr>
                  </w:pPr>
                  <w:r>
                    <w:rPr>
                      <w:bCs/>
                      <w:spacing w:val="-6"/>
                      <w:szCs w:val="21"/>
                      <w:u w:val="single"/>
                    </w:rPr>
                    <w:sym w:font="Wingdings 2" w:char="00A3"/>
                  </w:r>
                  <w:r>
                    <w:rPr>
                      <w:bCs/>
                      <w:spacing w:val="-6"/>
                      <w:szCs w:val="21"/>
                      <w:u w:val="single"/>
                    </w:rPr>
                    <w:t>自动</w:t>
                  </w:r>
                </w:p>
                <w:p>
                  <w:pPr>
                    <w:pStyle w:val="49"/>
                    <w:ind w:firstLine="0" w:firstLineChars="0"/>
                    <w:jc w:val="both"/>
                    <w:rPr>
                      <w:szCs w:val="21"/>
                      <w:u w:val="single"/>
                    </w:rPr>
                  </w:pPr>
                  <w:r>
                    <w:rPr>
                      <w:bCs/>
                      <w:spacing w:val="-6"/>
                      <w:szCs w:val="21"/>
                      <w:u w:val="single"/>
                    </w:rPr>
                    <w:t>☑手工</w:t>
                  </w:r>
                </w:p>
              </w:tc>
              <w:tc>
                <w:tcPr>
                  <w:tcW w:w="1518" w:type="dxa"/>
                  <w:vMerge w:val="restart"/>
                  <w:vAlign w:val="center"/>
                </w:tcPr>
                <w:p>
                  <w:pPr>
                    <w:pStyle w:val="49"/>
                    <w:ind w:firstLine="0" w:firstLineChars="0"/>
                    <w:rPr>
                      <w:szCs w:val="21"/>
                      <w:u w:val="single"/>
                    </w:rPr>
                  </w:pPr>
                  <w:r>
                    <w:rPr>
                      <w:szCs w:val="21"/>
                      <w:u w:val="single"/>
                    </w:rPr>
                    <w:t>混合采样(4个混合)</w:t>
                  </w:r>
                </w:p>
              </w:tc>
              <w:tc>
                <w:tcPr>
                  <w:tcW w:w="826" w:type="dxa"/>
                  <w:vMerge w:val="restart"/>
                  <w:vAlign w:val="center"/>
                </w:tcPr>
                <w:p>
                  <w:pPr>
                    <w:pStyle w:val="49"/>
                    <w:ind w:firstLine="0" w:firstLineChars="0"/>
                    <w:rPr>
                      <w:szCs w:val="21"/>
                      <w:u w:val="single"/>
                    </w:rPr>
                  </w:pPr>
                  <w:r>
                    <w:rPr>
                      <w:szCs w:val="21"/>
                      <w:u w:val="single"/>
                    </w:rPr>
                    <w:t>1次/半年</w:t>
                  </w:r>
                </w:p>
              </w:tc>
              <w:tc>
                <w:tcPr>
                  <w:tcW w:w="1980" w:type="dxa"/>
                  <w:vAlign w:val="center"/>
                </w:tcPr>
                <w:p>
                  <w:pPr>
                    <w:pStyle w:val="49"/>
                    <w:ind w:firstLine="0" w:firstLineChars="0"/>
                    <w:rPr>
                      <w:szCs w:val="21"/>
                      <w:u w:val="single"/>
                    </w:rPr>
                  </w:pPr>
                  <w:r>
                    <w:rPr>
                      <w:szCs w:val="21"/>
                      <w:u w:val="single"/>
                    </w:rPr>
                    <w:t>玻璃电极法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Merge w:val="continue"/>
                </w:tcPr>
                <w:p>
                  <w:pPr>
                    <w:pStyle w:val="49"/>
                    <w:ind w:firstLine="0" w:firstLineChars="0"/>
                    <w:rPr>
                      <w:szCs w:val="21"/>
                      <w:u w:val="single"/>
                    </w:rPr>
                  </w:pPr>
                </w:p>
              </w:tc>
              <w:tc>
                <w:tcPr>
                  <w:tcW w:w="965" w:type="dxa"/>
                  <w:vMerge w:val="continue"/>
                </w:tcPr>
                <w:p>
                  <w:pPr>
                    <w:pStyle w:val="49"/>
                    <w:ind w:firstLine="0" w:firstLineChars="0"/>
                    <w:rPr>
                      <w:szCs w:val="21"/>
                      <w:u w:val="single"/>
                    </w:rPr>
                  </w:pPr>
                </w:p>
              </w:tc>
              <w:tc>
                <w:tcPr>
                  <w:tcW w:w="1667" w:type="dxa"/>
                  <w:vAlign w:val="center"/>
                </w:tcPr>
                <w:p>
                  <w:pPr>
                    <w:pStyle w:val="49"/>
                    <w:ind w:firstLine="0" w:firstLineChars="0"/>
                    <w:rPr>
                      <w:szCs w:val="21"/>
                      <w:u w:val="single"/>
                    </w:rPr>
                  </w:pPr>
                  <w:r>
                    <w:rPr>
                      <w:szCs w:val="21"/>
                      <w:u w:val="single"/>
                    </w:rPr>
                    <w:t>化学需氧量</w:t>
                  </w:r>
                </w:p>
              </w:tc>
              <w:tc>
                <w:tcPr>
                  <w:tcW w:w="816" w:type="dxa"/>
                  <w:vMerge w:val="continue"/>
                </w:tcPr>
                <w:p>
                  <w:pPr>
                    <w:pStyle w:val="49"/>
                    <w:ind w:firstLine="0" w:firstLineChars="0"/>
                    <w:rPr>
                      <w:szCs w:val="21"/>
                      <w:u w:val="single"/>
                    </w:rPr>
                  </w:pPr>
                </w:p>
              </w:tc>
              <w:tc>
                <w:tcPr>
                  <w:tcW w:w="1518" w:type="dxa"/>
                  <w:vMerge w:val="continue"/>
                </w:tcPr>
                <w:p>
                  <w:pPr>
                    <w:pStyle w:val="49"/>
                    <w:ind w:firstLine="0" w:firstLineChars="0"/>
                    <w:rPr>
                      <w:szCs w:val="21"/>
                      <w:u w:val="single"/>
                    </w:rPr>
                  </w:pPr>
                </w:p>
              </w:tc>
              <w:tc>
                <w:tcPr>
                  <w:tcW w:w="826" w:type="dxa"/>
                  <w:vMerge w:val="continue"/>
                </w:tcPr>
                <w:p>
                  <w:pPr>
                    <w:pStyle w:val="49"/>
                    <w:ind w:firstLine="0" w:firstLineChars="0"/>
                    <w:rPr>
                      <w:szCs w:val="21"/>
                      <w:u w:val="single"/>
                    </w:rPr>
                  </w:pPr>
                </w:p>
              </w:tc>
              <w:tc>
                <w:tcPr>
                  <w:tcW w:w="1980" w:type="dxa"/>
                  <w:vAlign w:val="center"/>
                </w:tcPr>
                <w:p>
                  <w:pPr>
                    <w:pStyle w:val="49"/>
                    <w:ind w:firstLine="0" w:firstLineChars="0"/>
                    <w:rPr>
                      <w:szCs w:val="21"/>
                      <w:u w:val="single"/>
                    </w:rPr>
                  </w:pPr>
                  <w:r>
                    <w:rPr>
                      <w:szCs w:val="21"/>
                      <w:u w:val="single"/>
                    </w:rPr>
                    <w:t>重铬酸盐法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Merge w:val="continue"/>
                </w:tcPr>
                <w:p>
                  <w:pPr>
                    <w:pStyle w:val="49"/>
                    <w:ind w:firstLine="0" w:firstLineChars="0"/>
                    <w:rPr>
                      <w:szCs w:val="21"/>
                      <w:u w:val="single"/>
                    </w:rPr>
                  </w:pPr>
                </w:p>
              </w:tc>
              <w:tc>
                <w:tcPr>
                  <w:tcW w:w="965" w:type="dxa"/>
                  <w:vMerge w:val="continue"/>
                </w:tcPr>
                <w:p>
                  <w:pPr>
                    <w:pStyle w:val="49"/>
                    <w:ind w:firstLine="0" w:firstLineChars="0"/>
                    <w:rPr>
                      <w:szCs w:val="21"/>
                      <w:u w:val="single"/>
                    </w:rPr>
                  </w:pPr>
                </w:p>
              </w:tc>
              <w:tc>
                <w:tcPr>
                  <w:tcW w:w="1667" w:type="dxa"/>
                  <w:vAlign w:val="center"/>
                </w:tcPr>
                <w:p>
                  <w:pPr>
                    <w:pStyle w:val="49"/>
                    <w:ind w:firstLine="0" w:firstLineChars="0"/>
                    <w:rPr>
                      <w:szCs w:val="21"/>
                      <w:u w:val="single"/>
                    </w:rPr>
                  </w:pPr>
                  <w:r>
                    <w:rPr>
                      <w:szCs w:val="21"/>
                      <w:u w:val="single"/>
                    </w:rPr>
                    <w:t>SS</w:t>
                  </w:r>
                </w:p>
              </w:tc>
              <w:tc>
                <w:tcPr>
                  <w:tcW w:w="816" w:type="dxa"/>
                  <w:vMerge w:val="continue"/>
                </w:tcPr>
                <w:p>
                  <w:pPr>
                    <w:pStyle w:val="49"/>
                    <w:ind w:firstLine="0" w:firstLineChars="0"/>
                    <w:rPr>
                      <w:szCs w:val="21"/>
                      <w:u w:val="single"/>
                    </w:rPr>
                  </w:pPr>
                </w:p>
              </w:tc>
              <w:tc>
                <w:tcPr>
                  <w:tcW w:w="1518" w:type="dxa"/>
                  <w:vMerge w:val="continue"/>
                </w:tcPr>
                <w:p>
                  <w:pPr>
                    <w:pStyle w:val="49"/>
                    <w:ind w:firstLine="0" w:firstLineChars="0"/>
                    <w:rPr>
                      <w:szCs w:val="21"/>
                      <w:u w:val="single"/>
                    </w:rPr>
                  </w:pPr>
                </w:p>
              </w:tc>
              <w:tc>
                <w:tcPr>
                  <w:tcW w:w="826" w:type="dxa"/>
                  <w:vMerge w:val="continue"/>
                </w:tcPr>
                <w:p>
                  <w:pPr>
                    <w:pStyle w:val="49"/>
                    <w:ind w:firstLine="0" w:firstLineChars="0"/>
                    <w:rPr>
                      <w:szCs w:val="21"/>
                      <w:u w:val="single"/>
                    </w:rPr>
                  </w:pPr>
                </w:p>
              </w:tc>
              <w:tc>
                <w:tcPr>
                  <w:tcW w:w="1980" w:type="dxa"/>
                  <w:vAlign w:val="center"/>
                </w:tcPr>
                <w:p>
                  <w:pPr>
                    <w:pStyle w:val="49"/>
                    <w:ind w:firstLine="0" w:firstLineChars="0"/>
                    <w:rPr>
                      <w:szCs w:val="21"/>
                      <w:u w:val="single"/>
                    </w:rPr>
                  </w:pPr>
                  <w:r>
                    <w:rPr>
                      <w:szCs w:val="21"/>
                      <w:u w:val="single"/>
                    </w:rPr>
                    <w:t>重量法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Merge w:val="continue"/>
                </w:tcPr>
                <w:p>
                  <w:pPr>
                    <w:pStyle w:val="49"/>
                    <w:ind w:firstLine="0" w:firstLineChars="0"/>
                    <w:rPr>
                      <w:szCs w:val="21"/>
                      <w:u w:val="single"/>
                    </w:rPr>
                  </w:pPr>
                </w:p>
              </w:tc>
              <w:tc>
                <w:tcPr>
                  <w:tcW w:w="965" w:type="dxa"/>
                  <w:vMerge w:val="continue"/>
                </w:tcPr>
                <w:p>
                  <w:pPr>
                    <w:pStyle w:val="49"/>
                    <w:ind w:firstLine="0" w:firstLineChars="0"/>
                    <w:rPr>
                      <w:szCs w:val="21"/>
                      <w:u w:val="single"/>
                    </w:rPr>
                  </w:pPr>
                </w:p>
              </w:tc>
              <w:tc>
                <w:tcPr>
                  <w:tcW w:w="1667" w:type="dxa"/>
                  <w:vAlign w:val="center"/>
                </w:tcPr>
                <w:p>
                  <w:pPr>
                    <w:pStyle w:val="49"/>
                    <w:ind w:firstLine="0" w:firstLineChars="0"/>
                    <w:rPr>
                      <w:szCs w:val="21"/>
                      <w:u w:val="single"/>
                    </w:rPr>
                  </w:pPr>
                  <w:r>
                    <w:rPr>
                      <w:szCs w:val="21"/>
                      <w:u w:val="single"/>
                    </w:rPr>
                    <w:t>氨氮</w:t>
                  </w:r>
                </w:p>
              </w:tc>
              <w:tc>
                <w:tcPr>
                  <w:tcW w:w="816" w:type="dxa"/>
                  <w:vMerge w:val="continue"/>
                </w:tcPr>
                <w:p>
                  <w:pPr>
                    <w:pStyle w:val="49"/>
                    <w:ind w:firstLine="0" w:firstLineChars="0"/>
                    <w:rPr>
                      <w:szCs w:val="21"/>
                      <w:u w:val="single"/>
                    </w:rPr>
                  </w:pPr>
                </w:p>
              </w:tc>
              <w:tc>
                <w:tcPr>
                  <w:tcW w:w="1518" w:type="dxa"/>
                  <w:vMerge w:val="continue"/>
                </w:tcPr>
                <w:p>
                  <w:pPr>
                    <w:pStyle w:val="49"/>
                    <w:ind w:firstLine="0" w:firstLineChars="0"/>
                    <w:rPr>
                      <w:szCs w:val="21"/>
                      <w:u w:val="single"/>
                    </w:rPr>
                  </w:pPr>
                </w:p>
              </w:tc>
              <w:tc>
                <w:tcPr>
                  <w:tcW w:w="826" w:type="dxa"/>
                  <w:vMerge w:val="continue"/>
                </w:tcPr>
                <w:p>
                  <w:pPr>
                    <w:pStyle w:val="49"/>
                    <w:ind w:firstLine="0" w:firstLineChars="0"/>
                    <w:rPr>
                      <w:szCs w:val="21"/>
                      <w:u w:val="single"/>
                    </w:rPr>
                  </w:pPr>
                </w:p>
              </w:tc>
              <w:tc>
                <w:tcPr>
                  <w:tcW w:w="1980" w:type="dxa"/>
                  <w:vAlign w:val="center"/>
                </w:tcPr>
                <w:p>
                  <w:pPr>
                    <w:pStyle w:val="49"/>
                    <w:ind w:firstLine="0" w:firstLineChars="0"/>
                    <w:rPr>
                      <w:szCs w:val="21"/>
                      <w:u w:val="single"/>
                    </w:rPr>
                  </w:pPr>
                  <w:r>
                    <w:rPr>
                      <w:szCs w:val="21"/>
                      <w:u w:val="single"/>
                    </w:rPr>
                    <w:t>水杨酸分光光度法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Merge w:val="continue"/>
                </w:tcPr>
                <w:p>
                  <w:pPr>
                    <w:pStyle w:val="49"/>
                    <w:ind w:firstLine="0" w:firstLineChars="0"/>
                    <w:rPr>
                      <w:szCs w:val="21"/>
                      <w:u w:val="single"/>
                    </w:rPr>
                  </w:pPr>
                </w:p>
              </w:tc>
              <w:tc>
                <w:tcPr>
                  <w:tcW w:w="965" w:type="dxa"/>
                  <w:vMerge w:val="continue"/>
                </w:tcPr>
                <w:p>
                  <w:pPr>
                    <w:pStyle w:val="49"/>
                    <w:ind w:firstLine="0" w:firstLineChars="0"/>
                    <w:rPr>
                      <w:szCs w:val="21"/>
                      <w:u w:val="single"/>
                    </w:rPr>
                  </w:pPr>
                </w:p>
              </w:tc>
              <w:tc>
                <w:tcPr>
                  <w:tcW w:w="1667" w:type="dxa"/>
                  <w:vAlign w:val="center"/>
                </w:tcPr>
                <w:p>
                  <w:pPr>
                    <w:pStyle w:val="49"/>
                    <w:ind w:firstLine="0" w:firstLineChars="0"/>
                    <w:rPr>
                      <w:szCs w:val="21"/>
                      <w:u w:val="single"/>
                    </w:rPr>
                  </w:pPr>
                  <w:r>
                    <w:rPr>
                      <w:szCs w:val="21"/>
                      <w:u w:val="single"/>
                    </w:rPr>
                    <w:t>石油类</w:t>
                  </w:r>
                </w:p>
              </w:tc>
              <w:tc>
                <w:tcPr>
                  <w:tcW w:w="816" w:type="dxa"/>
                  <w:vMerge w:val="continue"/>
                </w:tcPr>
                <w:p>
                  <w:pPr>
                    <w:pStyle w:val="49"/>
                    <w:ind w:firstLine="0" w:firstLineChars="0"/>
                    <w:rPr>
                      <w:szCs w:val="21"/>
                      <w:u w:val="single"/>
                    </w:rPr>
                  </w:pPr>
                </w:p>
              </w:tc>
              <w:tc>
                <w:tcPr>
                  <w:tcW w:w="1518" w:type="dxa"/>
                  <w:vMerge w:val="continue"/>
                </w:tcPr>
                <w:p>
                  <w:pPr>
                    <w:pStyle w:val="49"/>
                    <w:ind w:firstLine="0" w:firstLineChars="0"/>
                    <w:rPr>
                      <w:szCs w:val="21"/>
                      <w:u w:val="single"/>
                    </w:rPr>
                  </w:pPr>
                </w:p>
              </w:tc>
              <w:tc>
                <w:tcPr>
                  <w:tcW w:w="826" w:type="dxa"/>
                  <w:vMerge w:val="continue"/>
                </w:tcPr>
                <w:p>
                  <w:pPr>
                    <w:pStyle w:val="49"/>
                    <w:ind w:firstLine="0" w:firstLineChars="0"/>
                    <w:rPr>
                      <w:szCs w:val="21"/>
                      <w:u w:val="single"/>
                    </w:rPr>
                  </w:pPr>
                </w:p>
              </w:tc>
              <w:tc>
                <w:tcPr>
                  <w:tcW w:w="1980" w:type="dxa"/>
                  <w:vAlign w:val="center"/>
                </w:tcPr>
                <w:p>
                  <w:pPr>
                    <w:pStyle w:val="49"/>
                    <w:ind w:firstLine="0" w:firstLineChars="0"/>
                    <w:rPr>
                      <w:szCs w:val="21"/>
                      <w:u w:val="single"/>
                    </w:rPr>
                  </w:pPr>
                  <w:r>
                    <w:rPr>
                      <w:szCs w:val="21"/>
                      <w:u w:val="single"/>
                    </w:rPr>
                    <w:t>红外光度法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Merge w:val="continue"/>
                </w:tcPr>
                <w:p>
                  <w:pPr>
                    <w:pStyle w:val="49"/>
                    <w:ind w:firstLine="0" w:firstLineChars="0"/>
                    <w:rPr>
                      <w:szCs w:val="21"/>
                      <w:u w:val="single"/>
                    </w:rPr>
                  </w:pPr>
                </w:p>
              </w:tc>
              <w:tc>
                <w:tcPr>
                  <w:tcW w:w="965" w:type="dxa"/>
                  <w:vMerge w:val="continue"/>
                </w:tcPr>
                <w:p>
                  <w:pPr>
                    <w:pStyle w:val="49"/>
                    <w:ind w:firstLine="0" w:firstLineChars="0"/>
                    <w:rPr>
                      <w:szCs w:val="21"/>
                      <w:u w:val="single"/>
                    </w:rPr>
                  </w:pPr>
                </w:p>
              </w:tc>
              <w:tc>
                <w:tcPr>
                  <w:tcW w:w="1667" w:type="dxa"/>
                  <w:vAlign w:val="center"/>
                </w:tcPr>
                <w:p>
                  <w:pPr>
                    <w:pStyle w:val="49"/>
                    <w:ind w:firstLine="0" w:firstLineChars="0"/>
                    <w:rPr>
                      <w:szCs w:val="21"/>
                      <w:u w:val="single"/>
                    </w:rPr>
                  </w:pPr>
                  <w:r>
                    <w:rPr>
                      <w:szCs w:val="21"/>
                      <w:u w:val="single"/>
                    </w:rPr>
                    <w:t>LAS</w:t>
                  </w:r>
                </w:p>
              </w:tc>
              <w:tc>
                <w:tcPr>
                  <w:tcW w:w="816" w:type="dxa"/>
                  <w:vMerge w:val="continue"/>
                </w:tcPr>
                <w:p>
                  <w:pPr>
                    <w:pStyle w:val="49"/>
                    <w:ind w:firstLine="0" w:firstLineChars="0"/>
                    <w:rPr>
                      <w:szCs w:val="21"/>
                      <w:u w:val="single"/>
                    </w:rPr>
                  </w:pPr>
                </w:p>
              </w:tc>
              <w:tc>
                <w:tcPr>
                  <w:tcW w:w="1518" w:type="dxa"/>
                  <w:vMerge w:val="continue"/>
                </w:tcPr>
                <w:p>
                  <w:pPr>
                    <w:pStyle w:val="49"/>
                    <w:ind w:firstLine="0" w:firstLineChars="0"/>
                    <w:rPr>
                      <w:szCs w:val="21"/>
                      <w:u w:val="single"/>
                    </w:rPr>
                  </w:pPr>
                </w:p>
              </w:tc>
              <w:tc>
                <w:tcPr>
                  <w:tcW w:w="826" w:type="dxa"/>
                  <w:vMerge w:val="continue"/>
                </w:tcPr>
                <w:p>
                  <w:pPr>
                    <w:pStyle w:val="49"/>
                    <w:ind w:firstLine="0" w:firstLineChars="0"/>
                    <w:rPr>
                      <w:szCs w:val="21"/>
                      <w:u w:val="single"/>
                    </w:rPr>
                  </w:pPr>
                </w:p>
              </w:tc>
              <w:tc>
                <w:tcPr>
                  <w:tcW w:w="1980" w:type="dxa"/>
                  <w:vAlign w:val="center"/>
                </w:tcPr>
                <w:p>
                  <w:pPr>
                    <w:pStyle w:val="49"/>
                    <w:ind w:firstLine="0" w:firstLineChars="0"/>
                    <w:rPr>
                      <w:szCs w:val="21"/>
                      <w:u w:val="single"/>
                    </w:rPr>
                  </w:pPr>
                  <w:r>
                    <w:rPr>
                      <w:szCs w:val="21"/>
                      <w:u w:val="single"/>
                    </w:rPr>
                    <w:t>亚甲蓝分光光度法</w:t>
                  </w:r>
                </w:p>
              </w:tc>
            </w:tr>
          </w:tbl>
          <w:p>
            <w:pPr>
              <w:pStyle w:val="42"/>
              <w:spacing w:line="240" w:lineRule="auto"/>
              <w:ind w:firstLine="0" w:firstLineChars="0"/>
              <w:rPr>
                <w:b/>
                <w:sz w:val="21"/>
                <w:szCs w:val="21"/>
                <w:u w:val="single"/>
              </w:rPr>
            </w:pPr>
            <w:r>
              <w:rPr>
                <w:b/>
                <w:sz w:val="21"/>
                <w:szCs w:val="21"/>
                <w:u w:val="single"/>
              </w:rPr>
              <w:t>注：依据《排污单位自行监测技术指南 涂装》（HJ 1086-2020）要求，单独的生活污水排放口且间接排放，可不开展例行监测。</w:t>
            </w:r>
          </w:p>
          <w:p>
            <w:pPr>
              <w:pStyle w:val="42"/>
              <w:spacing w:line="240" w:lineRule="auto"/>
              <w:ind w:firstLine="0" w:firstLineChars="0"/>
              <w:jc w:val="center"/>
              <w:rPr>
                <w:b/>
                <w:sz w:val="21"/>
                <w:szCs w:val="21"/>
                <w:u w:val="single"/>
              </w:rPr>
            </w:pPr>
            <w:r>
              <w:rPr>
                <w:b/>
                <w:sz w:val="21"/>
                <w:szCs w:val="21"/>
                <w:u w:val="single"/>
              </w:rPr>
              <w:t>表7-23  其他污染源（噪声、地下水）监测方案</w:t>
            </w:r>
          </w:p>
          <w:tbl>
            <w:tblPr>
              <w:tblStyle w:val="20"/>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2394"/>
              <w:gridCol w:w="1167"/>
              <w:gridCol w:w="2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047" w:type="dxa"/>
                  <w:tcBorders>
                    <w:tl2br w:val="nil"/>
                    <w:tr2bl w:val="nil"/>
                  </w:tcBorders>
                  <w:vAlign w:val="center"/>
                </w:tcPr>
                <w:p>
                  <w:pPr>
                    <w:jc w:val="center"/>
                    <w:rPr>
                      <w:b/>
                      <w:bCs/>
                      <w:kern w:val="24"/>
                      <w:szCs w:val="21"/>
                      <w:u w:val="single"/>
                    </w:rPr>
                  </w:pPr>
                  <w:r>
                    <w:rPr>
                      <w:b/>
                      <w:bCs/>
                      <w:kern w:val="24"/>
                      <w:szCs w:val="21"/>
                      <w:u w:val="single"/>
                    </w:rPr>
                    <w:t>污染源点位</w:t>
                  </w:r>
                </w:p>
              </w:tc>
              <w:tc>
                <w:tcPr>
                  <w:tcW w:w="2394" w:type="dxa"/>
                  <w:tcBorders>
                    <w:tl2br w:val="nil"/>
                    <w:tr2bl w:val="nil"/>
                  </w:tcBorders>
                  <w:vAlign w:val="center"/>
                </w:tcPr>
                <w:p>
                  <w:pPr>
                    <w:jc w:val="center"/>
                    <w:rPr>
                      <w:b/>
                      <w:bCs/>
                      <w:kern w:val="24"/>
                      <w:szCs w:val="21"/>
                      <w:u w:val="single"/>
                    </w:rPr>
                  </w:pPr>
                  <w:r>
                    <w:rPr>
                      <w:b/>
                      <w:bCs/>
                      <w:kern w:val="24"/>
                      <w:szCs w:val="21"/>
                      <w:u w:val="single"/>
                    </w:rPr>
                    <w:t>监测</w:t>
                  </w:r>
                </w:p>
                <w:p>
                  <w:pPr>
                    <w:jc w:val="center"/>
                    <w:rPr>
                      <w:b/>
                      <w:bCs/>
                      <w:kern w:val="24"/>
                      <w:szCs w:val="21"/>
                      <w:u w:val="single"/>
                    </w:rPr>
                  </w:pPr>
                  <w:r>
                    <w:rPr>
                      <w:b/>
                      <w:bCs/>
                      <w:kern w:val="24"/>
                      <w:szCs w:val="21"/>
                      <w:u w:val="single"/>
                    </w:rPr>
                    <w:t>指标</w:t>
                  </w:r>
                </w:p>
              </w:tc>
              <w:tc>
                <w:tcPr>
                  <w:tcW w:w="1167" w:type="dxa"/>
                  <w:tcBorders>
                    <w:tl2br w:val="nil"/>
                    <w:tr2bl w:val="nil"/>
                  </w:tcBorders>
                  <w:vAlign w:val="center"/>
                </w:tcPr>
                <w:p>
                  <w:pPr>
                    <w:jc w:val="center"/>
                    <w:rPr>
                      <w:b/>
                      <w:bCs/>
                      <w:kern w:val="24"/>
                      <w:szCs w:val="21"/>
                      <w:u w:val="single"/>
                    </w:rPr>
                  </w:pPr>
                  <w:r>
                    <w:rPr>
                      <w:b/>
                      <w:bCs/>
                      <w:kern w:val="24"/>
                      <w:szCs w:val="21"/>
                      <w:u w:val="single"/>
                    </w:rPr>
                    <w:t>监测频次</w:t>
                  </w:r>
                </w:p>
              </w:tc>
              <w:tc>
                <w:tcPr>
                  <w:tcW w:w="2694" w:type="dxa"/>
                  <w:tcBorders>
                    <w:tl2br w:val="nil"/>
                    <w:tr2bl w:val="nil"/>
                  </w:tcBorders>
                  <w:vAlign w:val="center"/>
                </w:tcPr>
                <w:p>
                  <w:pPr>
                    <w:jc w:val="center"/>
                    <w:rPr>
                      <w:b/>
                      <w:bCs/>
                      <w:kern w:val="24"/>
                      <w:szCs w:val="21"/>
                      <w:u w:val="single"/>
                    </w:rPr>
                  </w:pPr>
                  <w:r>
                    <w:rPr>
                      <w:b/>
                      <w:bCs/>
                      <w:kern w:val="24"/>
                      <w:szCs w:val="21"/>
                      <w:u w:val="single"/>
                    </w:rPr>
                    <w:t>排放执行标准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047" w:type="dxa"/>
                  <w:tcBorders>
                    <w:tl2br w:val="nil"/>
                    <w:tr2bl w:val="nil"/>
                  </w:tcBorders>
                  <w:vAlign w:val="center"/>
                </w:tcPr>
                <w:p>
                  <w:pPr>
                    <w:jc w:val="center"/>
                    <w:rPr>
                      <w:kern w:val="24"/>
                      <w:szCs w:val="21"/>
                      <w:u w:val="single"/>
                    </w:rPr>
                  </w:pPr>
                  <w:r>
                    <w:rPr>
                      <w:kern w:val="24"/>
                      <w:szCs w:val="21"/>
                      <w:u w:val="single"/>
                    </w:rPr>
                    <w:t>厂界外1m内四周各布设1个点</w:t>
                  </w:r>
                </w:p>
              </w:tc>
              <w:tc>
                <w:tcPr>
                  <w:tcW w:w="2394" w:type="dxa"/>
                  <w:tcBorders>
                    <w:tl2br w:val="nil"/>
                    <w:tr2bl w:val="nil"/>
                  </w:tcBorders>
                  <w:vAlign w:val="center"/>
                </w:tcPr>
                <w:p>
                  <w:pPr>
                    <w:jc w:val="center"/>
                    <w:rPr>
                      <w:bCs/>
                      <w:szCs w:val="21"/>
                      <w:u w:val="single"/>
                    </w:rPr>
                  </w:pPr>
                  <w:r>
                    <w:rPr>
                      <w:bCs/>
                      <w:szCs w:val="21"/>
                      <w:u w:val="single"/>
                    </w:rPr>
                    <w:t>等效声级</w:t>
                  </w:r>
                </w:p>
              </w:tc>
              <w:tc>
                <w:tcPr>
                  <w:tcW w:w="1167" w:type="dxa"/>
                  <w:tcBorders>
                    <w:tl2br w:val="nil"/>
                    <w:tr2bl w:val="nil"/>
                  </w:tcBorders>
                  <w:vAlign w:val="center"/>
                </w:tcPr>
                <w:p>
                  <w:pPr>
                    <w:pStyle w:val="48"/>
                    <w:jc w:val="center"/>
                    <w:rPr>
                      <w:rFonts w:ascii="Times New Roman" w:hAnsi="Times New Roman"/>
                      <w:sz w:val="21"/>
                      <w:szCs w:val="21"/>
                      <w:u w:val="single"/>
                    </w:rPr>
                  </w:pPr>
                  <w:r>
                    <w:rPr>
                      <w:rFonts w:ascii="Times New Roman" w:hAnsi="Times New Roman"/>
                      <w:sz w:val="21"/>
                      <w:szCs w:val="21"/>
                      <w:u w:val="single"/>
                    </w:rPr>
                    <w:t>1次/季度</w:t>
                  </w:r>
                </w:p>
              </w:tc>
              <w:tc>
                <w:tcPr>
                  <w:tcW w:w="2694" w:type="dxa"/>
                  <w:tcBorders>
                    <w:tl2br w:val="nil"/>
                    <w:tr2bl w:val="nil"/>
                  </w:tcBorders>
                  <w:vAlign w:val="center"/>
                </w:tcPr>
                <w:p>
                  <w:pPr>
                    <w:jc w:val="center"/>
                    <w:rPr>
                      <w:bCs/>
                      <w:szCs w:val="21"/>
                      <w:u w:val="single"/>
                    </w:rPr>
                  </w:pPr>
                  <w:r>
                    <w:rPr>
                      <w:bCs/>
                      <w:szCs w:val="21"/>
                      <w:u w:val="single"/>
                    </w:rPr>
                    <w:t>《工业企业厂界环境噪声排放标准》（GB12348-2008）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047" w:type="dxa"/>
                  <w:tcBorders>
                    <w:tl2br w:val="nil"/>
                    <w:tr2bl w:val="nil"/>
                  </w:tcBorders>
                  <w:vAlign w:val="center"/>
                </w:tcPr>
                <w:p>
                  <w:pPr>
                    <w:jc w:val="center"/>
                    <w:rPr>
                      <w:kern w:val="24"/>
                      <w:szCs w:val="21"/>
                      <w:u w:val="single"/>
                    </w:rPr>
                  </w:pPr>
                  <w:r>
                    <w:rPr>
                      <w:kern w:val="24"/>
                      <w:szCs w:val="21"/>
                      <w:u w:val="single"/>
                    </w:rPr>
                    <w:t>项目厂界</w:t>
                  </w:r>
                  <w:r>
                    <w:rPr>
                      <w:rFonts w:hint="eastAsia"/>
                      <w:kern w:val="24"/>
                      <w:szCs w:val="21"/>
                      <w:u w:val="single"/>
                    </w:rPr>
                    <w:t>地下水</w:t>
                  </w:r>
                  <w:r>
                    <w:rPr>
                      <w:kern w:val="24"/>
                      <w:szCs w:val="21"/>
                      <w:u w:val="single"/>
                    </w:rPr>
                    <w:t>上游、下游各布设1个点</w:t>
                  </w:r>
                </w:p>
              </w:tc>
              <w:tc>
                <w:tcPr>
                  <w:tcW w:w="2394" w:type="dxa"/>
                  <w:tcBorders>
                    <w:tl2br w:val="nil"/>
                    <w:tr2bl w:val="nil"/>
                  </w:tcBorders>
                  <w:vAlign w:val="center"/>
                </w:tcPr>
                <w:p>
                  <w:pPr>
                    <w:jc w:val="center"/>
                    <w:rPr>
                      <w:bCs/>
                      <w:szCs w:val="21"/>
                      <w:u w:val="single"/>
                    </w:rPr>
                  </w:pPr>
                  <w:r>
                    <w:rPr>
                      <w:bCs/>
                      <w:szCs w:val="21"/>
                      <w:u w:val="single"/>
                    </w:rPr>
                    <w:t>环境因子：K</w:t>
                  </w:r>
                  <w:r>
                    <w:rPr>
                      <w:bCs/>
                      <w:szCs w:val="21"/>
                      <w:u w:val="single"/>
                      <w:vertAlign w:val="superscript"/>
                    </w:rPr>
                    <w:t>+</w:t>
                  </w:r>
                  <w:r>
                    <w:rPr>
                      <w:bCs/>
                      <w:szCs w:val="21"/>
                      <w:u w:val="single"/>
                    </w:rPr>
                    <w:t>、Na</w:t>
                  </w:r>
                  <w:r>
                    <w:rPr>
                      <w:bCs/>
                      <w:szCs w:val="21"/>
                      <w:u w:val="single"/>
                      <w:vertAlign w:val="superscript"/>
                    </w:rPr>
                    <w:t>+</w:t>
                  </w:r>
                  <w:r>
                    <w:rPr>
                      <w:bCs/>
                      <w:szCs w:val="21"/>
                      <w:u w:val="single"/>
                    </w:rPr>
                    <w:t>、Ca</w:t>
                  </w:r>
                  <w:r>
                    <w:rPr>
                      <w:bCs/>
                      <w:szCs w:val="21"/>
                      <w:u w:val="single"/>
                      <w:vertAlign w:val="superscript"/>
                    </w:rPr>
                    <w:t>2+</w:t>
                  </w:r>
                  <w:r>
                    <w:rPr>
                      <w:bCs/>
                      <w:szCs w:val="21"/>
                      <w:u w:val="single"/>
                    </w:rPr>
                    <w:t>、Mg</w:t>
                  </w:r>
                  <w:r>
                    <w:rPr>
                      <w:bCs/>
                      <w:szCs w:val="21"/>
                      <w:u w:val="single"/>
                      <w:vertAlign w:val="superscript"/>
                    </w:rPr>
                    <w:t>2+</w:t>
                  </w:r>
                  <w:r>
                    <w:rPr>
                      <w:bCs/>
                      <w:szCs w:val="21"/>
                      <w:u w:val="single"/>
                    </w:rPr>
                    <w:t>、CO</w:t>
                  </w:r>
                  <w:r>
                    <w:rPr>
                      <w:bCs/>
                      <w:szCs w:val="21"/>
                      <w:u w:val="single"/>
                      <w:vertAlign w:val="subscript"/>
                    </w:rPr>
                    <w:t>3</w:t>
                  </w:r>
                  <w:r>
                    <w:rPr>
                      <w:bCs/>
                      <w:szCs w:val="21"/>
                      <w:u w:val="single"/>
                      <w:vertAlign w:val="superscript"/>
                    </w:rPr>
                    <w:t>2-</w:t>
                  </w:r>
                  <w:r>
                    <w:rPr>
                      <w:bCs/>
                      <w:szCs w:val="21"/>
                      <w:u w:val="single"/>
                    </w:rPr>
                    <w:t>、HCO</w:t>
                  </w:r>
                  <w:r>
                    <w:rPr>
                      <w:bCs/>
                      <w:szCs w:val="21"/>
                      <w:u w:val="single"/>
                      <w:vertAlign w:val="subscript"/>
                    </w:rPr>
                    <w:t>3</w:t>
                  </w:r>
                  <w:r>
                    <w:rPr>
                      <w:bCs/>
                      <w:szCs w:val="21"/>
                      <w:u w:val="single"/>
                      <w:vertAlign w:val="superscript"/>
                    </w:rPr>
                    <w:t>-</w:t>
                  </w:r>
                  <w:r>
                    <w:rPr>
                      <w:bCs/>
                      <w:szCs w:val="21"/>
                      <w:u w:val="single"/>
                    </w:rPr>
                    <w:t>、Cl</w:t>
                  </w:r>
                  <w:r>
                    <w:rPr>
                      <w:bCs/>
                      <w:szCs w:val="21"/>
                      <w:u w:val="single"/>
                      <w:vertAlign w:val="superscript"/>
                    </w:rPr>
                    <w:t>-</w:t>
                  </w:r>
                  <w:r>
                    <w:rPr>
                      <w:bCs/>
                      <w:szCs w:val="21"/>
                      <w:u w:val="single"/>
                    </w:rPr>
                    <w:t>和SO</w:t>
                  </w:r>
                  <w:r>
                    <w:rPr>
                      <w:bCs/>
                      <w:szCs w:val="21"/>
                      <w:u w:val="single"/>
                      <w:vertAlign w:val="subscript"/>
                    </w:rPr>
                    <w:t>4</w:t>
                  </w:r>
                  <w:r>
                    <w:rPr>
                      <w:bCs/>
                      <w:szCs w:val="21"/>
                      <w:u w:val="single"/>
                      <w:vertAlign w:val="superscript"/>
                    </w:rPr>
                    <w:t>2-</w:t>
                  </w:r>
                </w:p>
                <w:p>
                  <w:pPr>
                    <w:jc w:val="center"/>
                    <w:rPr>
                      <w:bCs/>
                      <w:szCs w:val="21"/>
                      <w:u w:val="single"/>
                    </w:rPr>
                  </w:pPr>
                  <w:r>
                    <w:rPr>
                      <w:bCs/>
                      <w:szCs w:val="21"/>
                      <w:u w:val="single"/>
                    </w:rPr>
                    <w:t>特殊因子：pH、LAS、氨氮</w:t>
                  </w:r>
                </w:p>
              </w:tc>
              <w:tc>
                <w:tcPr>
                  <w:tcW w:w="1167" w:type="dxa"/>
                  <w:tcBorders>
                    <w:tl2br w:val="nil"/>
                    <w:tr2bl w:val="nil"/>
                  </w:tcBorders>
                  <w:vAlign w:val="center"/>
                </w:tcPr>
                <w:p>
                  <w:pPr>
                    <w:pStyle w:val="48"/>
                    <w:jc w:val="center"/>
                    <w:rPr>
                      <w:rFonts w:ascii="Times New Roman" w:hAnsi="Times New Roman"/>
                      <w:sz w:val="21"/>
                      <w:szCs w:val="21"/>
                      <w:u w:val="single"/>
                    </w:rPr>
                  </w:pPr>
                  <w:r>
                    <w:rPr>
                      <w:rFonts w:ascii="Times New Roman" w:hAnsi="Times New Roman"/>
                      <w:sz w:val="21"/>
                      <w:szCs w:val="21"/>
                      <w:u w:val="single"/>
                    </w:rPr>
                    <w:t>1次/三年</w:t>
                  </w:r>
                </w:p>
              </w:tc>
              <w:tc>
                <w:tcPr>
                  <w:tcW w:w="2694" w:type="dxa"/>
                  <w:tcBorders>
                    <w:tl2br w:val="nil"/>
                    <w:tr2bl w:val="nil"/>
                  </w:tcBorders>
                  <w:vAlign w:val="center"/>
                </w:tcPr>
                <w:p>
                  <w:pPr>
                    <w:jc w:val="center"/>
                    <w:rPr>
                      <w:bCs/>
                      <w:szCs w:val="21"/>
                      <w:u w:val="single"/>
                    </w:rPr>
                  </w:pPr>
                  <w:r>
                    <w:rPr>
                      <w:bCs/>
                      <w:szCs w:val="21"/>
                      <w:u w:val="single"/>
                    </w:rPr>
                    <w:t>《地下水质量标准》（GB/T14848-2017）</w:t>
                  </w:r>
                </w:p>
              </w:tc>
            </w:tr>
          </w:tbl>
          <w:p>
            <w:pPr>
              <w:spacing w:line="360" w:lineRule="auto"/>
              <w:rPr>
                <w:b/>
                <w:sz w:val="24"/>
                <w:szCs w:val="22"/>
              </w:rPr>
            </w:pPr>
            <w:r>
              <w:rPr>
                <w:b/>
                <w:sz w:val="24"/>
                <w:szCs w:val="22"/>
              </w:rPr>
              <w:t>十、政策符合性分析</w:t>
            </w:r>
          </w:p>
          <w:p>
            <w:pPr>
              <w:spacing w:line="360" w:lineRule="auto"/>
              <w:ind w:firstLine="482" w:firstLineChars="200"/>
              <w:jc w:val="left"/>
              <w:rPr>
                <w:b/>
                <w:bCs/>
                <w:sz w:val="24"/>
              </w:rPr>
            </w:pPr>
            <w:r>
              <w:rPr>
                <w:b/>
                <w:bCs/>
                <w:sz w:val="24"/>
              </w:rPr>
              <w:t>1、产业政策</w:t>
            </w:r>
          </w:p>
          <w:p>
            <w:pPr>
              <w:spacing w:line="360" w:lineRule="auto"/>
              <w:ind w:firstLine="480" w:firstLineChars="200"/>
              <w:jc w:val="left"/>
              <w:rPr>
                <w:sz w:val="24"/>
              </w:rPr>
            </w:pPr>
            <w:r>
              <w:rPr>
                <w:sz w:val="24"/>
              </w:rPr>
              <w:t>项目属汽车修理与维护O8011及汽车新车零售F5261，根据《产业结构调整指导目录（2019年）》可知项目不属于限制和淘汰类；且根据《部分工业行业淘汰落后生产工艺装备和产品指导目录（2010年本）》，本项目无淘汰落后生产工艺、设备和产品。因此项目符合现行国家产业政策。</w:t>
            </w:r>
          </w:p>
          <w:p>
            <w:pPr>
              <w:pStyle w:val="43"/>
              <w:widowControl/>
              <w:tabs>
                <w:tab w:val="left" w:pos="2370"/>
              </w:tabs>
              <w:spacing w:before="0" w:afterLines="0" w:line="360" w:lineRule="auto"/>
              <w:ind w:firstLine="482"/>
              <w:rPr>
                <w:rFonts w:hint="default"/>
                <w:b/>
                <w:bCs/>
                <w:sz w:val="24"/>
                <w:szCs w:val="22"/>
              </w:rPr>
            </w:pPr>
            <w:r>
              <w:rPr>
                <w:rFonts w:hint="default"/>
                <w:b/>
                <w:bCs/>
                <w:sz w:val="24"/>
                <w:szCs w:val="22"/>
              </w:rPr>
              <w:t>2、与《表面涂装（汽车制造）挥发性有机物、镍排放标准》（DB43/1356-2017）相符性分析</w:t>
            </w:r>
          </w:p>
          <w:p>
            <w:pPr>
              <w:pStyle w:val="43"/>
              <w:widowControl/>
              <w:tabs>
                <w:tab w:val="left" w:pos="2370"/>
              </w:tabs>
              <w:spacing w:before="0" w:afterLines="0" w:line="360" w:lineRule="auto"/>
              <w:ind w:firstLine="480"/>
              <w:rPr>
                <w:rFonts w:hint="default"/>
                <w:sz w:val="24"/>
                <w:szCs w:val="22"/>
              </w:rPr>
            </w:pPr>
            <w:r>
              <w:rPr>
                <w:rFonts w:hint="default"/>
                <w:sz w:val="24"/>
                <w:szCs w:val="22"/>
              </w:rPr>
              <w:t>根据建设单位提供的资料可知，项目与《表面涂装（汽车制造）挥发性有机物、镍排放标准》（DB43/1356-2017）“附录C（规范性附录）汽车维修表面涂装工艺和管理要求”具有相符性，具体分析如下：</w:t>
            </w:r>
          </w:p>
          <w:p>
            <w:pPr>
              <w:pStyle w:val="43"/>
              <w:widowControl/>
              <w:tabs>
                <w:tab w:val="left" w:pos="2370"/>
              </w:tabs>
              <w:spacing w:before="0" w:afterLines="0" w:line="360" w:lineRule="auto"/>
              <w:ind w:firstLine="480"/>
              <w:rPr>
                <w:rFonts w:hint="default"/>
                <w:sz w:val="24"/>
                <w:szCs w:val="22"/>
              </w:rPr>
            </w:pPr>
            <w:r>
              <w:rPr>
                <w:rFonts w:hint="default"/>
                <w:sz w:val="24"/>
                <w:szCs w:val="22"/>
              </w:rPr>
              <w:t>①项目使用的油漆尽管为油性涂料，但其标准符合《汽车涂料中有害物质限量》（GB24409-2009）；</w:t>
            </w:r>
          </w:p>
          <w:p>
            <w:pPr>
              <w:pStyle w:val="43"/>
              <w:widowControl/>
              <w:tabs>
                <w:tab w:val="left" w:pos="2370"/>
              </w:tabs>
              <w:spacing w:before="0" w:afterLines="0" w:line="360" w:lineRule="auto"/>
              <w:ind w:firstLine="480"/>
              <w:rPr>
                <w:rFonts w:hint="default"/>
                <w:sz w:val="24"/>
                <w:szCs w:val="22"/>
              </w:rPr>
            </w:pPr>
            <w:r>
              <w:rPr>
                <w:rFonts w:hint="default"/>
                <w:sz w:val="24"/>
                <w:szCs w:val="22"/>
              </w:rPr>
              <w:t>②油漆、稀释剂等在储存过程中、运输均为密闭状态，在使用过程中均在单独的密闭空间内；</w:t>
            </w:r>
          </w:p>
          <w:p>
            <w:pPr>
              <w:pStyle w:val="43"/>
              <w:widowControl/>
              <w:tabs>
                <w:tab w:val="left" w:pos="2370"/>
              </w:tabs>
              <w:spacing w:before="0" w:afterLines="0" w:line="360" w:lineRule="auto"/>
              <w:ind w:firstLine="480"/>
              <w:rPr>
                <w:rFonts w:hint="default"/>
                <w:sz w:val="24"/>
                <w:szCs w:val="22"/>
              </w:rPr>
            </w:pPr>
            <w:r>
              <w:rPr>
                <w:rFonts w:hint="default"/>
                <w:sz w:val="24"/>
                <w:szCs w:val="22"/>
              </w:rPr>
              <w:t>③已设置专门的调漆室，并配备了相关废气处理措施；</w:t>
            </w:r>
          </w:p>
          <w:p>
            <w:pPr>
              <w:pStyle w:val="43"/>
              <w:widowControl/>
              <w:tabs>
                <w:tab w:val="left" w:pos="2370"/>
              </w:tabs>
              <w:spacing w:before="0" w:afterLines="0" w:line="360" w:lineRule="auto"/>
              <w:ind w:firstLine="480"/>
              <w:rPr>
                <w:rFonts w:hint="default"/>
                <w:sz w:val="24"/>
                <w:szCs w:val="22"/>
              </w:rPr>
            </w:pPr>
            <w:r>
              <w:rPr>
                <w:rFonts w:hint="default"/>
                <w:sz w:val="24"/>
                <w:szCs w:val="22"/>
              </w:rPr>
              <w:t>④项目</w:t>
            </w:r>
            <w:r>
              <w:rPr>
                <w:sz w:val="24"/>
                <w:szCs w:val="22"/>
              </w:rPr>
              <w:t>已</w:t>
            </w:r>
            <w:r>
              <w:rPr>
                <w:rFonts w:hint="default"/>
                <w:sz w:val="24"/>
                <w:szCs w:val="22"/>
              </w:rPr>
              <w:t>建设成套的密闭的喷烤漆室，配备了废气处理系统，且作业设备与废气处理系统形成系统关联，确保在作业过程中，废气处理系统是正常开启状态；</w:t>
            </w:r>
          </w:p>
          <w:p>
            <w:pPr>
              <w:pStyle w:val="43"/>
              <w:widowControl/>
              <w:tabs>
                <w:tab w:val="left" w:pos="2370"/>
              </w:tabs>
              <w:spacing w:before="0" w:afterLines="0" w:line="360" w:lineRule="auto"/>
              <w:ind w:firstLine="480"/>
              <w:rPr>
                <w:rFonts w:hint="default"/>
                <w:sz w:val="24"/>
                <w:szCs w:val="22"/>
              </w:rPr>
            </w:pPr>
            <w:r>
              <w:rPr>
                <w:rFonts w:hint="default"/>
                <w:sz w:val="24"/>
                <w:szCs w:val="22"/>
              </w:rPr>
              <w:t>⑤根据本次评价工程分析可知，项目采用的废气处理系统可达到相关废气排放标准要求；</w:t>
            </w:r>
          </w:p>
          <w:p>
            <w:pPr>
              <w:pStyle w:val="43"/>
              <w:widowControl/>
              <w:tabs>
                <w:tab w:val="left" w:pos="2370"/>
              </w:tabs>
              <w:spacing w:before="0" w:afterLines="0" w:line="360" w:lineRule="auto"/>
              <w:ind w:firstLine="480"/>
              <w:rPr>
                <w:rFonts w:hint="default"/>
                <w:sz w:val="24"/>
                <w:szCs w:val="22"/>
              </w:rPr>
            </w:pPr>
            <w:r>
              <w:rPr>
                <w:rFonts w:hint="default"/>
                <w:sz w:val="24"/>
                <w:szCs w:val="22"/>
              </w:rPr>
              <w:t>⑥根据建设单位提供的资料，项目将严格执行《危险废物转移联单管理办法》和湖南省危险废物管理的相关规定的要求，做好台账管理，并对相关联单、台账进行保存管理；</w:t>
            </w:r>
          </w:p>
          <w:p>
            <w:pPr>
              <w:pStyle w:val="43"/>
              <w:widowControl/>
              <w:tabs>
                <w:tab w:val="left" w:pos="2370"/>
              </w:tabs>
              <w:spacing w:before="0" w:afterLines="0" w:line="360" w:lineRule="auto"/>
              <w:ind w:firstLine="480"/>
              <w:rPr>
                <w:rFonts w:hint="default"/>
                <w:sz w:val="24"/>
                <w:szCs w:val="22"/>
              </w:rPr>
            </w:pPr>
            <w:r>
              <w:rPr>
                <w:rFonts w:hint="default"/>
                <w:sz w:val="24"/>
                <w:szCs w:val="22"/>
              </w:rPr>
              <w:t>⑦项目运营后一般固废将执行《一般工业固体废物贮存、处置场污染控制标准》（GB18599-2001）及2013年修订单中有关规定执行，危险废物暂存严格执行《危险废物贮存污染控制标准》（GB18597-2001）及2013年修订单中相关规定执行。</w:t>
            </w:r>
          </w:p>
          <w:p>
            <w:pPr>
              <w:pStyle w:val="43"/>
              <w:widowControl/>
              <w:tabs>
                <w:tab w:val="left" w:pos="2370"/>
              </w:tabs>
              <w:spacing w:before="0" w:afterLines="0" w:line="360" w:lineRule="auto"/>
              <w:ind w:firstLine="480"/>
              <w:rPr>
                <w:rFonts w:hint="default"/>
                <w:sz w:val="24"/>
                <w:szCs w:val="22"/>
              </w:rPr>
            </w:pPr>
            <w:r>
              <w:rPr>
                <w:rFonts w:hint="default"/>
                <w:sz w:val="24"/>
                <w:szCs w:val="22"/>
              </w:rPr>
              <w:t>⑧项目运营后，本次环评要求建设单位做好相关环境保护措施的运行情况的台账、各种油漆、稀释剂等含挥发性有机物原辅材料的使用记录。做到有迹可循，有据可查。</w:t>
            </w:r>
          </w:p>
          <w:p>
            <w:pPr>
              <w:pStyle w:val="43"/>
              <w:widowControl/>
              <w:tabs>
                <w:tab w:val="left" w:pos="2370"/>
              </w:tabs>
              <w:spacing w:before="0" w:afterLines="0" w:line="360" w:lineRule="auto"/>
              <w:ind w:firstLine="480"/>
              <w:rPr>
                <w:rFonts w:hint="default"/>
                <w:sz w:val="24"/>
                <w:szCs w:val="22"/>
              </w:rPr>
            </w:pPr>
            <w:r>
              <w:rPr>
                <w:rFonts w:hint="default"/>
                <w:sz w:val="24"/>
                <w:szCs w:val="22"/>
              </w:rPr>
              <w:t>只要建设单位做好上述相关措施后，基本与《表面涂装（汽车制造）挥发性有机物、镍排放标准》（DB43/1356-2017）“附录C（规范性附录）汽车维修表面涂装工艺和管理要求”是相符的。</w:t>
            </w:r>
          </w:p>
          <w:p>
            <w:pPr>
              <w:pStyle w:val="43"/>
              <w:widowControl/>
              <w:tabs>
                <w:tab w:val="left" w:pos="2370"/>
              </w:tabs>
              <w:spacing w:before="0" w:afterLines="0" w:line="360" w:lineRule="auto"/>
              <w:ind w:firstLine="482"/>
              <w:rPr>
                <w:rFonts w:hint="default"/>
                <w:b/>
                <w:bCs/>
                <w:sz w:val="24"/>
                <w:szCs w:val="22"/>
              </w:rPr>
            </w:pPr>
            <w:r>
              <w:rPr>
                <w:rFonts w:hint="default"/>
                <w:b/>
                <w:bCs/>
                <w:sz w:val="24"/>
                <w:szCs w:val="22"/>
              </w:rPr>
              <w:t>3、与《挥发性有机物(VOCs)污染防治技术政策》相符性分析</w:t>
            </w:r>
          </w:p>
          <w:p>
            <w:pPr>
              <w:pStyle w:val="43"/>
              <w:widowControl/>
              <w:tabs>
                <w:tab w:val="left" w:pos="2370"/>
              </w:tabs>
              <w:spacing w:before="0" w:afterLines="0" w:line="360" w:lineRule="auto"/>
              <w:ind w:firstLine="480"/>
              <w:rPr>
                <w:rFonts w:hint="default"/>
                <w:sz w:val="24"/>
                <w:szCs w:val="22"/>
              </w:rPr>
            </w:pPr>
            <w:r>
              <w:rPr>
                <w:rFonts w:hint="default"/>
                <w:sz w:val="24"/>
                <w:szCs w:val="22"/>
              </w:rPr>
              <w:t>根据建设单位提供的资料，集合本次评价分析结论，本项目挥发性废气的防治技术与《挥发性有机物(VOCs)污染防治技术政策》是相符的，具体分析如下：</w:t>
            </w:r>
          </w:p>
          <w:p>
            <w:pPr>
              <w:pStyle w:val="43"/>
              <w:widowControl/>
              <w:tabs>
                <w:tab w:val="left" w:pos="2370"/>
              </w:tabs>
              <w:spacing w:before="0" w:afterLines="0" w:line="360" w:lineRule="auto"/>
              <w:ind w:firstLine="480"/>
              <w:rPr>
                <w:rFonts w:hint="default"/>
                <w:sz w:val="24"/>
                <w:szCs w:val="22"/>
              </w:rPr>
            </w:pPr>
            <w:r>
              <w:rPr>
                <w:rFonts w:hint="default"/>
                <w:sz w:val="24"/>
                <w:szCs w:val="22"/>
              </w:rPr>
              <w:t>①针对废气产生的源头和过程中，本项目使用的油漆和稀释剂是经过环境标志产品认证的环保型涂料、胶粘剂和清洗剂，同时在调漆和喷烤漆过程中均在密闭室内进行，有集气系统和废气处理系统，且废气收集率较高，因此本项目符合《挥发性有机物(VOCs)污染防治技术政策》中“二、源头和过程控制”的第十条中的“1.鼓励使用通过环境标志产品认证的环保型涂料、油墨、胶粘剂和清洗剂”和“含VOCs产品的使用过程中，应采取废气收集措施，提高废气收集效率，减少废气的无组织排放与逸散，并对收集后的废气进行回收或处理后达标排放。”</w:t>
            </w:r>
          </w:p>
          <w:p>
            <w:pPr>
              <w:pStyle w:val="43"/>
              <w:widowControl/>
              <w:tabs>
                <w:tab w:val="left" w:pos="2370"/>
              </w:tabs>
              <w:spacing w:before="0" w:afterLines="0" w:line="360" w:lineRule="auto"/>
              <w:ind w:firstLine="480"/>
              <w:rPr>
                <w:rFonts w:hint="default"/>
                <w:sz w:val="24"/>
                <w:szCs w:val="22"/>
              </w:rPr>
            </w:pPr>
            <w:r>
              <w:rPr>
                <w:rFonts w:hint="default"/>
                <w:sz w:val="24"/>
                <w:szCs w:val="22"/>
              </w:rPr>
              <w:t>②根据本项目工程分析可知，项目有机废气末端治理技术为</w:t>
            </w:r>
            <w:r>
              <w:rPr>
                <w:sz w:val="24"/>
                <w:szCs w:val="22"/>
              </w:rPr>
              <w:t>过滤棉+</w:t>
            </w:r>
            <w:r>
              <w:rPr>
                <w:rFonts w:hint="default"/>
                <w:sz w:val="24"/>
                <w:szCs w:val="22"/>
              </w:rPr>
              <w:t>UV光氧催化+活性炭处理装置进行处理，UV光氧催化属于一种紫外光高级氧化技术，故可知该技术符合《挥发性有机物(VOCs)污染防治技术政策》中“三、末端治理与综合利用”中第十五条中“对于含低浓度VOCs的废气，不宜回收时，可采用吸附浓缩燃烧技术、生物技术、吸收技术、等离子体技术或紫外光高级氧化技术等净化后达标排放”。</w:t>
            </w:r>
          </w:p>
          <w:p>
            <w:pPr>
              <w:pStyle w:val="43"/>
              <w:widowControl/>
              <w:tabs>
                <w:tab w:val="left" w:pos="2370"/>
              </w:tabs>
              <w:spacing w:before="0" w:afterLines="0" w:line="360" w:lineRule="auto"/>
              <w:ind w:firstLine="480"/>
              <w:rPr>
                <w:rFonts w:hint="default"/>
                <w:sz w:val="24"/>
                <w:szCs w:val="22"/>
              </w:rPr>
            </w:pPr>
            <w:r>
              <w:rPr>
                <w:rFonts w:hint="default"/>
                <w:sz w:val="24"/>
                <w:szCs w:val="22"/>
              </w:rPr>
              <w:t>③项目采用的UV光氧催化废气处理装置现阶段较为先进、应用较为广泛的技术，且该项目在处理有机废气过程中不产生新的固废，具有较高的环保型。</w:t>
            </w:r>
          </w:p>
          <w:p>
            <w:pPr>
              <w:pStyle w:val="43"/>
              <w:widowControl/>
              <w:tabs>
                <w:tab w:val="left" w:pos="2370"/>
              </w:tabs>
              <w:spacing w:before="0" w:afterLines="0" w:line="360" w:lineRule="auto"/>
              <w:ind w:firstLine="480"/>
              <w:rPr>
                <w:rFonts w:hint="default"/>
                <w:sz w:val="24"/>
                <w:szCs w:val="22"/>
              </w:rPr>
            </w:pPr>
            <w:r>
              <w:rPr>
                <w:rFonts w:hint="default"/>
                <w:sz w:val="24"/>
                <w:szCs w:val="22"/>
              </w:rPr>
              <w:t>④建设单位在做好本次环评对项目提出相关监测计划时，基本符合《挥发性有机物(VOCs)污染防治技术政策》中“五、运行与监测”的相关要求。</w:t>
            </w:r>
          </w:p>
          <w:p>
            <w:pPr>
              <w:spacing w:line="360" w:lineRule="auto"/>
              <w:ind w:firstLine="480" w:firstLineChars="200"/>
              <w:jc w:val="left"/>
              <w:rPr>
                <w:sz w:val="24"/>
              </w:rPr>
            </w:pPr>
            <w:r>
              <w:rPr>
                <w:sz w:val="24"/>
                <w:szCs w:val="22"/>
              </w:rPr>
              <w:t>故可知本项目挥发性废气的防治技术与《挥发性有机物(VOCs)污染防治技术政策》是相符的。</w:t>
            </w:r>
          </w:p>
          <w:p>
            <w:pPr>
              <w:spacing w:line="360" w:lineRule="auto"/>
              <w:ind w:firstLine="482" w:firstLineChars="200"/>
              <w:jc w:val="left"/>
              <w:rPr>
                <w:b/>
                <w:bCs/>
                <w:sz w:val="24"/>
              </w:rPr>
            </w:pPr>
            <w:r>
              <w:rPr>
                <w:b/>
                <w:bCs/>
                <w:sz w:val="24"/>
              </w:rPr>
              <w:t>4、与《挥发性有机物无组织排放控制标准（GB37822-2019）》、《2020年挥发性有机物治理攻坚方案》符合性分析</w:t>
            </w:r>
          </w:p>
          <w:p>
            <w:pPr>
              <w:spacing w:line="360" w:lineRule="auto"/>
              <w:ind w:firstLine="480" w:firstLineChars="200"/>
              <w:jc w:val="left"/>
              <w:rPr>
                <w:sz w:val="24"/>
              </w:rPr>
            </w:pPr>
            <w:r>
              <w:rPr>
                <w:sz w:val="24"/>
              </w:rPr>
              <w:t>本项目与《挥发性有机物无组织排放控制标准（GB37822-2019）》、《2020年挥发性有机物治理攻坚方案》相关内容符合性分析如下表所示：</w:t>
            </w:r>
          </w:p>
          <w:p>
            <w:pPr>
              <w:jc w:val="center"/>
              <w:rPr>
                <w:b/>
                <w:bCs/>
              </w:rPr>
            </w:pPr>
            <w:r>
              <w:rPr>
                <w:b/>
                <w:bCs/>
              </w:rPr>
              <w:t>表7-24  项目挥发性有机物相关政策符合分析表</w:t>
            </w:r>
          </w:p>
          <w:tbl>
            <w:tblPr>
              <w:tblStyle w:val="21"/>
              <w:tblW w:w="83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728"/>
              <w:gridCol w:w="3038"/>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序号</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标准要求</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本项目实际情况</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1</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储存环节应采用密闭容器、包装袋等。装卸、转移和输送环节应采用密闭管道或密闭容器等。生产和使用环节应采用密闭设备，或在密闭空间中操作并有效收集废气，或进行局部气体收集；非取用状态时容器应密闭</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油漆、稀释剂等溶剂型涂料在储存、运输过程中均为密闭状态，在使用过程中均在单独的密闭空间内</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2</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未制定行业标准的应执行大气污染物综合排放标准和挥发性有机物无组织排放控制标准；已制定更严格地方排放标准的，按地方标准执行</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通过项目工程分析，在采取相应的废气收集、处理设施后，项目涂装涉及VOCs</w:t>
                  </w:r>
                  <w:r>
                    <w:rPr>
                      <w:szCs w:val="21"/>
                    </w:rPr>
                    <w:t>等有机废气</w:t>
                  </w:r>
                  <w:r>
                    <w:rPr>
                      <w:rFonts w:hint="default"/>
                      <w:szCs w:val="21"/>
                    </w:rPr>
                    <w:t>排放能达到相关标准限值要求</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3</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将无组织排放转变为有组织排放进行控制，优先采用密闭设备、在密闭空间中操作或采用全密闭集气罩收集方式；企业新建治污设施或对现有治污设施实施改造，应依据排放废气特征、VOCs组分及浓度、生产工况等，合理选择治理技术，对治理难度大、单一治理工艺难以稳定达标的，要采用多种技术的组合工艺</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油漆在使用前在项目场地内喷/烤漆房旁设立一个密闭式调漆间，设置顶部废气集输系统导入喷/烤漆房的有机废气处理系统；喷漆、烤漆烘干均在密闭式喷/考漆房内进行，设置废气集输系统导入喷/烤漆房配套的有机废气处理系统，经处理达标后外排</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4</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VOCs物料应储存于密闭的容器、包装袋中；盛装 VOCs物料的容器或包装袋应存放于室内，或存放于设置有雨棚、遮阳和防渗设施的专用场地。盛装VOCs物料的容器或包装袋在非取用状态时应加盖、封口，保持密闭</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项目使用的油漆、稀释剂等溶剂型涂料在储存、运输过程中均为铁桶密闭状态包装，储存在厂区内调漆室，使用和储存在密闭式空间内</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5</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VOCs质量占比大于等于10%的含VOCs产品，其使用过程应采用密闭设备或在密闭空间内操作，废气应排至VOCs废气收集处理系统;无法密闭的，应采取局部气体收集措施，废气应排至VOCs废气收集处理系统</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涂装、调漆均在密闭房间内进行，并配套废气集输系统导入喷/烤漆房的有机废气处理系统</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6</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企业应建立台账，记录含VOCs原辅材料和含VOCs产品的名称、使用量、回收量、废弃量、去向以及VOCs含量等信息。台账保存期限不少于3年</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项目运营后按标准要求记录含挥发性有机物原辅材料、相应挥发性有机物的含量、喷烤漆房风量、喷烤漆房的每月开启工作时间和设施设备维护保养记录等日常运行管理台账</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bl>
          <w:p>
            <w:pPr>
              <w:spacing w:line="360" w:lineRule="auto"/>
              <w:ind w:firstLine="482" w:firstLineChars="200"/>
              <w:jc w:val="left"/>
              <w:rPr>
                <w:b/>
                <w:bCs/>
                <w:sz w:val="24"/>
                <w:szCs w:val="22"/>
              </w:rPr>
            </w:pPr>
            <w:r>
              <w:rPr>
                <w:b/>
                <w:bCs/>
                <w:sz w:val="24"/>
                <w:szCs w:val="22"/>
              </w:rPr>
              <w:t>5、与《重点行业挥发性有机物综合治理方案》（环大气[2019]53号）相符性分析</w:t>
            </w:r>
          </w:p>
          <w:p>
            <w:pPr>
              <w:spacing w:line="360" w:lineRule="auto"/>
              <w:ind w:firstLine="480" w:firstLineChars="200"/>
              <w:jc w:val="left"/>
              <w:rPr>
                <w:sz w:val="24"/>
              </w:rPr>
            </w:pPr>
            <w:r>
              <w:rPr>
                <w:sz w:val="24"/>
              </w:rPr>
              <w:t>根据文件</w:t>
            </w:r>
            <w:r>
              <w:rPr>
                <w:rFonts w:hint="eastAsia"/>
                <w:sz w:val="24"/>
              </w:rPr>
              <w:t>“</w:t>
            </w:r>
            <w:r>
              <w:rPr>
                <w:sz w:val="24"/>
                <w:szCs w:val="22"/>
              </w:rPr>
              <w:t>环大气[2019]53号</w:t>
            </w:r>
            <w:r>
              <w:rPr>
                <w:rFonts w:hint="eastAsia"/>
                <w:sz w:val="24"/>
              </w:rPr>
              <w:t>”</w:t>
            </w:r>
            <w:r>
              <w:rPr>
                <w:sz w:val="24"/>
                <w:szCs w:val="22"/>
              </w:rPr>
              <w:t>中附件1，本项目不属于重点区域，本项目与重点行业治理任务相符性分析如下所示：</w:t>
            </w:r>
          </w:p>
          <w:p>
            <w:pPr>
              <w:jc w:val="center"/>
              <w:rPr>
                <w:b/>
                <w:bCs/>
              </w:rPr>
            </w:pPr>
            <w:r>
              <w:rPr>
                <w:b/>
                <w:bCs/>
              </w:rPr>
              <w:t>表7-25  《重点行业挥发性有机物综合治理方案》符合分析表</w:t>
            </w:r>
          </w:p>
          <w:tbl>
            <w:tblPr>
              <w:tblStyle w:val="21"/>
              <w:tblW w:w="83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728"/>
              <w:gridCol w:w="3038"/>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序号</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标准要求</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本项目实际情况</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1</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rPr>
                    <w:t>　强化源头控制，加快使用粉末、水性、高固体分、辐射固化等低VOCs含量的涂料替代溶剂型涂料。重点区域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本项目所在区域不属于重点区域</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2</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rPr>
                  </w:pPr>
                  <w:r>
                    <w:rPr>
                      <w:rFonts w:hint="default"/>
                    </w:rPr>
                    <w:t>加快推广紧凑式涂装工艺、先进涂装技术和设备。汽车制造整车生产推广使用“三涂一烘”“两涂一烘”或免中涂等紧凑型工艺、静电喷涂技术、自动化喷涂设备。汽车金属零配件企业鼓励采用粉末静电喷涂技术。集装箱制造一次打砂工序钢板处理采用辊涂工艺。木质家具推广使用高效的往复式喷涂箱、机械手和静电喷涂技术。板式家具采用喷涂工艺的，推广使用粉末静电喷涂技术；采用溶剂型、辐射固化涂料的，推广使用辊涂、淋涂等工艺。工程机械制造要提高室内涂装比例，鼓励采用自动喷涂、静电喷涂等技术。电子产品制造推广使用静电喷涂等技术。</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本项目不涉及整车生产，仅在汽车维修过程中使用少量油漆和稀释剂</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3</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rPr>
                  </w:pPr>
                  <w:r>
                    <w:rPr>
                      <w:rFonts w:hint="default"/>
                    </w:rPr>
                    <w:t>　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VOCs排放工序应配备有效的废气收集系统。</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已设有单独的密闭的调漆间和喷烤漆房</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4</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rPr>
                  </w:pPr>
                  <w:r>
                    <w:rPr>
                      <w:rFonts w:hint="default"/>
                    </w:rPr>
                    <w:t>推进建设适宜高效的治污设施。喷涂废气应设置高效漆雾处理装置。喷涂、晾（风）干废气宜采用吸附浓缩+燃烧处理方式，小风量的可采用一次性活性炭吸附等工艺。调配、流平等废气可与喷涂、晾（风）干废气一并处理。使用溶剂型涂料的生产线，烘干废气宜采用燃烧方式单独处理，具备条件的可采用回收式热力燃烧装置。</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本项目有机废气处理采用二级处理，依据相关文件废气处理效率达到9</w:t>
                  </w:r>
                  <w:r>
                    <w:rPr>
                      <w:szCs w:val="21"/>
                    </w:rPr>
                    <w:t>0</w:t>
                  </w:r>
                  <w:r>
                    <w:rPr>
                      <w:rFonts w:hint="default"/>
                      <w:szCs w:val="21"/>
                    </w:rPr>
                    <w:t>%，且依据本次评价工程分析可做到达标排放</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bl>
          <w:p>
            <w:pPr>
              <w:spacing w:line="360" w:lineRule="auto"/>
              <w:ind w:firstLine="482" w:firstLineChars="200"/>
              <w:jc w:val="left"/>
              <w:rPr>
                <w:b/>
                <w:bCs/>
                <w:sz w:val="24"/>
                <w:szCs w:val="22"/>
              </w:rPr>
            </w:pPr>
            <w:r>
              <w:rPr>
                <w:b/>
                <w:bCs/>
                <w:sz w:val="24"/>
                <w:szCs w:val="22"/>
              </w:rPr>
              <w:t>6、与《国务院关于印发打赢蓝天保卫战三年行动计划的通知》（国发[2018]22）符合性分析</w:t>
            </w:r>
          </w:p>
          <w:p>
            <w:pPr>
              <w:spacing w:line="360" w:lineRule="auto"/>
              <w:ind w:firstLine="480" w:firstLineChars="200"/>
              <w:rPr>
                <w:sz w:val="24"/>
                <w:szCs w:val="22"/>
              </w:rPr>
            </w:pPr>
            <w:r>
              <w:rPr>
                <w:sz w:val="24"/>
                <w:szCs w:val="22"/>
              </w:rPr>
              <w:t>本项目与《国务院关于印发打赢蓝天保卫战三年行动计划的通知》（国发[2018]22）分析如下。</w:t>
            </w:r>
          </w:p>
          <w:p>
            <w:pPr>
              <w:jc w:val="center"/>
              <w:rPr>
                <w:b/>
                <w:bCs/>
              </w:rPr>
            </w:pPr>
            <w:r>
              <w:rPr>
                <w:b/>
                <w:bCs/>
              </w:rPr>
              <w:t>表7-26  《国务院关于印发打赢蓝天保卫战三年行动计划的通知》符合分析表</w:t>
            </w:r>
          </w:p>
          <w:tbl>
            <w:tblPr>
              <w:tblStyle w:val="21"/>
              <w:tblW w:w="83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728"/>
              <w:gridCol w:w="3038"/>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序号</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标准要求</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本项目实际情况</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b/>
                      <w:szCs w:val="21"/>
                    </w:rPr>
                  </w:pPr>
                  <w:r>
                    <w:rPr>
                      <w:rFonts w:hint="default"/>
                      <w:b/>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1</w:t>
                  </w:r>
                </w:p>
              </w:tc>
              <w:tc>
                <w:tcPr>
                  <w:tcW w:w="372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各地完成生态保护红线、环境质量底线、资源利用上线、环境准入清单编制工作，明确禁止和限制发展的行业、生产工艺和产业目录。修订完善高耗能、高污染和资源型行业准入条件，环境空气质量未达标城市应制订更严格的产业准入门槛。积极推行区域、规划环境影响评价，新、改、扩建钢铁、石化、化工、焦化、建材、有色等项目的环境影响评价，应满足区域、规划环评要求。推进重点行业污染治理升级改造。重点区域二氧化硫、氮氧化物、颗粒物、挥发性有机物（VOCs）全面执行大气污染物特别排放限值；重点区域严禁新增钢铁、焦化、电解铝、铸造、水泥和平板玻璃等产能。</w:t>
                  </w:r>
                </w:p>
                <w:p>
                  <w:pPr>
                    <w:pStyle w:val="43"/>
                    <w:tabs>
                      <w:tab w:val="left" w:pos="2370"/>
                    </w:tabs>
                    <w:spacing w:before="0" w:afterLines="0" w:line="240" w:lineRule="auto"/>
                    <w:ind w:firstLine="0" w:firstLineChars="0"/>
                    <w:jc w:val="center"/>
                    <w:rPr>
                      <w:rFonts w:hint="default"/>
                      <w:szCs w:val="21"/>
                    </w:rPr>
                  </w:pPr>
                  <w:r>
                    <w:rPr>
                      <w:rFonts w:hint="default"/>
                      <w:szCs w:val="21"/>
                    </w:rPr>
                    <w:t>制定石化、化工、工业涂装、包装印刷等 VOCs排放重点行业和油品储运销综合整治方案，出台泄漏检测与修复标准，编制VOCs治理技术指南。重点区域禁止建设生产和使用高 VOCs 含量的溶剂型涂料、油墨、胶粘剂等项目，加大餐饮油烟治理力度。开展VOCs 整治专项执法行动，严厉打击违法排污行为，对治理效果差、技术服务能力弱、运营管理水平低的治理单位，公布名单，实行联合惩戒，扶持培育VOCs治理和服务专业化规模化龙头企业。2020 年，VOCs排放总量较2015 年下降 10%以上。</w:t>
                  </w:r>
                </w:p>
              </w:tc>
              <w:tc>
                <w:tcPr>
                  <w:tcW w:w="3038"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①项目属于汽车销售、汽车维修，符合国家产业政策；②项目能源消耗为水、电，通过市政设施供给；③项目运营期产生的废气主要为调漆、喷漆、烤漆废气（有机废气和颗粒物），治理设施处理效率较高，可实现废气稳定的达标排放。项目的建设符合《国务院关于印发打赢蓝天保卫战三年行动计划的通知》（国发[2018]22号）</w:t>
                  </w:r>
                </w:p>
              </w:tc>
              <w:tc>
                <w:tcPr>
                  <w:tcW w:w="1016" w:type="dxa"/>
                  <w:tcBorders>
                    <w:tl2br w:val="nil"/>
                    <w:tr2bl w:val="nil"/>
                  </w:tcBorders>
                  <w:vAlign w:val="center"/>
                </w:tcPr>
                <w:p>
                  <w:pPr>
                    <w:pStyle w:val="43"/>
                    <w:tabs>
                      <w:tab w:val="left" w:pos="2370"/>
                    </w:tabs>
                    <w:spacing w:before="0" w:afterLines="0" w:line="240" w:lineRule="auto"/>
                    <w:ind w:firstLine="0" w:firstLineChars="0"/>
                    <w:jc w:val="center"/>
                    <w:rPr>
                      <w:rFonts w:hint="default"/>
                      <w:szCs w:val="21"/>
                    </w:rPr>
                  </w:pPr>
                  <w:r>
                    <w:rPr>
                      <w:rFonts w:hint="default"/>
                      <w:szCs w:val="21"/>
                    </w:rPr>
                    <w:t>符合</w:t>
                  </w:r>
                </w:p>
              </w:tc>
            </w:tr>
          </w:tbl>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0" w:firstLineChars="0"/>
              <w:jc w:val="left"/>
              <w:textAlignment w:val="auto"/>
              <w:rPr>
                <w:rFonts w:hint="eastAsia"/>
                <w:b/>
                <w:bCs/>
                <w:sz w:val="24"/>
                <w:lang w:val="en-US" w:eastAsia="zh-CN"/>
              </w:rPr>
            </w:pPr>
            <w:r>
              <w:rPr>
                <w:rFonts w:hint="eastAsia"/>
                <w:b/>
                <w:bCs/>
                <w:sz w:val="24"/>
                <w:lang w:val="en-US" w:eastAsia="zh-CN"/>
              </w:rPr>
              <w:t>与《岳阳市“三线一单”生态环境分区管控的意见》（岳政发【2020】5号）符合性分析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b w:val="0"/>
                <w:bCs w:val="0"/>
                <w:sz w:val="24"/>
                <w:szCs w:val="24"/>
                <w:lang w:val="en-US" w:eastAsia="zh-CN"/>
              </w:rPr>
              <w:t>本项目与《岳阳市“三线一单”生态环境分区管控的意见》（岳政发【2020】5号）符合性分析如下：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21"/>
                <w:szCs w:val="21"/>
                <w:lang w:val="en-US" w:eastAsia="zh-CN"/>
              </w:rPr>
            </w:pPr>
            <w:r>
              <w:rPr>
                <w:rFonts w:hint="eastAsia"/>
                <w:b/>
                <w:bCs/>
                <w:sz w:val="21"/>
                <w:szCs w:val="21"/>
                <w:lang w:val="en-US" w:eastAsia="zh-CN"/>
              </w:rPr>
              <w:t>表7-27与岳阳市生态环境管控基本要求符合性分析</w:t>
            </w:r>
          </w:p>
          <w:tbl>
            <w:tblPr>
              <w:tblStyle w:val="21"/>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45"/>
              <w:gridCol w:w="457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b/>
                      <w:bCs/>
                      <w:vertAlign w:val="baseline"/>
                      <w:lang w:val="en-US" w:eastAsia="zh-CN"/>
                    </w:rPr>
                  </w:pPr>
                  <w:r>
                    <w:rPr>
                      <w:rFonts w:hint="eastAsia"/>
                      <w:b/>
                      <w:bCs/>
                      <w:vertAlign w:val="baseline"/>
                      <w:lang w:val="en-US" w:eastAsia="zh-CN"/>
                    </w:rPr>
                    <w:t>属性/区域</w:t>
                  </w:r>
                </w:p>
              </w:tc>
              <w:tc>
                <w:tcPr>
                  <w:tcW w:w="94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b/>
                      <w:bCs/>
                      <w:vertAlign w:val="baseline"/>
                      <w:lang w:val="en-US" w:eastAsia="zh-CN"/>
                    </w:rPr>
                  </w:pPr>
                  <w:r>
                    <w:rPr>
                      <w:rFonts w:hint="eastAsia"/>
                      <w:b/>
                      <w:bCs/>
                      <w:vertAlign w:val="baseline"/>
                      <w:lang w:val="en-US" w:eastAsia="zh-CN"/>
                    </w:rPr>
                    <w:t>管控维度</w:t>
                  </w:r>
                </w:p>
              </w:tc>
              <w:tc>
                <w:tcPr>
                  <w:tcW w:w="45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b/>
                      <w:bCs/>
                      <w:vertAlign w:val="baseline"/>
                      <w:lang w:val="en-US" w:eastAsia="zh-CN"/>
                    </w:rPr>
                  </w:pPr>
                  <w:r>
                    <w:rPr>
                      <w:rFonts w:hint="eastAsia"/>
                      <w:b/>
                      <w:bCs/>
                      <w:vertAlign w:val="baseline"/>
                      <w:lang w:val="en-US" w:eastAsia="zh-CN"/>
                    </w:rPr>
                    <w:t>管控要求</w:t>
                  </w:r>
                </w:p>
              </w:tc>
              <w:tc>
                <w:tcPr>
                  <w:tcW w:w="2078"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b/>
                      <w:bCs/>
                      <w:vertAlign w:val="baseline"/>
                      <w:lang w:val="en-US" w:eastAsia="zh-CN"/>
                    </w:rPr>
                  </w:pPr>
                  <w:r>
                    <w:rPr>
                      <w:rFonts w:hint="eastAsia"/>
                      <w:b/>
                      <w:bCs/>
                      <w:vertAlign w:val="baseline"/>
                      <w:lang w:val="en-US" w:eastAsia="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pPr>
                    <w:pStyle w:val="2"/>
                    <w:jc w:val="center"/>
                    <w:rPr>
                      <w:rFonts w:hint="default"/>
                      <w:vertAlign w:val="baseline"/>
                      <w:lang w:val="en-US" w:eastAsia="zh-CN"/>
                    </w:rPr>
                  </w:pPr>
                  <w:r>
                    <w:rPr>
                      <w:rFonts w:hint="eastAsia"/>
                      <w:vertAlign w:val="baseline"/>
                      <w:lang w:val="en-US" w:eastAsia="zh-CN"/>
                    </w:rPr>
                    <w:t>产业园区</w:t>
                  </w:r>
                </w:p>
              </w:tc>
              <w:tc>
                <w:tcPr>
                  <w:tcW w:w="945" w:type="dxa"/>
                  <w:vAlign w:val="center"/>
                </w:tcPr>
                <w:p>
                  <w:pPr>
                    <w:pStyle w:val="2"/>
                    <w:jc w:val="center"/>
                    <w:rPr>
                      <w:rFonts w:hint="default"/>
                      <w:vertAlign w:val="baseline"/>
                      <w:lang w:val="en-US" w:eastAsia="zh-CN"/>
                    </w:rPr>
                  </w:pPr>
                  <w:r>
                    <w:rPr>
                      <w:rFonts w:hint="eastAsia"/>
                      <w:vertAlign w:val="baseline"/>
                      <w:lang w:val="en-US" w:eastAsia="zh-CN"/>
                    </w:rPr>
                    <w:t>空间布局约束</w:t>
                  </w:r>
                </w:p>
              </w:tc>
              <w:tc>
                <w:tcPr>
                  <w:tcW w:w="4571" w:type="dxa"/>
                  <w:vAlign w:val="top"/>
                </w:tcPr>
                <w:p>
                  <w:pPr>
                    <w:pStyle w:val="2"/>
                    <w:jc w:val="both"/>
                    <w:rPr>
                      <w:rFonts w:hint="default"/>
                      <w:lang w:val="en-US" w:eastAsia="zh-CN"/>
                    </w:rPr>
                  </w:pPr>
                  <w:r>
                    <w:rPr>
                      <w:rFonts w:hint="eastAsia"/>
                      <w:lang w:val="en-US" w:eastAsia="zh-CN"/>
                    </w:rPr>
                    <w:t>1.1引导工业企业向聚集区内集中，推进有色、化工重点行业进入专业工业园区发展</w:t>
                  </w:r>
                  <w:r>
                    <w:rPr>
                      <w:rFonts w:hint="eastAsia"/>
                      <w:lang w:val="en-US" w:eastAsia="zh-CN"/>
                    </w:rPr>
                    <w:br w:type="textWrapping"/>
                  </w:r>
                  <w:r>
                    <w:rPr>
                      <w:rFonts w:hint="eastAsia"/>
                      <w:lang w:val="en-US" w:eastAsia="zh-CN"/>
                    </w:rPr>
                    <w:t>1.2继续推进重点行业企业整合、升级，进入产业园区聚集发展，做大做强优势产业</w:t>
                  </w:r>
                  <w:r>
                    <w:rPr>
                      <w:rFonts w:hint="eastAsia"/>
                      <w:lang w:val="en-US" w:eastAsia="zh-CN"/>
                    </w:rPr>
                    <w:br w:type="textWrapping"/>
                  </w:r>
                  <w:r>
                    <w:rPr>
                      <w:rFonts w:hint="eastAsia"/>
                      <w:lang w:val="en-US" w:eastAsia="zh-CN"/>
                    </w:rPr>
                    <w:t>1.3在非化工专门区域，已取得安全生产许可证的但生产过程无化学反应过程的企业，建设涉及危险化学品但生产过程无化学反应过程的加工型改扩建项目，在确保安全条件、符合当地规划、不新增企业用地的前提下，可在化工集聚区或化工园区外进行建设</w:t>
                  </w:r>
                  <w:r>
                    <w:rPr>
                      <w:rFonts w:hint="eastAsia"/>
                      <w:lang w:val="en-US" w:eastAsia="zh-CN"/>
                    </w:rPr>
                    <w:br w:type="textWrapping"/>
                  </w:r>
                  <w:r>
                    <w:rPr>
                      <w:rFonts w:hint="eastAsia"/>
                      <w:lang w:val="en-US" w:eastAsia="zh-CN"/>
                    </w:rPr>
                    <w:t>1.4规划化工园区外的危险化学品生产、储存企业进行安全评价后，整改受场地限制的，一律建议搬迁至化工园区</w:t>
                  </w:r>
                  <w:r>
                    <w:rPr>
                      <w:rFonts w:hint="eastAsia"/>
                      <w:lang w:val="en-US" w:eastAsia="zh-CN"/>
                    </w:rPr>
                    <w:br w:type="textWrapping"/>
                  </w:r>
                  <w:r>
                    <w:rPr>
                      <w:rFonts w:hint="eastAsia"/>
                      <w:lang w:val="en-US" w:eastAsia="zh-CN"/>
                    </w:rPr>
                    <w:t>1.5加快推进长江经济带化工政治专项行动，依法整治不符合有关规划、区划要求或者位于生态保护红线、自然保护区、饮用水水源保护区以及其他环境敏感区域内的化工企业、化工园区</w:t>
                  </w:r>
                </w:p>
              </w:tc>
              <w:tc>
                <w:tcPr>
                  <w:tcW w:w="2078" w:type="dxa"/>
                  <w:vAlign w:val="center"/>
                </w:tcPr>
                <w:p>
                  <w:pPr>
                    <w:pStyle w:val="2"/>
                    <w:jc w:val="center"/>
                    <w:rPr>
                      <w:rFonts w:hint="default"/>
                      <w:vertAlign w:val="baseline"/>
                      <w:lang w:val="en-US" w:eastAsia="zh-CN"/>
                    </w:rPr>
                  </w:pPr>
                  <w:r>
                    <w:rPr>
                      <w:rFonts w:hint="eastAsia"/>
                      <w:vertAlign w:val="baseline"/>
                      <w:lang w:val="en-US" w:eastAsia="zh-CN"/>
                    </w:rPr>
                    <w:t>本项目为摩托车与汽车维修项目不涉及以上管控要求，符合管控要求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2"/>
                    <w:jc w:val="center"/>
                    <w:rPr>
                      <w:rFonts w:hint="default"/>
                      <w:vertAlign w:val="baseline"/>
                      <w:lang w:val="en-US" w:eastAsia="zh-CN"/>
                    </w:rPr>
                  </w:pPr>
                </w:p>
              </w:tc>
              <w:tc>
                <w:tcPr>
                  <w:tcW w:w="945" w:type="dxa"/>
                  <w:vAlign w:val="center"/>
                </w:tcPr>
                <w:p>
                  <w:pPr>
                    <w:pStyle w:val="2"/>
                    <w:jc w:val="center"/>
                    <w:rPr>
                      <w:rFonts w:hint="default"/>
                      <w:vertAlign w:val="baseline"/>
                      <w:lang w:val="en-US" w:eastAsia="zh-CN"/>
                    </w:rPr>
                  </w:pPr>
                  <w:r>
                    <w:rPr>
                      <w:rFonts w:hint="eastAsia"/>
                      <w:vertAlign w:val="baseline"/>
                      <w:lang w:val="en-US" w:eastAsia="zh-CN"/>
                    </w:rPr>
                    <w:t>污染物排放管控</w:t>
                  </w:r>
                </w:p>
              </w:tc>
              <w:tc>
                <w:tcPr>
                  <w:tcW w:w="4571" w:type="dxa"/>
                  <w:vAlign w:val="top"/>
                </w:tcPr>
                <w:p>
                  <w:pPr>
                    <w:pStyle w:val="2"/>
                    <w:jc w:val="both"/>
                    <w:rPr>
                      <w:rFonts w:hint="default"/>
                      <w:vertAlign w:val="baseline"/>
                      <w:lang w:val="en-US" w:eastAsia="zh-CN"/>
                    </w:rPr>
                  </w:pPr>
                  <w:r>
                    <w:rPr>
                      <w:rFonts w:hint="eastAsia"/>
                      <w:vertAlign w:val="baseline"/>
                      <w:lang w:val="en-US" w:eastAsia="zh-CN"/>
                    </w:rPr>
                    <w:t>2.1集中治理产业园区水污染、产业园区内工业废水必须经预处理达到集中处理要求后，方可进入污水集中处理设施</w:t>
                  </w:r>
                  <w:r>
                    <w:rPr>
                      <w:rFonts w:hint="eastAsia"/>
                      <w:vertAlign w:val="baseline"/>
                      <w:lang w:val="en-US" w:eastAsia="zh-CN"/>
                    </w:rPr>
                    <w:br w:type="textWrapping"/>
                  </w:r>
                  <w:r>
                    <w:rPr>
                      <w:rFonts w:hint="eastAsia"/>
                      <w:vertAlign w:val="baseline"/>
                      <w:lang w:val="en-US" w:eastAsia="zh-CN"/>
                    </w:rPr>
                    <w:t>2.2新建、升级工业集聚区应同步规划、建设污水、固体废物集中处理等污染治理设施</w:t>
                  </w:r>
                  <w:r>
                    <w:rPr>
                      <w:rFonts w:hint="eastAsia"/>
                      <w:vertAlign w:val="baseline"/>
                      <w:lang w:val="en-US" w:eastAsia="zh-CN"/>
                    </w:rPr>
                    <w:br w:type="textWrapping"/>
                  </w:r>
                  <w:r>
                    <w:rPr>
                      <w:rFonts w:hint="eastAsia"/>
                      <w:vertAlign w:val="baseline"/>
                      <w:lang w:val="en-US" w:eastAsia="zh-CN"/>
                    </w:rPr>
                    <w:t>2.3工业园区必须配套建设集中污水处理设施等环节基础设施，并逐步提高园区污水集中处理规模和排放标准</w:t>
                  </w:r>
                  <w:r>
                    <w:rPr>
                      <w:rFonts w:hint="eastAsia"/>
                      <w:vertAlign w:val="baseline"/>
                      <w:lang w:val="en-US" w:eastAsia="zh-CN"/>
                    </w:rPr>
                    <w:br w:type="textWrapping"/>
                  </w:r>
                  <w:r>
                    <w:rPr>
                      <w:rFonts w:hint="eastAsia"/>
                      <w:vertAlign w:val="baseline"/>
                      <w:lang w:val="en-US" w:eastAsia="zh-CN"/>
                    </w:rPr>
                    <w:t>2.4产业园区应根据要求和实际建成污水集中处理设施，并安装自动在线监控装置</w:t>
                  </w:r>
                  <w:r>
                    <w:rPr>
                      <w:rFonts w:hint="eastAsia"/>
                      <w:vertAlign w:val="baseline"/>
                      <w:lang w:val="en-US" w:eastAsia="zh-CN"/>
                    </w:rPr>
                    <w:br w:type="textWrapping"/>
                  </w:r>
                  <w:r>
                    <w:rPr>
                      <w:rFonts w:hint="eastAsia"/>
                      <w:vertAlign w:val="baseline"/>
                      <w:lang w:val="en-US" w:eastAsia="zh-CN"/>
                    </w:rPr>
                    <w:t>2.5禁止工矿企业、工业园区排放废水直接用于农业灌溉</w:t>
                  </w:r>
                </w:p>
              </w:tc>
              <w:tc>
                <w:tcPr>
                  <w:tcW w:w="2078" w:type="dxa"/>
                  <w:vAlign w:val="center"/>
                </w:tcPr>
                <w:p>
                  <w:pPr>
                    <w:pStyle w:val="2"/>
                    <w:jc w:val="center"/>
                    <w:rPr>
                      <w:rFonts w:hint="default"/>
                      <w:vertAlign w:val="baseline"/>
                      <w:lang w:val="en-US" w:eastAsia="zh-CN"/>
                    </w:rPr>
                  </w:pPr>
                  <w:r>
                    <w:rPr>
                      <w:rFonts w:hint="eastAsia"/>
                      <w:vertAlign w:val="baseline"/>
                      <w:lang w:val="en-US" w:eastAsia="zh-CN"/>
                    </w:rPr>
                    <w:t>园区均已按要求建设，项目的配套设施齐全，符合管控要求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2"/>
                    <w:jc w:val="center"/>
                    <w:rPr>
                      <w:rFonts w:hint="default"/>
                      <w:vertAlign w:val="baseline"/>
                      <w:lang w:val="en-US" w:eastAsia="zh-CN"/>
                    </w:rPr>
                  </w:pPr>
                </w:p>
              </w:tc>
              <w:tc>
                <w:tcPr>
                  <w:tcW w:w="945" w:type="dxa"/>
                  <w:vAlign w:val="center"/>
                </w:tcPr>
                <w:p>
                  <w:pPr>
                    <w:pStyle w:val="2"/>
                    <w:jc w:val="center"/>
                    <w:rPr>
                      <w:rFonts w:hint="default"/>
                      <w:vertAlign w:val="baseline"/>
                      <w:lang w:val="en-US" w:eastAsia="zh-CN"/>
                    </w:rPr>
                  </w:pPr>
                  <w:r>
                    <w:rPr>
                      <w:rFonts w:hint="eastAsia"/>
                      <w:vertAlign w:val="baseline"/>
                      <w:lang w:val="en-US" w:eastAsia="zh-CN"/>
                    </w:rPr>
                    <w:t>环境风险防控</w:t>
                  </w:r>
                </w:p>
              </w:tc>
              <w:tc>
                <w:tcPr>
                  <w:tcW w:w="4571" w:type="dxa"/>
                  <w:vAlign w:val="top"/>
                </w:tcPr>
                <w:p>
                  <w:pPr>
                    <w:pStyle w:val="2"/>
                    <w:jc w:val="both"/>
                    <w:rPr>
                      <w:rFonts w:hint="default"/>
                      <w:vertAlign w:val="baseline"/>
                      <w:lang w:val="en-US" w:eastAsia="zh-CN"/>
                    </w:rPr>
                  </w:pPr>
                  <w:r>
                    <w:rPr>
                      <w:rFonts w:hint="eastAsia"/>
                      <w:vertAlign w:val="baseline"/>
                      <w:lang w:val="en-US" w:eastAsia="zh-CN"/>
                    </w:rPr>
                    <w:t>3.重点监管工业园区建设用地土壤中铅、镉、砷、汞等重金属和多环芳烃、石油烃、卤代烃等有机污染物</w:t>
                  </w:r>
                </w:p>
              </w:tc>
              <w:tc>
                <w:tcPr>
                  <w:tcW w:w="2078" w:type="dxa"/>
                  <w:vAlign w:val="center"/>
                </w:tcPr>
                <w:p>
                  <w:pPr>
                    <w:pStyle w:val="2"/>
                    <w:jc w:val="center"/>
                    <w:rPr>
                      <w:rFonts w:hint="default"/>
                      <w:vertAlign w:val="baseline"/>
                      <w:lang w:val="en-US" w:eastAsia="zh-CN"/>
                    </w:rPr>
                  </w:pPr>
                  <w:r>
                    <w:rPr>
                      <w:rFonts w:hint="eastAsia"/>
                      <w:vertAlign w:val="baseline"/>
                      <w:lang w:val="en-US" w:eastAsia="zh-CN"/>
                    </w:rPr>
                    <w:t>本项目含重金属污染物建设用地，符合管控要求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2"/>
                    <w:jc w:val="center"/>
                    <w:rPr>
                      <w:rFonts w:hint="default"/>
                      <w:vertAlign w:val="baseline"/>
                      <w:lang w:val="en-US" w:eastAsia="zh-CN"/>
                    </w:rPr>
                  </w:pPr>
                </w:p>
              </w:tc>
              <w:tc>
                <w:tcPr>
                  <w:tcW w:w="945" w:type="dxa"/>
                  <w:vAlign w:val="center"/>
                </w:tcPr>
                <w:p>
                  <w:pPr>
                    <w:pStyle w:val="2"/>
                    <w:jc w:val="center"/>
                    <w:rPr>
                      <w:rFonts w:hint="default"/>
                      <w:vertAlign w:val="baseline"/>
                      <w:lang w:val="en-US" w:eastAsia="zh-CN"/>
                    </w:rPr>
                  </w:pPr>
                  <w:r>
                    <w:rPr>
                      <w:rFonts w:hint="eastAsia"/>
                      <w:vertAlign w:val="baseline"/>
                      <w:lang w:val="en-US" w:eastAsia="zh-CN"/>
                    </w:rPr>
                    <w:t>资源开发效率要求</w:t>
                  </w:r>
                </w:p>
              </w:tc>
              <w:tc>
                <w:tcPr>
                  <w:tcW w:w="4571" w:type="dxa"/>
                  <w:vAlign w:val="top"/>
                </w:tcPr>
                <w:p>
                  <w:pPr>
                    <w:pStyle w:val="2"/>
                    <w:jc w:val="both"/>
                    <w:rPr>
                      <w:rFonts w:hint="default"/>
                      <w:vertAlign w:val="baseline"/>
                      <w:lang w:val="en-US" w:eastAsia="zh-CN"/>
                    </w:rPr>
                  </w:pPr>
                  <w:r>
                    <w:rPr>
                      <w:rFonts w:hint="eastAsia"/>
                      <w:vertAlign w:val="baseline"/>
                      <w:lang w:val="en-US" w:eastAsia="zh-CN"/>
                    </w:rPr>
                    <w:t>4.深入推进煤炭清洁利用，将煤炭更多地用于燃烧效率高且污染治理措施到位的燃煤电厂，鼓励电厂对附件园区企业实施集中供热</w:t>
                  </w:r>
                </w:p>
              </w:tc>
              <w:tc>
                <w:tcPr>
                  <w:tcW w:w="2078" w:type="dxa"/>
                  <w:vAlign w:val="center"/>
                </w:tcPr>
                <w:p>
                  <w:pPr>
                    <w:pStyle w:val="2"/>
                    <w:jc w:val="center"/>
                    <w:rPr>
                      <w:rFonts w:hint="default"/>
                      <w:vertAlign w:val="baseline"/>
                      <w:lang w:val="en-US" w:eastAsia="zh-CN"/>
                    </w:rPr>
                  </w:pPr>
                  <w:r>
                    <w:rPr>
                      <w:rFonts w:hint="eastAsia"/>
                      <w:vertAlign w:val="baseline"/>
                      <w:lang w:val="en-US" w:eastAsia="zh-CN"/>
                    </w:rPr>
                    <w:t>符合管控要求</w:t>
                  </w:r>
                </w:p>
              </w:tc>
            </w:tr>
          </w:tbl>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lang w:val="en-US" w:eastAsia="zh-CN"/>
              </w:rPr>
            </w:pPr>
            <w:r>
              <w:rPr>
                <w:rFonts w:hint="eastAsia"/>
                <w:b/>
                <w:bCs/>
                <w:sz w:val="21"/>
                <w:szCs w:val="21"/>
                <w:lang w:val="en-US" w:eastAsia="zh-CN"/>
              </w:rPr>
              <w:t>表7-28与岳阳市其他环境管控单元生态环境准入清单符合性分析</w:t>
            </w:r>
          </w:p>
          <w:tbl>
            <w:tblPr>
              <w:tblStyle w:val="21"/>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830"/>
              <w:gridCol w:w="253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单元名称（单元编码）</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管控纬度</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管控要求</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21"/>
                      <w:szCs w:val="21"/>
                      <w:vertAlign w:val="baseline"/>
                      <w:lang w:val="en-US" w:eastAsia="zh-CN"/>
                    </w:rPr>
                  </w:pPr>
                  <w:r>
                    <w:rPr>
                      <w:rFonts w:hint="eastAsia"/>
                      <w:b/>
                      <w:bCs/>
                      <w:sz w:val="21"/>
                      <w:szCs w:val="21"/>
                      <w:vertAlign w:val="baseline"/>
                      <w:lang w:val="en-US" w:eastAsia="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城陵矶街道（ZH43060230001）</w:t>
                  </w:r>
                </w:p>
              </w:tc>
              <w:tc>
                <w:tcPr>
                  <w:tcW w:w="1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空间布局约束</w:t>
                  </w:r>
                </w:p>
              </w:tc>
              <w:tc>
                <w:tcPr>
                  <w:tcW w:w="253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vertAlign w:val="baseline"/>
                      <w:lang w:val="en-US" w:eastAsia="zh-CN"/>
                    </w:rPr>
                  </w:pPr>
                  <w:r>
                    <w:rPr>
                      <w:rFonts w:hint="eastAsia"/>
                      <w:sz w:val="21"/>
                      <w:szCs w:val="21"/>
                      <w:vertAlign w:val="baseline"/>
                      <w:lang w:val="en-US" w:eastAsia="zh-CN"/>
                    </w:rPr>
                    <w:t>对环洞庭湖区（包括岳阳市地区）对制浆和落后造纸产能进行退出</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本项目为摩托车及汽车维修，符合管控要求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vertAlign w:val="baseline"/>
                      <w:lang w:val="en-US" w:eastAsia="zh-CN"/>
                    </w:rPr>
                  </w:pPr>
                </w:p>
              </w:tc>
              <w:tc>
                <w:tcPr>
                  <w:tcW w:w="183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vertAlign w:val="baseline"/>
                      <w:lang w:val="en-US" w:eastAsia="zh-CN"/>
                    </w:rPr>
                  </w:pPr>
                </w:p>
              </w:tc>
              <w:tc>
                <w:tcPr>
                  <w:tcW w:w="253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lang w:val="en-US" w:eastAsia="zh-CN"/>
                    </w:rPr>
                  </w:pPr>
                  <w:r>
                    <w:rPr>
                      <w:rFonts w:hint="eastAsia"/>
                      <w:sz w:val="21"/>
                      <w:szCs w:val="21"/>
                      <w:lang w:val="en-US" w:eastAsia="zh-CN"/>
                    </w:rPr>
                    <w:t>岳阳楼洞庭湖风景名胜区城陵矶景点：</w:t>
                  </w:r>
                  <w:r>
                    <w:rPr>
                      <w:rFonts w:hint="eastAsia"/>
                      <w:sz w:val="21"/>
                      <w:szCs w:val="21"/>
                      <w:lang w:val="en-US" w:eastAsia="zh-CN"/>
                    </w:rPr>
                    <w:br w:type="textWrapping"/>
                  </w:r>
                  <w:r>
                    <w:rPr>
                      <w:rFonts w:hint="eastAsia"/>
                      <w:sz w:val="21"/>
                      <w:szCs w:val="21"/>
                      <w:lang w:val="en-US" w:eastAsia="zh-CN"/>
                    </w:rPr>
                    <w:t>1.以恢复植被和风景建设为主，要保护和管理好有价值的风景资源。可适当设置为风景区游览服务的配套设施，并做好详细规划，禁止破坏风景环境的其他工程建设与生产活动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sz w:val="21"/>
                      <w:szCs w:val="21"/>
                      <w:lang w:val="en-US" w:eastAsia="zh-CN"/>
                    </w:rPr>
                  </w:pPr>
                  <w:r>
                    <w:rPr>
                      <w:rFonts w:hint="eastAsia"/>
                      <w:sz w:val="21"/>
                      <w:szCs w:val="21"/>
                      <w:vertAlign w:val="baseline"/>
                      <w:lang w:val="en-US" w:eastAsia="zh-CN"/>
                    </w:rPr>
                    <w:t>2.严格控制现状村庄的建设规模、人口规模、保持原有村庄的整体风貌，建筑高度限制在3层以下</w:t>
                  </w:r>
                </w:p>
              </w:tc>
              <w:tc>
                <w:tcPr>
                  <w:tcW w:w="2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符合管控要求</w:t>
                  </w:r>
                </w:p>
              </w:tc>
            </w:tr>
          </w:tbl>
          <w:p>
            <w:pPr>
              <w:spacing w:line="360" w:lineRule="auto"/>
              <w:ind w:firstLine="480" w:firstLineChars="200"/>
              <w:jc w:val="left"/>
              <w:rPr>
                <w:sz w:val="24"/>
              </w:rPr>
            </w:pPr>
            <w:r>
              <w:rPr>
                <w:sz w:val="24"/>
              </w:rPr>
              <w:t>综上所述，本项目符合相关政策要求。</w:t>
            </w:r>
          </w:p>
          <w:p>
            <w:pPr>
              <w:adjustRightInd w:val="0"/>
              <w:snapToGrid w:val="0"/>
              <w:spacing w:line="360" w:lineRule="auto"/>
              <w:jc w:val="left"/>
              <w:rPr>
                <w:b/>
                <w:sz w:val="24"/>
              </w:rPr>
            </w:pPr>
            <w:r>
              <w:rPr>
                <w:b/>
                <w:sz w:val="24"/>
              </w:rPr>
              <w:t>十一、选址合理性分析</w:t>
            </w:r>
          </w:p>
          <w:p>
            <w:pPr>
              <w:spacing w:line="360" w:lineRule="auto"/>
              <w:ind w:firstLine="480" w:firstLineChars="200"/>
              <w:jc w:val="left"/>
              <w:rPr>
                <w:sz w:val="24"/>
                <w:szCs w:val="24"/>
              </w:rPr>
            </w:pPr>
            <w:r>
              <w:rPr>
                <w:sz w:val="24"/>
                <w:szCs w:val="24"/>
              </w:rPr>
              <w:t>（1）项目位于</w:t>
            </w:r>
            <w:r>
              <w:rPr>
                <w:sz w:val="24"/>
              </w:rPr>
              <w:t>岳阳市城陵矶新港区城陵矶片区联港路国际汽车城</w:t>
            </w:r>
            <w:r>
              <w:rPr>
                <w:sz w:val="24"/>
                <w:szCs w:val="24"/>
              </w:rPr>
              <w:t>，根据国土证可知项目用地属于</w:t>
            </w:r>
            <w:r>
              <w:rPr>
                <w:sz w:val="24"/>
              </w:rPr>
              <w:t>商服用地（详见附件4）</w:t>
            </w:r>
            <w:r>
              <w:rPr>
                <w:sz w:val="24"/>
                <w:szCs w:val="24"/>
              </w:rPr>
              <w:t>，</w:t>
            </w:r>
            <w:r>
              <w:rPr>
                <w:spacing w:val="6"/>
                <w:sz w:val="24"/>
              </w:rPr>
              <w:t>符合用地性质要求</w:t>
            </w:r>
            <w:r>
              <w:rPr>
                <w:sz w:val="24"/>
                <w:szCs w:val="24"/>
              </w:rPr>
              <w:t>。目前已经取得营业执照，属于合法企业。</w:t>
            </w:r>
          </w:p>
          <w:p>
            <w:pPr>
              <w:spacing w:line="360" w:lineRule="auto"/>
              <w:ind w:firstLine="480" w:firstLineChars="200"/>
              <w:jc w:val="left"/>
              <w:rPr>
                <w:sz w:val="24"/>
                <w:szCs w:val="24"/>
              </w:rPr>
            </w:pPr>
            <w:r>
              <w:rPr>
                <w:sz w:val="24"/>
                <w:szCs w:val="24"/>
              </w:rPr>
              <w:t>（2）项目选址紧邻</w:t>
            </w:r>
            <w:r>
              <w:rPr>
                <w:sz w:val="24"/>
              </w:rPr>
              <w:t>联港路</w:t>
            </w:r>
            <w:r>
              <w:rPr>
                <w:sz w:val="24"/>
                <w:szCs w:val="24"/>
              </w:rPr>
              <w:t>，车辆来往频繁，交通便利；所在区域属于建成区，营运过程中所需的水、电供应均有保证，能满足经营及生活需求。</w:t>
            </w:r>
          </w:p>
          <w:p>
            <w:pPr>
              <w:spacing w:line="360" w:lineRule="auto"/>
              <w:ind w:firstLine="480" w:firstLineChars="200"/>
              <w:jc w:val="left"/>
              <w:rPr>
                <w:sz w:val="24"/>
                <w:szCs w:val="24"/>
              </w:rPr>
            </w:pPr>
            <w:r>
              <w:rPr>
                <w:sz w:val="24"/>
                <w:szCs w:val="24"/>
              </w:rPr>
              <w:t>（3）项目所在区域属于建成区，区域周边已小规模形成聚集区，均为已建商业和居民住宅等，项目属于汽车销售与维修维护服务，与周边环境基本协调，与地方规划相容。</w:t>
            </w:r>
          </w:p>
          <w:p>
            <w:pPr>
              <w:spacing w:line="360" w:lineRule="auto"/>
              <w:ind w:firstLine="480" w:firstLineChars="200"/>
              <w:jc w:val="left"/>
              <w:rPr>
                <w:sz w:val="24"/>
                <w:szCs w:val="24"/>
              </w:rPr>
            </w:pPr>
            <w:r>
              <w:rPr>
                <w:sz w:val="24"/>
                <w:szCs w:val="24"/>
              </w:rPr>
              <w:t>（4）项目营运过程中产生的废水、废气和噪声经治理达标后排放、固体废物经综合利用或妥善处置后，对环境影响不大。因此，从环保角度分析，项目建设对环境影响小，不改变区域环境功能级别。</w:t>
            </w:r>
          </w:p>
          <w:p>
            <w:pPr>
              <w:spacing w:line="360" w:lineRule="auto"/>
              <w:ind w:firstLine="480" w:firstLineChars="200"/>
              <w:jc w:val="left"/>
              <w:rPr>
                <w:sz w:val="24"/>
                <w:szCs w:val="24"/>
              </w:rPr>
            </w:pPr>
            <w:r>
              <w:rPr>
                <w:sz w:val="24"/>
                <w:szCs w:val="24"/>
              </w:rPr>
              <w:t>（5）区域无自然保护区、文物景观、水源地等环境敏感点，是较为理想的汽车维修与维护服务点。</w:t>
            </w:r>
          </w:p>
          <w:p>
            <w:pPr>
              <w:spacing w:line="360" w:lineRule="auto"/>
              <w:ind w:firstLine="480" w:firstLineChars="200"/>
              <w:jc w:val="left"/>
              <w:rPr>
                <w:sz w:val="24"/>
                <w:szCs w:val="24"/>
              </w:rPr>
            </w:pPr>
            <w:r>
              <w:rPr>
                <w:sz w:val="24"/>
                <w:szCs w:val="24"/>
              </w:rPr>
              <w:t>综上所述，项目的建设对当地居民生活环境影响不大，对周围环境影响较小，项目选址基本合理可行。</w:t>
            </w:r>
          </w:p>
          <w:p>
            <w:pPr>
              <w:spacing w:line="360" w:lineRule="auto"/>
              <w:jc w:val="left"/>
              <w:rPr>
                <w:sz w:val="24"/>
                <w:szCs w:val="24"/>
              </w:rPr>
            </w:pPr>
            <w:r>
              <w:rPr>
                <w:b/>
                <w:sz w:val="24"/>
              </w:rPr>
              <w:t>十二、总平面布置的合理性分析</w:t>
            </w:r>
          </w:p>
          <w:p>
            <w:pPr>
              <w:spacing w:line="360" w:lineRule="auto"/>
              <w:ind w:firstLine="480" w:firstLineChars="200"/>
              <w:jc w:val="left"/>
              <w:rPr>
                <w:bCs/>
                <w:spacing w:val="6"/>
                <w:sz w:val="24"/>
              </w:rPr>
            </w:pPr>
            <w:r>
              <w:rPr>
                <w:sz w:val="24"/>
                <w:szCs w:val="24"/>
              </w:rPr>
              <w:t>项目具体布置为：由东往西依次布置为展厅、办公室、维修车间</w:t>
            </w:r>
            <w:r>
              <w:rPr>
                <w:bCs/>
                <w:spacing w:val="6"/>
                <w:sz w:val="24"/>
              </w:rPr>
              <w:t>。</w:t>
            </w:r>
            <w:r>
              <w:rPr>
                <w:sz w:val="24"/>
                <w:szCs w:val="24"/>
              </w:rPr>
              <w:t>各区</w:t>
            </w:r>
            <w:r>
              <w:rPr>
                <w:bCs/>
                <w:spacing w:val="6"/>
                <w:sz w:val="24"/>
              </w:rPr>
              <w:t>能做到人流和物流畅通，同时设立密闭烤漆房废气集中收集处理后外排，各污染源布置位置能有效减少油漆废气、维修噪声对周居民的影响。一般固废暂存区10平方米，位于项目厂房西侧；危险废物暂存区10平方米，设置于配件库房内；远离办公区和其它区域，采取防渗防漏措施，设置合理可行。东面的市政绿地一定程度上阻隔了</w:t>
            </w:r>
            <w:r>
              <w:rPr>
                <w:sz w:val="24"/>
                <w:szCs w:val="24"/>
              </w:rPr>
              <w:t>联港路</w:t>
            </w:r>
            <w:r>
              <w:rPr>
                <w:bCs/>
                <w:spacing w:val="6"/>
                <w:sz w:val="24"/>
              </w:rPr>
              <w:t>上来往车辆的行驶噪声。各区域根据维修及服务的流程，布局合理，整个平面体系组织紧密、灵活，体现了人性化。综上所述，项目平面布置合理。</w:t>
            </w:r>
          </w:p>
          <w:p>
            <w:pPr>
              <w:spacing w:line="360" w:lineRule="auto"/>
              <w:jc w:val="left"/>
              <w:rPr>
                <w:b/>
                <w:sz w:val="24"/>
                <w:szCs w:val="22"/>
              </w:rPr>
            </w:pPr>
            <w:r>
              <w:rPr>
                <w:b/>
                <w:sz w:val="24"/>
                <w:szCs w:val="22"/>
              </w:rPr>
              <w:t>十三、“三线一单”的符合性分析</w:t>
            </w:r>
          </w:p>
          <w:p>
            <w:pPr>
              <w:pStyle w:val="50"/>
              <w:spacing w:before="0" w:after="0" w:line="360" w:lineRule="auto"/>
              <w:ind w:firstLine="480" w:firstLineChars="200"/>
              <w:jc w:val="both"/>
              <w:rPr>
                <w:rFonts w:ascii="Times New Roman" w:hAnsi="Times New Roman"/>
              </w:rPr>
            </w:pPr>
            <w:r>
              <w:rPr>
                <w:rFonts w:ascii="Times New Roman" w:hAnsi="Times New Roman"/>
              </w:rPr>
              <w:t>本项目位于岳阳市城陵矶新港区临港国际汽车城，租赁岳阳华致汽车有限公司现有厂房内，不在生态保护红线内（附图九）。本项目在落实各项环保要的前提下不会对区域环境质量造成明显不利影响，对环境的影响在可接受范围内，满足环境质量底线要求。岳阳市城陵矶新港区的建设与区域资源的承载力相容性较好，本项目的资源利用符合资源利用上线要求。项目建设城陵矶新港区临港国际汽车城符合产业定位，不属于城陵矶新港区国际汽车城环境准入负面清单的行业或项目。因此，本项目符合《关于以改善环境质量为核心加强环境影响评价管理的通知》（环环评[2016]150号）中“三线一单”的相关要求。</w:t>
            </w:r>
          </w:p>
          <w:p>
            <w:pPr>
              <w:spacing w:line="360" w:lineRule="auto"/>
              <w:jc w:val="left"/>
              <w:rPr>
                <w:b/>
                <w:sz w:val="24"/>
                <w:szCs w:val="22"/>
              </w:rPr>
            </w:pPr>
            <w:r>
              <w:rPr>
                <w:b/>
                <w:sz w:val="24"/>
                <w:szCs w:val="22"/>
              </w:rPr>
              <w:t>十四、环保投资及验收</w:t>
            </w:r>
          </w:p>
          <w:p>
            <w:pPr>
              <w:pStyle w:val="50"/>
              <w:spacing w:before="0" w:after="0" w:line="360" w:lineRule="auto"/>
              <w:ind w:firstLine="480" w:firstLineChars="200"/>
              <w:jc w:val="both"/>
              <w:rPr>
                <w:rFonts w:ascii="Times New Roman" w:hAnsi="Times New Roman"/>
                <w:u w:val="single"/>
              </w:rPr>
            </w:pPr>
            <w:r>
              <w:rPr>
                <w:rFonts w:ascii="Times New Roman" w:hAnsi="Times New Roman"/>
                <w:u w:val="single"/>
              </w:rPr>
              <w:t>项目总投资</w:t>
            </w:r>
            <w:r>
              <w:rPr>
                <w:rFonts w:hint="eastAsia" w:ascii="Times New Roman" w:hAnsi="Times New Roman"/>
                <w:u w:val="single"/>
              </w:rPr>
              <w:t>1</w:t>
            </w:r>
            <w:r>
              <w:rPr>
                <w:rFonts w:ascii="Times New Roman" w:hAnsi="Times New Roman"/>
                <w:u w:val="single"/>
              </w:rPr>
              <w:t>000万元，其环保投资估算见表7-27，项目环保投资为50.7万，占总投资的</w:t>
            </w:r>
            <w:r>
              <w:rPr>
                <w:rFonts w:hint="eastAsia" w:ascii="Times New Roman" w:hAnsi="Times New Roman"/>
                <w:u w:val="single"/>
              </w:rPr>
              <w:t>5.07</w:t>
            </w:r>
            <w:r>
              <w:rPr>
                <w:rFonts w:ascii="Times New Roman" w:hAnsi="Times New Roman"/>
                <w:u w:val="single"/>
              </w:rPr>
              <w:t>%。</w:t>
            </w:r>
          </w:p>
          <w:p>
            <w:pPr>
              <w:jc w:val="center"/>
              <w:rPr>
                <w:b/>
                <w:bCs/>
                <w:u w:val="single"/>
              </w:rPr>
            </w:pPr>
            <w:r>
              <w:rPr>
                <w:b/>
                <w:bCs/>
                <w:u w:val="single"/>
              </w:rPr>
              <w:t>表7-2</w:t>
            </w:r>
            <w:r>
              <w:rPr>
                <w:rFonts w:hint="eastAsia"/>
                <w:b/>
                <w:bCs/>
                <w:u w:val="single"/>
                <w:lang w:val="en-US" w:eastAsia="zh-CN"/>
              </w:rPr>
              <w:t>9</w:t>
            </w:r>
            <w:r>
              <w:rPr>
                <w:b/>
                <w:bCs/>
                <w:u w:val="single"/>
              </w:rPr>
              <w:t xml:space="preserve">  工程环保设施与环</w:t>
            </w:r>
            <w:r>
              <w:rPr>
                <w:rFonts w:hint="eastAsia"/>
                <w:b/>
                <w:bCs/>
                <w:u w:val="single"/>
              </w:rPr>
              <w:t>保验收</w:t>
            </w:r>
          </w:p>
          <w:tbl>
            <w:tblPr>
              <w:tblStyle w:val="20"/>
              <w:tblW w:w="82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130"/>
              <w:gridCol w:w="2482"/>
              <w:gridCol w:w="1071"/>
              <w:gridCol w:w="29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Align w:val="center"/>
                </w:tcPr>
                <w:p>
                  <w:pPr>
                    <w:jc w:val="center"/>
                    <w:rPr>
                      <w:b/>
                      <w:bCs/>
                      <w:szCs w:val="21"/>
                      <w:u w:val="single"/>
                    </w:rPr>
                  </w:pPr>
                  <w:r>
                    <w:rPr>
                      <w:b/>
                      <w:bCs/>
                      <w:szCs w:val="21"/>
                      <w:u w:val="single"/>
                    </w:rPr>
                    <w:t>类别</w:t>
                  </w:r>
                </w:p>
              </w:tc>
              <w:tc>
                <w:tcPr>
                  <w:tcW w:w="1130" w:type="dxa"/>
                  <w:vAlign w:val="center"/>
                </w:tcPr>
                <w:p>
                  <w:pPr>
                    <w:jc w:val="center"/>
                    <w:rPr>
                      <w:b/>
                      <w:bCs/>
                      <w:szCs w:val="21"/>
                      <w:u w:val="single"/>
                    </w:rPr>
                  </w:pPr>
                  <w:r>
                    <w:rPr>
                      <w:b/>
                      <w:bCs/>
                      <w:szCs w:val="21"/>
                      <w:u w:val="single"/>
                    </w:rPr>
                    <w:t>防治对象</w:t>
                  </w:r>
                </w:p>
              </w:tc>
              <w:tc>
                <w:tcPr>
                  <w:tcW w:w="2482" w:type="dxa"/>
                  <w:vAlign w:val="center"/>
                </w:tcPr>
                <w:p>
                  <w:pPr>
                    <w:jc w:val="center"/>
                    <w:rPr>
                      <w:b/>
                      <w:bCs/>
                      <w:szCs w:val="21"/>
                      <w:u w:val="single"/>
                    </w:rPr>
                  </w:pPr>
                  <w:r>
                    <w:rPr>
                      <w:b/>
                      <w:bCs/>
                      <w:szCs w:val="21"/>
                      <w:u w:val="single"/>
                    </w:rPr>
                    <w:t>防治措施</w:t>
                  </w:r>
                </w:p>
              </w:tc>
              <w:tc>
                <w:tcPr>
                  <w:tcW w:w="1071" w:type="dxa"/>
                  <w:vAlign w:val="center"/>
                </w:tcPr>
                <w:p>
                  <w:pPr>
                    <w:jc w:val="center"/>
                    <w:rPr>
                      <w:b/>
                      <w:bCs/>
                      <w:szCs w:val="21"/>
                      <w:u w:val="single"/>
                    </w:rPr>
                  </w:pPr>
                  <w:r>
                    <w:rPr>
                      <w:b/>
                      <w:bCs/>
                      <w:szCs w:val="21"/>
                      <w:u w:val="single"/>
                    </w:rPr>
                    <w:t>环保投资（万元）</w:t>
                  </w:r>
                </w:p>
              </w:tc>
              <w:tc>
                <w:tcPr>
                  <w:tcW w:w="2928" w:type="dxa"/>
                  <w:vAlign w:val="center"/>
                </w:tcPr>
                <w:p>
                  <w:pPr>
                    <w:jc w:val="center"/>
                    <w:rPr>
                      <w:b/>
                      <w:bCs/>
                      <w:szCs w:val="21"/>
                      <w:u w:val="single"/>
                    </w:rPr>
                  </w:pPr>
                  <w:r>
                    <w:rPr>
                      <w:b/>
                      <w:bCs/>
                      <w:szCs w:val="21"/>
                      <w:u w:val="single"/>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restart"/>
                  <w:vAlign w:val="center"/>
                </w:tcPr>
                <w:p>
                  <w:pPr>
                    <w:jc w:val="center"/>
                    <w:rPr>
                      <w:szCs w:val="21"/>
                      <w:u w:val="single"/>
                    </w:rPr>
                  </w:pPr>
                  <w:r>
                    <w:rPr>
                      <w:szCs w:val="21"/>
                      <w:u w:val="single"/>
                    </w:rPr>
                    <w:t>大气</w:t>
                  </w:r>
                </w:p>
              </w:tc>
              <w:tc>
                <w:tcPr>
                  <w:tcW w:w="1130" w:type="dxa"/>
                  <w:vAlign w:val="center"/>
                </w:tcPr>
                <w:p>
                  <w:pPr>
                    <w:jc w:val="center"/>
                    <w:rPr>
                      <w:szCs w:val="21"/>
                      <w:u w:val="single"/>
                    </w:rPr>
                  </w:pPr>
                  <w:r>
                    <w:rPr>
                      <w:szCs w:val="21"/>
                      <w:u w:val="single"/>
                    </w:rPr>
                    <w:t>打磨工序</w:t>
                  </w:r>
                </w:p>
              </w:tc>
              <w:tc>
                <w:tcPr>
                  <w:tcW w:w="2482" w:type="dxa"/>
                  <w:vAlign w:val="center"/>
                </w:tcPr>
                <w:p>
                  <w:pPr>
                    <w:jc w:val="center"/>
                    <w:rPr>
                      <w:szCs w:val="21"/>
                      <w:u w:val="single"/>
                    </w:rPr>
                  </w:pPr>
                  <w:r>
                    <w:rPr>
                      <w:szCs w:val="21"/>
                      <w:u w:val="single"/>
                    </w:rPr>
                    <w:t>打磨设备自带吸尘装置</w:t>
                  </w:r>
                </w:p>
              </w:tc>
              <w:tc>
                <w:tcPr>
                  <w:tcW w:w="1071" w:type="dxa"/>
                  <w:vAlign w:val="center"/>
                </w:tcPr>
                <w:p>
                  <w:pPr>
                    <w:jc w:val="center"/>
                    <w:rPr>
                      <w:szCs w:val="21"/>
                      <w:u w:val="single"/>
                    </w:rPr>
                  </w:pPr>
                  <w:r>
                    <w:rPr>
                      <w:szCs w:val="21"/>
                      <w:u w:val="single"/>
                    </w:rPr>
                    <w:t>/</w:t>
                  </w:r>
                </w:p>
              </w:tc>
              <w:tc>
                <w:tcPr>
                  <w:tcW w:w="2928" w:type="dxa"/>
                  <w:vMerge w:val="restart"/>
                  <w:vAlign w:val="center"/>
                </w:tcPr>
                <w:p>
                  <w:pPr>
                    <w:jc w:val="center"/>
                    <w:rPr>
                      <w:rFonts w:hint="default"/>
                      <w:sz w:val="21"/>
                      <w:szCs w:val="21"/>
                      <w:u w:val="single"/>
                      <w:lang w:val="en-US" w:eastAsia="zh-CN"/>
                    </w:rPr>
                  </w:pPr>
                  <w:r>
                    <w:rPr>
                      <w:rFonts w:hint="eastAsia"/>
                      <w:sz w:val="21"/>
                      <w:szCs w:val="21"/>
                      <w:u w:val="single"/>
                      <w:lang w:val="en-US" w:eastAsia="zh-CN"/>
                    </w:rPr>
                    <w:t>有组织执行</w:t>
                  </w:r>
                  <w:r>
                    <w:rPr>
                      <w:sz w:val="21"/>
                      <w:szCs w:val="21"/>
                      <w:u w:val="single"/>
                    </w:rPr>
                    <w:t>《大气污染物综合排放标准》（GB16297-1996）表2中排放标准</w:t>
                  </w:r>
                </w:p>
                <w:p>
                  <w:pPr>
                    <w:jc w:val="center"/>
                    <w:rPr>
                      <w:sz w:val="21"/>
                      <w:szCs w:val="21"/>
                      <w:u w:val="single"/>
                    </w:rPr>
                  </w:pPr>
                  <w:r>
                    <w:rPr>
                      <w:rFonts w:hint="eastAsia"/>
                      <w:sz w:val="21"/>
                      <w:szCs w:val="21"/>
                      <w:u w:val="single"/>
                      <w:lang w:val="en-US" w:eastAsia="zh-CN"/>
                    </w:rPr>
                    <w:t>无组织</w:t>
                  </w:r>
                  <w:r>
                    <w:rPr>
                      <w:sz w:val="21"/>
                      <w:szCs w:val="21"/>
                      <w:u w:val="single"/>
                    </w:rPr>
                    <w:t>执行《大气污染物综合排放标准》（GB16297－1996）表2中无组织排放监控浓度限值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焊接烟尘/汽车尾气/</w:t>
                  </w:r>
                </w:p>
              </w:tc>
              <w:tc>
                <w:tcPr>
                  <w:tcW w:w="2482" w:type="dxa"/>
                  <w:vMerge w:val="restart"/>
                  <w:vAlign w:val="center"/>
                </w:tcPr>
                <w:p>
                  <w:pPr>
                    <w:jc w:val="center"/>
                    <w:rPr>
                      <w:szCs w:val="21"/>
                      <w:u w:val="single"/>
                    </w:rPr>
                  </w:pPr>
                  <w:r>
                    <w:rPr>
                      <w:szCs w:val="21"/>
                      <w:u w:val="single"/>
                    </w:rPr>
                    <w:t>加强通风</w:t>
                  </w:r>
                </w:p>
              </w:tc>
              <w:tc>
                <w:tcPr>
                  <w:tcW w:w="1071" w:type="dxa"/>
                  <w:vMerge w:val="restart"/>
                  <w:vAlign w:val="center"/>
                </w:tcPr>
                <w:p>
                  <w:pPr>
                    <w:jc w:val="center"/>
                    <w:rPr>
                      <w:szCs w:val="21"/>
                      <w:u w:val="single"/>
                    </w:rPr>
                  </w:pPr>
                  <w:r>
                    <w:rPr>
                      <w:szCs w:val="21"/>
                      <w:u w:val="single"/>
                    </w:rPr>
                    <w:t>0.5</w:t>
                  </w:r>
                </w:p>
              </w:tc>
              <w:tc>
                <w:tcPr>
                  <w:tcW w:w="2928" w:type="dxa"/>
                  <w:vMerge w:val="continue"/>
                  <w:vAlign w:val="center"/>
                </w:tcPr>
                <w:p>
                  <w:pPr>
                    <w:jc w:val="center"/>
                    <w:rPr>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零部件擦拭废气</w:t>
                  </w:r>
                </w:p>
              </w:tc>
              <w:tc>
                <w:tcPr>
                  <w:tcW w:w="2482" w:type="dxa"/>
                  <w:vMerge w:val="continue"/>
                  <w:vAlign w:val="center"/>
                </w:tcPr>
                <w:p>
                  <w:pPr>
                    <w:jc w:val="center"/>
                    <w:rPr>
                      <w:szCs w:val="21"/>
                      <w:u w:val="single"/>
                    </w:rPr>
                  </w:pPr>
                </w:p>
              </w:tc>
              <w:tc>
                <w:tcPr>
                  <w:tcW w:w="1071" w:type="dxa"/>
                  <w:vMerge w:val="continue"/>
                  <w:vAlign w:val="center"/>
                </w:tcPr>
                <w:p>
                  <w:pPr>
                    <w:jc w:val="center"/>
                    <w:rPr>
                      <w:sz w:val="21"/>
                      <w:szCs w:val="21"/>
                      <w:u w:val="single"/>
                    </w:rPr>
                  </w:pPr>
                </w:p>
              </w:tc>
              <w:tc>
                <w:tcPr>
                  <w:tcW w:w="2928" w:type="dxa"/>
                  <w:vMerge w:val="restart"/>
                  <w:vAlign w:val="top"/>
                </w:tcPr>
                <w:p>
                  <w:pPr>
                    <w:jc w:val="both"/>
                    <w:rPr>
                      <w:rFonts w:hint="eastAsia"/>
                      <w:sz w:val="21"/>
                      <w:szCs w:val="21"/>
                      <w:u w:val="single"/>
                      <w:lang w:eastAsia="zh-CN"/>
                    </w:rPr>
                  </w:pPr>
                  <w:r>
                    <w:rPr>
                      <w:rFonts w:hint="eastAsia"/>
                      <w:sz w:val="21"/>
                      <w:szCs w:val="21"/>
                      <w:u w:val="single"/>
                      <w:lang w:val="en-US" w:eastAsia="zh-CN"/>
                    </w:rPr>
                    <w:t>有组织：</w:t>
                  </w:r>
                  <w:r>
                    <w:rPr>
                      <w:sz w:val="21"/>
                      <w:szCs w:val="21"/>
                      <w:u w:val="single"/>
                    </w:rPr>
                    <w:t>非甲烷总烃和苯系物执行湖南省地方标准《表面涂装（汽车制造</w:t>
                  </w:r>
                  <w:r>
                    <w:rPr>
                      <w:rFonts w:hint="eastAsia"/>
                      <w:sz w:val="21"/>
                      <w:szCs w:val="21"/>
                      <w:u w:val="single"/>
                    </w:rPr>
                    <w:t>及维修</w:t>
                  </w:r>
                  <w:r>
                    <w:rPr>
                      <w:sz w:val="21"/>
                      <w:szCs w:val="21"/>
                      <w:u w:val="single"/>
                    </w:rPr>
                    <w:t>）挥发性有机物、镍排放标准》（DB43/1356-2017）表1规定的限值</w:t>
                  </w:r>
                  <w:r>
                    <w:rPr>
                      <w:rFonts w:hint="eastAsia"/>
                      <w:sz w:val="21"/>
                      <w:szCs w:val="21"/>
                      <w:u w:val="single"/>
                      <w:lang w:eastAsia="zh-CN"/>
                    </w:rPr>
                    <w:t>，</w:t>
                  </w:r>
                </w:p>
                <w:p>
                  <w:pPr>
                    <w:jc w:val="both"/>
                    <w:rPr>
                      <w:rFonts w:hint="eastAsia"/>
                      <w:sz w:val="21"/>
                      <w:szCs w:val="21"/>
                      <w:u w:val="single"/>
                    </w:rPr>
                  </w:pPr>
                  <w:r>
                    <w:rPr>
                      <w:sz w:val="21"/>
                      <w:szCs w:val="21"/>
                      <w:u w:val="single"/>
                    </w:rPr>
                    <w:t>VOCs参照执行天津市《工业企业挥发性有机物排放控制标准》（DB12/524-20</w:t>
                  </w:r>
                  <w:r>
                    <w:rPr>
                      <w:rFonts w:hint="eastAsia"/>
                      <w:sz w:val="21"/>
                      <w:szCs w:val="21"/>
                      <w:u w:val="single"/>
                    </w:rPr>
                    <w:t>20</w:t>
                  </w:r>
                  <w:r>
                    <w:rPr>
                      <w:sz w:val="21"/>
                      <w:szCs w:val="21"/>
                      <w:u w:val="single"/>
                    </w:rPr>
                    <w:t>）表</w:t>
                  </w:r>
                  <w:r>
                    <w:rPr>
                      <w:rFonts w:hint="eastAsia"/>
                      <w:sz w:val="21"/>
                      <w:szCs w:val="21"/>
                      <w:u w:val="single"/>
                    </w:rPr>
                    <w:t>1</w:t>
                  </w:r>
                  <w:r>
                    <w:rPr>
                      <w:sz w:val="21"/>
                      <w:szCs w:val="21"/>
                      <w:u w:val="single"/>
                    </w:rPr>
                    <w:t>中“</w:t>
                  </w:r>
                  <w:r>
                    <w:rPr>
                      <w:rFonts w:hint="eastAsia"/>
                      <w:sz w:val="21"/>
                      <w:szCs w:val="21"/>
                      <w:u w:val="single"/>
                    </w:rPr>
                    <w:t>表面涂装</w:t>
                  </w:r>
                  <w:r>
                    <w:rPr>
                      <w:sz w:val="21"/>
                      <w:szCs w:val="21"/>
                      <w:u w:val="single"/>
                    </w:rPr>
                    <w:t>”</w:t>
                  </w:r>
                  <w:r>
                    <w:rPr>
                      <w:rFonts w:hint="eastAsia"/>
                      <w:sz w:val="21"/>
                      <w:szCs w:val="21"/>
                      <w:u w:val="single"/>
                    </w:rPr>
                    <w:t>标准限值</w:t>
                  </w:r>
                </w:p>
                <w:p>
                  <w:pPr>
                    <w:pStyle w:val="2"/>
                    <w:rPr>
                      <w:rFonts w:hint="eastAsia" w:eastAsia="宋体"/>
                      <w:sz w:val="21"/>
                      <w:szCs w:val="21"/>
                      <w:u w:val="single"/>
                      <w:lang w:val="en-US" w:eastAsia="zh-CN"/>
                    </w:rPr>
                  </w:pPr>
                  <w:r>
                    <w:rPr>
                      <w:rStyle w:val="25"/>
                      <w:rFonts w:hint="eastAsia"/>
                      <w:sz w:val="21"/>
                      <w:szCs w:val="21"/>
                      <w:u w:val="single"/>
                      <w:lang w:val="en-US" w:eastAsia="zh-CN"/>
                    </w:rPr>
                    <w:t>无组织：</w:t>
                  </w:r>
                  <w:r>
                    <w:rPr>
                      <w:sz w:val="21"/>
                      <w:szCs w:val="21"/>
                      <w:u w:val="single"/>
                    </w:rPr>
                    <w:t>非甲烷总烃</w:t>
                  </w:r>
                  <w:r>
                    <w:rPr>
                      <w:rFonts w:hint="eastAsia"/>
                      <w:sz w:val="21"/>
                      <w:szCs w:val="21"/>
                      <w:u w:val="single"/>
                    </w:rPr>
                    <w:t>、</w:t>
                  </w:r>
                  <w:r>
                    <w:rPr>
                      <w:sz w:val="21"/>
                      <w:szCs w:val="21"/>
                      <w:u w:val="single"/>
                    </w:rPr>
                    <w:t>苯系物</w:t>
                  </w:r>
                  <w:r>
                    <w:rPr>
                      <w:rFonts w:eastAsiaTheme="minorEastAsia"/>
                      <w:sz w:val="21"/>
                      <w:szCs w:val="21"/>
                      <w:u w:val="single"/>
                    </w:rPr>
                    <w:t>排放企业边界无组织排放监控点浓度</w:t>
                  </w:r>
                  <w:r>
                    <w:rPr>
                      <w:sz w:val="21"/>
                      <w:szCs w:val="21"/>
                      <w:u w:val="single"/>
                    </w:rPr>
                    <w:t>执行湖南省地方标准《表面涂装（汽车制造）挥发性有机物、镍排放标准》DB43/1356-2017）表3规定的限值标准</w:t>
                  </w:r>
                  <w:r>
                    <w:rPr>
                      <w:sz w:val="21"/>
                      <w:szCs w:val="21"/>
                      <w:u w:val="single"/>
                    </w:rPr>
                    <w:br w:type="textWrapping"/>
                  </w:r>
                  <w:r>
                    <w:rPr>
                      <w:sz w:val="21"/>
                      <w:szCs w:val="21"/>
                      <w:u w:val="single"/>
                    </w:rPr>
                    <w:t>VOCs</w:t>
                  </w:r>
                  <w:r>
                    <w:rPr>
                      <w:rFonts w:hint="eastAsia"/>
                      <w:sz w:val="21"/>
                      <w:szCs w:val="21"/>
                      <w:u w:val="single"/>
                    </w:rPr>
                    <w:t>（</w:t>
                  </w:r>
                  <w:r>
                    <w:rPr>
                      <w:sz w:val="21"/>
                      <w:szCs w:val="21"/>
                      <w:u w:val="single"/>
                    </w:rPr>
                    <w:t>非甲烷总烃</w:t>
                  </w:r>
                  <w:r>
                    <w:rPr>
                      <w:rFonts w:hint="eastAsia"/>
                      <w:sz w:val="21"/>
                      <w:szCs w:val="21"/>
                      <w:u w:val="single"/>
                    </w:rPr>
                    <w:t>）</w:t>
                  </w:r>
                  <w:r>
                    <w:rPr>
                      <w:rFonts w:eastAsiaTheme="minorEastAsia"/>
                      <w:sz w:val="21"/>
                      <w:szCs w:val="21"/>
                      <w:u w:val="single"/>
                    </w:rPr>
                    <w:t>排放</w:t>
                  </w:r>
                  <w:r>
                    <w:rPr>
                      <w:rFonts w:hint="eastAsia" w:eastAsiaTheme="minorEastAsia"/>
                      <w:sz w:val="21"/>
                      <w:szCs w:val="21"/>
                      <w:u w:val="single"/>
                      <w:lang w:val="en-US" w:eastAsia="zh-CN"/>
                    </w:rPr>
                    <w:t>厂界内外</w:t>
                  </w:r>
                  <w:r>
                    <w:rPr>
                      <w:rFonts w:eastAsiaTheme="minorEastAsia"/>
                      <w:sz w:val="21"/>
                      <w:szCs w:val="21"/>
                      <w:u w:val="single"/>
                    </w:rPr>
                    <w:t>无组织排放监控点浓度</w:t>
                  </w:r>
                  <w:r>
                    <w:rPr>
                      <w:rFonts w:hint="eastAsia" w:eastAsiaTheme="minorEastAsia"/>
                      <w:sz w:val="21"/>
                      <w:szCs w:val="21"/>
                      <w:u w:val="single"/>
                      <w:lang w:val="en-US" w:eastAsia="zh-CN"/>
                    </w:rPr>
                    <w:t>均</w:t>
                  </w:r>
                  <w:r>
                    <w:rPr>
                      <w:sz w:val="21"/>
                      <w:szCs w:val="21"/>
                      <w:u w:val="single"/>
                    </w:rPr>
                    <w:t>参照执行天津市</w:t>
                  </w:r>
                  <w:r>
                    <w:rPr>
                      <w:rFonts w:hint="eastAsia"/>
                      <w:sz w:val="21"/>
                      <w:szCs w:val="21"/>
                      <w:u w:val="single"/>
                    </w:rPr>
                    <w:t>《工业企业挥发性有机物排放控制标准》（</w:t>
                  </w:r>
                  <w:r>
                    <w:rPr>
                      <w:sz w:val="21"/>
                      <w:szCs w:val="21"/>
                      <w:u w:val="single"/>
                    </w:rPr>
                    <w:t>DB12/524—2020</w:t>
                  </w:r>
                  <w:r>
                    <w:rPr>
                      <w:rFonts w:hint="eastAsia"/>
                      <w:sz w:val="21"/>
                      <w:szCs w:val="21"/>
                      <w:u w:val="single"/>
                    </w:rPr>
                    <w:t>）表</w:t>
                  </w:r>
                  <w:r>
                    <w:rPr>
                      <w:sz w:val="21"/>
                      <w:szCs w:val="21"/>
                      <w:u w:val="single"/>
                    </w:rPr>
                    <w:t>2</w:t>
                  </w:r>
                  <w:r>
                    <w:rPr>
                      <w:rFonts w:hint="eastAsia"/>
                      <w:sz w:val="21"/>
                      <w:szCs w:val="21"/>
                      <w:u w:val="single"/>
                    </w:rPr>
                    <w:t>挥发性有机物无组织排放限值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喷烤漆废气+调漆间废气</w:t>
                  </w:r>
                </w:p>
              </w:tc>
              <w:tc>
                <w:tcPr>
                  <w:tcW w:w="2482" w:type="dxa"/>
                  <w:vAlign w:val="center"/>
                </w:tcPr>
                <w:p>
                  <w:pPr>
                    <w:jc w:val="center"/>
                    <w:rPr>
                      <w:szCs w:val="21"/>
                      <w:u w:val="single"/>
                    </w:rPr>
                  </w:pPr>
                  <w:r>
                    <w:rPr>
                      <w:szCs w:val="21"/>
                      <w:u w:val="single"/>
                    </w:rPr>
                    <w:t>喷漆房/调漆间密闭结构+集中收集废气+过滤棉+UV光氧催化+活性炭吸附处理装置处理后引至一根15m高排气筒</w:t>
                  </w:r>
                </w:p>
              </w:tc>
              <w:tc>
                <w:tcPr>
                  <w:tcW w:w="1071" w:type="dxa"/>
                  <w:vAlign w:val="center"/>
                </w:tcPr>
                <w:p>
                  <w:pPr>
                    <w:jc w:val="center"/>
                    <w:rPr>
                      <w:sz w:val="21"/>
                      <w:szCs w:val="21"/>
                      <w:u w:val="single"/>
                    </w:rPr>
                  </w:pPr>
                  <w:r>
                    <w:rPr>
                      <w:sz w:val="21"/>
                      <w:szCs w:val="21"/>
                      <w:u w:val="single"/>
                    </w:rPr>
                    <w:t>20</w:t>
                  </w:r>
                </w:p>
              </w:tc>
              <w:tc>
                <w:tcPr>
                  <w:tcW w:w="2928" w:type="dxa"/>
                  <w:vMerge w:val="continue"/>
                  <w:vAlign w:val="center"/>
                </w:tcPr>
                <w:p>
                  <w:pPr>
                    <w:jc w:val="center"/>
                    <w:rPr>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食堂油烟</w:t>
                  </w:r>
                </w:p>
              </w:tc>
              <w:tc>
                <w:tcPr>
                  <w:tcW w:w="2482" w:type="dxa"/>
                  <w:vAlign w:val="center"/>
                </w:tcPr>
                <w:p>
                  <w:pPr>
                    <w:jc w:val="center"/>
                    <w:rPr>
                      <w:szCs w:val="21"/>
                      <w:u w:val="single"/>
                    </w:rPr>
                  </w:pPr>
                  <w:r>
                    <w:rPr>
                      <w:szCs w:val="21"/>
                      <w:u w:val="single"/>
                    </w:rPr>
                    <w:t>油烟净化设施和专用排气筒</w:t>
                  </w:r>
                </w:p>
              </w:tc>
              <w:tc>
                <w:tcPr>
                  <w:tcW w:w="1071" w:type="dxa"/>
                  <w:vAlign w:val="center"/>
                </w:tcPr>
                <w:p>
                  <w:pPr>
                    <w:jc w:val="center"/>
                    <w:rPr>
                      <w:sz w:val="21"/>
                      <w:szCs w:val="21"/>
                      <w:u w:val="single"/>
                    </w:rPr>
                  </w:pPr>
                  <w:r>
                    <w:rPr>
                      <w:sz w:val="21"/>
                      <w:szCs w:val="21"/>
                      <w:u w:val="single"/>
                    </w:rPr>
                    <w:t>2</w:t>
                  </w:r>
                </w:p>
              </w:tc>
              <w:tc>
                <w:tcPr>
                  <w:tcW w:w="2928" w:type="dxa"/>
                  <w:vAlign w:val="center"/>
                </w:tcPr>
                <w:p>
                  <w:pPr>
                    <w:jc w:val="center"/>
                    <w:rPr>
                      <w:sz w:val="21"/>
                      <w:szCs w:val="21"/>
                      <w:u w:val="single"/>
                    </w:rPr>
                  </w:pPr>
                  <w:r>
                    <w:rPr>
                      <w:sz w:val="21"/>
                      <w:szCs w:val="21"/>
                      <w:u w:val="single"/>
                    </w:rPr>
                    <w:t>《饮食业油烟排放标准》（GB18483-2001）标准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restart"/>
                  <w:vAlign w:val="center"/>
                </w:tcPr>
                <w:p>
                  <w:pPr>
                    <w:jc w:val="center"/>
                    <w:rPr>
                      <w:szCs w:val="21"/>
                      <w:u w:val="single"/>
                    </w:rPr>
                  </w:pPr>
                  <w:r>
                    <w:rPr>
                      <w:szCs w:val="21"/>
                      <w:u w:val="single"/>
                    </w:rPr>
                    <w:t>废水</w:t>
                  </w:r>
                </w:p>
              </w:tc>
              <w:tc>
                <w:tcPr>
                  <w:tcW w:w="1130" w:type="dxa"/>
                  <w:vAlign w:val="center"/>
                </w:tcPr>
                <w:p>
                  <w:pPr>
                    <w:jc w:val="center"/>
                    <w:rPr>
                      <w:szCs w:val="21"/>
                      <w:u w:val="single"/>
                    </w:rPr>
                  </w:pPr>
                  <w:r>
                    <w:rPr>
                      <w:szCs w:val="21"/>
                      <w:u w:val="single"/>
                    </w:rPr>
                    <w:t>雨污分流</w:t>
                  </w:r>
                </w:p>
              </w:tc>
              <w:tc>
                <w:tcPr>
                  <w:tcW w:w="2482" w:type="dxa"/>
                  <w:vAlign w:val="center"/>
                </w:tcPr>
                <w:p>
                  <w:pPr>
                    <w:jc w:val="center"/>
                    <w:rPr>
                      <w:szCs w:val="21"/>
                      <w:u w:val="single"/>
                    </w:rPr>
                  </w:pPr>
                  <w:r>
                    <w:rPr>
                      <w:szCs w:val="21"/>
                      <w:u w:val="single"/>
                    </w:rPr>
                    <w:t>雨污分流措施</w:t>
                  </w:r>
                </w:p>
              </w:tc>
              <w:tc>
                <w:tcPr>
                  <w:tcW w:w="1071" w:type="dxa"/>
                  <w:vAlign w:val="center"/>
                </w:tcPr>
                <w:p>
                  <w:pPr>
                    <w:jc w:val="center"/>
                    <w:rPr>
                      <w:sz w:val="21"/>
                      <w:szCs w:val="21"/>
                      <w:u w:val="single"/>
                    </w:rPr>
                  </w:pPr>
                  <w:r>
                    <w:rPr>
                      <w:sz w:val="21"/>
                      <w:szCs w:val="21"/>
                      <w:u w:val="single"/>
                    </w:rPr>
                    <w:t>6</w:t>
                  </w:r>
                </w:p>
              </w:tc>
              <w:tc>
                <w:tcPr>
                  <w:tcW w:w="2928" w:type="dxa"/>
                  <w:vAlign w:val="center"/>
                </w:tcPr>
                <w:p>
                  <w:pPr>
                    <w:jc w:val="center"/>
                    <w:rPr>
                      <w:sz w:val="21"/>
                      <w:szCs w:val="21"/>
                      <w:u w:val="single"/>
                    </w:rPr>
                  </w:pPr>
                  <w:r>
                    <w:rPr>
                      <w:sz w:val="21"/>
                      <w:szCs w:val="21"/>
                      <w:u w:val="single"/>
                    </w:rPr>
                    <w:t>满足雨污分流要求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生活污水</w:t>
                  </w:r>
                </w:p>
              </w:tc>
              <w:tc>
                <w:tcPr>
                  <w:tcW w:w="2482" w:type="dxa"/>
                  <w:vAlign w:val="center"/>
                </w:tcPr>
                <w:p>
                  <w:pPr>
                    <w:jc w:val="center"/>
                    <w:rPr>
                      <w:szCs w:val="21"/>
                      <w:u w:val="single"/>
                    </w:rPr>
                  </w:pPr>
                  <w:r>
                    <w:rPr>
                      <w:szCs w:val="21"/>
                      <w:u w:val="single"/>
                    </w:rPr>
                    <w:t>化粪池</w:t>
                  </w:r>
                </w:p>
              </w:tc>
              <w:tc>
                <w:tcPr>
                  <w:tcW w:w="1071" w:type="dxa"/>
                  <w:vAlign w:val="center"/>
                </w:tcPr>
                <w:p>
                  <w:pPr>
                    <w:jc w:val="center"/>
                    <w:rPr>
                      <w:sz w:val="21"/>
                      <w:szCs w:val="21"/>
                      <w:u w:val="single"/>
                    </w:rPr>
                  </w:pPr>
                  <w:r>
                    <w:rPr>
                      <w:sz w:val="21"/>
                      <w:szCs w:val="21"/>
                      <w:u w:val="single"/>
                    </w:rPr>
                    <w:t>5</w:t>
                  </w:r>
                </w:p>
              </w:tc>
              <w:tc>
                <w:tcPr>
                  <w:tcW w:w="2928" w:type="dxa"/>
                  <w:vAlign w:val="center"/>
                </w:tcPr>
                <w:p>
                  <w:pPr>
                    <w:jc w:val="center"/>
                    <w:rPr>
                      <w:sz w:val="21"/>
                      <w:szCs w:val="21"/>
                      <w:u w:val="single"/>
                    </w:rPr>
                  </w:pPr>
                  <w:r>
                    <w:rPr>
                      <w:sz w:val="21"/>
                      <w:szCs w:val="21"/>
                      <w:u w:val="single"/>
                    </w:rPr>
                    <w:t>从严执行《污水综合排放标准》（GB8978-1996）中三级标准、城陵矶新港区污水处理厂进水水质要求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地面清洗废水和汽车清洗废水</w:t>
                  </w:r>
                </w:p>
              </w:tc>
              <w:tc>
                <w:tcPr>
                  <w:tcW w:w="2482" w:type="dxa"/>
                  <w:vAlign w:val="center"/>
                </w:tcPr>
                <w:p>
                  <w:pPr>
                    <w:jc w:val="center"/>
                    <w:rPr>
                      <w:szCs w:val="21"/>
                      <w:u w:val="single"/>
                    </w:rPr>
                  </w:pPr>
                  <w:r>
                    <w:rPr>
                      <w:szCs w:val="21"/>
                      <w:u w:val="single"/>
                    </w:rPr>
                    <w:t>隔油沉淀池</w:t>
                  </w:r>
                </w:p>
              </w:tc>
              <w:tc>
                <w:tcPr>
                  <w:tcW w:w="1071" w:type="dxa"/>
                  <w:vAlign w:val="center"/>
                </w:tcPr>
                <w:p>
                  <w:pPr>
                    <w:jc w:val="center"/>
                    <w:rPr>
                      <w:sz w:val="21"/>
                      <w:szCs w:val="21"/>
                      <w:u w:val="single"/>
                    </w:rPr>
                  </w:pPr>
                  <w:r>
                    <w:rPr>
                      <w:sz w:val="21"/>
                      <w:szCs w:val="21"/>
                      <w:u w:val="single"/>
                    </w:rPr>
                    <w:t>4</w:t>
                  </w:r>
                </w:p>
              </w:tc>
              <w:tc>
                <w:tcPr>
                  <w:tcW w:w="2928" w:type="dxa"/>
                  <w:vAlign w:val="center"/>
                </w:tcPr>
                <w:p>
                  <w:pPr>
                    <w:jc w:val="center"/>
                    <w:rPr>
                      <w:sz w:val="21"/>
                      <w:szCs w:val="21"/>
                      <w:u w:val="single"/>
                    </w:rPr>
                  </w:pPr>
                  <w:r>
                    <w:rPr>
                      <w:sz w:val="21"/>
                      <w:szCs w:val="21"/>
                      <w:u w:val="single"/>
                    </w:rPr>
                    <w:t>从严执行城陵矶新港区污水处理厂进水水质要求、《汽车维修业水污染物排放标准》（GB26877-2011）中表2的间接排放标准限值要求，《污水综合排放标准》（GB8978-1996）表1第一类污染物最高允许排放浓度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Align w:val="center"/>
                </w:tcPr>
                <w:p>
                  <w:pPr>
                    <w:jc w:val="center"/>
                    <w:rPr>
                      <w:szCs w:val="21"/>
                      <w:u w:val="single"/>
                    </w:rPr>
                  </w:pPr>
                  <w:r>
                    <w:rPr>
                      <w:szCs w:val="21"/>
                      <w:u w:val="single"/>
                    </w:rPr>
                    <w:t>噪声</w:t>
                  </w:r>
                </w:p>
              </w:tc>
              <w:tc>
                <w:tcPr>
                  <w:tcW w:w="1130" w:type="dxa"/>
                  <w:vAlign w:val="center"/>
                </w:tcPr>
                <w:p>
                  <w:pPr>
                    <w:jc w:val="center"/>
                    <w:rPr>
                      <w:szCs w:val="21"/>
                      <w:u w:val="single"/>
                    </w:rPr>
                  </w:pPr>
                  <w:r>
                    <w:rPr>
                      <w:szCs w:val="21"/>
                      <w:u w:val="single"/>
                    </w:rPr>
                    <w:t>噪声</w:t>
                  </w:r>
                </w:p>
              </w:tc>
              <w:tc>
                <w:tcPr>
                  <w:tcW w:w="2482" w:type="dxa"/>
                  <w:vAlign w:val="center"/>
                </w:tcPr>
                <w:p>
                  <w:pPr>
                    <w:jc w:val="center"/>
                    <w:rPr>
                      <w:szCs w:val="21"/>
                      <w:u w:val="single"/>
                    </w:rPr>
                  </w:pPr>
                  <w:r>
                    <w:rPr>
                      <w:szCs w:val="21"/>
                      <w:u w:val="single"/>
                    </w:rPr>
                    <w:t>选用低噪设备、消声器、减振垫</w:t>
                  </w:r>
                </w:p>
              </w:tc>
              <w:tc>
                <w:tcPr>
                  <w:tcW w:w="1071" w:type="dxa"/>
                  <w:vAlign w:val="center"/>
                </w:tcPr>
                <w:p>
                  <w:pPr>
                    <w:jc w:val="center"/>
                    <w:rPr>
                      <w:sz w:val="21"/>
                      <w:szCs w:val="21"/>
                      <w:u w:val="single"/>
                    </w:rPr>
                  </w:pPr>
                  <w:r>
                    <w:rPr>
                      <w:sz w:val="21"/>
                      <w:szCs w:val="21"/>
                      <w:u w:val="single"/>
                    </w:rPr>
                    <w:t>4</w:t>
                  </w:r>
                </w:p>
              </w:tc>
              <w:tc>
                <w:tcPr>
                  <w:tcW w:w="2928" w:type="dxa"/>
                  <w:vAlign w:val="center"/>
                </w:tcPr>
                <w:p>
                  <w:pPr>
                    <w:jc w:val="center"/>
                    <w:rPr>
                      <w:sz w:val="21"/>
                      <w:szCs w:val="21"/>
                      <w:u w:val="single"/>
                    </w:rPr>
                  </w:pPr>
                  <w:r>
                    <w:rPr>
                      <w:sz w:val="21"/>
                      <w:szCs w:val="21"/>
                      <w:u w:val="single"/>
                    </w:rPr>
                    <w:t>厂界达《工业企业厂界环境噪声排放标准》（GB12348-2008）中2类标准（临道路一侧执行4类）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restart"/>
                  <w:vAlign w:val="center"/>
                </w:tcPr>
                <w:p>
                  <w:pPr>
                    <w:jc w:val="center"/>
                    <w:rPr>
                      <w:szCs w:val="21"/>
                      <w:u w:val="single"/>
                    </w:rPr>
                  </w:pPr>
                  <w:r>
                    <w:rPr>
                      <w:szCs w:val="21"/>
                      <w:u w:val="single"/>
                    </w:rPr>
                    <w:t>固废</w:t>
                  </w:r>
                </w:p>
              </w:tc>
              <w:tc>
                <w:tcPr>
                  <w:tcW w:w="1130" w:type="dxa"/>
                  <w:vAlign w:val="center"/>
                </w:tcPr>
                <w:p>
                  <w:pPr>
                    <w:jc w:val="center"/>
                    <w:rPr>
                      <w:szCs w:val="21"/>
                      <w:u w:val="single"/>
                    </w:rPr>
                  </w:pPr>
                  <w:r>
                    <w:rPr>
                      <w:szCs w:val="21"/>
                      <w:u w:val="single"/>
                    </w:rPr>
                    <w:t>废轮胎、废包装材料等一般固废</w:t>
                  </w:r>
                </w:p>
              </w:tc>
              <w:tc>
                <w:tcPr>
                  <w:tcW w:w="2482" w:type="dxa"/>
                  <w:vAlign w:val="center"/>
                </w:tcPr>
                <w:p>
                  <w:pPr>
                    <w:jc w:val="center"/>
                    <w:rPr>
                      <w:szCs w:val="21"/>
                      <w:u w:val="single"/>
                    </w:rPr>
                  </w:pPr>
                  <w:r>
                    <w:rPr>
                      <w:szCs w:val="21"/>
                      <w:u w:val="single"/>
                    </w:rPr>
                    <w:t>按照《一般工业固体废物贮存、处置场污染控制标准》（GB18599-2001）及2013年修改中的固体废物控制要求新建一般固废暂存间，分类收集暂存</w:t>
                  </w:r>
                </w:p>
              </w:tc>
              <w:tc>
                <w:tcPr>
                  <w:tcW w:w="1071" w:type="dxa"/>
                  <w:vAlign w:val="center"/>
                </w:tcPr>
                <w:p>
                  <w:pPr>
                    <w:jc w:val="center"/>
                    <w:rPr>
                      <w:sz w:val="21"/>
                      <w:szCs w:val="21"/>
                      <w:u w:val="single"/>
                    </w:rPr>
                  </w:pPr>
                  <w:r>
                    <w:rPr>
                      <w:sz w:val="21"/>
                      <w:szCs w:val="21"/>
                      <w:u w:val="single"/>
                    </w:rPr>
                    <w:t>3</w:t>
                  </w:r>
                </w:p>
              </w:tc>
              <w:tc>
                <w:tcPr>
                  <w:tcW w:w="2928" w:type="dxa"/>
                  <w:vMerge w:val="restart"/>
                  <w:vAlign w:val="center"/>
                </w:tcPr>
                <w:p>
                  <w:pPr>
                    <w:jc w:val="center"/>
                    <w:rPr>
                      <w:sz w:val="21"/>
                      <w:szCs w:val="21"/>
                      <w:u w:val="single"/>
                    </w:rPr>
                  </w:pPr>
                  <w:r>
                    <w:rPr>
                      <w:sz w:val="21"/>
                      <w:szCs w:val="21"/>
                      <w:u w:val="single"/>
                    </w:rPr>
                    <w:t>综合利用，合理处置、达到环保要求，不构成二次污染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废机油、废蓄电池等危险废物</w:t>
                  </w:r>
                </w:p>
              </w:tc>
              <w:tc>
                <w:tcPr>
                  <w:tcW w:w="2482" w:type="dxa"/>
                  <w:vAlign w:val="center"/>
                </w:tcPr>
                <w:p>
                  <w:pPr>
                    <w:jc w:val="center"/>
                    <w:rPr>
                      <w:szCs w:val="21"/>
                      <w:u w:val="single"/>
                    </w:rPr>
                  </w:pPr>
                  <w:r>
                    <w:rPr>
                      <w:szCs w:val="21"/>
                      <w:u w:val="single"/>
                    </w:rPr>
                    <w:t>按照《危险废物贮存污染控制标准》（GB18597-2001）及2013年修改中的固体废物控制要求新建危废暂存间，各类危废分类收集暂存，并定期交有资质的单位处理</w:t>
                  </w:r>
                </w:p>
              </w:tc>
              <w:tc>
                <w:tcPr>
                  <w:tcW w:w="1071" w:type="dxa"/>
                  <w:vAlign w:val="center"/>
                </w:tcPr>
                <w:p>
                  <w:pPr>
                    <w:jc w:val="center"/>
                    <w:rPr>
                      <w:sz w:val="21"/>
                      <w:szCs w:val="21"/>
                      <w:u w:val="single"/>
                    </w:rPr>
                  </w:pPr>
                  <w:r>
                    <w:rPr>
                      <w:sz w:val="21"/>
                      <w:szCs w:val="21"/>
                      <w:u w:val="single"/>
                    </w:rPr>
                    <w:t>6</w:t>
                  </w:r>
                </w:p>
              </w:tc>
              <w:tc>
                <w:tcPr>
                  <w:tcW w:w="2928" w:type="dxa"/>
                  <w:vMerge w:val="continue"/>
                  <w:vAlign w:val="center"/>
                </w:tcPr>
                <w:p>
                  <w:pPr>
                    <w:jc w:val="center"/>
                    <w:rPr>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71" w:type="dxa"/>
                  <w:vMerge w:val="continue"/>
                  <w:vAlign w:val="center"/>
                </w:tcPr>
                <w:p>
                  <w:pPr>
                    <w:jc w:val="center"/>
                    <w:rPr>
                      <w:szCs w:val="21"/>
                      <w:u w:val="single"/>
                    </w:rPr>
                  </w:pPr>
                </w:p>
              </w:tc>
              <w:tc>
                <w:tcPr>
                  <w:tcW w:w="1130" w:type="dxa"/>
                  <w:vAlign w:val="center"/>
                </w:tcPr>
                <w:p>
                  <w:pPr>
                    <w:jc w:val="center"/>
                    <w:rPr>
                      <w:szCs w:val="21"/>
                      <w:u w:val="single"/>
                    </w:rPr>
                  </w:pPr>
                  <w:r>
                    <w:rPr>
                      <w:szCs w:val="21"/>
                      <w:u w:val="single"/>
                    </w:rPr>
                    <w:t>生活垃圾</w:t>
                  </w:r>
                </w:p>
              </w:tc>
              <w:tc>
                <w:tcPr>
                  <w:tcW w:w="2482" w:type="dxa"/>
                  <w:vAlign w:val="center"/>
                </w:tcPr>
                <w:p>
                  <w:pPr>
                    <w:jc w:val="center"/>
                    <w:rPr>
                      <w:szCs w:val="21"/>
                      <w:u w:val="single"/>
                    </w:rPr>
                  </w:pPr>
                  <w:r>
                    <w:rPr>
                      <w:szCs w:val="21"/>
                      <w:u w:val="single"/>
                    </w:rPr>
                    <w:t>垃圾桶，环卫部门收集处置</w:t>
                  </w:r>
                </w:p>
              </w:tc>
              <w:tc>
                <w:tcPr>
                  <w:tcW w:w="1071" w:type="dxa"/>
                  <w:vAlign w:val="center"/>
                </w:tcPr>
                <w:p>
                  <w:pPr>
                    <w:jc w:val="center"/>
                    <w:rPr>
                      <w:sz w:val="21"/>
                      <w:szCs w:val="21"/>
                      <w:u w:val="single"/>
                    </w:rPr>
                  </w:pPr>
                  <w:r>
                    <w:rPr>
                      <w:sz w:val="21"/>
                      <w:szCs w:val="21"/>
                      <w:u w:val="single"/>
                    </w:rPr>
                    <w:t>0.2</w:t>
                  </w:r>
                </w:p>
              </w:tc>
              <w:tc>
                <w:tcPr>
                  <w:tcW w:w="2928" w:type="dxa"/>
                  <w:vMerge w:val="continue"/>
                  <w:vAlign w:val="center"/>
                </w:tcPr>
                <w:p>
                  <w:pPr>
                    <w:jc w:val="center"/>
                    <w:rPr>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283" w:type="dxa"/>
                  <w:gridSpan w:val="3"/>
                  <w:vAlign w:val="center"/>
                </w:tcPr>
                <w:p>
                  <w:pPr>
                    <w:jc w:val="center"/>
                    <w:rPr>
                      <w:szCs w:val="21"/>
                      <w:u w:val="single"/>
                    </w:rPr>
                  </w:pPr>
                  <w:r>
                    <w:rPr>
                      <w:szCs w:val="21"/>
                      <w:u w:val="single"/>
                    </w:rPr>
                    <w:t>合计</w:t>
                  </w:r>
                </w:p>
              </w:tc>
              <w:tc>
                <w:tcPr>
                  <w:tcW w:w="1071" w:type="dxa"/>
                  <w:vAlign w:val="center"/>
                </w:tcPr>
                <w:p>
                  <w:pPr>
                    <w:jc w:val="center"/>
                    <w:rPr>
                      <w:sz w:val="21"/>
                      <w:szCs w:val="21"/>
                      <w:u w:val="single"/>
                    </w:rPr>
                  </w:pPr>
                  <w:r>
                    <w:rPr>
                      <w:sz w:val="21"/>
                      <w:szCs w:val="21"/>
                      <w:u w:val="single"/>
                    </w:rPr>
                    <w:t>50.7</w:t>
                  </w:r>
                </w:p>
              </w:tc>
              <w:tc>
                <w:tcPr>
                  <w:tcW w:w="2928" w:type="dxa"/>
                  <w:vAlign w:val="center"/>
                </w:tcPr>
                <w:p>
                  <w:pPr>
                    <w:jc w:val="center"/>
                    <w:rPr>
                      <w:sz w:val="21"/>
                      <w:szCs w:val="21"/>
                      <w:u w:val="single"/>
                    </w:rPr>
                  </w:pPr>
                </w:p>
              </w:tc>
            </w:tr>
          </w:tbl>
          <w:p>
            <w:pPr>
              <w:rPr>
                <w:sz w:val="24"/>
              </w:rPr>
            </w:pPr>
          </w:p>
        </w:tc>
      </w:tr>
    </w:tbl>
    <w:p>
      <w:r>
        <w:br w:type="page"/>
      </w:r>
    </w:p>
    <w:p>
      <w:pPr>
        <w:adjustRightInd w:val="0"/>
        <w:snapToGrid w:val="0"/>
        <w:outlineLvl w:val="0"/>
        <w:rPr>
          <w:b/>
          <w:sz w:val="32"/>
          <w:szCs w:val="32"/>
        </w:rPr>
      </w:pPr>
      <w:bookmarkStart w:id="86" w:name="_Toc28443"/>
      <w:r>
        <w:rPr>
          <w:b/>
          <w:sz w:val="32"/>
          <w:szCs w:val="32"/>
        </w:rPr>
        <w:t>八、建设项目采取的防治措施及预期治理效果</w:t>
      </w:r>
      <w:bookmarkEnd w:id="86"/>
    </w:p>
    <w:tbl>
      <w:tblPr>
        <w:tblStyle w:val="20"/>
        <w:tblW w:w="85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306"/>
        <w:gridCol w:w="2263"/>
        <w:gridCol w:w="1966"/>
        <w:gridCol w:w="2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06" w:type="dxa"/>
            <w:vAlign w:val="center"/>
          </w:tcPr>
          <w:p>
            <w:pPr>
              <w:jc w:val="center"/>
              <w:rPr>
                <w:szCs w:val="21"/>
              </w:rPr>
            </w:pPr>
            <w:r>
              <w:rPr>
                <w:szCs w:val="21"/>
              </w:rPr>
              <mc:AlternateContent>
                <mc:Choice Requires="wpg">
                  <w:drawing>
                    <wp:anchor distT="0" distB="0" distL="114300" distR="114300" simplePos="0" relativeHeight="251658240" behindDoc="0" locked="0" layoutInCell="1" allowOverlap="1">
                      <wp:simplePos x="0" y="0"/>
                      <wp:positionH relativeFrom="column">
                        <wp:posOffset>-83820</wp:posOffset>
                      </wp:positionH>
                      <wp:positionV relativeFrom="paragraph">
                        <wp:posOffset>-3175</wp:posOffset>
                      </wp:positionV>
                      <wp:extent cx="393065" cy="414020"/>
                      <wp:effectExtent l="3175" t="3175" r="3810" b="20955"/>
                      <wp:wrapNone/>
                      <wp:docPr id="5" name="组合 3"/>
                      <wp:cNvGraphicFramePr/>
                      <a:graphic xmlns:a="http://schemas.openxmlformats.org/drawingml/2006/main">
                        <a:graphicData uri="http://schemas.microsoft.com/office/word/2010/wordprocessingGroup">
                          <wpg:wgp>
                            <wpg:cNvGrpSpPr/>
                            <wpg:grpSpPr>
                              <a:xfrm>
                                <a:off x="0" y="0"/>
                                <a:ext cx="393065" cy="414020"/>
                                <a:chOff x="1472" y="2074"/>
                                <a:chExt cx="938" cy="920"/>
                              </a:xfrm>
                              <a:effectLst/>
                            </wpg:grpSpPr>
                            <wps:wsp>
                              <wps:cNvPr id="6" name="__TH_L7"/>
                              <wps:cNvCnPr>
                                <a:cxnSpLocks noChangeShapeType="1"/>
                              </wps:cNvCnPr>
                              <wps:spPr bwMode="auto">
                                <a:xfrm>
                                  <a:off x="1472" y="2074"/>
                                  <a:ext cx="938" cy="920"/>
                                </a:xfrm>
                                <a:prstGeom prst="line">
                                  <a:avLst/>
                                </a:prstGeom>
                                <a:noFill/>
                                <a:ln w="6350">
                                  <a:solidFill>
                                    <a:srgbClr val="000000"/>
                                  </a:solidFill>
                                  <a:round/>
                                </a:ln>
                                <a:effectLst/>
                              </wps:spPr>
                              <wps:bodyPr/>
                            </wps:wsp>
                            <wps:wsp>
                              <wps:cNvPr id="8" name="__TH_B118"/>
                              <wps:cNvSpPr txBox="1">
                                <a:spLocks noChangeArrowheads="1"/>
                              </wps:cNvSpPr>
                              <wps:spPr bwMode="auto">
                                <a:xfrm>
                                  <a:off x="1895" y="2146"/>
                                  <a:ext cx="225" cy="225"/>
                                </a:xfrm>
                                <a:prstGeom prst="rect">
                                  <a:avLst/>
                                </a:prstGeom>
                                <a:noFill/>
                                <a:ln>
                                  <a:noFill/>
                                </a:ln>
                                <a:effectLst/>
                              </wps:spPr>
                              <wps:txbx>
                                <w:txbxContent>
                                  <w:p>
                                    <w:pPr>
                                      <w:snapToGrid w:val="0"/>
                                      <w:rPr>
                                        <w:b/>
                                        <w:sz w:val="18"/>
                                      </w:rPr>
                                    </w:pPr>
                                    <w:r>
                                      <w:rPr>
                                        <w:rFonts w:hint="eastAsia"/>
                                        <w:b/>
                                        <w:sz w:val="18"/>
                                      </w:rPr>
                                      <w:t>内</w:t>
                                    </w:r>
                                  </w:p>
                                </w:txbxContent>
                              </wps:txbx>
                              <wps:bodyPr rot="0" vert="horz" wrap="square" lIns="0" tIns="0" rIns="0" bIns="0" anchor="t" anchorCtr="0" upright="1">
                                <a:noAutofit/>
                              </wps:bodyPr>
                            </wps:wsp>
                            <wps:wsp>
                              <wps:cNvPr id="1" name="__TH_B129"/>
                              <wps:cNvSpPr txBox="1">
                                <a:spLocks noChangeArrowheads="1"/>
                              </wps:cNvSpPr>
                              <wps:spPr bwMode="auto">
                                <a:xfrm>
                                  <a:off x="2088" y="2336"/>
                                  <a:ext cx="225" cy="225"/>
                                </a:xfrm>
                                <a:prstGeom prst="rect">
                                  <a:avLst/>
                                </a:prstGeom>
                                <a:noFill/>
                                <a:ln>
                                  <a:noFill/>
                                </a:ln>
                                <a:effectLst/>
                              </wps:spPr>
                              <wps:txbx>
                                <w:txbxContent>
                                  <w:p>
                                    <w:pPr>
                                      <w:snapToGrid w:val="0"/>
                                      <w:rPr>
                                        <w:b/>
                                        <w:sz w:val="18"/>
                                      </w:rPr>
                                    </w:pPr>
                                    <w:r>
                                      <w:rPr>
                                        <w:rFonts w:hint="eastAsia"/>
                                        <w:b/>
                                        <w:sz w:val="18"/>
                                      </w:rPr>
                                      <w:t>容</w:t>
                                    </w:r>
                                  </w:p>
                                </w:txbxContent>
                              </wps:txbx>
                              <wps:bodyPr rot="0" vert="horz" wrap="square" lIns="0" tIns="0" rIns="0" bIns="0" anchor="t" anchorCtr="0" upright="1">
                                <a:noAutofit/>
                              </wps:bodyPr>
                            </wps:wsp>
                            <wps:wsp>
                              <wps:cNvPr id="10" name="__TH_B2110"/>
                              <wps:cNvSpPr txBox="1">
                                <a:spLocks noChangeArrowheads="1"/>
                              </wps:cNvSpPr>
                              <wps:spPr bwMode="auto">
                                <a:xfrm>
                                  <a:off x="1579" y="2475"/>
                                  <a:ext cx="225" cy="225"/>
                                </a:xfrm>
                                <a:prstGeom prst="rect">
                                  <a:avLst/>
                                </a:prstGeom>
                                <a:noFill/>
                                <a:ln>
                                  <a:noFill/>
                                </a:ln>
                                <a:effectLst/>
                              </wps:spPr>
                              <wps:txbx>
                                <w:txbxContent>
                                  <w:p>
                                    <w:pPr>
                                      <w:snapToGrid w:val="0"/>
                                      <w:rPr>
                                        <w:b/>
                                        <w:sz w:val="18"/>
                                      </w:rPr>
                                    </w:pPr>
                                    <w:r>
                                      <w:rPr>
                                        <w:rFonts w:hint="eastAsia"/>
                                        <w:b/>
                                        <w:sz w:val="18"/>
                                      </w:rPr>
                                      <w:t>类</w:t>
                                    </w:r>
                                  </w:p>
                                </w:txbxContent>
                              </wps:txbx>
                              <wps:bodyPr rot="0" vert="horz" wrap="square" lIns="0" tIns="0" rIns="0" bIns="0" anchor="t" anchorCtr="0" upright="1">
                                <a:noAutofit/>
                              </wps:bodyPr>
                            </wps:wsp>
                            <wps:wsp>
                              <wps:cNvPr id="12" name="__TH_B2211"/>
                              <wps:cNvSpPr txBox="1">
                                <a:spLocks noChangeArrowheads="1"/>
                              </wps:cNvSpPr>
                              <wps:spPr bwMode="auto">
                                <a:xfrm>
                                  <a:off x="1794" y="2686"/>
                                  <a:ext cx="225" cy="225"/>
                                </a:xfrm>
                                <a:prstGeom prst="rect">
                                  <a:avLst/>
                                </a:prstGeom>
                                <a:noFill/>
                                <a:ln>
                                  <a:noFill/>
                                </a:ln>
                                <a:effectLst/>
                              </wps:spPr>
                              <wps:txbx>
                                <w:txbxContent>
                                  <w:p>
                                    <w:pPr>
                                      <w:snapToGrid w:val="0"/>
                                      <w:rPr>
                                        <w:b/>
                                        <w:sz w:val="18"/>
                                      </w:rPr>
                                    </w:pPr>
                                    <w:r>
                                      <w:rPr>
                                        <w:rFonts w:hint="eastAsia"/>
                                        <w:b/>
                                        <w:sz w:val="18"/>
                                      </w:rPr>
                                      <w:t>型</w:t>
                                    </w:r>
                                  </w:p>
                                </w:txbxContent>
                              </wps:txbx>
                              <wps:bodyPr rot="0" vert="horz" wrap="square" lIns="0" tIns="0" rIns="0" bIns="0" anchor="t" anchorCtr="0" upright="1">
                                <a:noAutofit/>
                              </wps:bodyPr>
                            </wps:wsp>
                          </wpg:wgp>
                        </a:graphicData>
                      </a:graphic>
                    </wp:anchor>
                  </w:drawing>
                </mc:Choice>
                <mc:Fallback>
                  <w:pict>
                    <v:group id="组合 3" o:spid="_x0000_s1026" o:spt="203" style="position:absolute;left:0pt;margin-left:-6.6pt;margin-top:-0.25pt;height:32.6pt;width:30.95pt;z-index:251658240;mso-width-relative:page;mso-height-relative:page;" coordorigin="1472,2074" coordsize="938,920" o:gfxdata="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BJpzKHXAAAABwEAAA8AAAAAAAAAAQAgAAAAIgAAAGRycy9kb3ducmV2LnhtbFBLAQIUABQA&#10;AAAIAIdO4kCwacn7RwMAALkNAAAOAAAAAAAAAAEAIAAAACYBAABkcnMvZTJvRG9jLnhtbFBLBQYA&#10;AAAABgAGAFkBAADfBgAAAAA=&#10;">
                      <o:lock v:ext="edit" aspectratio="f"/>
                      <v:line id="__TH_L7" o:spid="_x0000_s1026" o:spt="20" style="position:absolute;left:1472;top:2074;height:920;width:938;"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 o:spid="_x0000_s1026" o:spt="202" type="#_x0000_t202" style="position:absolute;left:1895;top:2146;height:225;width:22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b/>
                                  <w:sz w:val="18"/>
                                </w:rPr>
                              </w:pPr>
                              <w:r>
                                <w:rPr>
                                  <w:rFonts w:hint="eastAsia"/>
                                  <w:b/>
                                  <w:sz w:val="18"/>
                                </w:rPr>
                                <w:t>内</w:t>
                              </w:r>
                            </w:p>
                          </w:txbxContent>
                        </v:textbox>
                      </v:shape>
                      <v:shape id="__TH_B129" o:spid="_x0000_s1026" o:spt="202" type="#_x0000_t202" style="position:absolute;left:2088;top:2336;height:225;width:225;"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b/>
                                  <w:sz w:val="18"/>
                                </w:rPr>
                              </w:pPr>
                              <w:r>
                                <w:rPr>
                                  <w:rFonts w:hint="eastAsia"/>
                                  <w:b/>
                                  <w:sz w:val="18"/>
                                </w:rPr>
                                <w:t>容</w:t>
                              </w:r>
                            </w:p>
                          </w:txbxContent>
                        </v:textbox>
                      </v:shape>
                      <v:shape id="__TH_B2110" o:spid="_x0000_s1026" o:spt="202" type="#_x0000_t202" style="position:absolute;left:1579;top:2475;height:225;width:225;"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b/>
                                  <w:sz w:val="18"/>
                                </w:rPr>
                              </w:pPr>
                              <w:r>
                                <w:rPr>
                                  <w:rFonts w:hint="eastAsia"/>
                                  <w:b/>
                                  <w:sz w:val="18"/>
                                </w:rPr>
                                <w:t>类</w:t>
                              </w:r>
                            </w:p>
                          </w:txbxContent>
                        </v:textbox>
                      </v:shape>
                      <v:shape id="__TH_B2211" o:spid="_x0000_s1026" o:spt="202" type="#_x0000_t202" style="position:absolute;left:1794;top:2686;height:225;width:2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b/>
                                  <w:sz w:val="18"/>
                                </w:rPr>
                              </w:pPr>
                              <w:r>
                                <w:rPr>
                                  <w:rFonts w:hint="eastAsia"/>
                                  <w:b/>
                                  <w:sz w:val="18"/>
                                </w:rPr>
                                <w:t>型</w:t>
                              </w:r>
                            </w:p>
                          </w:txbxContent>
                        </v:textbox>
                      </v:shape>
                    </v:group>
                  </w:pict>
                </mc:Fallback>
              </mc:AlternateContent>
            </w:r>
          </w:p>
        </w:tc>
        <w:tc>
          <w:tcPr>
            <w:tcW w:w="1306" w:type="dxa"/>
            <w:vAlign w:val="center"/>
          </w:tcPr>
          <w:p>
            <w:pPr>
              <w:jc w:val="center"/>
              <w:rPr>
                <w:b/>
                <w:szCs w:val="21"/>
              </w:rPr>
            </w:pPr>
            <w:r>
              <w:rPr>
                <w:b/>
                <w:szCs w:val="21"/>
              </w:rPr>
              <w:t>排放源</w:t>
            </w:r>
          </w:p>
          <w:p>
            <w:pPr>
              <w:jc w:val="center"/>
              <w:rPr>
                <w:b/>
                <w:szCs w:val="21"/>
              </w:rPr>
            </w:pPr>
            <w:r>
              <w:rPr>
                <w:b/>
                <w:szCs w:val="21"/>
              </w:rPr>
              <w:t>（编号）</w:t>
            </w:r>
          </w:p>
        </w:tc>
        <w:tc>
          <w:tcPr>
            <w:tcW w:w="2263" w:type="dxa"/>
            <w:vAlign w:val="center"/>
          </w:tcPr>
          <w:p>
            <w:pPr>
              <w:jc w:val="center"/>
              <w:rPr>
                <w:b/>
                <w:szCs w:val="21"/>
              </w:rPr>
            </w:pPr>
            <w:r>
              <w:rPr>
                <w:b/>
                <w:szCs w:val="21"/>
              </w:rPr>
              <w:t>污染物名称</w:t>
            </w:r>
          </w:p>
        </w:tc>
        <w:tc>
          <w:tcPr>
            <w:tcW w:w="1966" w:type="dxa"/>
            <w:vAlign w:val="center"/>
          </w:tcPr>
          <w:p>
            <w:pPr>
              <w:jc w:val="center"/>
              <w:rPr>
                <w:b/>
                <w:szCs w:val="21"/>
              </w:rPr>
            </w:pPr>
            <w:r>
              <w:rPr>
                <w:b/>
                <w:szCs w:val="21"/>
              </w:rPr>
              <w:t>防治措施</w:t>
            </w:r>
          </w:p>
        </w:tc>
        <w:tc>
          <w:tcPr>
            <w:tcW w:w="2443" w:type="dxa"/>
            <w:vAlign w:val="center"/>
          </w:tcPr>
          <w:p>
            <w:pPr>
              <w:jc w:val="center"/>
              <w:rPr>
                <w:b/>
                <w:szCs w:val="21"/>
              </w:rPr>
            </w:pPr>
            <w:r>
              <w:rPr>
                <w:b/>
                <w:szCs w:val="21"/>
              </w:rPr>
              <w:t>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06" w:type="dxa"/>
            <w:vMerge w:val="restart"/>
            <w:vAlign w:val="center"/>
          </w:tcPr>
          <w:p>
            <w:pPr>
              <w:jc w:val="center"/>
              <w:rPr>
                <w:szCs w:val="21"/>
              </w:rPr>
            </w:pPr>
            <w:r>
              <w:rPr>
                <w:szCs w:val="21"/>
              </w:rPr>
              <w:t>大</w:t>
            </w:r>
          </w:p>
          <w:p>
            <w:pPr>
              <w:jc w:val="center"/>
              <w:rPr>
                <w:szCs w:val="21"/>
              </w:rPr>
            </w:pPr>
            <w:r>
              <w:rPr>
                <w:szCs w:val="21"/>
              </w:rPr>
              <w:t>气</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306" w:type="dxa"/>
            <w:vAlign w:val="center"/>
          </w:tcPr>
          <w:p>
            <w:pPr>
              <w:jc w:val="center"/>
              <w:rPr>
                <w:szCs w:val="21"/>
              </w:rPr>
            </w:pPr>
            <w:r>
              <w:rPr>
                <w:szCs w:val="21"/>
              </w:rPr>
              <w:t>烤漆车间+调漆间废气</w:t>
            </w:r>
          </w:p>
        </w:tc>
        <w:tc>
          <w:tcPr>
            <w:tcW w:w="2263" w:type="dxa"/>
            <w:vAlign w:val="center"/>
          </w:tcPr>
          <w:p>
            <w:pPr>
              <w:jc w:val="center"/>
              <w:rPr>
                <w:szCs w:val="21"/>
              </w:rPr>
            </w:pPr>
            <w:r>
              <w:rPr>
                <w:szCs w:val="21"/>
              </w:rPr>
              <w:t>苯系物、VOCs、非甲烷总烃</w:t>
            </w:r>
          </w:p>
        </w:tc>
        <w:tc>
          <w:tcPr>
            <w:tcW w:w="1966" w:type="dxa"/>
            <w:vAlign w:val="center"/>
          </w:tcPr>
          <w:p>
            <w:pPr>
              <w:jc w:val="center"/>
              <w:rPr>
                <w:szCs w:val="21"/>
              </w:rPr>
            </w:pPr>
            <w:r>
              <w:t>喷漆房/调漆间密闭结构+集中收集废气+过滤棉+UV光氧催化+活性炭吸附处理装置处理后引至一根15m高排气筒</w:t>
            </w:r>
          </w:p>
        </w:tc>
        <w:tc>
          <w:tcPr>
            <w:tcW w:w="2443" w:type="dxa"/>
            <w:vAlign w:val="center"/>
          </w:tcPr>
          <w:p>
            <w:pPr>
              <w:jc w:val="both"/>
              <w:rPr>
                <w:rFonts w:hint="eastAsia"/>
                <w:sz w:val="21"/>
                <w:szCs w:val="21"/>
                <w:lang w:eastAsia="zh-CN"/>
              </w:rPr>
            </w:pPr>
            <w:r>
              <w:rPr>
                <w:rFonts w:hint="eastAsia"/>
                <w:sz w:val="21"/>
                <w:szCs w:val="21"/>
                <w:lang w:val="en-US" w:eastAsia="zh-CN"/>
              </w:rPr>
              <w:t>有组织：</w:t>
            </w:r>
            <w:r>
              <w:rPr>
                <w:sz w:val="21"/>
                <w:szCs w:val="21"/>
              </w:rPr>
              <w:t>非甲烷总烃和苯系物执行湖南省地方标准《表面涂装（汽车制造</w:t>
            </w:r>
            <w:r>
              <w:rPr>
                <w:rFonts w:hint="eastAsia"/>
                <w:sz w:val="21"/>
                <w:szCs w:val="21"/>
              </w:rPr>
              <w:t>及维修</w:t>
            </w:r>
            <w:r>
              <w:rPr>
                <w:sz w:val="21"/>
                <w:szCs w:val="21"/>
              </w:rPr>
              <w:t>）挥发性有机物、镍排放标准》（DB43/1356-2017）表1规定的限值</w:t>
            </w:r>
            <w:r>
              <w:rPr>
                <w:rFonts w:hint="eastAsia"/>
                <w:sz w:val="21"/>
                <w:szCs w:val="21"/>
                <w:lang w:eastAsia="zh-CN"/>
              </w:rPr>
              <w:t>，</w:t>
            </w:r>
          </w:p>
          <w:p>
            <w:pPr>
              <w:jc w:val="both"/>
              <w:rPr>
                <w:rFonts w:hint="eastAsia"/>
                <w:sz w:val="21"/>
                <w:szCs w:val="21"/>
              </w:rPr>
            </w:pPr>
            <w:r>
              <w:rPr>
                <w:sz w:val="21"/>
                <w:szCs w:val="21"/>
              </w:rPr>
              <w:t>VOCs参照执行天津市《工业企业挥发性有机物排放控制标准》（DB12/524-20</w:t>
            </w:r>
            <w:r>
              <w:rPr>
                <w:rFonts w:hint="eastAsia"/>
                <w:sz w:val="21"/>
                <w:szCs w:val="21"/>
              </w:rPr>
              <w:t>20</w:t>
            </w:r>
            <w:r>
              <w:rPr>
                <w:sz w:val="21"/>
                <w:szCs w:val="21"/>
              </w:rPr>
              <w:t>）表</w:t>
            </w:r>
            <w:r>
              <w:rPr>
                <w:rFonts w:hint="eastAsia"/>
                <w:sz w:val="21"/>
                <w:szCs w:val="21"/>
              </w:rPr>
              <w:t>1</w:t>
            </w:r>
            <w:r>
              <w:rPr>
                <w:sz w:val="21"/>
                <w:szCs w:val="21"/>
              </w:rPr>
              <w:t>中“</w:t>
            </w:r>
            <w:r>
              <w:rPr>
                <w:rFonts w:hint="eastAsia"/>
                <w:sz w:val="21"/>
                <w:szCs w:val="21"/>
              </w:rPr>
              <w:t>表面涂装</w:t>
            </w:r>
            <w:r>
              <w:rPr>
                <w:sz w:val="21"/>
                <w:szCs w:val="21"/>
              </w:rPr>
              <w:t>”</w:t>
            </w:r>
            <w:r>
              <w:rPr>
                <w:rFonts w:hint="eastAsia"/>
                <w:sz w:val="21"/>
                <w:szCs w:val="21"/>
              </w:rPr>
              <w:t>标准限值</w:t>
            </w:r>
          </w:p>
          <w:p>
            <w:pPr>
              <w:jc w:val="center"/>
              <w:rPr>
                <w:spacing w:val="-6"/>
                <w:szCs w:val="21"/>
              </w:rPr>
            </w:pPr>
            <w:r>
              <w:rPr>
                <w:rStyle w:val="25"/>
                <w:rFonts w:hint="eastAsia"/>
                <w:sz w:val="21"/>
                <w:szCs w:val="21"/>
                <w:lang w:val="en-US" w:eastAsia="zh-CN"/>
              </w:rPr>
              <w:t>无组织：</w:t>
            </w:r>
            <w:r>
              <w:rPr>
                <w:sz w:val="21"/>
                <w:szCs w:val="21"/>
              </w:rPr>
              <w:t>非甲烷总烃</w:t>
            </w:r>
            <w:r>
              <w:rPr>
                <w:rFonts w:hint="eastAsia"/>
                <w:sz w:val="21"/>
                <w:szCs w:val="21"/>
              </w:rPr>
              <w:t>、</w:t>
            </w:r>
            <w:r>
              <w:rPr>
                <w:sz w:val="21"/>
                <w:szCs w:val="21"/>
              </w:rPr>
              <w:t>苯系物</w:t>
            </w:r>
            <w:r>
              <w:rPr>
                <w:rFonts w:eastAsiaTheme="minorEastAsia"/>
                <w:sz w:val="21"/>
                <w:szCs w:val="21"/>
              </w:rPr>
              <w:t>排放企业边界无组织排放监控点浓度</w:t>
            </w:r>
            <w:r>
              <w:rPr>
                <w:sz w:val="21"/>
                <w:szCs w:val="21"/>
              </w:rPr>
              <w:t>执行湖南省地方标准《表面涂装（汽车制造）挥发性有机物、镍排放标准》DB43/1356-2017）表3规定的限值标准</w:t>
            </w:r>
            <w:r>
              <w:rPr>
                <w:sz w:val="21"/>
                <w:szCs w:val="21"/>
              </w:rPr>
              <w:br w:type="textWrapping"/>
            </w:r>
            <w:r>
              <w:rPr>
                <w:sz w:val="21"/>
                <w:szCs w:val="21"/>
              </w:rPr>
              <w:t>VOCs</w:t>
            </w:r>
            <w:r>
              <w:rPr>
                <w:rFonts w:hint="eastAsia"/>
                <w:sz w:val="21"/>
                <w:szCs w:val="21"/>
              </w:rPr>
              <w:t>（</w:t>
            </w:r>
            <w:r>
              <w:rPr>
                <w:sz w:val="21"/>
                <w:szCs w:val="21"/>
              </w:rPr>
              <w:t>非甲烷总烃</w:t>
            </w:r>
            <w:r>
              <w:rPr>
                <w:rFonts w:hint="eastAsia"/>
                <w:sz w:val="21"/>
                <w:szCs w:val="21"/>
              </w:rPr>
              <w:t>）</w:t>
            </w:r>
            <w:r>
              <w:rPr>
                <w:rFonts w:eastAsiaTheme="minorEastAsia"/>
                <w:sz w:val="21"/>
                <w:szCs w:val="21"/>
              </w:rPr>
              <w:t>排放</w:t>
            </w:r>
            <w:r>
              <w:rPr>
                <w:rFonts w:hint="eastAsia" w:eastAsiaTheme="minorEastAsia"/>
                <w:sz w:val="21"/>
                <w:szCs w:val="21"/>
                <w:lang w:val="en-US" w:eastAsia="zh-CN"/>
              </w:rPr>
              <w:t>厂界内外</w:t>
            </w:r>
            <w:r>
              <w:rPr>
                <w:rFonts w:eastAsiaTheme="minorEastAsia"/>
                <w:sz w:val="21"/>
                <w:szCs w:val="21"/>
              </w:rPr>
              <w:t>无组织排放监控点浓度</w:t>
            </w:r>
            <w:r>
              <w:rPr>
                <w:rFonts w:hint="eastAsia" w:eastAsiaTheme="minorEastAsia"/>
                <w:sz w:val="21"/>
                <w:szCs w:val="21"/>
                <w:lang w:val="en-US" w:eastAsia="zh-CN"/>
              </w:rPr>
              <w:t>均</w:t>
            </w:r>
            <w:r>
              <w:rPr>
                <w:sz w:val="21"/>
                <w:szCs w:val="21"/>
              </w:rPr>
              <w:t>参照执行天津市</w:t>
            </w:r>
            <w:r>
              <w:rPr>
                <w:rFonts w:hint="eastAsia"/>
                <w:sz w:val="21"/>
                <w:szCs w:val="21"/>
              </w:rPr>
              <w:t>《工业企业挥发性有机物排放控制标准》（</w:t>
            </w:r>
            <w:r>
              <w:rPr>
                <w:sz w:val="21"/>
                <w:szCs w:val="21"/>
              </w:rPr>
              <w:t>DB12/524—2020</w:t>
            </w:r>
            <w:r>
              <w:rPr>
                <w:rFonts w:hint="eastAsia"/>
                <w:sz w:val="21"/>
                <w:szCs w:val="21"/>
              </w:rPr>
              <w:t>）表</w:t>
            </w:r>
            <w:r>
              <w:rPr>
                <w:sz w:val="21"/>
                <w:szCs w:val="21"/>
              </w:rPr>
              <w:t>2</w:t>
            </w:r>
            <w:r>
              <w:rPr>
                <w:rFonts w:hint="eastAsia"/>
                <w:sz w:val="21"/>
                <w:szCs w:val="21"/>
              </w:rPr>
              <w:t>挥发性有机物无组织排放限值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焊接工序</w:t>
            </w:r>
          </w:p>
        </w:tc>
        <w:tc>
          <w:tcPr>
            <w:tcW w:w="2263" w:type="dxa"/>
            <w:vAlign w:val="center"/>
          </w:tcPr>
          <w:p>
            <w:pPr>
              <w:jc w:val="center"/>
              <w:rPr>
                <w:szCs w:val="21"/>
              </w:rPr>
            </w:pPr>
            <w:r>
              <w:rPr>
                <w:szCs w:val="21"/>
              </w:rPr>
              <w:t>焊接烟尘（颗粒物）</w:t>
            </w:r>
          </w:p>
        </w:tc>
        <w:tc>
          <w:tcPr>
            <w:tcW w:w="1966" w:type="dxa"/>
            <w:vAlign w:val="center"/>
          </w:tcPr>
          <w:p>
            <w:pPr>
              <w:jc w:val="center"/>
              <w:rPr>
                <w:szCs w:val="21"/>
              </w:rPr>
            </w:pPr>
            <w:r>
              <w:rPr>
                <w:szCs w:val="21"/>
              </w:rPr>
              <w:t>车间通风换气</w:t>
            </w:r>
          </w:p>
        </w:tc>
        <w:tc>
          <w:tcPr>
            <w:tcW w:w="2443" w:type="dxa"/>
            <w:vMerge w:val="restart"/>
            <w:vAlign w:val="center"/>
          </w:tcPr>
          <w:p>
            <w:pPr>
              <w:jc w:val="center"/>
              <w:rPr>
                <w:rFonts w:hint="default"/>
                <w:sz w:val="21"/>
                <w:szCs w:val="21"/>
                <w:lang w:val="en-US" w:eastAsia="zh-CN"/>
              </w:rPr>
            </w:pPr>
            <w:r>
              <w:rPr>
                <w:rFonts w:hint="eastAsia"/>
                <w:sz w:val="21"/>
                <w:szCs w:val="21"/>
                <w:lang w:val="en-US" w:eastAsia="zh-CN"/>
              </w:rPr>
              <w:t>有组织执行</w:t>
            </w:r>
            <w:r>
              <w:rPr>
                <w:sz w:val="21"/>
                <w:szCs w:val="21"/>
              </w:rPr>
              <w:t>《大气污染物综合排放标准》（GB16297-1996）表2中排放标准</w:t>
            </w:r>
          </w:p>
          <w:p>
            <w:pPr>
              <w:tabs>
                <w:tab w:val="left" w:pos="1680"/>
              </w:tabs>
              <w:spacing w:beforeLines="50"/>
              <w:ind w:right="-108"/>
              <w:jc w:val="center"/>
              <w:rPr>
                <w:szCs w:val="21"/>
              </w:rPr>
            </w:pPr>
            <w:r>
              <w:rPr>
                <w:rFonts w:hint="eastAsia"/>
                <w:sz w:val="21"/>
                <w:szCs w:val="21"/>
                <w:lang w:val="en-US" w:eastAsia="zh-CN"/>
              </w:rPr>
              <w:t>无组织</w:t>
            </w:r>
            <w:r>
              <w:rPr>
                <w:sz w:val="21"/>
                <w:szCs w:val="21"/>
              </w:rPr>
              <w:t>执行《大气污染物综合排放标准》（GB16297－1996）表2中无组织排放监控浓度限值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打磨工序</w:t>
            </w:r>
          </w:p>
        </w:tc>
        <w:tc>
          <w:tcPr>
            <w:tcW w:w="2263" w:type="dxa"/>
            <w:vAlign w:val="center"/>
          </w:tcPr>
          <w:p>
            <w:pPr>
              <w:jc w:val="center"/>
              <w:rPr>
                <w:szCs w:val="21"/>
              </w:rPr>
            </w:pPr>
            <w:r>
              <w:rPr>
                <w:szCs w:val="21"/>
              </w:rPr>
              <w:t>粉尘（颗粒物）</w:t>
            </w:r>
          </w:p>
        </w:tc>
        <w:tc>
          <w:tcPr>
            <w:tcW w:w="1966" w:type="dxa"/>
            <w:vAlign w:val="center"/>
          </w:tcPr>
          <w:p>
            <w:pPr>
              <w:jc w:val="center"/>
              <w:rPr>
                <w:szCs w:val="21"/>
              </w:rPr>
            </w:pPr>
            <w:r>
              <w:rPr>
                <w:szCs w:val="21"/>
              </w:rPr>
              <w:t>吸尘装置</w:t>
            </w:r>
          </w:p>
        </w:tc>
        <w:tc>
          <w:tcPr>
            <w:tcW w:w="2443" w:type="dxa"/>
            <w:vMerge w:val="continue"/>
            <w:vAlign w:val="center"/>
          </w:tcPr>
          <w:p>
            <w:pPr>
              <w:tabs>
                <w:tab w:val="left" w:pos="1680"/>
              </w:tabs>
              <w:spacing w:beforeLines="50"/>
              <w:ind w:right="-108"/>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汽车尾气</w:t>
            </w:r>
          </w:p>
        </w:tc>
        <w:tc>
          <w:tcPr>
            <w:tcW w:w="2263" w:type="dxa"/>
            <w:vAlign w:val="center"/>
          </w:tcPr>
          <w:p>
            <w:pPr>
              <w:jc w:val="center"/>
              <w:rPr>
                <w:szCs w:val="21"/>
              </w:rPr>
            </w:pPr>
            <w:r>
              <w:rPr>
                <w:szCs w:val="21"/>
              </w:rPr>
              <w:t>CO、THC、NO</w:t>
            </w:r>
            <w:r>
              <w:rPr>
                <w:szCs w:val="21"/>
                <w:vertAlign w:val="subscript"/>
              </w:rPr>
              <w:t>X</w:t>
            </w:r>
          </w:p>
        </w:tc>
        <w:tc>
          <w:tcPr>
            <w:tcW w:w="1966" w:type="dxa"/>
            <w:vAlign w:val="center"/>
          </w:tcPr>
          <w:p>
            <w:pPr>
              <w:jc w:val="center"/>
              <w:rPr>
                <w:szCs w:val="21"/>
              </w:rPr>
            </w:pPr>
            <w:r>
              <w:rPr>
                <w:szCs w:val="21"/>
              </w:rPr>
              <w:t>通风</w:t>
            </w:r>
          </w:p>
        </w:tc>
        <w:tc>
          <w:tcPr>
            <w:tcW w:w="2443" w:type="dxa"/>
            <w:vMerge w:val="continue"/>
            <w:vAlign w:val="center"/>
          </w:tcPr>
          <w:p>
            <w:pPr>
              <w:tabs>
                <w:tab w:val="left" w:pos="1680"/>
              </w:tabs>
              <w:spacing w:beforeLines="50"/>
              <w:ind w:right="-108"/>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t>食堂油烟</w:t>
            </w:r>
          </w:p>
        </w:tc>
        <w:tc>
          <w:tcPr>
            <w:tcW w:w="2263" w:type="dxa"/>
            <w:vAlign w:val="center"/>
          </w:tcPr>
          <w:p>
            <w:pPr>
              <w:jc w:val="center"/>
              <w:rPr>
                <w:szCs w:val="21"/>
              </w:rPr>
            </w:pPr>
            <w:r>
              <w:rPr>
                <w:szCs w:val="21"/>
              </w:rPr>
              <w:t>油烟</w:t>
            </w:r>
          </w:p>
        </w:tc>
        <w:tc>
          <w:tcPr>
            <w:tcW w:w="1966" w:type="dxa"/>
            <w:vAlign w:val="center"/>
          </w:tcPr>
          <w:p>
            <w:pPr>
              <w:ind w:firstLine="210" w:firstLineChars="100"/>
              <w:jc w:val="center"/>
              <w:rPr>
                <w:szCs w:val="21"/>
              </w:rPr>
            </w:pPr>
            <w:r>
              <w:rPr>
                <w:szCs w:val="21"/>
              </w:rPr>
              <w:t>油烟净化设施和专用排气筒</w:t>
            </w:r>
          </w:p>
        </w:tc>
        <w:tc>
          <w:tcPr>
            <w:tcW w:w="2443" w:type="dxa"/>
            <w:vAlign w:val="center"/>
          </w:tcPr>
          <w:p>
            <w:pPr>
              <w:jc w:val="center"/>
              <w:rPr>
                <w:szCs w:val="21"/>
              </w:rPr>
            </w:pPr>
            <w:r>
              <w:t>《饮食业油烟排放标准》（GB18483-2001）标准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06" w:type="dxa"/>
            <w:vMerge w:val="restart"/>
            <w:vAlign w:val="center"/>
          </w:tcPr>
          <w:p>
            <w:pPr>
              <w:jc w:val="center"/>
              <w:rPr>
                <w:szCs w:val="21"/>
              </w:rPr>
            </w:pPr>
            <w:r>
              <w:rPr>
                <w:szCs w:val="21"/>
              </w:rPr>
              <w:t>水</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306" w:type="dxa"/>
            <w:vAlign w:val="center"/>
          </w:tcPr>
          <w:p>
            <w:pPr>
              <w:jc w:val="center"/>
              <w:rPr>
                <w:szCs w:val="21"/>
              </w:rPr>
            </w:pPr>
            <w:r>
              <w:t>雨污分流</w:t>
            </w:r>
          </w:p>
        </w:tc>
        <w:tc>
          <w:tcPr>
            <w:tcW w:w="2263" w:type="dxa"/>
            <w:vAlign w:val="center"/>
          </w:tcPr>
          <w:p>
            <w:pPr>
              <w:jc w:val="center"/>
              <w:rPr>
                <w:szCs w:val="21"/>
              </w:rPr>
            </w:pPr>
            <w:r>
              <w:rPr>
                <w:szCs w:val="21"/>
              </w:rPr>
              <w:t>/</w:t>
            </w:r>
          </w:p>
        </w:tc>
        <w:tc>
          <w:tcPr>
            <w:tcW w:w="1966" w:type="dxa"/>
            <w:vAlign w:val="center"/>
          </w:tcPr>
          <w:p>
            <w:pPr>
              <w:jc w:val="center"/>
              <w:rPr>
                <w:spacing w:val="-4"/>
                <w:szCs w:val="21"/>
              </w:rPr>
            </w:pPr>
            <w:r>
              <w:t>雨污分流措施</w:t>
            </w:r>
          </w:p>
        </w:tc>
        <w:tc>
          <w:tcPr>
            <w:tcW w:w="2443" w:type="dxa"/>
            <w:vAlign w:val="center"/>
          </w:tcPr>
          <w:p>
            <w:pPr>
              <w:jc w:val="center"/>
              <w:rPr>
                <w:szCs w:val="21"/>
              </w:rPr>
            </w:pPr>
            <w:r>
              <w:t>满足雨污分流要求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1"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生活污水</w:t>
            </w:r>
          </w:p>
        </w:tc>
        <w:tc>
          <w:tcPr>
            <w:tcW w:w="2263" w:type="dxa"/>
            <w:vAlign w:val="center"/>
          </w:tcPr>
          <w:p>
            <w:pPr>
              <w:jc w:val="center"/>
              <w:rPr>
                <w:szCs w:val="21"/>
              </w:rPr>
            </w:pPr>
            <w:r>
              <w:rPr>
                <w:szCs w:val="21"/>
              </w:rPr>
              <w:t>pH、COD、NH</w:t>
            </w:r>
            <w:r>
              <w:rPr>
                <w:szCs w:val="21"/>
                <w:vertAlign w:val="subscript"/>
              </w:rPr>
              <w:t>3</w:t>
            </w:r>
            <w:r>
              <w:rPr>
                <w:szCs w:val="21"/>
              </w:rPr>
              <w:t>-N、SS、动植物油</w:t>
            </w:r>
          </w:p>
        </w:tc>
        <w:tc>
          <w:tcPr>
            <w:tcW w:w="1966" w:type="dxa"/>
            <w:vAlign w:val="center"/>
          </w:tcPr>
          <w:p>
            <w:pPr>
              <w:jc w:val="center"/>
              <w:rPr>
                <w:spacing w:val="-4"/>
                <w:szCs w:val="21"/>
              </w:rPr>
            </w:pPr>
            <w:r>
              <w:rPr>
                <w:spacing w:val="-4"/>
                <w:szCs w:val="21"/>
              </w:rPr>
              <w:t>化粪池</w:t>
            </w:r>
          </w:p>
        </w:tc>
        <w:tc>
          <w:tcPr>
            <w:tcW w:w="2443" w:type="dxa"/>
            <w:vAlign w:val="center"/>
          </w:tcPr>
          <w:p>
            <w:pPr>
              <w:jc w:val="center"/>
              <w:rPr>
                <w:szCs w:val="21"/>
              </w:rPr>
            </w:pPr>
            <w:r>
              <w:t>从严执行《污水综合排放标准》（GB8978-1996）中三级标准、城陵矶新港区污水处理厂进水水质要求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地面清洗废水和汽车清洗废水</w:t>
            </w:r>
          </w:p>
        </w:tc>
        <w:tc>
          <w:tcPr>
            <w:tcW w:w="2263" w:type="dxa"/>
            <w:vAlign w:val="center"/>
          </w:tcPr>
          <w:p>
            <w:pPr>
              <w:jc w:val="center"/>
              <w:rPr>
                <w:szCs w:val="21"/>
              </w:rPr>
            </w:pPr>
            <w:r>
              <w:rPr>
                <w:szCs w:val="21"/>
              </w:rPr>
              <w:t>pH、COD、NH</w:t>
            </w:r>
            <w:r>
              <w:rPr>
                <w:szCs w:val="21"/>
                <w:vertAlign w:val="subscript"/>
              </w:rPr>
              <w:t>3</w:t>
            </w:r>
            <w:r>
              <w:rPr>
                <w:szCs w:val="21"/>
              </w:rPr>
              <w:t>-N、SS、石油类、LAS</w:t>
            </w:r>
          </w:p>
        </w:tc>
        <w:tc>
          <w:tcPr>
            <w:tcW w:w="1966" w:type="dxa"/>
            <w:vAlign w:val="center"/>
          </w:tcPr>
          <w:p>
            <w:pPr>
              <w:jc w:val="center"/>
              <w:rPr>
                <w:szCs w:val="21"/>
              </w:rPr>
            </w:pPr>
            <w:r>
              <w:rPr>
                <w:szCs w:val="21"/>
              </w:rPr>
              <w:t>隔油池</w:t>
            </w:r>
          </w:p>
        </w:tc>
        <w:tc>
          <w:tcPr>
            <w:tcW w:w="2443" w:type="dxa"/>
            <w:vAlign w:val="center"/>
          </w:tcPr>
          <w:p>
            <w:pPr>
              <w:jc w:val="center"/>
              <w:rPr>
                <w:szCs w:val="21"/>
              </w:rPr>
            </w:pPr>
            <w:r>
              <w:t>从严执行城陵矶新港区污水处理厂进水水质要求、《汽车维修业水污染物排放标准》（GB26877-2011）中表2的间接排放标准限值要求，《污水综合排放标准》（GB8978-1996）表1第一类污染物最高允许排放浓度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606" w:type="dxa"/>
            <w:vMerge w:val="restart"/>
            <w:vAlign w:val="center"/>
          </w:tcPr>
          <w:p>
            <w:pPr>
              <w:jc w:val="center"/>
              <w:rPr>
                <w:szCs w:val="21"/>
              </w:rPr>
            </w:pPr>
            <w:r>
              <w:rPr>
                <w:szCs w:val="21"/>
              </w:rPr>
              <w:t>固</w:t>
            </w:r>
          </w:p>
          <w:p>
            <w:pPr>
              <w:jc w:val="center"/>
              <w:rPr>
                <w:szCs w:val="21"/>
              </w:rPr>
            </w:pPr>
            <w:r>
              <w:rPr>
                <w:szCs w:val="21"/>
              </w:rPr>
              <w:t>体</w:t>
            </w:r>
          </w:p>
          <w:p>
            <w:pPr>
              <w:jc w:val="center"/>
              <w:rPr>
                <w:szCs w:val="21"/>
              </w:rPr>
            </w:pPr>
            <w:r>
              <w:rPr>
                <w:szCs w:val="21"/>
              </w:rPr>
              <w:t>废</w:t>
            </w:r>
          </w:p>
          <w:p>
            <w:pPr>
              <w:jc w:val="center"/>
              <w:rPr>
                <w:szCs w:val="21"/>
              </w:rPr>
            </w:pPr>
            <w:r>
              <w:rPr>
                <w:szCs w:val="21"/>
              </w:rPr>
              <w:t>物</w:t>
            </w:r>
          </w:p>
        </w:tc>
        <w:tc>
          <w:tcPr>
            <w:tcW w:w="1306" w:type="dxa"/>
            <w:vAlign w:val="center"/>
          </w:tcPr>
          <w:p>
            <w:pPr>
              <w:jc w:val="center"/>
              <w:rPr>
                <w:szCs w:val="21"/>
              </w:rPr>
            </w:pPr>
            <w:r>
              <w:rPr>
                <w:spacing w:val="-10"/>
                <w:szCs w:val="21"/>
              </w:rPr>
              <w:t>生活</w:t>
            </w:r>
            <w:r>
              <w:rPr>
                <w:szCs w:val="21"/>
              </w:rPr>
              <w:t>垃圾</w:t>
            </w:r>
          </w:p>
        </w:tc>
        <w:tc>
          <w:tcPr>
            <w:tcW w:w="2263" w:type="dxa"/>
            <w:vAlign w:val="center"/>
          </w:tcPr>
          <w:p>
            <w:pPr>
              <w:jc w:val="center"/>
              <w:rPr>
                <w:spacing w:val="-10"/>
                <w:szCs w:val="21"/>
              </w:rPr>
            </w:pPr>
            <w:r>
              <w:rPr>
                <w:szCs w:val="21"/>
              </w:rPr>
              <w:t>固废</w:t>
            </w:r>
          </w:p>
        </w:tc>
        <w:tc>
          <w:tcPr>
            <w:tcW w:w="1966" w:type="dxa"/>
            <w:vAlign w:val="center"/>
          </w:tcPr>
          <w:p>
            <w:pPr>
              <w:jc w:val="center"/>
              <w:rPr>
                <w:szCs w:val="21"/>
              </w:rPr>
            </w:pPr>
            <w:r>
              <w:rPr>
                <w:szCs w:val="21"/>
              </w:rPr>
              <w:t>垃圾桶</w:t>
            </w:r>
          </w:p>
        </w:tc>
        <w:tc>
          <w:tcPr>
            <w:tcW w:w="2443" w:type="dxa"/>
            <w:vMerge w:val="restart"/>
            <w:vAlign w:val="center"/>
          </w:tcPr>
          <w:p>
            <w:pPr>
              <w:jc w:val="center"/>
              <w:rPr>
                <w:szCs w:val="21"/>
              </w:rPr>
            </w:pPr>
            <w:r>
              <w:rPr>
                <w:szCs w:val="21"/>
              </w:rPr>
              <w:t>妥善处理处置，不对外环境产生不利影响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危险固废</w:t>
            </w:r>
          </w:p>
        </w:tc>
        <w:tc>
          <w:tcPr>
            <w:tcW w:w="2263" w:type="dxa"/>
            <w:vAlign w:val="center"/>
          </w:tcPr>
          <w:p>
            <w:pPr>
              <w:jc w:val="center"/>
              <w:rPr>
                <w:szCs w:val="21"/>
              </w:rPr>
            </w:pPr>
            <w:r>
              <w:rPr>
                <w:bCs/>
                <w:spacing w:val="6"/>
                <w:szCs w:val="21"/>
              </w:rPr>
              <w:t>废机油、废铅酸蓄电池等</w:t>
            </w:r>
          </w:p>
        </w:tc>
        <w:tc>
          <w:tcPr>
            <w:tcW w:w="1966" w:type="dxa"/>
            <w:vAlign w:val="center"/>
          </w:tcPr>
          <w:p>
            <w:pPr>
              <w:jc w:val="center"/>
              <w:rPr>
                <w:szCs w:val="21"/>
              </w:rPr>
            </w:pPr>
            <w:r>
              <w:t>危废暂存间储存，分类收集、贮存，交由资质单位无害化处置、</w:t>
            </w:r>
            <w:r>
              <w:rPr>
                <w:bCs/>
                <w:szCs w:val="21"/>
              </w:rPr>
              <w:t>收集、转运和处置</w:t>
            </w:r>
          </w:p>
        </w:tc>
        <w:tc>
          <w:tcPr>
            <w:tcW w:w="2443"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606" w:type="dxa"/>
            <w:vMerge w:val="continue"/>
            <w:vAlign w:val="center"/>
          </w:tcPr>
          <w:p>
            <w:pPr>
              <w:jc w:val="center"/>
              <w:rPr>
                <w:szCs w:val="21"/>
              </w:rPr>
            </w:pPr>
          </w:p>
        </w:tc>
        <w:tc>
          <w:tcPr>
            <w:tcW w:w="1306" w:type="dxa"/>
            <w:vAlign w:val="center"/>
          </w:tcPr>
          <w:p>
            <w:pPr>
              <w:jc w:val="center"/>
              <w:rPr>
                <w:szCs w:val="21"/>
              </w:rPr>
            </w:pPr>
            <w:r>
              <w:rPr>
                <w:szCs w:val="21"/>
              </w:rPr>
              <w:t>一般固废</w:t>
            </w:r>
          </w:p>
        </w:tc>
        <w:tc>
          <w:tcPr>
            <w:tcW w:w="2263" w:type="dxa"/>
            <w:vAlign w:val="center"/>
          </w:tcPr>
          <w:p>
            <w:pPr>
              <w:jc w:val="center"/>
              <w:rPr>
                <w:szCs w:val="21"/>
              </w:rPr>
            </w:pPr>
            <w:r>
              <w:rPr>
                <w:bCs/>
                <w:spacing w:val="6"/>
                <w:szCs w:val="21"/>
              </w:rPr>
              <w:t>废车胎、废零部件、废包装材料</w:t>
            </w:r>
          </w:p>
        </w:tc>
        <w:tc>
          <w:tcPr>
            <w:tcW w:w="1966" w:type="dxa"/>
            <w:vAlign w:val="center"/>
          </w:tcPr>
          <w:p>
            <w:pPr>
              <w:jc w:val="center"/>
              <w:rPr>
                <w:szCs w:val="21"/>
              </w:rPr>
            </w:pPr>
            <w:r>
              <w:rPr>
                <w:szCs w:val="21"/>
              </w:rPr>
              <w:t>一般固废暂存间</w:t>
            </w:r>
            <w:r>
              <w:rPr>
                <w:rFonts w:hint="eastAsia"/>
                <w:szCs w:val="21"/>
              </w:rPr>
              <w:t>暂存后合理处置</w:t>
            </w:r>
          </w:p>
        </w:tc>
        <w:tc>
          <w:tcPr>
            <w:tcW w:w="2443"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606" w:type="dxa"/>
            <w:vAlign w:val="center"/>
          </w:tcPr>
          <w:p>
            <w:pPr>
              <w:jc w:val="center"/>
              <w:rPr>
                <w:szCs w:val="21"/>
              </w:rPr>
            </w:pPr>
            <w:r>
              <w:rPr>
                <w:szCs w:val="21"/>
              </w:rPr>
              <w:t>噪</w:t>
            </w:r>
          </w:p>
          <w:p>
            <w:pPr>
              <w:jc w:val="center"/>
              <w:rPr>
                <w:szCs w:val="21"/>
              </w:rPr>
            </w:pPr>
            <w:r>
              <w:rPr>
                <w:szCs w:val="21"/>
              </w:rPr>
              <w:t>声</w:t>
            </w:r>
          </w:p>
        </w:tc>
        <w:tc>
          <w:tcPr>
            <w:tcW w:w="7978" w:type="dxa"/>
            <w:gridSpan w:val="4"/>
            <w:vAlign w:val="center"/>
          </w:tcPr>
          <w:p>
            <w:pPr>
              <w:spacing w:line="360" w:lineRule="auto"/>
              <w:jc w:val="left"/>
              <w:rPr>
                <w:szCs w:val="21"/>
              </w:rPr>
            </w:pPr>
            <w:r>
              <w:rPr>
                <w:spacing w:val="6"/>
                <w:szCs w:val="21"/>
              </w:rPr>
              <w:t>烤漆房、维修（钣金）车间、车辆运行噪声，采用隔声、吸声、消声</w:t>
            </w:r>
            <w:r>
              <w:rPr>
                <w:szCs w:val="21"/>
              </w:rPr>
              <w:t>减振处理等处理措施，可避免项目运营噪声对周围声环境造成影响。厂区噪声可满足《工业企业厂界环境噪声排放标准》（GB12348-2008）中2类标准要求（临道路一侧执行4类标准），对周边声环境影响较小。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8584" w:type="dxa"/>
            <w:gridSpan w:val="5"/>
          </w:tcPr>
          <w:p>
            <w:pPr>
              <w:spacing w:beforeLines="50"/>
              <w:rPr>
                <w:b/>
                <w:szCs w:val="21"/>
              </w:rPr>
            </w:pPr>
            <w:r>
              <w:rPr>
                <w:b/>
                <w:szCs w:val="21"/>
              </w:rPr>
              <w:t>生态保护措施及预期效果：</w:t>
            </w:r>
          </w:p>
          <w:p>
            <w:pPr>
              <w:spacing w:line="360" w:lineRule="auto"/>
              <w:ind w:firstLine="420" w:firstLineChars="200"/>
              <w:jc w:val="left"/>
              <w:rPr>
                <w:szCs w:val="21"/>
              </w:rPr>
            </w:pPr>
            <w:r>
              <w:rPr>
                <w:szCs w:val="21"/>
              </w:rPr>
              <w:t>项目运营后的各种污染物均得到有效处置，不会造成环境污染，对项目周围生态环境影响较小，且项目所出区域为城镇建成区，不会对当地景观造成明显不良影响。</w:t>
            </w:r>
          </w:p>
          <w:p>
            <w:pPr>
              <w:jc w:val="left"/>
              <w:rPr>
                <w:spacing w:val="4"/>
                <w:szCs w:val="21"/>
              </w:rPr>
            </w:pPr>
          </w:p>
        </w:tc>
      </w:tr>
    </w:tbl>
    <w:p/>
    <w:p>
      <w:pPr>
        <w:rPr>
          <w:b/>
          <w:sz w:val="32"/>
          <w:szCs w:val="32"/>
        </w:rPr>
      </w:pPr>
      <w:r>
        <w:rPr>
          <w:b/>
          <w:sz w:val="32"/>
          <w:szCs w:val="32"/>
        </w:rPr>
        <w:br w:type="page"/>
      </w:r>
    </w:p>
    <w:p>
      <w:pPr>
        <w:adjustRightInd w:val="0"/>
        <w:snapToGrid w:val="0"/>
        <w:outlineLvl w:val="0"/>
        <w:rPr>
          <w:b/>
          <w:sz w:val="32"/>
          <w:szCs w:val="32"/>
        </w:rPr>
      </w:pPr>
      <w:bookmarkStart w:id="87" w:name="_Toc13988"/>
      <w:r>
        <w:rPr>
          <w:b/>
          <w:sz w:val="32"/>
          <w:szCs w:val="32"/>
        </w:rPr>
        <w:t>九、结论与建议</w:t>
      </w:r>
      <w:bookmarkEnd w:id="87"/>
    </w:p>
    <w:tbl>
      <w:tblPr>
        <w:tblStyle w:val="20"/>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3103" w:hRule="atLeast"/>
          <w:jc w:val="center"/>
        </w:trPr>
        <w:tc>
          <w:tcPr>
            <w:tcW w:w="8505" w:type="dxa"/>
          </w:tcPr>
          <w:p>
            <w:pPr>
              <w:snapToGrid w:val="0"/>
              <w:spacing w:line="360" w:lineRule="auto"/>
              <w:ind w:left="105" w:right="105" w:rightChars="50"/>
              <w:rPr>
                <w:b/>
                <w:sz w:val="24"/>
              </w:rPr>
            </w:pPr>
            <w:r>
              <w:rPr>
                <w:b/>
                <w:sz w:val="24"/>
              </w:rPr>
              <w:t>一、结论</w:t>
            </w:r>
          </w:p>
          <w:p>
            <w:pPr>
              <w:spacing w:line="360" w:lineRule="auto"/>
              <w:ind w:firstLine="482" w:firstLineChars="200"/>
              <w:rPr>
                <w:b/>
                <w:bCs/>
                <w:sz w:val="24"/>
              </w:rPr>
            </w:pPr>
            <w:r>
              <w:rPr>
                <w:b/>
                <w:bCs/>
                <w:sz w:val="24"/>
              </w:rPr>
              <w:t>1、项目概况</w:t>
            </w:r>
          </w:p>
          <w:p>
            <w:pPr>
              <w:spacing w:line="360" w:lineRule="auto"/>
              <w:ind w:firstLine="480" w:firstLineChars="200"/>
              <w:rPr>
                <w:bCs/>
                <w:spacing w:val="6"/>
                <w:sz w:val="24"/>
              </w:rPr>
            </w:pPr>
            <w:r>
              <w:rPr>
                <w:rFonts w:hint="eastAsia"/>
                <w:sz w:val="24"/>
              </w:rPr>
              <w:t>岳阳市兴燕贸易有限公司新港分公司</w:t>
            </w:r>
            <w:r>
              <w:rPr>
                <w:bCs/>
                <w:spacing w:val="6"/>
                <w:sz w:val="24"/>
              </w:rPr>
              <w:t>投资</w:t>
            </w:r>
            <w:r>
              <w:rPr>
                <w:rFonts w:hint="eastAsia"/>
                <w:bCs/>
                <w:spacing w:val="6"/>
                <w:sz w:val="24"/>
              </w:rPr>
              <w:t>1</w:t>
            </w:r>
            <w:r>
              <w:rPr>
                <w:bCs/>
                <w:spacing w:val="6"/>
                <w:sz w:val="24"/>
              </w:rPr>
              <w:t>000万元在</w:t>
            </w:r>
            <w:r>
              <w:rPr>
                <w:sz w:val="24"/>
              </w:rPr>
              <w:t>岳阳市城陵矶新港区城陵矶片区国际汽车城</w:t>
            </w:r>
            <w:r>
              <w:rPr>
                <w:bCs/>
                <w:spacing w:val="6"/>
                <w:sz w:val="24"/>
              </w:rPr>
              <w:t>建设</w:t>
            </w:r>
            <w:r>
              <w:rPr>
                <w:rFonts w:hint="eastAsia"/>
                <w:sz w:val="24"/>
              </w:rPr>
              <w:t>岳阳市兴燕贸易有限公司新港分公司吉利4S店建设项目</w:t>
            </w:r>
            <w:r>
              <w:rPr>
                <w:bCs/>
                <w:spacing w:val="6"/>
                <w:sz w:val="24"/>
              </w:rPr>
              <w:t>，项目建设内容主要包括机修区、钣金区、油漆区、洗车保养区、办公区、新车展厅等以及以及配套辅助工程。主要从事各类的维修、零配件销售等服务，预计</w:t>
            </w:r>
            <w:r>
              <w:rPr>
                <w:sz w:val="24"/>
              </w:rPr>
              <w:t>年销售汽车</w:t>
            </w:r>
            <w:r>
              <w:rPr>
                <w:rFonts w:hint="eastAsia"/>
                <w:sz w:val="24"/>
              </w:rPr>
              <w:t>300</w:t>
            </w:r>
            <w:r>
              <w:rPr>
                <w:sz w:val="24"/>
              </w:rPr>
              <w:t>台、年维修</w:t>
            </w:r>
            <w:r>
              <w:rPr>
                <w:rFonts w:hint="eastAsia"/>
                <w:sz w:val="24"/>
              </w:rPr>
              <w:t>6</w:t>
            </w:r>
            <w:r>
              <w:rPr>
                <w:sz w:val="24"/>
              </w:rPr>
              <w:t>00台、年喷烤漆</w:t>
            </w:r>
            <w:r>
              <w:rPr>
                <w:rFonts w:hint="eastAsia"/>
                <w:sz w:val="24"/>
              </w:rPr>
              <w:t>15</w:t>
            </w:r>
            <w:r>
              <w:rPr>
                <w:sz w:val="24"/>
              </w:rPr>
              <w:t>0台、年清洗车辆</w:t>
            </w:r>
            <w:r>
              <w:rPr>
                <w:rFonts w:hint="eastAsia"/>
                <w:sz w:val="24"/>
              </w:rPr>
              <w:t>800</w:t>
            </w:r>
            <w:r>
              <w:rPr>
                <w:sz w:val="24"/>
              </w:rPr>
              <w:t>台。</w:t>
            </w:r>
          </w:p>
          <w:p>
            <w:pPr>
              <w:spacing w:line="360" w:lineRule="auto"/>
              <w:ind w:firstLine="482" w:firstLineChars="200"/>
              <w:rPr>
                <w:b/>
                <w:bCs/>
                <w:sz w:val="24"/>
              </w:rPr>
            </w:pPr>
            <w:r>
              <w:rPr>
                <w:b/>
                <w:bCs/>
                <w:sz w:val="24"/>
              </w:rPr>
              <w:t>2、环境质量现状评价</w:t>
            </w:r>
          </w:p>
          <w:p>
            <w:pPr>
              <w:spacing w:line="360" w:lineRule="auto"/>
              <w:ind w:firstLine="504" w:firstLineChars="200"/>
              <w:rPr>
                <w:bCs/>
                <w:spacing w:val="6"/>
                <w:sz w:val="24"/>
              </w:rPr>
            </w:pPr>
            <w:r>
              <w:rPr>
                <w:bCs/>
                <w:spacing w:val="6"/>
                <w:sz w:val="24"/>
              </w:rPr>
              <w:t>①环境空气：</w:t>
            </w:r>
            <w:r>
              <w:rPr>
                <w:bCs/>
                <w:kern w:val="24"/>
                <w:sz w:val="24"/>
              </w:rPr>
              <w:t>根据收集区自动空气监测站2019年监测数据统计结果，本项目区域属于不达标区，不达标因子为PM</w:t>
            </w:r>
            <w:r>
              <w:rPr>
                <w:bCs/>
                <w:kern w:val="24"/>
                <w:sz w:val="24"/>
                <w:vertAlign w:val="subscript"/>
              </w:rPr>
              <w:t>10</w:t>
            </w:r>
            <w:r>
              <w:rPr>
                <w:bCs/>
                <w:kern w:val="24"/>
                <w:sz w:val="24"/>
              </w:rPr>
              <w:t>、PM</w:t>
            </w:r>
            <w:r>
              <w:rPr>
                <w:bCs/>
                <w:kern w:val="24"/>
                <w:sz w:val="24"/>
                <w:vertAlign w:val="subscript"/>
              </w:rPr>
              <w:t>2.5</w:t>
            </w:r>
            <w:r>
              <w:rPr>
                <w:bCs/>
                <w:kern w:val="24"/>
                <w:sz w:val="24"/>
              </w:rPr>
              <w:t>。据补充监测结果表明，项目所在区域的环境空气中其他污染物总挥发性有机物（TVOC）、二甲苯、甲苯的监测结果均能够达到《环境影响评价技术导则-大气环境》（HJ2.2-2018）中附录D浓度限值要求。</w:t>
            </w:r>
          </w:p>
          <w:p>
            <w:pPr>
              <w:autoSpaceDE w:val="0"/>
              <w:autoSpaceDN w:val="0"/>
              <w:spacing w:line="360" w:lineRule="auto"/>
              <w:ind w:firstLine="480" w:firstLineChars="200"/>
              <w:jc w:val="left"/>
              <w:rPr>
                <w:sz w:val="24"/>
              </w:rPr>
            </w:pPr>
            <w:r>
              <w:rPr>
                <w:sz w:val="24"/>
              </w:rPr>
              <w:t>②地表水环境：根据引用数据表明，</w:t>
            </w:r>
            <w:r>
              <w:rPr>
                <w:sz w:val="24"/>
                <w:szCs w:val="22"/>
              </w:rPr>
              <w:t>长江监测断面和象骨港监测断面均可以达到《地表水环境质量标准》(GB3838-2002)中的Ⅲ类水质要求，芭蕉湖监测断面除BOD</w:t>
            </w:r>
            <w:r>
              <w:rPr>
                <w:sz w:val="24"/>
                <w:szCs w:val="22"/>
                <w:vertAlign w:val="subscript"/>
              </w:rPr>
              <w:t>5</w:t>
            </w:r>
            <w:r>
              <w:rPr>
                <w:sz w:val="24"/>
                <w:szCs w:val="22"/>
              </w:rPr>
              <w:t>、总磷外均可达到Ⅲ类水质要求，随着芭蕉湖周边的截污工程持续开展，其水质有望得到进一步改善</w:t>
            </w:r>
            <w:r>
              <w:rPr>
                <w:sz w:val="24"/>
              </w:rPr>
              <w:t>。</w:t>
            </w:r>
          </w:p>
          <w:p>
            <w:pPr>
              <w:spacing w:line="360" w:lineRule="auto"/>
              <w:ind w:firstLine="480" w:firstLineChars="200"/>
              <w:rPr>
                <w:sz w:val="24"/>
              </w:rPr>
            </w:pPr>
            <w:r>
              <w:rPr>
                <w:sz w:val="24"/>
              </w:rPr>
              <w:t>③声环境：项目所在区域声环境质量现状东侧临近联港路能满足《声环境质量标准》（GB3096-2008）中4a类标准、其他各侧能满足2类标准要求。</w:t>
            </w:r>
          </w:p>
          <w:p>
            <w:pPr>
              <w:spacing w:line="360" w:lineRule="auto"/>
              <w:ind w:firstLine="482" w:firstLineChars="200"/>
              <w:rPr>
                <w:b/>
                <w:bCs/>
                <w:sz w:val="24"/>
              </w:rPr>
            </w:pPr>
            <w:r>
              <w:rPr>
                <w:b/>
                <w:bCs/>
                <w:sz w:val="24"/>
              </w:rPr>
              <w:t>3、项目主要污染物排放量</w:t>
            </w:r>
          </w:p>
          <w:p>
            <w:pPr>
              <w:spacing w:line="360" w:lineRule="auto"/>
              <w:ind w:firstLine="480" w:firstLineChars="200"/>
              <w:rPr>
                <w:sz w:val="24"/>
                <w:szCs w:val="24"/>
              </w:rPr>
            </w:pPr>
            <w:r>
              <w:rPr>
                <w:kern w:val="0"/>
                <w:sz w:val="24"/>
              </w:rPr>
              <w:t>根据《环境影响评价技术导则 地表水环境》（HJ 2.3-2018）中“8.3.2  间接排放建设项目污染源排放量核算根据依托污水处理设施的控制要求核算确定”</w:t>
            </w:r>
            <w:r>
              <w:rPr>
                <w:rFonts w:hint="eastAsia"/>
                <w:kern w:val="0"/>
                <w:sz w:val="24"/>
              </w:rPr>
              <w:t>，</w:t>
            </w:r>
            <w:r>
              <w:rPr>
                <w:kern w:val="0"/>
                <w:sz w:val="24"/>
                <w:u w:val="single"/>
              </w:rPr>
              <w:t>因此本项目废水经污水处理厂深度处理后最终排入外环境的COD约为</w:t>
            </w:r>
            <w:r>
              <w:rPr>
                <w:rFonts w:hint="eastAsia"/>
                <w:kern w:val="0"/>
                <w:sz w:val="24"/>
                <w:u w:val="single"/>
              </w:rPr>
              <w:t>0.155446</w:t>
            </w:r>
            <w:r>
              <w:rPr>
                <w:kern w:val="0"/>
                <w:sz w:val="24"/>
                <w:u w:val="single"/>
              </w:rPr>
              <w:t>t/a（50mg/L）、氨氮约为</w:t>
            </w:r>
            <w:r>
              <w:rPr>
                <w:rFonts w:hint="eastAsia"/>
                <w:kern w:val="0"/>
                <w:sz w:val="24"/>
                <w:u w:val="single"/>
              </w:rPr>
              <w:t>0.0155446</w:t>
            </w:r>
            <w:r>
              <w:rPr>
                <w:kern w:val="0"/>
                <w:sz w:val="24"/>
                <w:u w:val="single"/>
              </w:rPr>
              <w:t>t/a（5mg/L）、VOCs控制性建议指标为</w:t>
            </w:r>
            <w:r>
              <w:rPr>
                <w:rFonts w:hint="eastAsia"/>
                <w:kern w:val="0"/>
                <w:sz w:val="24"/>
                <w:u w:val="single"/>
              </w:rPr>
              <w:t>0.012</w:t>
            </w:r>
            <w:r>
              <w:rPr>
                <w:kern w:val="0"/>
                <w:sz w:val="24"/>
                <w:u w:val="single"/>
              </w:rPr>
              <w:t>t/a。</w:t>
            </w:r>
          </w:p>
          <w:p>
            <w:pPr>
              <w:spacing w:line="360" w:lineRule="auto"/>
              <w:ind w:firstLine="482" w:firstLineChars="200"/>
              <w:rPr>
                <w:b/>
                <w:bCs/>
                <w:sz w:val="24"/>
              </w:rPr>
            </w:pPr>
            <w:r>
              <w:rPr>
                <w:b/>
                <w:bCs/>
                <w:sz w:val="24"/>
              </w:rPr>
              <w:t>4、项目污染防治措施</w:t>
            </w:r>
          </w:p>
          <w:p>
            <w:pPr>
              <w:spacing w:line="360" w:lineRule="auto"/>
              <w:ind w:firstLine="480" w:firstLineChars="200"/>
              <w:rPr>
                <w:sz w:val="24"/>
              </w:rPr>
            </w:pPr>
            <w:r>
              <w:rPr>
                <w:sz w:val="24"/>
              </w:rPr>
              <w:t>对项目采取如表7-27所示的环保治理措施，预计环保投资为50.7万元，占总投资的</w:t>
            </w:r>
            <w:r>
              <w:rPr>
                <w:rFonts w:hint="eastAsia"/>
                <w:sz w:val="24"/>
              </w:rPr>
              <w:t>5</w:t>
            </w:r>
            <w:r>
              <w:rPr>
                <w:sz w:val="24"/>
              </w:rPr>
              <w:t>.0</w:t>
            </w:r>
            <w:r>
              <w:rPr>
                <w:rFonts w:hint="eastAsia"/>
                <w:sz w:val="24"/>
              </w:rPr>
              <w:t>7</w:t>
            </w:r>
            <w:r>
              <w:rPr>
                <w:sz w:val="24"/>
              </w:rPr>
              <w:t>%。</w:t>
            </w:r>
          </w:p>
          <w:p>
            <w:pPr>
              <w:spacing w:line="360" w:lineRule="auto"/>
              <w:ind w:firstLine="482" w:firstLineChars="200"/>
              <w:rPr>
                <w:b/>
                <w:bCs/>
                <w:sz w:val="24"/>
              </w:rPr>
            </w:pPr>
            <w:r>
              <w:rPr>
                <w:b/>
                <w:bCs/>
                <w:sz w:val="24"/>
              </w:rPr>
              <w:t>5、营运期环境影响结论</w:t>
            </w:r>
          </w:p>
          <w:p>
            <w:pPr>
              <w:spacing w:line="360" w:lineRule="auto"/>
              <w:ind w:firstLine="480" w:firstLineChars="200"/>
              <w:rPr>
                <w:sz w:val="24"/>
              </w:rPr>
            </w:pPr>
            <w:r>
              <w:rPr>
                <w:sz w:val="24"/>
              </w:rPr>
              <w:t>（1）废气：</w:t>
            </w:r>
          </w:p>
          <w:p>
            <w:pPr>
              <w:spacing w:line="360" w:lineRule="auto"/>
              <w:ind w:firstLine="480" w:firstLineChars="200"/>
              <w:rPr>
                <w:sz w:val="24"/>
              </w:rPr>
            </w:pPr>
            <w:r>
              <w:rPr>
                <w:sz w:val="24"/>
              </w:rPr>
              <w:t>①汽车尾气：汽车尾气以无组织形式排放，项目在修理车间安装了排气扇，降低车间内的浓度。因汽车尾气的排放量较少，厂内空气流通量大，汽车尾气可得到较快的稀释扩散。大气污染物的落地浓度低，对周围大气环境的影响较小。</w:t>
            </w:r>
          </w:p>
          <w:p>
            <w:pPr>
              <w:spacing w:line="360" w:lineRule="auto"/>
              <w:ind w:firstLine="480" w:firstLineChars="200"/>
              <w:rPr>
                <w:sz w:val="24"/>
              </w:rPr>
            </w:pPr>
            <w:r>
              <w:rPr>
                <w:sz w:val="24"/>
              </w:rPr>
              <w:t>②焊接烟尘</w:t>
            </w:r>
            <w:r>
              <w:rPr>
                <w:rFonts w:hint="eastAsia"/>
                <w:sz w:val="24"/>
              </w:rPr>
              <w:t>：</w:t>
            </w:r>
            <w:r>
              <w:rPr>
                <w:sz w:val="24"/>
              </w:rPr>
              <w:t>项目焊接时产生的焊接烟尘，焊接烟尘产生量较少，外排至维修间的焊接烟尘浓度能满足</w:t>
            </w:r>
            <w:r>
              <w:rPr>
                <w:bCs/>
                <w:sz w:val="24"/>
              </w:rPr>
              <w:t>《大气污染物综合排放标准》（GB16297－1996）中无组织排放浓度监控限值（1.0mg/m</w:t>
            </w:r>
            <w:r>
              <w:rPr>
                <w:bCs/>
                <w:sz w:val="24"/>
                <w:vertAlign w:val="superscript"/>
              </w:rPr>
              <w:t>3</w:t>
            </w:r>
            <w:r>
              <w:rPr>
                <w:bCs/>
                <w:sz w:val="24"/>
              </w:rPr>
              <w:t>）；</w:t>
            </w:r>
          </w:p>
          <w:p>
            <w:pPr>
              <w:spacing w:line="360" w:lineRule="auto"/>
              <w:ind w:firstLine="480" w:firstLineChars="200"/>
              <w:rPr>
                <w:bCs/>
                <w:sz w:val="24"/>
              </w:rPr>
            </w:pPr>
            <w:r>
              <w:rPr>
                <w:sz w:val="24"/>
              </w:rPr>
              <w:t>③打磨粉尘：汽车在喷漆前需进行打磨，</w:t>
            </w:r>
            <w:r>
              <w:rPr>
                <w:bCs/>
                <w:sz w:val="24"/>
              </w:rPr>
              <w:t>项目采用无尘式干磨机，</w:t>
            </w:r>
            <w:r>
              <w:rPr>
                <w:sz w:val="24"/>
              </w:rPr>
              <w:t>无尘干磨机打磨时会产生少量粉尘，采用</w:t>
            </w:r>
            <w:r>
              <w:rPr>
                <w:kern w:val="0"/>
                <w:sz w:val="24"/>
              </w:rPr>
              <w:t>一体化可移动式集尘口集尘</w:t>
            </w:r>
            <w:r>
              <w:rPr>
                <w:sz w:val="24"/>
              </w:rPr>
              <w:t>，产生的粉尘落入吸尘系统中，能够</w:t>
            </w:r>
            <w:r>
              <w:rPr>
                <w:bCs/>
                <w:sz w:val="24"/>
              </w:rPr>
              <w:t>《大气污染物综合排放标准》（GB16297－1996）中无组织排放浓度监控限值（1.0mg/m</w:t>
            </w:r>
            <w:r>
              <w:rPr>
                <w:bCs/>
                <w:sz w:val="24"/>
                <w:vertAlign w:val="superscript"/>
              </w:rPr>
              <w:t>3</w:t>
            </w:r>
            <w:r>
              <w:rPr>
                <w:bCs/>
                <w:sz w:val="24"/>
              </w:rPr>
              <w:t>）</w:t>
            </w:r>
          </w:p>
          <w:p>
            <w:pPr>
              <w:spacing w:line="360" w:lineRule="auto"/>
              <w:ind w:firstLine="480" w:firstLineChars="200"/>
              <w:rPr>
                <w:sz w:val="24"/>
                <w:szCs w:val="24"/>
              </w:rPr>
            </w:pPr>
            <w:r>
              <w:rPr>
                <w:bCs/>
                <w:sz w:val="24"/>
              </w:rPr>
              <w:t>④喷烤漆废气：本项目设有1个密闭的喷烤漆房，废气经过滤棉+UV光氧催化+活性炭吸附废气处理装置处理后经15m高排气筒排入大气，能够实现达标排放，对环境的影响较小，若废气处理系统出现故障，建设单位必须停产检修。</w:t>
            </w:r>
          </w:p>
          <w:p>
            <w:pPr>
              <w:spacing w:line="360" w:lineRule="auto"/>
              <w:ind w:firstLine="480" w:firstLineChars="200"/>
              <w:rPr>
                <w:sz w:val="24"/>
              </w:rPr>
            </w:pPr>
            <w:r>
              <w:rPr>
                <w:sz w:val="24"/>
              </w:rPr>
              <w:t>⑤食堂油烟及燃料燃烧废气：根据本次评价分析，建设单位在采取油烟净化器处理后能够满足《饮食业油烟排放标准》（GB18483-2001）标准；食堂采用的能源为清洁能源天然气，其燃烧产生的污染物能够满足《大气污染物综合排放标准》（GB16297－1996）。</w:t>
            </w:r>
          </w:p>
          <w:p>
            <w:pPr>
              <w:spacing w:line="360" w:lineRule="auto"/>
              <w:ind w:firstLine="480" w:firstLineChars="200"/>
              <w:rPr>
                <w:sz w:val="24"/>
              </w:rPr>
            </w:pPr>
            <w:r>
              <w:rPr>
                <w:sz w:val="24"/>
              </w:rPr>
              <w:t>综上所述，本项目废气在采取相关环保措施后能够相关污染物排放标准要求，对周边环境空气影响在可接纳范围内，不会降低当前环境空气质量等级。</w:t>
            </w:r>
          </w:p>
          <w:p>
            <w:pPr>
              <w:spacing w:line="360" w:lineRule="auto"/>
              <w:ind w:firstLine="480" w:firstLineChars="200"/>
              <w:rPr>
                <w:sz w:val="24"/>
              </w:rPr>
            </w:pPr>
            <w:r>
              <w:rPr>
                <w:sz w:val="24"/>
              </w:rPr>
              <w:t>（2）废水：</w:t>
            </w:r>
          </w:p>
          <w:p>
            <w:pPr>
              <w:adjustRightInd w:val="0"/>
              <w:snapToGrid w:val="0"/>
              <w:spacing w:line="360" w:lineRule="auto"/>
              <w:ind w:firstLine="480" w:firstLineChars="200"/>
              <w:jc w:val="left"/>
              <w:rPr>
                <w:sz w:val="24"/>
              </w:rPr>
            </w:pPr>
            <w:r>
              <w:rPr>
                <w:sz w:val="24"/>
                <w:szCs w:val="24"/>
              </w:rPr>
              <w:t>项目废水经预处理后进入城陵矶新港区污水处理厂深度处理后外排象骨港，最终汇入长江。根据本次评价分析，项目废水经预处理后能够达到相关废水排放标准，项目采用的废水处理措施可行，所依托的污水处理厂能够满足本项目废水处理要求。项目污水处理后对外环境影响较小。</w:t>
            </w:r>
          </w:p>
          <w:p>
            <w:pPr>
              <w:snapToGrid w:val="0"/>
              <w:spacing w:line="360" w:lineRule="auto"/>
              <w:ind w:firstLine="480" w:firstLineChars="200"/>
              <w:rPr>
                <w:bCs/>
                <w:sz w:val="24"/>
              </w:rPr>
            </w:pPr>
            <w:r>
              <w:rPr>
                <w:sz w:val="24"/>
              </w:rPr>
              <w:t>（3）噪声：</w:t>
            </w:r>
          </w:p>
          <w:p>
            <w:pPr>
              <w:snapToGrid w:val="0"/>
              <w:spacing w:line="360" w:lineRule="auto"/>
              <w:ind w:firstLine="480" w:firstLineChars="200"/>
              <w:rPr>
                <w:bCs/>
                <w:sz w:val="24"/>
              </w:rPr>
            </w:pPr>
            <w:r>
              <w:rPr>
                <w:bCs/>
                <w:sz w:val="24"/>
              </w:rPr>
              <w:t>项目噪声源主要各类维修设备运行噪声，噪声级约为75~85dB(A) ，另外汽车进出产生交通噪声、项目在营业运行过程中产生的社会噪声等，噪声级在60-75dB(A) 。</w:t>
            </w:r>
            <w:r>
              <w:rPr>
                <w:spacing w:val="10"/>
                <w:kern w:val="24"/>
                <w:sz w:val="24"/>
              </w:rPr>
              <w:t>由于产生噪声设备不多、高噪声噪声设备较少、且项目仅白天工作，经自然距离衰减后，不会对区域声环境产生较大影响</w:t>
            </w:r>
            <w:r>
              <w:rPr>
                <w:sz w:val="24"/>
              </w:rPr>
              <w:t>，因此项目营运期间噪声对周围环境的影响较小。</w:t>
            </w:r>
          </w:p>
          <w:p>
            <w:pPr>
              <w:spacing w:line="360" w:lineRule="auto"/>
              <w:ind w:firstLine="480" w:firstLineChars="200"/>
              <w:rPr>
                <w:sz w:val="24"/>
              </w:rPr>
            </w:pPr>
            <w:r>
              <w:rPr>
                <w:sz w:val="24"/>
              </w:rPr>
              <w:t>（4）固体废弃物：</w:t>
            </w:r>
          </w:p>
          <w:p>
            <w:pPr>
              <w:spacing w:line="360" w:lineRule="auto"/>
              <w:ind w:firstLine="480" w:firstLineChars="200"/>
              <w:rPr>
                <w:sz w:val="24"/>
              </w:rPr>
            </w:pPr>
            <w:r>
              <w:rPr>
                <w:sz w:val="24"/>
                <w:szCs w:val="24"/>
              </w:rPr>
              <w:t>项目固体废物处理处置符合国家《固体废物污染环境防治法》规定的原则，符合《一般工业固体废物贮存、处置场污染控制标准》（GB18599-2001）及修改单和《危险废物贮存污染控制标准》（GB18597-2001）及修改单规定，采取上述措施后，项目固体废物可得到妥善的处理，对周围环境造成的影响很小。</w:t>
            </w:r>
          </w:p>
          <w:p>
            <w:pPr>
              <w:spacing w:line="360" w:lineRule="auto"/>
              <w:ind w:firstLine="482" w:firstLineChars="200"/>
              <w:rPr>
                <w:b/>
                <w:bCs/>
                <w:sz w:val="24"/>
              </w:rPr>
            </w:pPr>
            <w:r>
              <w:rPr>
                <w:b/>
                <w:bCs/>
                <w:sz w:val="24"/>
              </w:rPr>
              <w:t>6、政策</w:t>
            </w:r>
            <w:r>
              <w:rPr>
                <w:b/>
                <w:sz w:val="24"/>
              </w:rPr>
              <w:t>符合性分析</w:t>
            </w:r>
          </w:p>
          <w:p>
            <w:pPr>
              <w:spacing w:line="360" w:lineRule="auto"/>
              <w:ind w:firstLine="480" w:firstLineChars="200"/>
              <w:rPr>
                <w:sz w:val="24"/>
              </w:rPr>
            </w:pPr>
            <w:r>
              <w:rPr>
                <w:sz w:val="24"/>
              </w:rPr>
              <w:t>项目属汽车修理与维护O8011及汽车新车零售F5261，根据《产业结构调整指导目录（2019年）》可知项目不属于限制和淘汰类；且根据《部分工业行业淘汰落后生产工艺装备和产品指导目录（2010年本）》，本项目无淘汰落后生产工艺、设备和产品。因此项目符合现行国家产业政策。</w:t>
            </w:r>
          </w:p>
          <w:p>
            <w:pPr>
              <w:spacing w:line="360" w:lineRule="auto"/>
              <w:ind w:firstLine="504" w:firstLineChars="200"/>
              <w:rPr>
                <w:bCs/>
                <w:spacing w:val="6"/>
                <w:sz w:val="24"/>
                <w:szCs w:val="22"/>
              </w:rPr>
            </w:pPr>
            <w:r>
              <w:rPr>
                <w:bCs/>
                <w:spacing w:val="6"/>
                <w:sz w:val="24"/>
                <w:szCs w:val="22"/>
              </w:rPr>
              <w:t>根据本次评价分析，本项目符合《关于以改善环境质量为核心加强环境影响评价管理的通知》（环环评[2016]150号）中“三线一单”的相关要求，并符合《表面涂装（汽车制造）挥发性有机物、镍排放标准》（DB43/1356-2017）、。《挥发性有机物(VOCs)污染防治技术政策》、《挥发性有机物无组织排放控制标准（GB37822-2019）》、《2020年挥发性有机物治理攻坚方案》、《重点行业挥发性有机物综合治理方案》（环大气[2019]53号）、《国务院关于印发打赢蓝天保卫战三年行动计划的通知》（国发[2018]22）等政策、文件、规范的要求。</w:t>
            </w:r>
          </w:p>
          <w:p>
            <w:pPr>
              <w:spacing w:line="360" w:lineRule="auto"/>
              <w:ind w:firstLine="482" w:firstLineChars="200"/>
              <w:rPr>
                <w:b/>
                <w:bCs/>
                <w:sz w:val="24"/>
              </w:rPr>
            </w:pPr>
            <w:r>
              <w:rPr>
                <w:b/>
                <w:bCs/>
                <w:sz w:val="24"/>
              </w:rPr>
              <w:t>7、选址合理性</w:t>
            </w:r>
          </w:p>
          <w:p>
            <w:pPr>
              <w:spacing w:line="360" w:lineRule="auto"/>
              <w:ind w:firstLine="480" w:firstLineChars="200"/>
              <w:rPr>
                <w:sz w:val="24"/>
                <w:szCs w:val="24"/>
              </w:rPr>
            </w:pPr>
            <w:r>
              <w:rPr>
                <w:sz w:val="24"/>
                <w:szCs w:val="24"/>
              </w:rPr>
              <w:t>项目位于</w:t>
            </w:r>
            <w:r>
              <w:rPr>
                <w:sz w:val="24"/>
              </w:rPr>
              <w:t>岳阳市城陵矶新港区国际汽车城</w:t>
            </w:r>
            <w:r>
              <w:rPr>
                <w:sz w:val="24"/>
                <w:szCs w:val="24"/>
              </w:rPr>
              <w:t>，根据国土证可知项目用地属于</w:t>
            </w:r>
            <w:r>
              <w:rPr>
                <w:sz w:val="24"/>
              </w:rPr>
              <w:t>商服用地</w:t>
            </w:r>
            <w:r>
              <w:rPr>
                <w:sz w:val="24"/>
                <w:szCs w:val="24"/>
              </w:rPr>
              <w:t>，</w:t>
            </w:r>
            <w:r>
              <w:rPr>
                <w:spacing w:val="6"/>
                <w:sz w:val="24"/>
              </w:rPr>
              <w:t>符合用地性质要求</w:t>
            </w:r>
            <w:r>
              <w:rPr>
                <w:sz w:val="24"/>
                <w:szCs w:val="24"/>
              </w:rPr>
              <w:t>。目前已经取得营业执照，属于合法企业。选址紧邻</w:t>
            </w:r>
            <w:r>
              <w:rPr>
                <w:sz w:val="24"/>
              </w:rPr>
              <w:t>联港路</w:t>
            </w:r>
            <w:r>
              <w:rPr>
                <w:sz w:val="24"/>
                <w:szCs w:val="24"/>
              </w:rPr>
              <w:t>，车辆来往频繁，交通便利；所在区域属于建成区，营运过程中所需的水、电供应均有保证，能满足经营及生活需求。</w:t>
            </w:r>
            <w:r>
              <w:rPr>
                <w:rFonts w:hint="eastAsia"/>
                <w:sz w:val="24"/>
                <w:szCs w:val="24"/>
              </w:rPr>
              <w:t>项目</w:t>
            </w:r>
            <w:r>
              <w:rPr>
                <w:sz w:val="24"/>
                <w:szCs w:val="24"/>
              </w:rPr>
              <w:t>周边已小规模形成聚集区，均为已建商业和居民住宅等，项目属于汽车销售与维护服务，与周边环境基本协调，与地方规划相容。营运过程中产生的废水、废气和噪声经治理达标后排放、固体废物经综合利用或妥善处置后，对环境影响不大。因此，从环保角度分析，项目建设对环境影响小，不改变区域环境功能级别。区域无自然保护区、文物景观、水源地等环境敏感点，是较为理想的汽车维修与维护服务点。综上所述，项目的建设对当地居民生活环境影响不大，对周围环境影响较小，项目选址基本合理可行。</w:t>
            </w:r>
          </w:p>
          <w:p>
            <w:pPr>
              <w:spacing w:line="360" w:lineRule="auto"/>
              <w:ind w:firstLine="458" w:firstLineChars="200"/>
              <w:rPr>
                <w:sz w:val="24"/>
              </w:rPr>
            </w:pPr>
            <w:r>
              <w:rPr>
                <w:b/>
                <w:bCs/>
                <w:spacing w:val="-6"/>
                <w:sz w:val="24"/>
              </w:rPr>
              <w:t>8、总平面布置合理性</w:t>
            </w:r>
            <w:r>
              <w:rPr>
                <w:spacing w:val="-6"/>
                <w:sz w:val="24"/>
              </w:rPr>
              <w:tab/>
            </w:r>
          </w:p>
          <w:p>
            <w:pPr>
              <w:spacing w:line="360" w:lineRule="auto"/>
              <w:ind w:firstLine="480" w:firstLineChars="200"/>
              <w:rPr>
                <w:sz w:val="24"/>
                <w:szCs w:val="24"/>
              </w:rPr>
            </w:pPr>
            <w:r>
              <w:rPr>
                <w:sz w:val="24"/>
                <w:szCs w:val="24"/>
              </w:rPr>
              <w:t>项目各区</w:t>
            </w:r>
            <w:r>
              <w:rPr>
                <w:bCs/>
                <w:spacing w:val="6"/>
                <w:sz w:val="24"/>
              </w:rPr>
              <w:t>能做到人流和物流畅通，同时设立密闭烤漆房废气集中收集处理后外排，各污染源布置位置能有效减少油漆废气、维修噪声对周居民的影响。一般固废暂存区10平方米，位于项目厂房西侧；危险废物暂存区10平方米，设置于配件库房内；远离办公区和其它区域，采取防渗防漏措施，设置合理可行。东面的市政绿地一定程度上阻隔了</w:t>
            </w:r>
            <w:r>
              <w:rPr>
                <w:sz w:val="24"/>
                <w:szCs w:val="24"/>
              </w:rPr>
              <w:t>联港路</w:t>
            </w:r>
            <w:r>
              <w:rPr>
                <w:bCs/>
                <w:spacing w:val="6"/>
                <w:sz w:val="24"/>
              </w:rPr>
              <w:t>上来往车辆的行驶噪声。各区域根据维修及服务的流程，布局合理，整个平面体系组织紧密、灵活，体现了人性化。综上所述，项目平面布置合理。</w:t>
            </w:r>
          </w:p>
          <w:p>
            <w:pPr>
              <w:spacing w:line="360" w:lineRule="auto"/>
              <w:ind w:firstLine="482" w:firstLineChars="200"/>
              <w:rPr>
                <w:sz w:val="24"/>
              </w:rPr>
            </w:pPr>
            <w:r>
              <w:rPr>
                <w:b/>
                <w:sz w:val="24"/>
              </w:rPr>
              <w:t>9、综合评价结论</w:t>
            </w:r>
          </w:p>
          <w:p>
            <w:pPr>
              <w:spacing w:line="360" w:lineRule="auto"/>
              <w:ind w:firstLine="480" w:firstLineChars="200"/>
              <w:rPr>
                <w:b/>
                <w:sz w:val="24"/>
              </w:rPr>
            </w:pPr>
            <w:r>
              <w:rPr>
                <w:bCs/>
                <w:sz w:val="24"/>
              </w:rPr>
              <w:t>综上所述，</w:t>
            </w:r>
            <w:r>
              <w:rPr>
                <w:rFonts w:hint="eastAsia"/>
                <w:sz w:val="24"/>
              </w:rPr>
              <w:t>岳阳市兴燕贸易有限公司新港分公司</w:t>
            </w:r>
            <w:r>
              <w:rPr>
                <w:bCs/>
                <w:sz w:val="24"/>
              </w:rPr>
              <w:t>投资</w:t>
            </w:r>
            <w:r>
              <w:rPr>
                <w:rFonts w:hint="eastAsia"/>
                <w:bCs/>
                <w:sz w:val="24"/>
              </w:rPr>
              <w:t>10</w:t>
            </w:r>
            <w:r>
              <w:rPr>
                <w:bCs/>
                <w:sz w:val="24"/>
              </w:rPr>
              <w:t>00万元在岳阳市城陵矶新港区临港国际汽车城建设</w:t>
            </w:r>
            <w:r>
              <w:rPr>
                <w:rFonts w:hint="eastAsia"/>
                <w:sz w:val="24"/>
              </w:rPr>
              <w:t>岳阳市兴燕贸易有限公司新港分公司吉利4S店建设项目</w:t>
            </w:r>
            <w:r>
              <w:rPr>
                <w:bCs/>
                <w:sz w:val="24"/>
              </w:rPr>
              <w:t>符合国家产业政策，选址可行、平面布置合理，项目对废气、废水、噪声和固体废物等污染物采取了较为妥善的处理处置措施，各污染物均能达标排放，污染物排放量相对较小，对周围环境影响不大，周围环境质量能满足功能区划要求。项目的建设整体上符合环境保护和社会可持续发展的要求，从环境保护角度出发，</w:t>
            </w:r>
            <w:r>
              <w:rPr>
                <w:b/>
                <w:sz w:val="24"/>
              </w:rPr>
              <w:t>项目建设是可行的。</w:t>
            </w:r>
          </w:p>
          <w:p>
            <w:pPr>
              <w:spacing w:line="360" w:lineRule="auto"/>
              <w:rPr>
                <w:sz w:val="24"/>
              </w:rPr>
            </w:pPr>
            <w:r>
              <w:rPr>
                <w:b/>
                <w:sz w:val="24"/>
              </w:rPr>
              <w:t>二、环保建议</w:t>
            </w:r>
          </w:p>
          <w:p>
            <w:pPr>
              <w:snapToGrid w:val="0"/>
              <w:spacing w:line="360" w:lineRule="auto"/>
              <w:ind w:firstLine="480" w:firstLineChars="200"/>
              <w:rPr>
                <w:sz w:val="24"/>
              </w:rPr>
            </w:pPr>
            <w:r>
              <w:rPr>
                <w:sz w:val="24"/>
              </w:rPr>
              <w:t>1、建立健全生产环保规章制度，严格人员操作管理，与此同时，加强设备、管道、各项治污措施的定期检查和维护工作。</w:t>
            </w:r>
          </w:p>
          <w:p>
            <w:pPr>
              <w:snapToGrid w:val="0"/>
              <w:spacing w:line="360" w:lineRule="auto"/>
              <w:ind w:firstLine="480" w:firstLineChars="200"/>
              <w:rPr>
                <w:sz w:val="24"/>
              </w:rPr>
            </w:pPr>
            <w:r>
              <w:rPr>
                <w:sz w:val="24"/>
              </w:rPr>
              <w:t>2、企业应加强环保设施的管理、维护，建立健全环保设施的运行管理制度，定期检查、设备维护和检修制度，确保环保设施的高效、正常运转，尽量减少和避免事故排放。在当地环保部门的指导下，定期对污染源进行监测，并建立污染源管理档案，确保污染物达标排放。</w:t>
            </w:r>
          </w:p>
          <w:p>
            <w:pPr>
              <w:snapToGrid w:val="0"/>
              <w:spacing w:line="360" w:lineRule="auto"/>
              <w:ind w:firstLine="480" w:firstLineChars="200"/>
              <w:rPr>
                <w:sz w:val="24"/>
              </w:rPr>
            </w:pPr>
            <w:r>
              <w:rPr>
                <w:sz w:val="24"/>
              </w:rPr>
              <w:t>3、加强对固废的分类收集和管理工作。对收集的固废用专用容器进行收集，要有明显的标志牌或标签。妥善保管好废物，定期送至指定点处置，防止流失，避免二次污染。</w:t>
            </w:r>
          </w:p>
          <w:p>
            <w:pPr>
              <w:snapToGrid w:val="0"/>
              <w:spacing w:line="360" w:lineRule="auto"/>
              <w:ind w:firstLine="480" w:firstLineChars="200"/>
              <w:rPr>
                <w:sz w:val="24"/>
              </w:rPr>
            </w:pPr>
            <w:r>
              <w:rPr>
                <w:sz w:val="24"/>
              </w:rPr>
              <w:t>4、使用低污染、低毒害的化学清洗剂，尽量采用加热、加压的物理方法，减少化学品的使用；对于各种油漆和溶剂的配置要根据使用要求严格控制，避免废弃物措施；根据国家安有关部门的要求不使用汽车行业中需要淘汰的产品，如氟利昂空调制冷剂、含碳氢化合物的刹车液、传动液等。</w:t>
            </w:r>
          </w:p>
          <w:p>
            <w:pPr>
              <w:snapToGrid w:val="0"/>
              <w:spacing w:line="360" w:lineRule="auto"/>
              <w:ind w:firstLine="480" w:firstLineChars="200"/>
              <w:rPr>
                <w:sz w:val="24"/>
              </w:rPr>
            </w:pPr>
            <w:r>
              <w:rPr>
                <w:sz w:val="24"/>
              </w:rPr>
              <w:t>5、应加强环保宣传教育工作，强化场地的各项环境管理工作。自觉接受市、区环保主管部门对公司环保工作的监督指导。</w:t>
            </w:r>
          </w:p>
          <w:p>
            <w:pPr>
              <w:snapToGrid w:val="0"/>
              <w:spacing w:line="360" w:lineRule="auto"/>
              <w:ind w:firstLine="480" w:firstLineChars="200"/>
              <w:rPr>
                <w:sz w:val="24"/>
              </w:rPr>
            </w:pPr>
            <w:r>
              <w:rPr>
                <w:sz w:val="24"/>
              </w:rPr>
              <w:t>6、按《中华人民共和国清洁生产促进法》和清洁生产审核办法流程，建设单位应加强对员工的环保培训计划，使其能正确、熟练地使用各类回收设备与容器，在工作中对各类废弃污染物做到不洒漏，对各类原材料做到节约使用，营造“节约就是效益”的良好氛围。</w:t>
            </w:r>
          </w:p>
          <w:p>
            <w:pPr>
              <w:snapToGrid w:val="0"/>
              <w:spacing w:line="360" w:lineRule="auto"/>
              <w:ind w:firstLine="480" w:firstLineChars="200"/>
              <w:rPr>
                <w:sz w:val="24"/>
              </w:rPr>
            </w:pPr>
            <w:r>
              <w:rPr>
                <w:sz w:val="24"/>
              </w:rPr>
              <w:t>7、环评要求项目店内严禁拆解废铅酸蓄电池、对破损的废铅酸蓄电池应规范收存，防止电解液泄漏污染环境，同时产生的废电池应及时交厂家回收，尽量不在厂区内暂存。</w:t>
            </w:r>
          </w:p>
          <w:p>
            <w:pPr>
              <w:snapToGrid w:val="0"/>
              <w:spacing w:line="360" w:lineRule="auto"/>
              <w:ind w:firstLine="480" w:firstLineChars="200"/>
              <w:rPr>
                <w:sz w:val="24"/>
              </w:rPr>
            </w:pPr>
            <w:r>
              <w:rPr>
                <w:sz w:val="24"/>
              </w:rPr>
              <w:t>9、根据国家“十三五”挥发性有机物污染防治工作方案中推动汽修行业 VOCs 治理内容为：“大力推广使用水性、高固体分涂料，推进底色漆使用水性、高固体分涂料。推广采用静电喷涂等高涂着效率的涂装工艺，喷漆、流平和烘干等工艺操作应置于喷烤漆房内，使用溶剂型涂料的喷枪应密闭清洗，产生的 VOCs 废气应集中收集并导入治理设施，实现达标排放。”对照上述内容本项目今后将根据实际情况在喷涂过程使用水性涂料，喷涂过程采用静电喷涂工艺，喷漆、流平和烘干等工艺操作置于喷烤漆房内，使用溶剂型涂料的喷枪应密闭清洗，产生的VOCs 废气集中收集通过设置的废气处理装置进行净化处理达标后引至高空外排，同时根据验收规范要求合理设置废气排放口采样口和处置设施位置。</w:t>
            </w:r>
          </w:p>
          <w:p>
            <w:pPr>
              <w:snapToGrid w:val="0"/>
              <w:spacing w:line="360" w:lineRule="auto"/>
              <w:ind w:firstLine="480" w:firstLineChars="200"/>
              <w:rPr>
                <w:sz w:val="24"/>
              </w:rPr>
            </w:pPr>
          </w:p>
          <w:p>
            <w:pPr>
              <w:snapToGrid w:val="0"/>
              <w:spacing w:line="360" w:lineRule="auto"/>
              <w:ind w:firstLine="480" w:firstLineChars="200"/>
              <w:rPr>
                <w:sz w:val="24"/>
              </w:rPr>
            </w:pPr>
          </w:p>
        </w:tc>
      </w:tr>
    </w:tbl>
    <w:p/>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utch801 Rm BT">
    <w:altName w:val="Times New Roman"/>
    <w:panose1 w:val="02020603060505020304"/>
    <w:charset w:val="00"/>
    <w:family w:val="roman"/>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pPr>
      <w:pStyle w:val="11"/>
      <w:framePr w:wrap="around" w:vAnchor="text" w:hAnchor="margin" w:xAlign="center" w:y="1"/>
      <w:ind w:right="360"/>
      <w:rPr>
        <w:rStyle w:val="23"/>
      </w:rPr>
    </w:pPr>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C2CB1"/>
    <w:multiLevelType w:val="singleLevel"/>
    <w:tmpl w:val="990C2CB1"/>
    <w:lvl w:ilvl="0" w:tentative="0">
      <w:start w:val="1"/>
      <w:numFmt w:val="upperLetter"/>
      <w:lvlText w:val="%1."/>
      <w:lvlJc w:val="left"/>
      <w:pPr>
        <w:ind w:left="425" w:hanging="425"/>
      </w:pPr>
      <w:rPr>
        <w:rFonts w:hint="default"/>
      </w:rPr>
    </w:lvl>
  </w:abstractNum>
  <w:abstractNum w:abstractNumId="1">
    <w:nsid w:val="D0F85D41"/>
    <w:multiLevelType w:val="singleLevel"/>
    <w:tmpl w:val="D0F85D41"/>
    <w:lvl w:ilvl="0" w:tentative="0">
      <w:start w:val="5"/>
      <w:numFmt w:val="decimal"/>
      <w:suff w:val="nothing"/>
      <w:lvlText w:val="（%1）"/>
      <w:lvlJc w:val="left"/>
    </w:lvl>
  </w:abstractNum>
  <w:abstractNum w:abstractNumId="2">
    <w:nsid w:val="D64A0FA2"/>
    <w:multiLevelType w:val="singleLevel"/>
    <w:tmpl w:val="D64A0FA2"/>
    <w:lvl w:ilvl="0" w:tentative="0">
      <w:start w:val="3"/>
      <w:numFmt w:val="chineseCounting"/>
      <w:suff w:val="nothing"/>
      <w:lvlText w:val="%1、"/>
      <w:lvlJc w:val="left"/>
      <w:rPr>
        <w:rFonts w:hint="eastAsia"/>
      </w:rPr>
    </w:lvl>
  </w:abstractNum>
  <w:abstractNum w:abstractNumId="3">
    <w:nsid w:val="FE06DFB2"/>
    <w:multiLevelType w:val="singleLevel"/>
    <w:tmpl w:val="FE06DFB2"/>
    <w:lvl w:ilvl="0" w:tentative="0">
      <w:start w:val="1"/>
      <w:numFmt w:val="upperLetter"/>
      <w:lvlText w:val="%1."/>
      <w:lvlJc w:val="left"/>
      <w:pPr>
        <w:ind w:left="425" w:hanging="425"/>
      </w:pPr>
      <w:rPr>
        <w:rFonts w:hint="default"/>
      </w:rPr>
    </w:lvl>
  </w:abstractNum>
  <w:abstractNum w:abstractNumId="4">
    <w:nsid w:val="078C2A4B"/>
    <w:multiLevelType w:val="singleLevel"/>
    <w:tmpl w:val="078C2A4B"/>
    <w:lvl w:ilvl="0" w:tentative="0">
      <w:start w:val="1"/>
      <w:numFmt w:val="decimal"/>
      <w:suff w:val="nothing"/>
      <w:lvlText w:val="%1、"/>
      <w:lvlJc w:val="left"/>
    </w:lvl>
  </w:abstractNum>
  <w:abstractNum w:abstractNumId="5">
    <w:nsid w:val="4E2B36D2"/>
    <w:multiLevelType w:val="singleLevel"/>
    <w:tmpl w:val="4E2B36D2"/>
    <w:lvl w:ilvl="0" w:tentative="0">
      <w:start w:val="5"/>
      <w:numFmt w:val="chineseCounting"/>
      <w:suff w:val="nothing"/>
      <w:lvlText w:val="%1、"/>
      <w:lvlJc w:val="left"/>
      <w:rPr>
        <w:rFonts w:hint="eastAsia"/>
      </w:rPr>
    </w:lvl>
  </w:abstractNum>
  <w:abstractNum w:abstractNumId="6">
    <w:nsid w:val="6233C983"/>
    <w:multiLevelType w:val="singleLevel"/>
    <w:tmpl w:val="6233C983"/>
    <w:lvl w:ilvl="0" w:tentative="0">
      <w:start w:val="1"/>
      <w:numFmt w:val="decimal"/>
      <w:suff w:val="nothing"/>
      <w:lvlText w:val="%1、"/>
      <w:lvlJc w:val="left"/>
    </w:lvl>
  </w:abstractNum>
  <w:abstractNum w:abstractNumId="7">
    <w:nsid w:val="6F080344"/>
    <w:multiLevelType w:val="singleLevel"/>
    <w:tmpl w:val="6F080344"/>
    <w:lvl w:ilvl="0" w:tentative="0">
      <w:start w:val="1"/>
      <w:numFmt w:val="decimal"/>
      <w:suff w:val="nothing"/>
      <w:lvlText w:val="（%1）"/>
      <w:lvlJc w:val="left"/>
    </w:lvl>
  </w:abstractNum>
  <w:abstractNum w:abstractNumId="8">
    <w:nsid w:val="6F328094"/>
    <w:multiLevelType w:val="singleLevel"/>
    <w:tmpl w:val="6F328094"/>
    <w:lvl w:ilvl="0" w:tentative="0">
      <w:start w:val="7"/>
      <w:numFmt w:val="decimal"/>
      <w:suff w:val="nothing"/>
      <w:lvlText w:val="%1、"/>
      <w:lvlJc w:val="left"/>
    </w:lvl>
  </w:abstractNum>
  <w:abstractNum w:abstractNumId="9">
    <w:nsid w:val="76BF5230"/>
    <w:multiLevelType w:val="singleLevel"/>
    <w:tmpl w:val="76BF5230"/>
    <w:lvl w:ilvl="0" w:tentative="0">
      <w:start w:val="1"/>
      <w:numFmt w:val="upperLetter"/>
      <w:lvlText w:val="%1."/>
      <w:lvlJc w:val="left"/>
      <w:pPr>
        <w:ind w:left="425" w:hanging="425"/>
      </w:pPr>
      <w:rPr>
        <w:rFonts w:hint="default"/>
      </w:rPr>
    </w:lvl>
  </w:abstractNum>
  <w:num w:numId="1">
    <w:abstractNumId w:val="1"/>
  </w:num>
  <w:num w:numId="2">
    <w:abstractNumId w:val="5"/>
  </w:num>
  <w:num w:numId="3">
    <w:abstractNumId w:val="6"/>
  </w:num>
  <w:num w:numId="4">
    <w:abstractNumId w:val="2"/>
  </w:num>
  <w:num w:numId="5">
    <w:abstractNumId w:val="4"/>
  </w:num>
  <w:num w:numId="6">
    <w:abstractNumId w:val="9"/>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36409"/>
    <w:rsid w:val="000111D8"/>
    <w:rsid w:val="000B2790"/>
    <w:rsid w:val="00112D41"/>
    <w:rsid w:val="00163044"/>
    <w:rsid w:val="001C5EBD"/>
    <w:rsid w:val="001F13E0"/>
    <w:rsid w:val="00282313"/>
    <w:rsid w:val="002C62E5"/>
    <w:rsid w:val="00313F78"/>
    <w:rsid w:val="00377846"/>
    <w:rsid w:val="00423F77"/>
    <w:rsid w:val="00437F7E"/>
    <w:rsid w:val="004976BD"/>
    <w:rsid w:val="004B54C8"/>
    <w:rsid w:val="00511C15"/>
    <w:rsid w:val="00546829"/>
    <w:rsid w:val="0058632C"/>
    <w:rsid w:val="005A6E7B"/>
    <w:rsid w:val="005E052E"/>
    <w:rsid w:val="006121C1"/>
    <w:rsid w:val="00632C72"/>
    <w:rsid w:val="006458E9"/>
    <w:rsid w:val="006575D9"/>
    <w:rsid w:val="006F3197"/>
    <w:rsid w:val="0072678C"/>
    <w:rsid w:val="00744A5F"/>
    <w:rsid w:val="00784C7D"/>
    <w:rsid w:val="00881DEB"/>
    <w:rsid w:val="008C260E"/>
    <w:rsid w:val="008F2672"/>
    <w:rsid w:val="00912A0F"/>
    <w:rsid w:val="00912A38"/>
    <w:rsid w:val="00A66189"/>
    <w:rsid w:val="00A702C0"/>
    <w:rsid w:val="00B0223F"/>
    <w:rsid w:val="00B779B2"/>
    <w:rsid w:val="00BD1CAC"/>
    <w:rsid w:val="00BE4B0F"/>
    <w:rsid w:val="00C81EAF"/>
    <w:rsid w:val="00CC32E2"/>
    <w:rsid w:val="00CC7EBC"/>
    <w:rsid w:val="00CF5C92"/>
    <w:rsid w:val="00D836F2"/>
    <w:rsid w:val="00E070AF"/>
    <w:rsid w:val="00E80D81"/>
    <w:rsid w:val="00EA6B26"/>
    <w:rsid w:val="00EF4744"/>
    <w:rsid w:val="00F27705"/>
    <w:rsid w:val="00F6473A"/>
    <w:rsid w:val="00F92823"/>
    <w:rsid w:val="00FB228B"/>
    <w:rsid w:val="01C57F31"/>
    <w:rsid w:val="037B0B3C"/>
    <w:rsid w:val="049D5AFC"/>
    <w:rsid w:val="06760FD6"/>
    <w:rsid w:val="06CE01B4"/>
    <w:rsid w:val="09EC68F7"/>
    <w:rsid w:val="0B087A28"/>
    <w:rsid w:val="0B182168"/>
    <w:rsid w:val="113A0439"/>
    <w:rsid w:val="11D61C13"/>
    <w:rsid w:val="17B02C04"/>
    <w:rsid w:val="1AAD3ED7"/>
    <w:rsid w:val="220B6409"/>
    <w:rsid w:val="233E06E8"/>
    <w:rsid w:val="25405E1D"/>
    <w:rsid w:val="2B7A4A30"/>
    <w:rsid w:val="2F2F0392"/>
    <w:rsid w:val="2F4D706F"/>
    <w:rsid w:val="32C96248"/>
    <w:rsid w:val="343C7988"/>
    <w:rsid w:val="35957556"/>
    <w:rsid w:val="3C9D4D80"/>
    <w:rsid w:val="3D61424C"/>
    <w:rsid w:val="3E6F3B7B"/>
    <w:rsid w:val="42DB7D57"/>
    <w:rsid w:val="4349574F"/>
    <w:rsid w:val="43893EC9"/>
    <w:rsid w:val="47845BDF"/>
    <w:rsid w:val="4B8810B6"/>
    <w:rsid w:val="4C1656AE"/>
    <w:rsid w:val="4E786E50"/>
    <w:rsid w:val="4EF528AA"/>
    <w:rsid w:val="589F5BAF"/>
    <w:rsid w:val="5B5211DC"/>
    <w:rsid w:val="617B23F3"/>
    <w:rsid w:val="648407D9"/>
    <w:rsid w:val="71351DD9"/>
    <w:rsid w:val="71C1001E"/>
    <w:rsid w:val="74AC7187"/>
    <w:rsid w:val="74B20B5C"/>
    <w:rsid w:val="74BC27E8"/>
    <w:rsid w:val="76751A08"/>
    <w:rsid w:val="79036409"/>
    <w:rsid w:val="79077437"/>
    <w:rsid w:val="7F18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styleId="4">
    <w:name w:val="Normal Indent"/>
    <w:basedOn w:val="1"/>
    <w:qFormat/>
    <w:uiPriority w:val="0"/>
    <w:pPr>
      <w:adjustRightInd w:val="0"/>
      <w:snapToGrid w:val="0"/>
      <w:spacing w:line="360" w:lineRule="auto"/>
      <w:jc w:val="left"/>
    </w:pPr>
    <w:rPr>
      <w:rFonts w:eastAsia="黑体"/>
      <w:sz w:val="24"/>
    </w:rPr>
  </w:style>
  <w:style w:type="paragraph" w:styleId="5">
    <w:name w:val="caption"/>
    <w:basedOn w:val="1"/>
    <w:next w:val="1"/>
    <w:qFormat/>
    <w:uiPriority w:val="0"/>
    <w:rPr>
      <w:rFonts w:ascii="Arial" w:hAnsi="Arial" w:eastAsia="黑体" w:cs="Arial"/>
      <w:sz w:val="20"/>
    </w:rPr>
  </w:style>
  <w:style w:type="paragraph" w:styleId="6">
    <w:name w:val="Document Map"/>
    <w:basedOn w:val="1"/>
    <w:link w:val="54"/>
    <w:qFormat/>
    <w:uiPriority w:val="0"/>
    <w:rPr>
      <w:rFonts w:ascii="宋体"/>
      <w:sz w:val="18"/>
      <w:szCs w:val="18"/>
    </w:rPr>
  </w:style>
  <w:style w:type="paragraph" w:styleId="7">
    <w:name w:val="annotation text"/>
    <w:basedOn w:val="1"/>
    <w:link w:val="51"/>
    <w:qFormat/>
    <w:uiPriority w:val="0"/>
    <w:pPr>
      <w:jc w:val="left"/>
    </w:pPr>
  </w:style>
  <w:style w:type="paragraph" w:styleId="8">
    <w:name w:val="Body Text Indent"/>
    <w:basedOn w:val="1"/>
    <w:qFormat/>
    <w:uiPriority w:val="0"/>
    <w:pPr>
      <w:spacing w:after="120"/>
      <w:ind w:left="420" w:leftChars="200"/>
    </w:pPr>
    <w:rPr>
      <w:szCs w:val="24"/>
    </w:rPr>
  </w:style>
  <w:style w:type="paragraph" w:styleId="9">
    <w:name w:val="Plain Text"/>
    <w:basedOn w:val="1"/>
    <w:qFormat/>
    <w:uiPriority w:val="0"/>
    <w:rPr>
      <w:rFonts w:ascii="宋体" w:hAnsi="Courier New"/>
    </w:rPr>
  </w:style>
  <w:style w:type="paragraph" w:styleId="10">
    <w:name w:val="Balloon Text"/>
    <w:basedOn w:val="1"/>
    <w:link w:val="5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List"/>
    <w:basedOn w:val="1"/>
    <w:next w:val="1"/>
    <w:qFormat/>
    <w:uiPriority w:val="0"/>
    <w:pPr>
      <w:widowControl/>
      <w:overflowPunct w:val="0"/>
      <w:autoSpaceDE w:val="0"/>
      <w:autoSpaceDN w:val="0"/>
      <w:adjustRightInd w:val="0"/>
      <w:spacing w:line="360" w:lineRule="auto"/>
      <w:jc w:val="center"/>
      <w:textAlignment w:val="baseline"/>
    </w:pPr>
    <w:rPr>
      <w:kern w:val="0"/>
      <w:lang w:val="en-GB"/>
    </w:rPr>
  </w:style>
  <w:style w:type="paragraph" w:styleId="15">
    <w:name w:val="Body Text 2"/>
    <w:basedOn w:val="1"/>
    <w:qFormat/>
    <w:uiPriority w:val="0"/>
    <w:rPr>
      <w:sz w:val="28"/>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link w:val="52"/>
    <w:qFormat/>
    <w:uiPriority w:val="0"/>
    <w:rPr>
      <w:b/>
      <w:bCs/>
    </w:rPr>
  </w:style>
  <w:style w:type="paragraph" w:styleId="18">
    <w:name w:val="Body Text First Indent"/>
    <w:basedOn w:val="2"/>
    <w:next w:val="4"/>
    <w:qFormat/>
    <w:uiPriority w:val="0"/>
    <w:pPr>
      <w:ind w:firstLine="420" w:firstLineChars="100"/>
    </w:pPr>
  </w:style>
  <w:style w:type="paragraph" w:styleId="19">
    <w:name w:val="Body Text First Indent 2"/>
    <w:basedOn w:val="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000000"/>
      <w:u w:val="none"/>
    </w:rPr>
  </w:style>
  <w:style w:type="character" w:styleId="25">
    <w:name w:val="annotation reference"/>
    <w:qFormat/>
    <w:uiPriority w:val="99"/>
    <w:rPr>
      <w:sz w:val="21"/>
      <w:szCs w:val="21"/>
    </w:rPr>
  </w:style>
  <w:style w:type="paragraph" w:customStyle="1" w:styleId="26">
    <w:name w:val="Default"/>
    <w:basedOn w:val="27"/>
    <w:next w:val="14"/>
    <w:qFormat/>
    <w:uiPriority w:val="0"/>
    <w:pPr>
      <w:autoSpaceDE w:val="0"/>
      <w:autoSpaceDN w:val="0"/>
    </w:pPr>
    <w:rPr>
      <w:rFonts w:ascii="幼圆" w:eastAsia="幼圆" w:cs="幼圆"/>
      <w:color w:val="000000"/>
      <w:sz w:val="24"/>
      <w:szCs w:val="24"/>
    </w:rPr>
  </w:style>
  <w:style w:type="paragraph" w:customStyle="1" w:styleId="27">
    <w:name w:val="纯文本1"/>
    <w:basedOn w:val="1"/>
    <w:qFormat/>
    <w:uiPriority w:val="0"/>
    <w:pPr>
      <w:adjustRightInd w:val="0"/>
      <w:textAlignment w:val="baseline"/>
    </w:pPr>
    <w:rPr>
      <w:rFonts w:ascii="宋体" w:hAnsi="Courier New"/>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表文字"/>
    <w:basedOn w:val="1"/>
    <w:qFormat/>
    <w:uiPriority w:val="0"/>
    <w:pPr>
      <w:overflowPunct w:val="0"/>
      <w:autoSpaceDE w:val="0"/>
      <w:autoSpaceDN w:val="0"/>
      <w:adjustRightInd w:val="0"/>
      <w:spacing w:line="240" w:lineRule="atLeast"/>
      <w:jc w:val="center"/>
      <w:textAlignment w:val="baseline"/>
    </w:pPr>
    <w:rPr>
      <w:spacing w:val="-6"/>
      <w:kern w:val="0"/>
      <w:sz w:val="24"/>
      <w:szCs w:val="24"/>
    </w:rPr>
  </w:style>
  <w:style w:type="paragraph" w:customStyle="1" w:styleId="30">
    <w:name w:val="样式 (符号) 宋体 小四 行距: 固定值 26 磅"/>
    <w:basedOn w:val="1"/>
    <w:qFormat/>
    <w:uiPriority w:val="0"/>
    <w:pPr>
      <w:spacing w:line="520" w:lineRule="exact"/>
      <w:ind w:firstLine="480" w:firstLineChars="200"/>
    </w:pPr>
    <w:rPr>
      <w:rFonts w:hAnsi="宋体" w:cs="宋体"/>
      <w:sz w:val="24"/>
    </w:rPr>
  </w:style>
  <w:style w:type="paragraph" w:customStyle="1" w:styleId="31">
    <w:name w:val="表 图 内容"/>
    <w:basedOn w:val="1"/>
    <w:qFormat/>
    <w:uiPriority w:val="0"/>
    <w:pPr>
      <w:jc w:val="center"/>
    </w:pPr>
    <w:rPr>
      <w:rFonts w:ascii="Calibri" w:hAnsi="Calibri"/>
      <w:color w:val="000000"/>
      <w:szCs w:val="24"/>
    </w:rPr>
  </w:style>
  <w:style w:type="paragraph" w:customStyle="1" w:styleId="32">
    <w:name w:val="WPSOffice手动目录 1"/>
    <w:qFormat/>
    <w:uiPriority w:val="0"/>
    <w:rPr>
      <w:rFonts w:ascii="Calibri" w:hAnsi="Calibri" w:eastAsia="宋体" w:cs="Times New Roman"/>
      <w:lang w:val="en-US" w:eastAsia="zh-CN" w:bidi="ar-SA"/>
    </w:rPr>
  </w:style>
  <w:style w:type="character" w:customStyle="1" w:styleId="33">
    <w:name w:val="font31"/>
    <w:basedOn w:val="22"/>
    <w:qFormat/>
    <w:uiPriority w:val="0"/>
    <w:rPr>
      <w:rFonts w:hint="eastAsia" w:ascii="宋体" w:hAnsi="宋体" w:eastAsia="宋体" w:cs="宋体"/>
      <w:b/>
      <w:color w:val="000000"/>
      <w:sz w:val="21"/>
      <w:szCs w:val="21"/>
      <w:u w:val="none"/>
    </w:rPr>
  </w:style>
  <w:style w:type="character" w:customStyle="1" w:styleId="34">
    <w:name w:val="font21"/>
    <w:basedOn w:val="22"/>
    <w:qFormat/>
    <w:uiPriority w:val="0"/>
    <w:rPr>
      <w:rFonts w:hint="default" w:ascii="Times New Roman" w:hAnsi="Times New Roman" w:cs="Times New Roman"/>
      <w:color w:val="000000"/>
      <w:sz w:val="21"/>
      <w:szCs w:val="21"/>
      <w:u w:val="none"/>
    </w:rPr>
  </w:style>
  <w:style w:type="character" w:customStyle="1" w:styleId="35">
    <w:name w:val="font11"/>
    <w:basedOn w:val="22"/>
    <w:qFormat/>
    <w:uiPriority w:val="0"/>
    <w:rPr>
      <w:rFonts w:hint="eastAsia" w:ascii="宋体" w:hAnsi="宋体" w:eastAsia="宋体" w:cs="宋体"/>
      <w:b/>
      <w:color w:val="000000"/>
      <w:sz w:val="21"/>
      <w:szCs w:val="21"/>
      <w:u w:val="none"/>
    </w:rPr>
  </w:style>
  <w:style w:type="character" w:customStyle="1" w:styleId="36">
    <w:name w:val="font41"/>
    <w:basedOn w:val="22"/>
    <w:qFormat/>
    <w:uiPriority w:val="0"/>
    <w:rPr>
      <w:rFonts w:hint="default" w:ascii="Times New Roman" w:hAnsi="Times New Roman" w:cs="Times New Roman"/>
      <w:color w:val="000000"/>
      <w:sz w:val="21"/>
      <w:szCs w:val="21"/>
      <w:u w:val="none"/>
    </w:rPr>
  </w:style>
  <w:style w:type="paragraph" w:customStyle="1" w:styleId="37">
    <w:name w:val="样式2"/>
    <w:basedOn w:val="1"/>
    <w:qFormat/>
    <w:uiPriority w:val="0"/>
    <w:pPr>
      <w:spacing w:line="360" w:lineRule="auto"/>
      <w:ind w:firstLine="200" w:firstLineChars="200"/>
    </w:pPr>
    <w:rPr>
      <w:sz w:val="24"/>
      <w:szCs w:val="24"/>
    </w:rPr>
  </w:style>
  <w:style w:type="paragraph" w:customStyle="1" w:styleId="38">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39">
    <w:name w:val="正文首行缩进1"/>
    <w:basedOn w:val="2"/>
    <w:qFormat/>
    <w:uiPriority w:val="0"/>
    <w:pPr>
      <w:overflowPunct w:val="0"/>
      <w:autoSpaceDE w:val="0"/>
      <w:autoSpaceDN w:val="0"/>
      <w:adjustRightInd w:val="0"/>
      <w:spacing w:line="360" w:lineRule="auto"/>
      <w:ind w:firstLine="539"/>
    </w:pPr>
    <w:rPr>
      <w:kern w:val="0"/>
      <w:sz w:val="28"/>
    </w:rPr>
  </w:style>
  <w:style w:type="paragraph" w:customStyle="1" w:styleId="40">
    <w:name w:val="报告书表格"/>
    <w:basedOn w:val="1"/>
    <w:qFormat/>
    <w:uiPriority w:val="0"/>
    <w:pPr>
      <w:adjustRightInd w:val="0"/>
      <w:spacing w:before="60" w:after="60" w:line="240" w:lineRule="atLeast"/>
      <w:jc w:val="center"/>
      <w:textAlignment w:val="baseline"/>
    </w:pPr>
    <w:rPr>
      <w:kern w:val="0"/>
    </w:rPr>
  </w:style>
  <w:style w:type="paragraph" w:customStyle="1" w:styleId="41">
    <w:name w:val="表格文字"/>
    <w:basedOn w:val="1"/>
    <w:qFormat/>
    <w:uiPriority w:val="0"/>
    <w:pPr>
      <w:adjustRightInd w:val="0"/>
      <w:snapToGrid w:val="0"/>
      <w:jc w:val="center"/>
    </w:pPr>
    <w:rPr>
      <w:rFonts w:ascii="宋体" w:hAnsi="宋体"/>
    </w:rPr>
  </w:style>
  <w:style w:type="paragraph" w:customStyle="1" w:styleId="42">
    <w:name w:val="正文1"/>
    <w:basedOn w:val="1"/>
    <w:qFormat/>
    <w:uiPriority w:val="0"/>
    <w:pPr>
      <w:spacing w:line="360" w:lineRule="auto"/>
      <w:ind w:firstLine="200" w:firstLineChars="200"/>
    </w:pPr>
    <w:rPr>
      <w:sz w:val="24"/>
      <w:szCs w:val="24"/>
    </w:rPr>
  </w:style>
  <w:style w:type="paragraph" w:customStyle="1" w:styleId="43">
    <w:name w:val="样式 小四 段前: 0.5 磅 行距: 固定值 20 磅1"/>
    <w:basedOn w:val="1"/>
    <w:qFormat/>
    <w:uiPriority w:val="0"/>
    <w:pPr>
      <w:spacing w:before="10" w:afterLines="50" w:line="400" w:lineRule="exact"/>
      <w:ind w:firstLine="200" w:firstLineChars="200"/>
    </w:pPr>
    <w:rPr>
      <w:rFonts w:hint="eastAsia"/>
    </w:rPr>
  </w:style>
  <w:style w:type="paragraph" w:customStyle="1" w:styleId="44">
    <w:name w:val="Table Paragraph"/>
    <w:basedOn w:val="1"/>
    <w:qFormat/>
    <w:uiPriority w:val="0"/>
    <w:pPr>
      <w:widowControl/>
      <w:jc w:val="left"/>
    </w:pPr>
    <w:rPr>
      <w:rFonts w:ascii="Calibri" w:hAnsi="Calibri" w:cs="宋体"/>
      <w:kern w:val="0"/>
      <w:sz w:val="22"/>
      <w:szCs w:val="22"/>
    </w:rPr>
  </w:style>
  <w:style w:type="paragraph" w:customStyle="1" w:styleId="45">
    <w:name w:val="报告正文"/>
    <w:basedOn w:val="1"/>
    <w:qFormat/>
    <w:uiPriority w:val="0"/>
    <w:pPr>
      <w:adjustRightInd w:val="0"/>
      <w:snapToGrid w:val="0"/>
      <w:spacing w:line="360" w:lineRule="auto"/>
      <w:ind w:firstLine="200" w:firstLineChars="200"/>
    </w:pPr>
    <w:rPr>
      <w:rFonts w:ascii="宋体"/>
      <w:sz w:val="24"/>
    </w:rPr>
  </w:style>
  <w:style w:type="paragraph" w:customStyle="1" w:styleId="46">
    <w:name w:val="表格1"/>
    <w:basedOn w:val="1"/>
    <w:qFormat/>
    <w:uiPriority w:val="0"/>
    <w:pPr>
      <w:adjustRightInd w:val="0"/>
      <w:jc w:val="center"/>
      <w:textAlignment w:val="baseline"/>
    </w:pPr>
    <w:rPr>
      <w:rFonts w:ascii="宋体"/>
      <w:kern w:val="0"/>
      <w:sz w:val="24"/>
    </w:rPr>
  </w:style>
  <w:style w:type="paragraph" w:styleId="47">
    <w:name w:val="No Spacing"/>
    <w:basedOn w:val="9"/>
    <w:qFormat/>
    <w:uiPriority w:val="0"/>
    <w:pPr>
      <w:tabs>
        <w:tab w:val="left" w:pos="0"/>
      </w:tabs>
      <w:jc w:val="center"/>
    </w:pPr>
    <w:rPr>
      <w:rFonts w:ascii="Calibri" w:hAnsi="Calibri"/>
      <w:b/>
      <w:sz w:val="24"/>
      <w:szCs w:val="22"/>
    </w:rPr>
  </w:style>
  <w:style w:type="paragraph" w:customStyle="1" w:styleId="48">
    <w:name w:val="样式1"/>
    <w:basedOn w:val="1"/>
    <w:qFormat/>
    <w:uiPriority w:val="0"/>
    <w:pPr>
      <w:spacing w:line="360" w:lineRule="auto"/>
    </w:pPr>
    <w:rPr>
      <w:rFonts w:ascii="Calibri" w:hAnsi="Calibri"/>
      <w:sz w:val="32"/>
      <w:szCs w:val="32"/>
    </w:rPr>
  </w:style>
  <w:style w:type="paragraph" w:customStyle="1" w:styleId="49">
    <w:name w:val="表字体"/>
    <w:basedOn w:val="1"/>
    <w:next w:val="1"/>
    <w:qFormat/>
    <w:uiPriority w:val="0"/>
    <w:pPr>
      <w:ind w:firstLine="480" w:firstLineChars="200"/>
      <w:jc w:val="center"/>
    </w:pPr>
    <w:rPr>
      <w:kern w:val="0"/>
    </w:rPr>
  </w:style>
  <w:style w:type="paragraph" w:customStyle="1" w:styleId="50">
    <w:name w:val="xl22"/>
    <w:basedOn w:val="1"/>
    <w:qFormat/>
    <w:uiPriority w:val="0"/>
    <w:pPr>
      <w:widowControl/>
      <w:spacing w:before="100" w:after="100"/>
      <w:jc w:val="center"/>
    </w:pPr>
    <w:rPr>
      <w:rFonts w:ascii="宋体" w:hAnsi="宋体"/>
      <w:kern w:val="0"/>
      <w:sz w:val="24"/>
      <w:szCs w:val="24"/>
    </w:rPr>
  </w:style>
  <w:style w:type="character" w:customStyle="1" w:styleId="51">
    <w:name w:val="批注文字 Char"/>
    <w:basedOn w:val="22"/>
    <w:link w:val="7"/>
    <w:qFormat/>
    <w:uiPriority w:val="0"/>
    <w:rPr>
      <w:kern w:val="2"/>
      <w:sz w:val="21"/>
    </w:rPr>
  </w:style>
  <w:style w:type="character" w:customStyle="1" w:styleId="52">
    <w:name w:val="批注主题 Char"/>
    <w:basedOn w:val="51"/>
    <w:link w:val="17"/>
    <w:qFormat/>
    <w:uiPriority w:val="0"/>
    <w:rPr>
      <w:b/>
      <w:bCs/>
    </w:rPr>
  </w:style>
  <w:style w:type="character" w:customStyle="1" w:styleId="53">
    <w:name w:val="批注框文本 Char"/>
    <w:basedOn w:val="22"/>
    <w:link w:val="10"/>
    <w:qFormat/>
    <w:uiPriority w:val="0"/>
    <w:rPr>
      <w:kern w:val="2"/>
      <w:sz w:val="18"/>
      <w:szCs w:val="18"/>
    </w:rPr>
  </w:style>
  <w:style w:type="character" w:customStyle="1" w:styleId="54">
    <w:name w:val="文档结构图 Char"/>
    <w:basedOn w:val="22"/>
    <w:link w:val="6"/>
    <w:qFormat/>
    <w:uiPriority w:val="0"/>
    <w:rPr>
      <w:rFonts w:ascii="宋体"/>
      <w:kern w:val="2"/>
      <w:sz w:val="18"/>
      <w:szCs w:val="18"/>
    </w:rPr>
  </w:style>
  <w:style w:type="paragraph" w:customStyle="1" w:styleId="55">
    <w:name w:val="无间隔1"/>
    <w:qFormat/>
    <w:uiPriority w:val="0"/>
    <w:pPr>
      <w:widowControl w:val="0"/>
      <w:jc w:val="center"/>
      <w:outlineLvl w:val="7"/>
    </w:pPr>
    <w:rPr>
      <w:rFonts w:ascii="Calibri" w:hAnsi="Calibri" w:eastAsia="宋体" w:cs="Times New Roman"/>
      <w:kern w:val="2"/>
      <w:sz w:val="21"/>
      <w:szCs w:val="24"/>
      <w:lang w:val="en-US" w:eastAsia="zh-CN" w:bidi="ar-SA"/>
    </w:rPr>
  </w:style>
  <w:style w:type="paragraph" w:customStyle="1" w:styleId="56">
    <w:name w:val="1正文段落"/>
    <w:basedOn w:val="1"/>
    <w:qFormat/>
    <w:uiPriority w:val="0"/>
    <w:pPr>
      <w:spacing w:line="360" w:lineRule="auto"/>
      <w:ind w:firstLine="480" w:firstLineChars="200"/>
      <w:jc w:val="left"/>
    </w:pPr>
    <w:rPr>
      <w:rFonts w:ascii="Calibri" w:hAnsi="Calibri"/>
      <w:snapToGrid w:val="0"/>
      <w:kern w:val="0"/>
      <w:sz w:val="24"/>
      <w:szCs w:val="24"/>
    </w:rPr>
  </w:style>
  <w:style w:type="paragraph" w:customStyle="1" w:styleId="5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10843</Words>
  <Characters>61808</Characters>
  <Lines>515</Lines>
  <Paragraphs>145</Paragraphs>
  <TotalTime>40</TotalTime>
  <ScaleCrop>false</ScaleCrop>
  <LinksUpToDate>false</LinksUpToDate>
  <CharactersWithSpaces>72506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2020-10-22T08:02:00Z</dcterms:created>
  <dc:creator>rat-tat</dc:creator>
  <cp:lastModifiedBy>.</cp:lastModifiedBy>
  <dcterms:modified xsi:type="dcterms:W3CDTF">2021-01-20T06:25:58Z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