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jc w:val="center"/>
        <w:rPr>
          <w:rFonts w:ascii="Times New Roman" w:hAnsi="Times New Roman" w:eastAsiaTheme="minorEastAsia"/>
          <w:b/>
          <w:sz w:val="36"/>
          <w:szCs w:val="36"/>
        </w:rPr>
      </w:pPr>
      <w:r>
        <w:rPr>
          <w:rFonts w:ascii="Times New Roman" w:hAnsi="Times New Roman" w:eastAsiaTheme="minorEastAsia"/>
          <w:b/>
          <w:sz w:val="36"/>
          <w:szCs w:val="36"/>
        </w:rPr>
        <w:t>中国石化集团资产经营管理有限公司长岭分公司港口部码头提质改造工程环境影响报告书</w:t>
      </w:r>
    </w:p>
    <w:p>
      <w:pPr>
        <w:spacing w:line="360" w:lineRule="auto"/>
        <w:jc w:val="center"/>
        <w:rPr>
          <w:rFonts w:ascii="Times New Roman" w:hAnsi="Times New Roman" w:eastAsiaTheme="minorEastAsia"/>
          <w:sz w:val="36"/>
          <w:szCs w:val="36"/>
        </w:rPr>
      </w:pPr>
      <w:r>
        <w:rPr>
          <w:rFonts w:ascii="Times New Roman" w:hAnsi="Times New Roman" w:eastAsiaTheme="minorEastAsia"/>
          <w:b/>
          <w:sz w:val="36"/>
          <w:szCs w:val="36"/>
        </w:rPr>
        <w:t>（</w:t>
      </w:r>
      <w:r>
        <w:rPr>
          <w:rFonts w:hint="eastAsia" w:ascii="Times New Roman" w:hAnsi="Times New Roman" w:eastAsiaTheme="minorEastAsia"/>
          <w:b/>
          <w:sz w:val="36"/>
          <w:szCs w:val="36"/>
          <w:lang w:val="en-US" w:eastAsia="zh-CN"/>
        </w:rPr>
        <w:t>报批</w:t>
      </w:r>
      <w:r>
        <w:rPr>
          <w:rFonts w:ascii="Times New Roman" w:hAnsi="Times New Roman" w:eastAsiaTheme="minorEastAsia"/>
          <w:b/>
          <w:sz w:val="36"/>
          <w:szCs w:val="36"/>
        </w:rPr>
        <w:t>稿）</w:t>
      </w: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jc w:val="center"/>
        <w:rPr>
          <w:rFonts w:ascii="Times New Roman" w:hAnsi="Times New Roman" w:eastAsiaTheme="minorEastAsia"/>
          <w:sz w:val="32"/>
          <w:szCs w:val="32"/>
        </w:rPr>
      </w:pPr>
      <w:r>
        <w:rPr>
          <w:rFonts w:ascii="Times New Roman" w:hAnsi="Times New Roman" w:eastAsiaTheme="minorEastAsia"/>
          <w:sz w:val="32"/>
          <w:szCs w:val="32"/>
        </w:rPr>
        <w:t>湖南葆华环保有限公司</w:t>
      </w:r>
    </w:p>
    <w:p>
      <w:pPr>
        <w:spacing w:line="360" w:lineRule="auto"/>
        <w:jc w:val="center"/>
        <w:rPr>
          <w:rFonts w:ascii="Times New Roman" w:hAnsi="Times New Roman" w:eastAsiaTheme="minorEastAsia"/>
          <w:sz w:val="32"/>
          <w:szCs w:val="32"/>
        </w:rPr>
      </w:pPr>
      <w:r>
        <w:rPr>
          <w:rFonts w:ascii="Times New Roman" w:hAnsi="Times New Roman" w:eastAsiaTheme="minorEastAsia"/>
          <w:sz w:val="32"/>
          <w:szCs w:val="32"/>
        </w:rPr>
        <w:t>202</w:t>
      </w:r>
      <w:r>
        <w:rPr>
          <w:rFonts w:hint="eastAsia" w:ascii="Times New Roman" w:hAnsi="Times New Roman" w:eastAsiaTheme="minorEastAsia"/>
          <w:sz w:val="32"/>
          <w:szCs w:val="32"/>
          <w:lang w:val="en-US" w:eastAsia="zh-CN"/>
        </w:rPr>
        <w:t>1</w:t>
      </w:r>
      <w:r>
        <w:rPr>
          <w:rFonts w:ascii="Times New Roman" w:hAnsi="Times New Roman" w:eastAsiaTheme="minorEastAsia"/>
          <w:sz w:val="32"/>
          <w:szCs w:val="32"/>
        </w:rPr>
        <w:t xml:space="preserve">年 </w:t>
      </w:r>
      <w:r>
        <w:rPr>
          <w:rFonts w:hint="eastAsia" w:ascii="Times New Roman" w:hAnsi="Times New Roman" w:eastAsiaTheme="minorEastAsia"/>
          <w:sz w:val="32"/>
          <w:szCs w:val="32"/>
          <w:lang w:val="en-US" w:eastAsia="zh-CN"/>
        </w:rPr>
        <w:t>2</w:t>
      </w:r>
      <w:r>
        <w:rPr>
          <w:rFonts w:ascii="Times New Roman" w:hAnsi="Times New Roman" w:eastAsiaTheme="minorEastAsia"/>
          <w:sz w:val="32"/>
          <w:szCs w:val="32"/>
        </w:rPr>
        <w:t>月</w:t>
      </w:r>
    </w:p>
    <w:p>
      <w:pPr>
        <w:spacing w:line="360" w:lineRule="auto"/>
        <w:rPr>
          <w:rFonts w:ascii="Times New Roman" w:hAnsi="Times New Roman" w:eastAsiaTheme="minorEastAsia"/>
          <w:sz w:val="36"/>
          <w:szCs w:val="36"/>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sectPr>
          <w:footerReference r:id="rId3" w:type="even"/>
          <w:pgSz w:w="11906" w:h="16838"/>
          <w:pgMar w:top="1418" w:right="1418" w:bottom="1418" w:left="1418" w:header="1021" w:footer="851"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103"/>
        <w:adjustRightInd w:val="0"/>
        <w:snapToGrid w:val="0"/>
        <w:spacing w:before="0" w:beforeAutospacing="0" w:after="0" w:afterAutospacing="0" w:line="360" w:lineRule="auto"/>
        <w:jc w:val="center"/>
        <w:rPr>
          <w:rFonts w:ascii="Times New Roman" w:hAnsi="Times New Roman" w:eastAsiaTheme="minorEastAsia"/>
          <w:b/>
          <w:sz w:val="38"/>
          <w:szCs w:val="38"/>
        </w:rPr>
      </w:pPr>
      <w:r>
        <w:rPr>
          <w:rFonts w:ascii="Times New Roman" w:hAnsi="Times New Roman" w:eastAsiaTheme="minorEastAsia"/>
          <w:b/>
          <w:sz w:val="38"/>
          <w:szCs w:val="38"/>
        </w:rPr>
        <w:t>编制单位和编制人员情况表</w:t>
      </w:r>
    </w:p>
    <w:p>
      <w:pPr>
        <w:pStyle w:val="64"/>
        <w:adjustRightInd w:val="0"/>
        <w:snapToGrid w:val="0"/>
        <w:spacing w:before="0" w:beforeAutospacing="0" w:after="0" w:afterAutospacing="0" w:line="408" w:lineRule="auto"/>
        <w:rPr>
          <w:rFonts w:ascii="Times New Roman" w:hAnsi="Times New Roman" w:cs="Times New Roman" w:eastAsiaTheme="minorEastAsia"/>
          <w:snapToGrid w:val="0"/>
          <w:sz w:val="32"/>
          <w:szCs w:val="32"/>
        </w:rPr>
      </w:pPr>
    </w:p>
    <w:tbl>
      <w:tblPr>
        <w:tblStyle w:val="7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2385"/>
        <w:gridCol w:w="1905"/>
        <w:gridCol w:w="2234"/>
        <w:gridCol w:w="1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项目编号</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建设项目名称</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中国石化集团资产经营管理有限公司长岭分公司港口部码头提质改造工程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建设项目类别</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四十九、交通运输业、管道运输业和仓储业 163 油气、液体化工码头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环境影响评价文件类型</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环境影响报告书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单位名称（盖章）</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中国石化集团资产经营管理有限公司长岭分公司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统一社会信用代码</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highlight w:val="yellow"/>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91430600661682192H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法定代表人（签章）</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highlight w:val="yellow"/>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王妙云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主要负责人（签字）</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highlight w:val="yellow"/>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高鹏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直接负责的主管人员（签字）</w:t>
            </w:r>
          </w:p>
        </w:tc>
        <w:tc>
          <w:tcPr>
            <w:tcW w:w="2980" w:type="pct"/>
            <w:gridSpan w:val="3"/>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highlight w:val="yellow"/>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高鹏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4"/>
              <w:widowControl w:val="0"/>
              <w:adjustRightInd w:val="0"/>
              <w:snapToGrid w:val="0"/>
              <w:spacing w:before="0" w:beforeAutospacing="0" w:after="0" w:afterAutospacing="0"/>
              <w:jc w:val="both"/>
              <w:rPr>
                <w:rFonts w:ascii="Times New Roman" w:hAnsi="Times New Roman" w:cs="Times New Roman" w:eastAsiaTheme="minorEastAsia"/>
                <w:b/>
                <w:color w:val="000000"/>
                <w:sz w:val="21"/>
                <w:szCs w:val="21"/>
              </w:rPr>
            </w:pPr>
            <w:r>
              <w:rPr>
                <w:rFonts w:ascii="Times New Roman" w:hAnsi="Times New Roman" w:cs="Times New Roman" w:eastAsiaTheme="minorEastAsia"/>
                <w:color w:val="000000"/>
                <w:sz w:val="21"/>
                <w:szCs w:val="21"/>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单位名称（盖章）</w:t>
            </w:r>
          </w:p>
        </w:tc>
        <w:tc>
          <w:tcPr>
            <w:tcW w:w="2980" w:type="pct"/>
            <w:gridSpan w:val="3"/>
            <w:vAlign w:val="center"/>
          </w:tcPr>
          <w:p>
            <w:pPr>
              <w:pStyle w:val="64"/>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湖南葆华环保有限公司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统一社会信用代码</w:t>
            </w:r>
          </w:p>
        </w:tc>
        <w:tc>
          <w:tcPr>
            <w:tcW w:w="2980" w:type="pct"/>
            <w:gridSpan w:val="3"/>
            <w:vAlign w:val="center"/>
          </w:tcPr>
          <w:p>
            <w:pPr>
              <w:pStyle w:val="64"/>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91430111MA4L25905K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4"/>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4"/>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姓名</w:t>
            </w:r>
          </w:p>
        </w:tc>
        <w:tc>
          <w:tcPr>
            <w:tcW w:w="231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职业资格证书管理号</w:t>
            </w:r>
          </w:p>
        </w:tc>
        <w:tc>
          <w:tcPr>
            <w:tcW w:w="1203"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信用编号</w:t>
            </w:r>
          </w:p>
        </w:tc>
        <w:tc>
          <w:tcPr>
            <w:tcW w:w="751"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赵瑰施</w:t>
            </w:r>
          </w:p>
        </w:tc>
        <w:tc>
          <w:tcPr>
            <w:tcW w:w="231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201905035430000008</w:t>
            </w:r>
          </w:p>
        </w:tc>
        <w:tc>
          <w:tcPr>
            <w:tcW w:w="1203"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BH012770</w:t>
            </w:r>
          </w:p>
        </w:tc>
        <w:tc>
          <w:tcPr>
            <w:tcW w:w="751"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4"/>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姓名</w:t>
            </w:r>
          </w:p>
        </w:tc>
        <w:tc>
          <w:tcPr>
            <w:tcW w:w="231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主要编写内容</w:t>
            </w:r>
          </w:p>
        </w:tc>
        <w:tc>
          <w:tcPr>
            <w:tcW w:w="1203"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信用编号</w:t>
            </w:r>
          </w:p>
        </w:tc>
        <w:tc>
          <w:tcPr>
            <w:tcW w:w="751"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肖</w:t>
            </w:r>
            <w:r>
              <w:rPr>
                <w:rFonts w:hint="eastAsia" w:ascii="Times New Roman" w:hAnsi="Times New Roman" w:cs="Times New Roman" w:eastAsiaTheme="minorEastAsia"/>
                <w:color w:val="000000"/>
                <w:sz w:val="21"/>
                <w:szCs w:val="21"/>
              </w:rPr>
              <w:t xml:space="preserve">  </w:t>
            </w:r>
            <w:r>
              <w:rPr>
                <w:rFonts w:ascii="Times New Roman" w:hAnsi="Times New Roman" w:cs="Times New Roman" w:eastAsiaTheme="minorEastAsia"/>
                <w:color w:val="000000"/>
                <w:sz w:val="21"/>
                <w:szCs w:val="21"/>
              </w:rPr>
              <w:t>杰</w:t>
            </w:r>
          </w:p>
        </w:tc>
        <w:tc>
          <w:tcPr>
            <w:tcW w:w="231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概述、总则、环境</w:t>
            </w:r>
            <w:r>
              <w:rPr>
                <w:rFonts w:hint="eastAsia" w:ascii="Times New Roman" w:hAnsi="Times New Roman" w:cs="Times New Roman" w:eastAsiaTheme="minorEastAsia"/>
                <w:color w:val="000000"/>
                <w:sz w:val="21"/>
                <w:szCs w:val="21"/>
              </w:rPr>
              <w:t>质量</w:t>
            </w:r>
            <w:r>
              <w:rPr>
                <w:rFonts w:ascii="Times New Roman" w:hAnsi="Times New Roman" w:cs="Times New Roman" w:eastAsiaTheme="minorEastAsia"/>
                <w:color w:val="000000"/>
                <w:sz w:val="21"/>
                <w:szCs w:val="21"/>
              </w:rPr>
              <w:t>现状调查与评价、</w:t>
            </w:r>
            <w:r>
              <w:rPr>
                <w:rFonts w:hint="eastAsia" w:ascii="Times New Roman" w:hAnsi="Times New Roman" w:cs="Times New Roman" w:eastAsiaTheme="minorEastAsia"/>
                <w:color w:val="000000"/>
                <w:sz w:val="21"/>
                <w:szCs w:val="21"/>
              </w:rPr>
              <w:t>环境</w:t>
            </w:r>
            <w:r>
              <w:rPr>
                <w:rFonts w:ascii="Times New Roman" w:hAnsi="Times New Roman" w:cs="Times New Roman" w:eastAsiaTheme="minorEastAsia"/>
                <w:color w:val="000000"/>
                <w:sz w:val="21"/>
                <w:szCs w:val="21"/>
              </w:rPr>
              <w:t>可行性分析、水产种质资源保护区环境影响评价、评价结论与建议</w:t>
            </w:r>
          </w:p>
        </w:tc>
        <w:tc>
          <w:tcPr>
            <w:tcW w:w="1203"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BH004860</w:t>
            </w:r>
          </w:p>
        </w:tc>
        <w:tc>
          <w:tcPr>
            <w:tcW w:w="751"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36"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highlight w:val="yellow"/>
              </w:rPr>
            </w:pPr>
            <w:r>
              <w:rPr>
                <w:rFonts w:hint="eastAsia" w:ascii="Times New Roman" w:hAnsi="Times New Roman" w:cs="Times New Roman" w:eastAsiaTheme="minorEastAsia"/>
                <w:color w:val="000000"/>
                <w:sz w:val="21"/>
                <w:szCs w:val="21"/>
              </w:rPr>
              <w:t>赵瑰施</w:t>
            </w:r>
          </w:p>
        </w:tc>
        <w:tc>
          <w:tcPr>
            <w:tcW w:w="231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工程概况及工程环境影响分析</w:t>
            </w:r>
            <w:r>
              <w:rPr>
                <w:rFonts w:hint="eastAsia" w:ascii="Times New Roman" w:hAnsi="Times New Roman" w:cs="Times New Roman" w:eastAsiaTheme="minorEastAsia"/>
                <w:color w:val="000000"/>
                <w:sz w:val="21"/>
                <w:szCs w:val="21"/>
              </w:rPr>
              <w:t>、环境</w:t>
            </w:r>
            <w:r>
              <w:rPr>
                <w:rFonts w:ascii="Times New Roman" w:hAnsi="Times New Roman" w:cs="Times New Roman" w:eastAsiaTheme="minorEastAsia"/>
                <w:color w:val="000000"/>
                <w:sz w:val="21"/>
                <w:szCs w:val="21"/>
              </w:rPr>
              <w:t>经济损益分析、环境</w:t>
            </w:r>
            <w:r>
              <w:rPr>
                <w:rFonts w:hint="eastAsia" w:ascii="Times New Roman" w:hAnsi="Times New Roman" w:cs="Times New Roman" w:eastAsiaTheme="minorEastAsia"/>
                <w:color w:val="000000"/>
                <w:sz w:val="21"/>
                <w:szCs w:val="21"/>
              </w:rPr>
              <w:t>保护</w:t>
            </w:r>
            <w:r>
              <w:rPr>
                <w:rFonts w:ascii="Times New Roman" w:hAnsi="Times New Roman" w:cs="Times New Roman" w:eastAsiaTheme="minorEastAsia"/>
                <w:color w:val="000000"/>
                <w:sz w:val="21"/>
                <w:szCs w:val="21"/>
              </w:rPr>
              <w:t>管理与监测</w:t>
            </w:r>
            <w:r>
              <w:rPr>
                <w:rFonts w:hint="eastAsia" w:ascii="Times New Roman" w:hAnsi="Times New Roman" w:cs="Times New Roman" w:eastAsiaTheme="minorEastAsia"/>
                <w:color w:val="000000"/>
                <w:sz w:val="21"/>
                <w:szCs w:val="21"/>
              </w:rPr>
              <w:t>计划</w:t>
            </w:r>
          </w:p>
        </w:tc>
        <w:tc>
          <w:tcPr>
            <w:tcW w:w="1203"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BH012770</w:t>
            </w:r>
          </w:p>
        </w:tc>
        <w:tc>
          <w:tcPr>
            <w:tcW w:w="751"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36"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刘  庆</w:t>
            </w:r>
          </w:p>
        </w:tc>
        <w:tc>
          <w:tcPr>
            <w:tcW w:w="2310" w:type="pct"/>
            <w:gridSpan w:val="2"/>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环境影响预测与评价、环境影响减缓措施及技术经济</w:t>
            </w:r>
            <w:r>
              <w:rPr>
                <w:rFonts w:hint="eastAsia" w:ascii="Times New Roman" w:hAnsi="Times New Roman" w:cs="Times New Roman" w:eastAsiaTheme="minorEastAsia"/>
                <w:color w:val="000000"/>
                <w:sz w:val="21"/>
                <w:szCs w:val="21"/>
              </w:rPr>
              <w:t>论证</w:t>
            </w:r>
          </w:p>
        </w:tc>
        <w:tc>
          <w:tcPr>
            <w:tcW w:w="1203"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BH004850</w:t>
            </w:r>
          </w:p>
        </w:tc>
        <w:tc>
          <w:tcPr>
            <w:tcW w:w="751" w:type="pct"/>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bl>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rPr>
          <w:rFonts w:ascii="Times New Roman" w:hAnsi="Times New Roman" w:eastAsiaTheme="minorEastAsia"/>
          <w:kern w:val="0"/>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pPr>
    </w:p>
    <w:p>
      <w:pPr>
        <w:jc w:val="center"/>
        <w:rPr>
          <w:rFonts w:ascii="Times New Roman" w:hAnsi="Times New Roman" w:eastAsiaTheme="minorEastAsia"/>
          <w:sz w:val="24"/>
          <w:szCs w:val="24"/>
        </w:rPr>
      </w:pPr>
    </w:p>
    <w:p>
      <w:pPr>
        <w:rPr>
          <w:rFonts w:ascii="Times New Roman" w:hAnsi="Times New Roman" w:eastAsiaTheme="minorEastAsia"/>
          <w:sz w:val="24"/>
          <w:szCs w:val="24"/>
        </w:rPr>
      </w:pPr>
    </w:p>
    <w:p>
      <w:pPr>
        <w:rPr>
          <w:rFonts w:ascii="Times New Roman" w:hAnsi="Times New Roman" w:eastAsiaTheme="minorEastAsia"/>
          <w:sz w:val="24"/>
          <w:szCs w:val="24"/>
        </w:rPr>
        <w:sectPr>
          <w:headerReference r:id="rId4" w:type="even"/>
          <w:footerReference r:id="rId5" w:type="even"/>
          <w:pgSz w:w="11906" w:h="16838"/>
          <w:pgMar w:top="1418" w:right="1418" w:bottom="1418" w:left="1418" w:header="1021" w:footer="851" w:gutter="0"/>
          <w:pgBorders>
            <w:top w:val="none" w:sz="0" w:space="0"/>
            <w:left w:val="none" w:sz="0" w:space="0"/>
            <w:bottom w:val="none" w:sz="0" w:space="0"/>
            <w:right w:val="none" w:sz="0" w:space="0"/>
          </w:pgBorders>
          <w:pgNumType w:fmt="upperRoman" w:start="1"/>
          <w:cols w:space="720" w:num="1"/>
          <w:docGrid w:type="lines" w:linePitch="312" w:charSpace="0"/>
        </w:sectPr>
      </w:pPr>
    </w:p>
    <w:p>
      <w:pPr>
        <w:jc w:val="center"/>
        <w:rPr>
          <w:rFonts w:ascii="Times New Roman" w:hAnsi="Times New Roman" w:eastAsiaTheme="minorEastAsia"/>
          <w:b/>
          <w:sz w:val="36"/>
          <w:szCs w:val="36"/>
        </w:rPr>
      </w:pPr>
      <w:r>
        <w:rPr>
          <w:rFonts w:ascii="Times New Roman" w:hAnsi="Times New Roman" w:eastAsiaTheme="minorEastAsia"/>
          <w:b/>
          <w:sz w:val="36"/>
          <w:szCs w:val="36"/>
        </w:rPr>
        <w:t>目  录</w:t>
      </w:r>
    </w:p>
    <w:p>
      <w:pPr>
        <w:pStyle w:val="44"/>
        <w:tabs>
          <w:tab w:val="right" w:leader="dot" w:pos="9070"/>
        </w:tabs>
        <w:rPr>
          <w:rFonts w:hint="default" w:ascii="Times New Roman" w:hAnsi="Times New Roman" w:cs="Times New Roman"/>
        </w:rPr>
      </w:pPr>
      <w:r>
        <w:rPr>
          <w:rFonts w:hint="default" w:ascii="Times New Roman" w:hAnsi="Times New Roman" w:cs="Times New Roman"/>
          <w:b w:val="0"/>
          <w:bCs w:val="0"/>
          <w:caps w:val="0"/>
          <w:sz w:val="24"/>
          <w:szCs w:val="24"/>
          <w:highlight w:val="yellow"/>
        </w:rPr>
        <w:fldChar w:fldCharType="begin"/>
      </w:r>
      <w:r>
        <w:rPr>
          <w:rFonts w:hint="default" w:ascii="Times New Roman" w:hAnsi="Times New Roman" w:cs="Times New Roman"/>
          <w:b w:val="0"/>
          <w:sz w:val="24"/>
          <w:szCs w:val="24"/>
          <w:highlight w:val="yellow"/>
        </w:rPr>
        <w:instrText xml:space="preserve">TOC \o "1-2" \h \z \u</w:instrText>
      </w:r>
      <w:r>
        <w:rPr>
          <w:rFonts w:hint="default" w:ascii="Times New Roman" w:hAnsi="Times New Roman" w:cs="Times New Roman"/>
          <w:b w:val="0"/>
          <w:bCs w:val="0"/>
          <w:caps w:val="0"/>
          <w:sz w:val="24"/>
          <w:szCs w:val="24"/>
          <w:highlight w:val="yellow"/>
        </w:rPr>
        <w:fldChar w:fldCharType="separate"/>
      </w:r>
      <w:r>
        <w:rPr>
          <w:rFonts w:hint="default" w:ascii="Times New Roman" w:hAnsi="Times New Roman" w:cs="Times New Roman"/>
          <w:bCs w:val="0"/>
          <w:caps w:val="0"/>
          <w:szCs w:val="24"/>
          <w:highlight w:val="yellow"/>
        </w:rPr>
        <w:fldChar w:fldCharType="begin"/>
      </w:r>
      <w:r>
        <w:rPr>
          <w:rFonts w:hint="default" w:ascii="Times New Roman" w:hAnsi="Times New Roman" w:cs="Times New Roman"/>
          <w:bCs w:val="0"/>
          <w:caps w:val="0"/>
          <w:szCs w:val="24"/>
          <w:highlight w:val="yellow"/>
        </w:rPr>
        <w:instrText xml:space="preserve"> HYPERLINK \l _Toc19527 </w:instrText>
      </w:r>
      <w:r>
        <w:rPr>
          <w:rFonts w:hint="default" w:ascii="Times New Roman" w:hAnsi="Times New Roman" w:cs="Times New Roman"/>
          <w:bCs w:val="0"/>
          <w:caps w:val="0"/>
          <w:szCs w:val="24"/>
          <w:highlight w:val="yellow"/>
        </w:rPr>
        <w:fldChar w:fldCharType="separate"/>
      </w:r>
      <w:r>
        <w:rPr>
          <w:rFonts w:hint="default" w:ascii="Times New Roman" w:hAnsi="Times New Roman" w:cs="Times New Roman" w:eastAsiaTheme="minorEastAsia"/>
          <w:szCs w:val="32"/>
        </w:rPr>
        <w:t>1 概  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_Toc19527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val="0"/>
          <w:caps w:val="0"/>
          <w:szCs w:val="24"/>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_Toc14837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 项目由来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_Toc14837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_Toc774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1.2 项目特点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_Toc774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_Toc8883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1.3 环境影响评价工作过程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_Toc8883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_Toc32635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1.4 分析判定相关情况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_Toc32635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_Toc28774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1.5 项目关注的主要环境问题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_Toc28774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_Toc6092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1.6 环评主要结论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_Toc6092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_Toc17240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2 总  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_Toc17240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_Toc27373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2.1 评价目的及原则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_Toc27373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_Toc1845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2.2 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_Toc1845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_Toc1083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2.3 环境影响因素识别及评价因子筛选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_Toc1083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_Toc14014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2.4 评价工作重点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_Toc14014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_Toc1252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2.5 评价工作等级及范围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_Toc1252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_Toc535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24"/>
          <w:lang w:bidi="ar"/>
        </w:rPr>
        <w:t xml:space="preserve">2.6 </w:t>
      </w:r>
      <w:r>
        <w:rPr>
          <w:rFonts w:hint="default" w:ascii="Times New Roman" w:hAnsi="Times New Roman" w:cs="Times New Roman" w:eastAsiaTheme="minorEastAsia"/>
        </w:rPr>
        <w:t>环境功能区划与评价标准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_Toc18815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2.7 主要环境保护目标调查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_Toc18815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_Toc5234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2.8 评价工作程序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_Toc5234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_Toc30088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3 工程概况及工程环境影响分析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_Toc30088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_Toc23590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3.1 现有工程概况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_Toc23590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_Toc23452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3.2 提质改造工程概况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_Toc23452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_Toc4215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3.3 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_Toc4215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_Toc12452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4 环境质量现状调查与评价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_Toc12452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_Toc19090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4.1 自然环境概况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_Toc19090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_Toc10581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4.2 生态敏感区环境概况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_Toc10581 \h </w:instrText>
      </w:r>
      <w:r>
        <w:rPr>
          <w:rFonts w:hint="default" w:ascii="Times New Roman" w:hAnsi="Times New Roman" w:cs="Times New Roman"/>
        </w:rPr>
        <w:fldChar w:fldCharType="separate"/>
      </w:r>
      <w:r>
        <w:rPr>
          <w:rFonts w:hint="default" w:ascii="Times New Roman" w:hAnsi="Times New Roman" w:cs="Times New Roman"/>
        </w:rPr>
        <w:t>95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_Toc29590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4.3 区域污染源调查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_Toc29590 \h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_Toc23723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4.4 地表水环境现状调查与评价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_Toc23723 \h </w:instrText>
      </w:r>
      <w:r>
        <w:rPr>
          <w:rFonts w:hint="default" w:ascii="Times New Roman" w:hAnsi="Times New Roman" w:cs="Times New Roman"/>
        </w:rPr>
        <w:fldChar w:fldCharType="separate"/>
      </w:r>
      <w:r>
        <w:rPr>
          <w:rFonts w:hint="default" w:ascii="Times New Roman" w:hAnsi="Times New Roman" w:cs="Times New Roman"/>
        </w:rPr>
        <w:t>103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_Toc6036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4.5 地下水环境现状调查与评价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_Toc6036 \h </w:instrText>
      </w:r>
      <w:r>
        <w:rPr>
          <w:rFonts w:hint="default" w:ascii="Times New Roman" w:hAnsi="Times New Roman" w:cs="Times New Roman"/>
        </w:rPr>
        <w:fldChar w:fldCharType="separate"/>
      </w:r>
      <w:r>
        <w:rPr>
          <w:rFonts w:hint="default" w:ascii="Times New Roman" w:hAnsi="Times New Roman" w:cs="Times New Roman"/>
        </w:rPr>
        <w:t>114</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_Toc23373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4.6 河流底泥现状监测及评价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_Toc23373 \h </w:instrText>
      </w:r>
      <w:r>
        <w:rPr>
          <w:rFonts w:hint="default" w:ascii="Times New Roman" w:hAnsi="Times New Roman" w:cs="Times New Roman"/>
        </w:rPr>
        <w:fldChar w:fldCharType="separate"/>
      </w:r>
      <w:r>
        <w:rPr>
          <w:rFonts w:hint="default" w:ascii="Times New Roman" w:hAnsi="Times New Roman" w:cs="Times New Roman"/>
        </w:rPr>
        <w:t>117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_Toc28149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4.7 环境空气现状调查与评价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_Toc28149 \h </w:instrText>
      </w:r>
      <w:r>
        <w:rPr>
          <w:rFonts w:hint="default" w:ascii="Times New Roman" w:hAnsi="Times New Roman" w:cs="Times New Roman"/>
        </w:rPr>
        <w:fldChar w:fldCharType="separate"/>
      </w:r>
      <w:r>
        <w:rPr>
          <w:rFonts w:hint="default" w:ascii="Times New Roman" w:hAnsi="Times New Roman" w:cs="Times New Roman"/>
        </w:rPr>
        <w:t>119</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_Toc11001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4.8 声环境现状调查与评价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_Toc11001 \h </w:instrText>
      </w:r>
      <w:r>
        <w:rPr>
          <w:rFonts w:hint="default" w:ascii="Times New Roman" w:hAnsi="Times New Roman" w:cs="Times New Roman"/>
        </w:rPr>
        <w:fldChar w:fldCharType="separate"/>
      </w:r>
      <w:r>
        <w:rPr>
          <w:rFonts w:hint="default" w:ascii="Times New Roman" w:hAnsi="Times New Roman" w:cs="Times New Roman"/>
        </w:rPr>
        <w:t>121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_Toc10660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4.9 土壤环境现状调查与评价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_Toc10660 \h </w:instrText>
      </w:r>
      <w:r>
        <w:rPr>
          <w:rFonts w:hint="default" w:ascii="Times New Roman" w:hAnsi="Times New Roman" w:cs="Times New Roman"/>
        </w:rPr>
        <w:fldChar w:fldCharType="separate"/>
      </w:r>
      <w:r>
        <w:rPr>
          <w:rFonts w:hint="default" w:ascii="Times New Roman" w:hAnsi="Times New Roman" w:cs="Times New Roman"/>
        </w:rPr>
        <w:t>123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_Toc3692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4.10 生态环境现状调查与评价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_Toc3692 \h </w:instrText>
      </w:r>
      <w:r>
        <w:rPr>
          <w:rFonts w:hint="default" w:ascii="Times New Roman" w:hAnsi="Times New Roman" w:cs="Times New Roman"/>
        </w:rPr>
        <w:fldChar w:fldCharType="separate"/>
      </w:r>
      <w:r>
        <w:rPr>
          <w:rFonts w:hint="default" w:ascii="Times New Roman" w:hAnsi="Times New Roman" w:cs="Times New Roman"/>
        </w:rPr>
        <w:t>126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_Toc30699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5 环境可行性分析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_Toc30699 \h </w:instrText>
      </w:r>
      <w:r>
        <w:rPr>
          <w:rFonts w:hint="default" w:ascii="Times New Roman" w:hAnsi="Times New Roman" w:cs="Times New Roman"/>
        </w:rPr>
        <w:fldChar w:fldCharType="separate"/>
      </w:r>
      <w:r>
        <w:rPr>
          <w:rFonts w:hint="default" w:ascii="Times New Roman" w:hAnsi="Times New Roman" w:cs="Times New Roman"/>
        </w:rPr>
        <w:t>137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_Toc1372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5.1 项目建设必要性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_Toc1372 \h </w:instrText>
      </w:r>
      <w:r>
        <w:rPr>
          <w:rFonts w:hint="default" w:ascii="Times New Roman" w:hAnsi="Times New Roman" w:cs="Times New Roman"/>
        </w:rPr>
        <w:fldChar w:fldCharType="separate"/>
      </w:r>
      <w:r>
        <w:rPr>
          <w:rFonts w:hint="default" w:ascii="Times New Roman" w:hAnsi="Times New Roman" w:cs="Times New Roman"/>
        </w:rPr>
        <w:t>137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_Toc2796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5.2 产业政策符合性分析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_Toc2796 \h </w:instrText>
      </w:r>
      <w:r>
        <w:rPr>
          <w:rFonts w:hint="default" w:ascii="Times New Roman" w:hAnsi="Times New Roman" w:cs="Times New Roman"/>
        </w:rPr>
        <w:fldChar w:fldCharType="separate"/>
      </w:r>
      <w:r>
        <w:rPr>
          <w:rFonts w:hint="default" w:ascii="Times New Roman" w:hAnsi="Times New Roman" w:cs="Times New Roman"/>
        </w:rPr>
        <w:t>140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_Toc3460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5.3 相关规划符合性分析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_Toc3460 \h </w:instrText>
      </w:r>
      <w:r>
        <w:rPr>
          <w:rFonts w:hint="default" w:ascii="Times New Roman" w:hAnsi="Times New Roman" w:cs="Times New Roman"/>
        </w:rPr>
        <w:fldChar w:fldCharType="separate"/>
      </w:r>
      <w:r>
        <w:rPr>
          <w:rFonts w:hint="default" w:ascii="Times New Roman" w:hAnsi="Times New Roman" w:cs="Times New Roman"/>
        </w:rPr>
        <w:t>140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_Toc13587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24"/>
        </w:rPr>
        <w:t xml:space="preserve">5.4 </w:t>
      </w:r>
      <w:r>
        <w:rPr>
          <w:rFonts w:hint="default" w:ascii="Times New Roman" w:hAnsi="Times New Roman" w:cs="Times New Roman" w:eastAsiaTheme="minorEastAsia"/>
        </w:rPr>
        <w:t>与“三线一单”的符合性分析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_Toc13587 \h </w:instrText>
      </w:r>
      <w:r>
        <w:rPr>
          <w:rFonts w:hint="default" w:ascii="Times New Roman" w:hAnsi="Times New Roman" w:cs="Times New Roman"/>
        </w:rPr>
        <w:fldChar w:fldCharType="separate"/>
      </w:r>
      <w:r>
        <w:rPr>
          <w:rFonts w:hint="default" w:ascii="Times New Roman" w:hAnsi="Times New Roman" w:cs="Times New Roman"/>
        </w:rPr>
        <w:t>143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_Toc13523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5.5 选址的可行性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_Toc13523 \h </w:instrText>
      </w:r>
      <w:r>
        <w:rPr>
          <w:rFonts w:hint="default" w:ascii="Times New Roman" w:hAnsi="Times New Roman" w:cs="Times New Roman"/>
        </w:rPr>
        <w:fldChar w:fldCharType="separate"/>
      </w:r>
      <w:r>
        <w:rPr>
          <w:rFonts w:hint="default" w:ascii="Times New Roman" w:hAnsi="Times New Roman" w:cs="Times New Roman"/>
        </w:rPr>
        <w:t>145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_Toc1276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5.6 平面布置的合理性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_Toc1276 \h </w:instrText>
      </w:r>
      <w:r>
        <w:rPr>
          <w:rFonts w:hint="default" w:ascii="Times New Roman" w:hAnsi="Times New Roman" w:cs="Times New Roman"/>
        </w:rPr>
        <w:fldChar w:fldCharType="separate"/>
      </w:r>
      <w:r>
        <w:rPr>
          <w:rFonts w:hint="default" w:ascii="Times New Roman" w:hAnsi="Times New Roman" w:cs="Times New Roman"/>
        </w:rPr>
        <w:t>145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_Toc20020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5.7 环境制约因素及解决方案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_Toc20020 \h </w:instrText>
      </w:r>
      <w:r>
        <w:rPr>
          <w:rFonts w:hint="default" w:ascii="Times New Roman" w:hAnsi="Times New Roman" w:cs="Times New Roman"/>
        </w:rPr>
        <w:fldChar w:fldCharType="separate"/>
      </w:r>
      <w:r>
        <w:rPr>
          <w:rFonts w:hint="default" w:ascii="Times New Roman" w:hAnsi="Times New Roman" w:cs="Times New Roman"/>
        </w:rPr>
        <w:t>146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_Toc3487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6 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_Toc3487 \h </w:instrText>
      </w:r>
      <w:r>
        <w:rPr>
          <w:rFonts w:hint="default" w:ascii="Times New Roman" w:hAnsi="Times New Roman" w:cs="Times New Roman"/>
        </w:rPr>
        <w:fldChar w:fldCharType="separate"/>
      </w:r>
      <w:r>
        <w:rPr>
          <w:rFonts w:hint="default" w:ascii="Times New Roman" w:hAnsi="Times New Roman" w:cs="Times New Roman"/>
        </w:rPr>
        <w:t>148</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_Toc26005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6.1 地表水环境影响影响评价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_Toc26005 \h </w:instrText>
      </w:r>
      <w:r>
        <w:rPr>
          <w:rFonts w:hint="default" w:ascii="Times New Roman" w:hAnsi="Times New Roman" w:cs="Times New Roman"/>
        </w:rPr>
        <w:fldChar w:fldCharType="separate"/>
      </w:r>
      <w:r>
        <w:rPr>
          <w:rFonts w:hint="default" w:ascii="Times New Roman" w:hAnsi="Times New Roman" w:cs="Times New Roman"/>
        </w:rPr>
        <w:t>148</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_Toc9407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6.2 地下水环境影响评价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_Toc9407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_Toc13581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6.3 环境空气影响评价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_Toc13581 \h </w:instrText>
      </w:r>
      <w:r>
        <w:rPr>
          <w:rFonts w:hint="default" w:ascii="Times New Roman" w:hAnsi="Times New Roman" w:cs="Times New Roman"/>
        </w:rPr>
        <w:fldChar w:fldCharType="separate"/>
      </w:r>
      <w:r>
        <w:rPr>
          <w:rFonts w:hint="default" w:ascii="Times New Roman" w:hAnsi="Times New Roman" w:cs="Times New Roman"/>
        </w:rPr>
        <w:t>156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_Toc29167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6.4 声环境影响评价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_Toc29167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_Toc11349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24"/>
        </w:rPr>
        <w:t xml:space="preserve">6.5 </w:t>
      </w:r>
      <w:r>
        <w:rPr>
          <w:rFonts w:hint="default" w:ascii="Times New Roman" w:hAnsi="Times New Roman" w:cs="Times New Roman" w:eastAsiaTheme="minorEastAsia"/>
        </w:rPr>
        <w:t>固体废物环境影响评价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_Toc11349 \h </w:instrText>
      </w:r>
      <w:r>
        <w:rPr>
          <w:rFonts w:hint="default" w:ascii="Times New Roman" w:hAnsi="Times New Roman" w:cs="Times New Roman"/>
        </w:rPr>
        <w:fldChar w:fldCharType="separate"/>
      </w:r>
      <w:r>
        <w:rPr>
          <w:rFonts w:hint="default" w:ascii="Times New Roman" w:hAnsi="Times New Roman" w:cs="Times New Roman"/>
        </w:rPr>
        <w:t>164</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_Toc15022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6.6 土壤环境影响评价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_Toc15022 \h </w:instrText>
      </w:r>
      <w:r>
        <w:rPr>
          <w:rFonts w:hint="default" w:ascii="Times New Roman" w:hAnsi="Times New Roman" w:cs="Times New Roman"/>
        </w:rPr>
        <w:fldChar w:fldCharType="separate"/>
      </w:r>
      <w:r>
        <w:rPr>
          <w:rFonts w:hint="default" w:ascii="Times New Roman" w:hAnsi="Times New Roman" w:cs="Times New Roman"/>
        </w:rPr>
        <w:t>166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_Toc25844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24"/>
        </w:rPr>
        <w:t xml:space="preserve">6.7 </w:t>
      </w:r>
      <w:r>
        <w:rPr>
          <w:rFonts w:hint="default" w:ascii="Times New Roman" w:hAnsi="Times New Roman" w:cs="Times New Roman" w:eastAsiaTheme="minorEastAsia"/>
        </w:rPr>
        <w:t>生态环境影响评价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_Toc25844 \h </w:instrText>
      </w:r>
      <w:r>
        <w:rPr>
          <w:rFonts w:hint="default" w:ascii="Times New Roman" w:hAnsi="Times New Roman" w:cs="Times New Roman"/>
        </w:rPr>
        <w:fldChar w:fldCharType="separate"/>
      </w:r>
      <w:r>
        <w:rPr>
          <w:rFonts w:hint="default" w:ascii="Times New Roman" w:hAnsi="Times New Roman" w:cs="Times New Roman"/>
        </w:rPr>
        <w:t>170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_Toc31843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6.8 环境风险影响评价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_Toc31843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_Toc28869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6.9 相关专题影响分析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_Toc28869 \h </w:instrText>
      </w:r>
      <w:r>
        <w:rPr>
          <w:rFonts w:hint="default" w:ascii="Times New Roman" w:hAnsi="Times New Roman" w:cs="Times New Roman"/>
        </w:rPr>
        <w:fldChar w:fldCharType="separate"/>
      </w:r>
      <w:r>
        <w:rPr>
          <w:rFonts w:hint="default" w:ascii="Times New Roman" w:hAnsi="Times New Roman" w:cs="Times New Roman"/>
        </w:rPr>
        <w:t>198</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_Toc11075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7 水产种质资源保护区环境影响评价及保护措施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_Toc11075 \h </w:instrText>
      </w:r>
      <w:r>
        <w:rPr>
          <w:rFonts w:hint="default" w:ascii="Times New Roman" w:hAnsi="Times New Roman" w:cs="Times New Roman"/>
        </w:rPr>
        <w:fldChar w:fldCharType="separate"/>
      </w:r>
      <w:r>
        <w:rPr>
          <w:rFonts w:hint="default" w:ascii="Times New Roman" w:hAnsi="Times New Roman" w:cs="Times New Roman"/>
        </w:rPr>
        <w:t>200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_Toc7623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7.1 对水生生物资源及保护区生态结构和功能的影响预测与评价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_Toc7623 \h </w:instrText>
      </w:r>
      <w:r>
        <w:rPr>
          <w:rFonts w:hint="default" w:ascii="Times New Roman" w:hAnsi="Times New Roman" w:cs="Times New Roman"/>
        </w:rPr>
        <w:fldChar w:fldCharType="separate"/>
      </w:r>
      <w:r>
        <w:rPr>
          <w:rFonts w:hint="default" w:ascii="Times New Roman" w:hAnsi="Times New Roman" w:cs="Times New Roman"/>
        </w:rPr>
        <w:t>200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_Toc25965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7.2 水产种质资源保护区保护及补偿措施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_Toc25965 \h </w:instrText>
      </w:r>
      <w:r>
        <w:rPr>
          <w:rFonts w:hint="default" w:ascii="Times New Roman" w:hAnsi="Times New Roman" w:cs="Times New Roman"/>
        </w:rPr>
        <w:fldChar w:fldCharType="separate"/>
      </w:r>
      <w:r>
        <w:rPr>
          <w:rFonts w:hint="default" w:ascii="Times New Roman" w:hAnsi="Times New Roman" w:cs="Times New Roman"/>
        </w:rPr>
        <w:t>211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_Toc24921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8 环境影响减缓措施及技术经济论证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_Toc24921 \h </w:instrText>
      </w:r>
      <w:r>
        <w:rPr>
          <w:rFonts w:hint="default" w:ascii="Times New Roman" w:hAnsi="Times New Roman" w:cs="Times New Roman"/>
        </w:rPr>
        <w:fldChar w:fldCharType="separate"/>
      </w:r>
      <w:r>
        <w:rPr>
          <w:rFonts w:hint="default" w:ascii="Times New Roman" w:hAnsi="Times New Roman" w:cs="Times New Roman"/>
        </w:rPr>
        <w:t>217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_Toc9137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8.1 施工期污染物防治措施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_Toc9137 \h </w:instrText>
      </w:r>
      <w:r>
        <w:rPr>
          <w:rFonts w:hint="default" w:ascii="Times New Roman" w:hAnsi="Times New Roman" w:cs="Times New Roman"/>
        </w:rPr>
        <w:fldChar w:fldCharType="separate"/>
      </w:r>
      <w:r>
        <w:rPr>
          <w:rFonts w:hint="default" w:ascii="Times New Roman" w:hAnsi="Times New Roman" w:cs="Times New Roman"/>
        </w:rPr>
        <w:t>217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_Toc28228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8.2 营运期污染防治措施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_Toc28228 \h </w:instrText>
      </w:r>
      <w:r>
        <w:rPr>
          <w:rFonts w:hint="default" w:ascii="Times New Roman" w:hAnsi="Times New Roman" w:cs="Times New Roman"/>
        </w:rPr>
        <w:fldChar w:fldCharType="separate"/>
      </w:r>
      <w:r>
        <w:rPr>
          <w:rFonts w:hint="default" w:ascii="Times New Roman" w:hAnsi="Times New Roman" w:cs="Times New Roman"/>
        </w:rPr>
        <w:t>220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_Toc32234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8.3 项目环保投资及“三同时”验收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_Toc32234 \h </w:instrText>
      </w:r>
      <w:r>
        <w:rPr>
          <w:rFonts w:hint="default" w:ascii="Times New Roman" w:hAnsi="Times New Roman" w:cs="Times New Roman"/>
        </w:rPr>
        <w:fldChar w:fldCharType="separate"/>
      </w:r>
      <w:r>
        <w:rPr>
          <w:rFonts w:hint="default" w:ascii="Times New Roman" w:hAnsi="Times New Roman" w:cs="Times New Roman"/>
        </w:rPr>
        <w:t>232</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_Toc21581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bCs/>
          <w:kern w:val="44"/>
          <w:szCs w:val="32"/>
        </w:rPr>
        <w:t>9 环境经济损益分析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_Toc21581 \h </w:instrText>
      </w:r>
      <w:r>
        <w:rPr>
          <w:rFonts w:hint="default" w:ascii="Times New Roman" w:hAnsi="Times New Roman" w:cs="Times New Roman"/>
        </w:rPr>
        <w:fldChar w:fldCharType="separate"/>
      </w:r>
      <w:r>
        <w:rPr>
          <w:rFonts w:hint="default" w:ascii="Times New Roman" w:hAnsi="Times New Roman" w:cs="Times New Roman"/>
        </w:rPr>
        <w:t>235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_Toc1746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bCs/>
          <w:kern w:val="0"/>
          <w:szCs w:val="32"/>
        </w:rPr>
        <w:t>9.1 项目带来的环境损失</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_Toc1746 \h </w:instrText>
      </w:r>
      <w:r>
        <w:rPr>
          <w:rFonts w:hint="default" w:ascii="Times New Roman" w:hAnsi="Times New Roman" w:cs="Times New Roman"/>
        </w:rPr>
        <w:fldChar w:fldCharType="separate"/>
      </w:r>
      <w:r>
        <w:rPr>
          <w:rFonts w:hint="default" w:ascii="Times New Roman" w:hAnsi="Times New Roman" w:cs="Times New Roman"/>
        </w:rPr>
        <w:t>235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_Toc15654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bCs/>
          <w:kern w:val="0"/>
          <w:szCs w:val="32"/>
        </w:rPr>
        <w:t>9.2 工程产生的效益分析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_Toc15654 \h </w:instrText>
      </w:r>
      <w:r>
        <w:rPr>
          <w:rFonts w:hint="default" w:ascii="Times New Roman" w:hAnsi="Times New Roman" w:cs="Times New Roman"/>
        </w:rPr>
        <w:fldChar w:fldCharType="separate"/>
      </w:r>
      <w:r>
        <w:rPr>
          <w:rFonts w:hint="default" w:ascii="Times New Roman" w:hAnsi="Times New Roman" w:cs="Times New Roman"/>
        </w:rPr>
        <w:t>235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_Toc9138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bCs/>
          <w:kern w:val="0"/>
          <w:szCs w:val="32"/>
        </w:rPr>
        <w:t>9.3 环境影响经济损益分析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_Toc9138 \h </w:instrText>
      </w:r>
      <w:r>
        <w:rPr>
          <w:rFonts w:hint="default" w:ascii="Times New Roman" w:hAnsi="Times New Roman" w:cs="Times New Roman"/>
        </w:rPr>
        <w:fldChar w:fldCharType="separate"/>
      </w:r>
      <w:r>
        <w:rPr>
          <w:rFonts w:hint="default" w:ascii="Times New Roman" w:hAnsi="Times New Roman" w:cs="Times New Roman"/>
        </w:rPr>
        <w:t>236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_Toc14825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10 环境保护管理及监测计划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_Toc14825 \h </w:instrText>
      </w:r>
      <w:r>
        <w:rPr>
          <w:rFonts w:hint="default" w:ascii="Times New Roman" w:hAnsi="Times New Roman" w:cs="Times New Roman"/>
        </w:rPr>
        <w:fldChar w:fldCharType="separate"/>
      </w:r>
      <w:r>
        <w:rPr>
          <w:rFonts w:hint="default" w:ascii="Times New Roman" w:hAnsi="Times New Roman" w:cs="Times New Roman"/>
        </w:rPr>
        <w:t>237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_Toc9825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10.1 环境管理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_Toc9825 \h </w:instrText>
      </w:r>
      <w:r>
        <w:rPr>
          <w:rFonts w:hint="default" w:ascii="Times New Roman" w:hAnsi="Times New Roman" w:cs="Times New Roman"/>
        </w:rPr>
        <w:fldChar w:fldCharType="separate"/>
      </w:r>
      <w:r>
        <w:rPr>
          <w:rFonts w:hint="default" w:ascii="Times New Roman" w:hAnsi="Times New Roman" w:cs="Times New Roman"/>
        </w:rPr>
        <w:t>237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_Toc28048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10.2 环境监测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_Toc28048 \h </w:instrText>
      </w:r>
      <w:r>
        <w:rPr>
          <w:rFonts w:hint="default" w:ascii="Times New Roman" w:hAnsi="Times New Roman" w:cs="Times New Roman"/>
        </w:rPr>
        <w:fldChar w:fldCharType="separate"/>
      </w:r>
      <w:r>
        <w:rPr>
          <w:rFonts w:hint="default" w:ascii="Times New Roman" w:hAnsi="Times New Roman" w:cs="Times New Roman"/>
        </w:rPr>
        <w:t>240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_Toc25709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10.3 环境监理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_Toc25709 \h </w:instrText>
      </w:r>
      <w:r>
        <w:rPr>
          <w:rFonts w:hint="default" w:ascii="Times New Roman" w:hAnsi="Times New Roman" w:cs="Times New Roman"/>
        </w:rPr>
        <w:fldChar w:fldCharType="separate"/>
      </w:r>
      <w:r>
        <w:rPr>
          <w:rFonts w:hint="default" w:ascii="Times New Roman" w:hAnsi="Times New Roman" w:cs="Times New Roman"/>
        </w:rPr>
        <w:t>242</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_Toc1028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10.4 污染物排放总量控制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_Toc1028 \h </w:instrText>
      </w:r>
      <w:r>
        <w:rPr>
          <w:rFonts w:hint="default" w:ascii="Times New Roman" w:hAnsi="Times New Roman" w:cs="Times New Roman"/>
        </w:rPr>
        <w:fldChar w:fldCharType="separate"/>
      </w:r>
      <w:r>
        <w:rPr>
          <w:rFonts w:hint="default" w:ascii="Times New Roman" w:hAnsi="Times New Roman" w:cs="Times New Roman"/>
        </w:rPr>
        <w:t>244</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44"/>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_Toc7273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szCs w:val="32"/>
        </w:rPr>
        <w:t>11 评价结论与建议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_Toc7273 \h </w:instrText>
      </w:r>
      <w:r>
        <w:rPr>
          <w:rFonts w:hint="default" w:ascii="Times New Roman" w:hAnsi="Times New Roman" w:cs="Times New Roman"/>
        </w:rPr>
        <w:fldChar w:fldCharType="separate"/>
      </w:r>
      <w:r>
        <w:rPr>
          <w:rFonts w:hint="default" w:ascii="Times New Roman" w:hAnsi="Times New Roman" w:cs="Times New Roman"/>
        </w:rPr>
        <w:t>246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_Toc8879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11.1 项目概况</w:t>
      </w:r>
      <w:bookmarkStart w:id="317" w:name="_GoBack"/>
      <w:bookmarkEnd w:id="317"/>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_Toc8879 \h </w:instrText>
      </w:r>
      <w:r>
        <w:rPr>
          <w:rFonts w:hint="default" w:ascii="Times New Roman" w:hAnsi="Times New Roman" w:cs="Times New Roman"/>
        </w:rPr>
        <w:fldChar w:fldCharType="separate"/>
      </w:r>
      <w:r>
        <w:rPr>
          <w:rFonts w:hint="default" w:ascii="Times New Roman" w:hAnsi="Times New Roman" w:cs="Times New Roman"/>
        </w:rPr>
        <w:t>246</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_Toc17065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11.2 环境质量现状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_Toc17065 \h </w:instrText>
      </w:r>
      <w:r>
        <w:rPr>
          <w:rFonts w:hint="default" w:ascii="Times New Roman" w:hAnsi="Times New Roman" w:cs="Times New Roman"/>
        </w:rPr>
        <w:fldChar w:fldCharType="separate"/>
      </w:r>
      <w:r>
        <w:rPr>
          <w:rFonts w:hint="default" w:ascii="Times New Roman" w:hAnsi="Times New Roman" w:cs="Times New Roman"/>
        </w:rPr>
        <w:t>247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_Toc9927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11.3 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_Toc9927 \h </w:instrText>
      </w:r>
      <w:r>
        <w:rPr>
          <w:rFonts w:hint="default" w:ascii="Times New Roman" w:hAnsi="Times New Roman" w:cs="Times New Roman"/>
        </w:rPr>
        <w:fldChar w:fldCharType="separate"/>
      </w:r>
      <w:r>
        <w:rPr>
          <w:rFonts w:hint="default" w:ascii="Times New Roman" w:hAnsi="Times New Roman" w:cs="Times New Roman"/>
        </w:rPr>
        <w:t>248</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_Toc22781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11.4 主要环境保护措施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_Toc22781 \h </w:instrText>
      </w:r>
      <w:r>
        <w:rPr>
          <w:rFonts w:hint="default" w:ascii="Times New Roman" w:hAnsi="Times New Roman" w:cs="Times New Roman"/>
        </w:rPr>
        <w:fldChar w:fldCharType="separate"/>
      </w:r>
      <w:r>
        <w:rPr>
          <w:rFonts w:hint="default" w:ascii="Times New Roman" w:hAnsi="Times New Roman" w:cs="Times New Roman"/>
        </w:rPr>
        <w:t>251</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_Toc26268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11.5 环境风险达到可控水平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_Toc26268 \h </w:instrText>
      </w:r>
      <w:r>
        <w:rPr>
          <w:rFonts w:hint="default" w:ascii="Times New Roman" w:hAnsi="Times New Roman" w:cs="Times New Roman"/>
        </w:rPr>
        <w:fldChar w:fldCharType="separate"/>
      </w:r>
      <w:r>
        <w:rPr>
          <w:rFonts w:hint="default" w:ascii="Times New Roman" w:hAnsi="Times New Roman" w:cs="Times New Roman"/>
        </w:rPr>
        <w:t>253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_Toc20778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11.6 总量控制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_Toc20778 \h </w:instrText>
      </w:r>
      <w:r>
        <w:rPr>
          <w:rFonts w:hint="default" w:ascii="Times New Roman" w:hAnsi="Times New Roman" w:cs="Times New Roman"/>
        </w:rPr>
        <w:fldChar w:fldCharType="separate"/>
      </w:r>
      <w:r>
        <w:rPr>
          <w:rFonts w:hint="default" w:ascii="Times New Roman" w:hAnsi="Times New Roman" w:cs="Times New Roman"/>
        </w:rPr>
        <w:t>253</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_Toc5811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11.7 公众参与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_Toc5811 \h </w:instrText>
      </w:r>
      <w:r>
        <w:rPr>
          <w:rFonts w:hint="default" w:ascii="Times New Roman" w:hAnsi="Times New Roman" w:cs="Times New Roman"/>
        </w:rPr>
        <w:fldChar w:fldCharType="separate"/>
      </w:r>
      <w:r>
        <w:rPr>
          <w:rFonts w:hint="default" w:ascii="Times New Roman" w:hAnsi="Times New Roman" w:cs="Times New Roman"/>
        </w:rPr>
        <w:t>254</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58"/>
        <w:tabs>
          <w:tab w:val="right" w:leader="dot" w:pos="9070"/>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_Toc14378 </w:instrText>
      </w:r>
      <w:r>
        <w:rPr>
          <w:rFonts w:hint="default" w:ascii="Times New Roman" w:hAnsi="Times New Roman" w:cs="Times New Roman"/>
          <w:highlight w:val="yellow"/>
        </w:rPr>
        <w:fldChar w:fldCharType="separate"/>
      </w:r>
      <w:r>
        <w:rPr>
          <w:rFonts w:hint="default" w:ascii="Times New Roman" w:hAnsi="Times New Roman" w:cs="Times New Roman" w:eastAsiaTheme="minorEastAsia"/>
        </w:rPr>
        <w:t>11.8 总结论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_Toc14378 \h </w:instrText>
      </w:r>
      <w:r>
        <w:rPr>
          <w:rFonts w:hint="default" w:ascii="Times New Roman" w:hAnsi="Times New Roman" w:cs="Times New Roman"/>
        </w:rPr>
        <w:fldChar w:fldCharType="separate"/>
      </w:r>
      <w:r>
        <w:rPr>
          <w:rFonts w:hint="default" w:ascii="Times New Roman" w:hAnsi="Times New Roman" w:cs="Times New Roman"/>
        </w:rPr>
        <w:t>254</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94"/>
        <w:spacing w:line="240" w:lineRule="auto"/>
        <w:ind w:firstLine="0" w:firstLineChars="0"/>
        <w:rPr>
          <w:rFonts w:ascii="Times New Roman" w:hAnsi="Times New Roman" w:cs="Times New Roman"/>
        </w:rPr>
      </w:pPr>
      <w:r>
        <w:rPr>
          <w:rFonts w:hint="default" w:ascii="Times New Roman" w:hAnsi="Times New Roman" w:cs="Times New Roman"/>
          <w:highlight w:val="yellow"/>
        </w:rPr>
        <w:fldChar w:fldCharType="end"/>
      </w:r>
      <w:r>
        <w:rPr>
          <w:rFonts w:ascii="Times New Roman" w:hAnsi="Times New Roman" w:cs="Times New Roman"/>
        </w:rPr>
        <w:br w:type="page"/>
      </w:r>
    </w:p>
    <w:p>
      <w:pPr>
        <w:pStyle w:val="94"/>
        <w:spacing w:line="240" w:lineRule="auto"/>
        <w:ind w:firstLine="0" w:firstLineChars="0"/>
        <w:rPr>
          <w:rFonts w:ascii="Times New Roman" w:hAnsi="Times New Roman" w:cs="Times New Roman"/>
        </w:rPr>
      </w:pPr>
    </w:p>
    <w:tbl>
      <w:tblPr>
        <w:tblStyle w:val="71"/>
        <w:tblW w:w="9070" w:type="dxa"/>
        <w:jc w:val="center"/>
        <w:tblLayout w:type="fixed"/>
        <w:tblCellMar>
          <w:top w:w="0" w:type="dxa"/>
          <w:left w:w="108" w:type="dxa"/>
          <w:bottom w:w="0" w:type="dxa"/>
          <w:right w:w="108" w:type="dxa"/>
        </w:tblCellMar>
      </w:tblPr>
      <w:tblGrid>
        <w:gridCol w:w="1105"/>
        <w:gridCol w:w="7965"/>
      </w:tblGrid>
      <w:tr>
        <w:tblPrEx>
          <w:tblCellMar>
            <w:top w:w="0" w:type="dxa"/>
            <w:left w:w="108" w:type="dxa"/>
            <w:bottom w:w="0" w:type="dxa"/>
            <w:right w:w="108" w:type="dxa"/>
          </w:tblCellMar>
        </w:tblPrEx>
        <w:trPr>
          <w:trHeight w:val="340" w:hRule="atLeast"/>
          <w:jc w:val="center"/>
        </w:trPr>
        <w:tc>
          <w:tcPr>
            <w:tcW w:w="9070" w:type="dxa"/>
            <w:gridSpan w:val="2"/>
            <w:vAlign w:val="center"/>
          </w:tcPr>
          <w:p>
            <w:pPr>
              <w:pStyle w:val="94"/>
              <w:spacing w:line="240" w:lineRule="auto"/>
              <w:ind w:firstLine="0" w:firstLineChars="0"/>
              <w:rPr>
                <w:rFonts w:ascii="Times New Roman" w:hAnsi="Times New Roman" w:cs="Times New Roman"/>
                <w:b/>
                <w:bCs/>
                <w:caps/>
              </w:rPr>
            </w:pPr>
            <w:r>
              <w:rPr>
                <w:rFonts w:ascii="Times New Roman" w:hAnsi="Times New Roman" w:cs="Times New Roman"/>
                <w:b/>
              </w:rPr>
              <w:t>附表：</w:t>
            </w:r>
          </w:p>
        </w:tc>
      </w:tr>
      <w:tr>
        <w:tblPrEx>
          <w:tblCellMar>
            <w:top w:w="0" w:type="dxa"/>
            <w:left w:w="108" w:type="dxa"/>
            <w:bottom w:w="0" w:type="dxa"/>
            <w:right w:w="108" w:type="dxa"/>
          </w:tblCellMar>
        </w:tblPrEx>
        <w:trPr>
          <w:trHeight w:val="340" w:hRule="atLeast"/>
          <w:jc w:val="center"/>
        </w:trPr>
        <w:tc>
          <w:tcPr>
            <w:tcW w:w="1105" w:type="dxa"/>
            <w:vAlign w:val="center"/>
          </w:tcPr>
          <w:p>
            <w:pPr>
              <w:pStyle w:val="94"/>
              <w:spacing w:line="240" w:lineRule="auto"/>
              <w:ind w:firstLine="0" w:firstLineChars="0"/>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附表1</w:t>
            </w:r>
          </w:p>
        </w:tc>
        <w:tc>
          <w:tcPr>
            <w:tcW w:w="7965" w:type="dxa"/>
            <w:vAlign w:val="center"/>
          </w:tcPr>
          <w:p>
            <w:pPr>
              <w:pStyle w:val="94"/>
              <w:spacing w:line="240" w:lineRule="auto"/>
              <w:ind w:firstLine="0" w:firstLineChars="0"/>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建设项目环评审批基础信息表；</w:t>
            </w:r>
          </w:p>
        </w:tc>
      </w:tr>
      <w:tr>
        <w:tblPrEx>
          <w:tblCellMar>
            <w:top w:w="0" w:type="dxa"/>
            <w:left w:w="108" w:type="dxa"/>
            <w:bottom w:w="0" w:type="dxa"/>
            <w:right w:w="108" w:type="dxa"/>
          </w:tblCellMar>
        </w:tblPrEx>
        <w:trPr>
          <w:trHeight w:val="340" w:hRule="atLeast"/>
          <w:jc w:val="center"/>
        </w:trPr>
        <w:tc>
          <w:tcPr>
            <w:tcW w:w="1105" w:type="dxa"/>
            <w:vAlign w:val="center"/>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附表2</w:t>
            </w:r>
          </w:p>
        </w:tc>
        <w:tc>
          <w:tcPr>
            <w:tcW w:w="7965" w:type="dxa"/>
            <w:vAlign w:val="center"/>
          </w:tcPr>
          <w:p>
            <w:pPr>
              <w:autoSpaceDE w:val="0"/>
              <w:autoSpaceDN w:val="0"/>
              <w:adjustRightInd w:val="0"/>
              <w:snapToGrid w:val="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建设项目地表水环境影响评价自查表；</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附表3</w:t>
            </w:r>
          </w:p>
        </w:tc>
        <w:tc>
          <w:tcPr>
            <w:tcW w:w="7965" w:type="dxa"/>
            <w:vAlign w:val="center"/>
          </w:tcPr>
          <w:p>
            <w:pPr>
              <w:autoSpaceDE w:val="0"/>
              <w:autoSpaceDN w:val="0"/>
              <w:adjustRightInd w:val="0"/>
              <w:snapToGrid w:val="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建设项目大气环境影响评价自查表；</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附表4</w:t>
            </w:r>
          </w:p>
        </w:tc>
        <w:tc>
          <w:tcPr>
            <w:tcW w:w="7965" w:type="dxa"/>
            <w:vAlign w:val="center"/>
          </w:tcPr>
          <w:p>
            <w:pPr>
              <w:autoSpaceDE w:val="0"/>
              <w:autoSpaceDN w:val="0"/>
              <w:adjustRightInd w:val="0"/>
              <w:snapToGrid w:val="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环境风险评价自查表；</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附表5</w:t>
            </w:r>
          </w:p>
        </w:tc>
        <w:tc>
          <w:tcPr>
            <w:tcW w:w="7965" w:type="dxa"/>
            <w:vAlign w:val="center"/>
          </w:tcPr>
          <w:p>
            <w:pPr>
              <w:autoSpaceDE w:val="0"/>
              <w:autoSpaceDN w:val="0"/>
              <w:adjustRightInd w:val="0"/>
              <w:snapToGrid w:val="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土壤环境影响评价自查表；</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FF0000"/>
              </w:rPr>
            </w:pPr>
          </w:p>
        </w:tc>
        <w:tc>
          <w:tcPr>
            <w:tcW w:w="7965" w:type="dxa"/>
            <w:vAlign w:val="center"/>
          </w:tcPr>
          <w:p>
            <w:pPr>
              <w:autoSpaceDE w:val="0"/>
              <w:autoSpaceDN w:val="0"/>
              <w:adjustRightInd w:val="0"/>
              <w:snapToGrid w:val="0"/>
              <w:jc w:val="left"/>
              <w:rPr>
                <w:rFonts w:ascii="Times New Roman" w:hAnsi="Times New Roman" w:eastAsiaTheme="minorEastAsia"/>
                <w:color w:val="FF0000"/>
                <w:sz w:val="24"/>
                <w:szCs w:val="24"/>
              </w:rPr>
            </w:pPr>
          </w:p>
        </w:tc>
      </w:tr>
      <w:tr>
        <w:tblPrEx>
          <w:tblCellMar>
            <w:top w:w="0" w:type="dxa"/>
            <w:left w:w="108" w:type="dxa"/>
            <w:bottom w:w="0" w:type="dxa"/>
            <w:right w:w="108" w:type="dxa"/>
          </w:tblCellMar>
        </w:tblPrEx>
        <w:trPr>
          <w:trHeight w:val="340" w:hRule="atLeast"/>
          <w:jc w:val="center"/>
        </w:trPr>
        <w:tc>
          <w:tcPr>
            <w:tcW w:w="9070" w:type="dxa"/>
            <w:gridSpan w:val="2"/>
            <w:vAlign w:val="bottom"/>
          </w:tcPr>
          <w:p>
            <w:pPr>
              <w:pStyle w:val="94"/>
              <w:spacing w:line="240" w:lineRule="auto"/>
              <w:ind w:firstLine="0" w:firstLineChars="0"/>
              <w:rPr>
                <w:rFonts w:ascii="Times New Roman" w:hAnsi="Times New Roman" w:cs="Times New Roman"/>
                <w:b/>
              </w:rPr>
            </w:pPr>
            <w:r>
              <w:rPr>
                <w:rFonts w:ascii="Times New Roman" w:hAnsi="Times New Roman" w:cs="Times New Roman"/>
                <w:b/>
              </w:rPr>
              <w:t>附件：</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附件1</w:t>
            </w:r>
          </w:p>
        </w:tc>
        <w:tc>
          <w:tcPr>
            <w:tcW w:w="7965" w:type="dxa"/>
          </w:tcPr>
          <w:p>
            <w:pPr>
              <w:pStyle w:val="94"/>
              <w:spacing w:line="240" w:lineRule="auto"/>
              <w:ind w:firstLine="0" w:firstLineChars="0"/>
              <w:rPr>
                <w:rFonts w:ascii="Times New Roman" w:hAnsi="Times New Roman" w:cs="Times New Roman"/>
                <w:color w:val="000000" w:themeColor="text1"/>
                <w:highlight w:val="yellow"/>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关于开展</w:t>
            </w:r>
            <w:r>
              <w:rPr>
                <w:rFonts w:hint="eastAsia" w:ascii="Times New Roman" w:hAnsi="Times New Roman" w:cs="Times New Roman"/>
                <w:color w:val="000000" w:themeColor="text1"/>
                <w14:textFill>
                  <w14:solidFill>
                    <w14:schemeClr w14:val="tx1"/>
                  </w14:solidFill>
                </w14:textFill>
              </w:rPr>
              <w:t>中国石化集团资产经营管理有限公司长岭分公司港口部码头提质改造工程</w:t>
            </w:r>
            <w:r>
              <w:rPr>
                <w:rFonts w:ascii="Times New Roman" w:hAnsi="Times New Roman" w:cs="Times New Roman"/>
                <w:color w:val="000000" w:themeColor="text1"/>
                <w14:textFill>
                  <w14:solidFill>
                    <w14:schemeClr w14:val="tx1"/>
                  </w14:solidFill>
                </w14:textFill>
              </w:rPr>
              <w:t>环境影响评价工作的委托函</w:t>
            </w:r>
            <w:r>
              <w:rPr>
                <w:rFonts w:ascii="Times New Roman" w:hAnsi="Times New Roman" w:cs="Times New Roman"/>
                <w:color w:val="000000" w:themeColor="text1"/>
                <w:kern w:val="0"/>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附件2</w:t>
            </w:r>
          </w:p>
        </w:tc>
        <w:tc>
          <w:tcPr>
            <w:tcW w:w="796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关于</w:t>
            </w:r>
            <w:r>
              <w:rPr>
                <w:rFonts w:ascii="Times New Roman" w:hAnsi="Times New Roman" w:cs="Times New Roman"/>
                <w:color w:val="000000" w:themeColor="text1"/>
                <w14:textFill>
                  <w14:solidFill>
                    <w14:schemeClr w14:val="tx1"/>
                  </w14:solidFill>
                </w14:textFill>
              </w:rPr>
              <w:t>中国石化集团资产经营管理有限公司长岭分公司港口部码头提质改造工程</w:t>
            </w:r>
            <w:r>
              <w:rPr>
                <w:rFonts w:ascii="Times New Roman" w:hAnsi="Times New Roman" w:cs="Times New Roman"/>
                <w:color w:val="000000" w:themeColor="text1"/>
                <w:kern w:val="0"/>
                <w14:textFill>
                  <w14:solidFill>
                    <w14:schemeClr w14:val="tx1"/>
                  </w14:solidFill>
                </w14:textFill>
              </w:rPr>
              <w:t>立项的批复；</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3</w:t>
            </w:r>
          </w:p>
        </w:tc>
        <w:tc>
          <w:tcPr>
            <w:tcW w:w="7965" w:type="dxa"/>
          </w:tcPr>
          <w:p>
            <w:pPr>
              <w:pStyle w:val="9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hint="eastAsia" w:ascii="Times New Roman" w:hAnsi="Times New Roman" w:eastAsiaTheme="minorEastAsia"/>
                <w:bCs/>
                <w:color w:val="000000" w:themeColor="text1"/>
                <w:sz w:val="24"/>
                <w14:textFill>
                  <w14:solidFill>
                    <w14:schemeClr w14:val="tx1"/>
                  </w14:solidFill>
                </w14:textFill>
              </w:rPr>
              <w:t>湖南省交通运输厅 关于中国石化集团资产经营管理有限公司长岭分公司港口部码头提质改造工程核准行业意见的函（湘交函〔2020〕383号</w:t>
            </w:r>
            <w:r>
              <w:rPr>
                <w:rFonts w:ascii="Times New Roman" w:hAnsi="Times New Roman" w:eastAsiaTheme="minorEastAsia"/>
                <w:bCs/>
                <w:color w:val="000000" w:themeColor="text1"/>
                <w:sz w:val="24"/>
                <w14:textFill>
                  <w14:solidFill>
                    <w14:schemeClr w14:val="tx1"/>
                  </w14:solidFill>
                </w14:textFill>
              </w:rPr>
              <w:t>）</w:t>
            </w:r>
            <w:r>
              <w:rPr>
                <w:rFonts w:hint="eastAsia" w:ascii="Times New Roman" w:hAnsi="Times New Roman" w:eastAsiaTheme="minorEastAsia"/>
                <w:bCs/>
                <w:color w:val="000000" w:themeColor="text1"/>
                <w:sz w:val="24"/>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4</w:t>
            </w:r>
          </w:p>
        </w:tc>
        <w:tc>
          <w:tcPr>
            <w:tcW w:w="7965" w:type="dxa"/>
          </w:tcPr>
          <w:p>
            <w:pPr>
              <w:pStyle w:val="94"/>
              <w:spacing w:line="240" w:lineRule="auto"/>
              <w:ind w:firstLine="0" w:firstLineChars="0"/>
              <w:rPr>
                <w:rFonts w:hint="eastAsia" w:ascii="Times New Roman" w:hAnsi="Times New Roman" w:eastAsiaTheme="minorEastAsia"/>
                <w:bCs/>
                <w:color w:val="000000" w:themeColor="text1"/>
                <w:sz w:val="24"/>
                <w:lang w:eastAsia="zh-CN"/>
                <w14:textFill>
                  <w14:solidFill>
                    <w14:schemeClr w14:val="tx1"/>
                  </w14:solidFill>
                </w14:textFill>
              </w:rPr>
            </w:pPr>
            <w:r>
              <w:rPr>
                <w:rFonts w:hint="eastAsia" w:ascii="Times New Roman" w:hAnsi="Times New Roman"/>
                <w:bCs/>
                <w:color w:val="000000" w:themeColor="text1"/>
                <w:sz w:val="24"/>
                <w:highlight w:val="none"/>
                <w:lang w:val="en-US" w:eastAsia="zh-CN"/>
                <w14:textFill>
                  <w14:solidFill>
                    <w14:schemeClr w14:val="tx1"/>
                  </w14:solidFill>
                </w14:textFill>
              </w:rPr>
              <w:t>岳阳市生态环境局云溪分局关于</w:t>
            </w:r>
            <w:r>
              <w:rPr>
                <w:rFonts w:hint="eastAsia" w:ascii="Times New Roman" w:hAnsi="Times New Roman" w:cs="Times New Roman"/>
                <w:color w:val="000000" w:themeColor="text1"/>
                <w:highlight w:val="none"/>
                <w14:textFill>
                  <w14:solidFill>
                    <w14:schemeClr w14:val="tx1"/>
                  </w14:solidFill>
                </w14:textFill>
              </w:rPr>
              <w:t>中国石化集团资产经营管理有限公司长岭分公司港口部码头提质改造工程</w:t>
            </w:r>
            <w:r>
              <w:rPr>
                <w:rFonts w:hint="eastAsia" w:ascii="Times New Roman" w:hAnsi="Times New Roman"/>
                <w:bCs/>
                <w:color w:val="000000" w:themeColor="text1"/>
                <w:sz w:val="24"/>
                <w:highlight w:val="none"/>
                <w:lang w:eastAsia="zh-CN"/>
                <w14:textFill>
                  <w14:solidFill>
                    <w14:schemeClr w14:val="tx1"/>
                  </w14:solidFill>
                </w14:textFill>
              </w:rPr>
              <w:t>执行标准的函；</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5</w:t>
            </w:r>
          </w:p>
        </w:tc>
        <w:tc>
          <w:tcPr>
            <w:tcW w:w="7965" w:type="dxa"/>
          </w:tcPr>
          <w:p>
            <w:pPr>
              <w:pStyle w:val="9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检测报告及质量保证单；</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6</w:t>
            </w:r>
          </w:p>
        </w:tc>
        <w:tc>
          <w:tcPr>
            <w:tcW w:w="7965" w:type="dxa"/>
          </w:tcPr>
          <w:p>
            <w:pPr>
              <w:pStyle w:val="94"/>
              <w:spacing w:line="240" w:lineRule="auto"/>
              <w:ind w:left="120" w:hanging="120" w:hangingChars="5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湖南省人民政府 关于推进长江岸线湖南段港口码头专项整治工作的会议纪要  湘府阅〔2018〕28号；</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7</w:t>
            </w:r>
          </w:p>
        </w:tc>
        <w:tc>
          <w:tcPr>
            <w:tcW w:w="7965" w:type="dxa"/>
          </w:tcPr>
          <w:p>
            <w:pPr>
              <w:pStyle w:val="94"/>
              <w:spacing w:line="240" w:lineRule="auto"/>
              <w:ind w:left="120" w:hanging="120" w:hangingChars="5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湖南省人民政府 关于推进长江岸线湖南段港口码头专项整治工作的第二次会议纪要  湘府阅〔2018〕33号；</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8</w:t>
            </w:r>
          </w:p>
        </w:tc>
        <w:tc>
          <w:tcPr>
            <w:tcW w:w="7965" w:type="dxa"/>
          </w:tcPr>
          <w:p>
            <w:pPr>
              <w:pStyle w:val="9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湖南省人民政府 关于推进长江岸线湖南段港口码头专项整治工作第三次会议暨长江湖南段“河长制”工作会议纪要  湘府阅〔2018〕48号；</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9</w:t>
            </w:r>
          </w:p>
        </w:tc>
        <w:tc>
          <w:tcPr>
            <w:tcW w:w="7965" w:type="dxa"/>
          </w:tcPr>
          <w:p>
            <w:pPr>
              <w:pStyle w:val="9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岳阳市</w:t>
            </w:r>
            <w:r>
              <w:rPr>
                <w:rFonts w:ascii="Times New Roman" w:hAnsi="Times New Roman" w:cs="Times New Roman"/>
                <w:color w:val="000000" w:themeColor="text1"/>
                <w:kern w:val="0"/>
                <w14:textFill>
                  <w14:solidFill>
                    <w14:schemeClr w14:val="tx1"/>
                  </w14:solidFill>
                </w14:textFill>
              </w:rPr>
              <w:t>云溪区人民政府关于协调解决中国石化集团资产经营管理有限公司长岭分</w:t>
            </w:r>
            <w:r>
              <w:rPr>
                <w:rFonts w:hint="eastAsia" w:ascii="Times New Roman" w:hAnsi="Times New Roman" w:cs="Times New Roman"/>
                <w:color w:val="000000" w:themeColor="text1"/>
                <w:kern w:val="0"/>
                <w14:textFill>
                  <w14:solidFill>
                    <w14:schemeClr w14:val="tx1"/>
                  </w14:solidFill>
                </w14:textFill>
              </w:rPr>
              <w:t>公司港口部</w:t>
            </w:r>
            <w:r>
              <w:rPr>
                <w:rFonts w:ascii="Times New Roman" w:hAnsi="Times New Roman" w:cs="Times New Roman"/>
                <w:color w:val="000000" w:themeColor="text1"/>
                <w:kern w:val="0"/>
                <w14:textFill>
                  <w14:solidFill>
                    <w14:schemeClr w14:val="tx1"/>
                  </w14:solidFill>
                </w14:textFill>
              </w:rPr>
              <w:t>码头列入饮用水水源保护区问题的复函</w:t>
            </w:r>
            <w:r>
              <w:rPr>
                <w:rFonts w:hint="eastAsia" w:ascii="Times New Roman" w:hAnsi="Times New Roman" w:cs="Times New Roman"/>
                <w:color w:val="000000" w:themeColor="text1"/>
                <w:kern w:val="0"/>
                <w14:textFill>
                  <w14:solidFill>
                    <w14:schemeClr w14:val="tx1"/>
                  </w14:solidFill>
                </w14:textFill>
              </w:rPr>
              <w:t xml:space="preserve">  岳</w:t>
            </w:r>
            <w:r>
              <w:rPr>
                <w:rFonts w:ascii="Times New Roman" w:hAnsi="Times New Roman" w:cs="Times New Roman"/>
                <w:color w:val="000000" w:themeColor="text1"/>
                <w:kern w:val="0"/>
                <w14:textFill>
                  <w14:solidFill>
                    <w14:schemeClr w14:val="tx1"/>
                  </w14:solidFill>
                </w14:textFill>
              </w:rPr>
              <w:t>云政函〔</w:t>
            </w:r>
            <w:r>
              <w:rPr>
                <w:rFonts w:hint="eastAsia" w:ascii="Times New Roman" w:hAnsi="Times New Roman" w:cs="Times New Roman"/>
                <w:color w:val="000000" w:themeColor="text1"/>
                <w:kern w:val="0"/>
                <w14:textFill>
                  <w14:solidFill>
                    <w14:schemeClr w14:val="tx1"/>
                  </w14:solidFill>
                </w14:textFill>
              </w:rPr>
              <w:t>2020〕32号</w:t>
            </w:r>
            <w:r>
              <w:rPr>
                <w:rFonts w:ascii="Times New Roman" w:hAnsi="Times New Roman" w:cs="Times New Roman"/>
                <w:color w:val="000000" w:themeColor="text1"/>
                <w:kern w:val="0"/>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10</w:t>
            </w:r>
          </w:p>
        </w:tc>
        <w:tc>
          <w:tcPr>
            <w:tcW w:w="7965" w:type="dxa"/>
          </w:tcPr>
          <w:p>
            <w:pPr>
              <w:pStyle w:val="9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监利县农业农村局</w:t>
            </w:r>
            <w:r>
              <w:rPr>
                <w:rFonts w:ascii="Times New Roman" w:hAnsi="Times New Roman" w:cs="Times New Roman"/>
                <w:color w:val="000000" w:themeColor="text1"/>
                <w:kern w:val="0"/>
                <w14:textFill>
                  <w14:solidFill>
                    <w14:schemeClr w14:val="tx1"/>
                  </w14:solidFill>
                </w14:textFill>
              </w:rPr>
              <w:t xml:space="preserve"> </w:t>
            </w:r>
            <w:r>
              <w:rPr>
                <w:rFonts w:hint="eastAsia" w:ascii="Times New Roman" w:hAnsi="Times New Roman" w:cs="Times New Roman"/>
                <w:color w:val="000000" w:themeColor="text1"/>
                <w:kern w:val="0"/>
                <w14:textFill>
                  <w14:solidFill>
                    <w14:schemeClr w14:val="tx1"/>
                  </w14:solidFill>
                </w14:textFill>
              </w:rPr>
              <w:t>关于</w:t>
            </w:r>
            <w:r>
              <w:rPr>
                <w:rFonts w:ascii="Times New Roman" w:hAnsi="Times New Roman" w:cs="Times New Roman"/>
                <w:color w:val="000000" w:themeColor="text1"/>
                <w:kern w:val="0"/>
                <w14:textFill>
                  <w14:solidFill>
                    <w14:schemeClr w14:val="tx1"/>
                  </w14:solidFill>
                </w14:textFill>
              </w:rPr>
              <w:t>中国石化集团资产经营管理有限公司长岭分</w:t>
            </w:r>
            <w:r>
              <w:rPr>
                <w:rFonts w:hint="eastAsia" w:ascii="Times New Roman" w:hAnsi="Times New Roman" w:cs="Times New Roman"/>
                <w:color w:val="000000" w:themeColor="text1"/>
                <w:kern w:val="0"/>
                <w14:textFill>
                  <w14:solidFill>
                    <w14:schemeClr w14:val="tx1"/>
                  </w14:solidFill>
                </w14:textFill>
              </w:rPr>
              <w:t>公司港口部</w:t>
            </w:r>
            <w:r>
              <w:rPr>
                <w:rFonts w:ascii="Times New Roman" w:hAnsi="Times New Roman" w:cs="Times New Roman"/>
                <w:color w:val="000000" w:themeColor="text1"/>
                <w:kern w:val="0"/>
                <w14:textFill>
                  <w14:solidFill>
                    <w14:schemeClr w14:val="tx1"/>
                  </w14:solidFill>
                </w14:textFill>
              </w:rPr>
              <w:t>码头</w:t>
            </w:r>
            <w:r>
              <w:rPr>
                <w:rFonts w:hint="eastAsia" w:ascii="Times New Roman" w:hAnsi="Times New Roman" w:cs="Times New Roman"/>
                <w:color w:val="000000" w:themeColor="text1"/>
                <w:kern w:val="0"/>
                <w14:textFill>
                  <w14:solidFill>
                    <w14:schemeClr w14:val="tx1"/>
                  </w14:solidFill>
                </w14:textFill>
              </w:rPr>
              <w:t>提质改造工程涉及</w:t>
            </w:r>
            <w:r>
              <w:rPr>
                <w:rFonts w:ascii="Times New Roman" w:hAnsi="Times New Roman" w:cs="Times New Roman"/>
                <w:color w:val="000000" w:themeColor="text1"/>
                <w:kern w:val="0"/>
                <w14:textFill>
                  <w14:solidFill>
                    <w14:schemeClr w14:val="tx1"/>
                  </w14:solidFill>
                </w14:textFill>
              </w:rPr>
              <w:t>长江监</w:t>
            </w:r>
            <w:r>
              <w:rPr>
                <w:rFonts w:hint="eastAsia" w:ascii="Times New Roman" w:hAnsi="Times New Roman" w:cs="Times New Roman"/>
                <w:color w:val="000000" w:themeColor="text1"/>
                <w:kern w:val="0"/>
                <w14:textFill>
                  <w14:solidFill>
                    <w14:schemeClr w14:val="tx1"/>
                  </w14:solidFill>
                </w14:textFill>
              </w:rPr>
              <w:t>利段</w:t>
            </w:r>
            <w:r>
              <w:rPr>
                <w:rFonts w:ascii="Times New Roman" w:hAnsi="Times New Roman" w:cs="Times New Roman"/>
                <w:color w:val="000000" w:themeColor="text1"/>
                <w:kern w:val="0"/>
                <w14:textFill>
                  <w14:solidFill>
                    <w14:schemeClr w14:val="tx1"/>
                  </w14:solidFill>
                </w14:textFill>
              </w:rPr>
              <w:t>四大家鱼国家级水产种质资源保护区的回复函</w:t>
            </w:r>
            <w:r>
              <w:rPr>
                <w:rFonts w:hint="eastAsia" w:ascii="Times New Roman" w:hAnsi="Times New Roman" w:cs="Times New Roman"/>
                <w:color w:val="000000" w:themeColor="text1"/>
                <w:kern w:val="0"/>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11</w:t>
            </w:r>
          </w:p>
        </w:tc>
        <w:tc>
          <w:tcPr>
            <w:tcW w:w="7965" w:type="dxa"/>
          </w:tcPr>
          <w:p>
            <w:pPr>
              <w:pStyle w:val="94"/>
              <w:spacing w:line="240" w:lineRule="auto"/>
              <w:ind w:firstLine="0" w:firstLineChars="0"/>
              <w:rPr>
                <w:rFonts w:hint="eastAsia" w:ascii="Times New Roman" w:hAnsi="Times New Roman" w:cs="Times New Roman" w:eastAsiaTheme="minorEastAsia"/>
                <w:color w:val="000000" w:themeColor="text1"/>
                <w:kern w:val="0"/>
                <w:lang w:eastAsia="zh-CN"/>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《中国石化集团资产经营管理有限公司长岭分公司港口部码头提质改造工程对长江监利段四大家鱼国家级水产种质资源保护区影响专题论证报告》审查意见</w:t>
            </w:r>
            <w:r>
              <w:rPr>
                <w:rFonts w:hint="eastAsia" w:ascii="Times New Roman" w:hAnsi="Times New Roman" w:cs="Times New Roman"/>
                <w:color w:val="000000" w:themeColor="text1"/>
                <w:kern w:val="0"/>
                <w:lang w:eastAsia="zh-CN"/>
                <w14:textFill>
                  <w14:solidFill>
                    <w14:schemeClr w14:val="tx1"/>
                  </w14:solidFill>
                </w14:textFill>
              </w:rPr>
              <w:t>及专家签到表；</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w:t>
            </w:r>
            <w:r>
              <w:rPr>
                <w:rFonts w:hint="eastAsia" w:ascii="Times New Roman" w:hAnsi="Times New Roman" w:cs="Times New Roman"/>
                <w:color w:val="000000" w:themeColor="text1"/>
                <w:lang w:val="en-US" w:eastAsia="zh-CN"/>
                <w14:textFill>
                  <w14:solidFill>
                    <w14:schemeClr w14:val="tx1"/>
                  </w14:solidFill>
                </w14:textFill>
              </w:rPr>
              <w:t>2</w:t>
            </w:r>
          </w:p>
        </w:tc>
        <w:tc>
          <w:tcPr>
            <w:tcW w:w="7965" w:type="dxa"/>
          </w:tcPr>
          <w:p>
            <w:pPr>
              <w:pStyle w:val="94"/>
              <w:spacing w:line="240" w:lineRule="auto"/>
              <w:ind w:firstLine="0" w:firstLineChars="0"/>
              <w:rPr>
                <w:rFonts w:hint="eastAsia" w:ascii="Times New Roman" w:hAnsi="Times New Roman" w:cs="Times New Roman" w:eastAsiaTheme="minorEastAsia"/>
                <w:color w:val="000000" w:themeColor="text1"/>
                <w:kern w:val="0"/>
                <w:lang w:eastAsia="zh-CN"/>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交通运输部办公厅湖南省人民政府办公厅关于岳阳港总体规划的审查意</w:t>
            </w:r>
            <w:r>
              <w:rPr>
                <w:rFonts w:hint="eastAsia" w:ascii="Times New Roman" w:hAnsi="Times New Roman" w:cs="Times New Roman"/>
                <w:color w:val="000000" w:themeColor="text1"/>
                <w:kern w:val="0"/>
                <w:lang w:val="en-US" w:eastAsia="zh-CN"/>
                <w14:textFill>
                  <w14:solidFill>
                    <w14:schemeClr w14:val="tx1"/>
                  </w14:solidFill>
                </w14:textFill>
              </w:rPr>
              <w:t xml:space="preserve">  </w:t>
            </w:r>
            <w:r>
              <w:rPr>
                <w:rFonts w:hint="eastAsia" w:ascii="Times New Roman" w:hAnsi="Times New Roman" w:cs="Times New Roman"/>
                <w:color w:val="000000" w:themeColor="text1"/>
                <w:kern w:val="0"/>
                <w14:textFill>
                  <w14:solidFill>
                    <w14:schemeClr w14:val="tx1"/>
                  </w14:solidFill>
                </w14:textFill>
              </w:rPr>
              <w:t>交办规划</w:t>
            </w:r>
            <w:r>
              <w:rPr>
                <w:rFonts w:hint="eastAsia" w:ascii="Times New Roman" w:hAnsi="Times New Roman" w:cs="Times New Roman"/>
                <w:color w:val="000000" w:themeColor="text1"/>
                <w:kern w:val="0"/>
                <w:lang w:eastAsia="zh-CN"/>
                <w14:textFill>
                  <w14:solidFill>
                    <w14:schemeClr w14:val="tx1"/>
                  </w14:solidFill>
                </w14:textFill>
              </w:rPr>
              <w:t>函〔</w:t>
            </w:r>
            <w:r>
              <w:rPr>
                <w:rFonts w:hint="eastAsia" w:ascii="Times New Roman" w:hAnsi="Times New Roman" w:cs="Times New Roman"/>
                <w:color w:val="000000" w:themeColor="text1"/>
                <w:kern w:val="0"/>
                <w14:textFill>
                  <w14:solidFill>
                    <w14:schemeClr w14:val="tx1"/>
                  </w14:solidFill>
                </w14:textFill>
              </w:rPr>
              <w:t>2019</w:t>
            </w:r>
            <w:r>
              <w:rPr>
                <w:rFonts w:hint="eastAsia" w:ascii="Times New Roman" w:hAnsi="Times New Roman" w:cs="Times New Roman"/>
                <w:color w:val="000000" w:themeColor="text1"/>
                <w:kern w:val="0"/>
                <w:lang w:eastAsia="zh-CN"/>
                <w14:textFill>
                  <w14:solidFill>
                    <w14:schemeClr w14:val="tx1"/>
                  </w14:solidFill>
                </w14:textFill>
              </w:rPr>
              <w:t>〕</w:t>
            </w:r>
            <w:r>
              <w:rPr>
                <w:rFonts w:hint="eastAsia" w:ascii="Times New Roman" w:hAnsi="Times New Roman" w:cs="Times New Roman"/>
                <w:color w:val="000000" w:themeColor="text1"/>
                <w:kern w:val="0"/>
                <w14:textFill>
                  <w14:solidFill>
                    <w14:schemeClr w14:val="tx1"/>
                  </w14:solidFill>
                </w14:textFill>
              </w:rPr>
              <w:t>218号</w:t>
            </w:r>
            <w:r>
              <w:rPr>
                <w:rFonts w:hint="eastAsia" w:ascii="Times New Roman" w:hAnsi="Times New Roman" w:cs="Times New Roman"/>
                <w:color w:val="000000" w:themeColor="text1"/>
                <w:kern w:val="0"/>
                <w:lang w:eastAsia="zh-CN"/>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附件1</w:t>
            </w:r>
            <w:r>
              <w:rPr>
                <w:rFonts w:hint="eastAsia" w:ascii="Times New Roman" w:hAnsi="Times New Roman" w:cs="Times New Roman"/>
                <w:color w:val="000000" w:themeColor="text1"/>
                <w:lang w:val="en-US" w:eastAsia="zh-CN"/>
                <w14:textFill>
                  <w14:solidFill>
                    <w14:schemeClr w14:val="tx1"/>
                  </w14:solidFill>
                </w14:textFill>
              </w:rPr>
              <w:t>3</w:t>
            </w:r>
          </w:p>
        </w:tc>
        <w:tc>
          <w:tcPr>
            <w:tcW w:w="7965" w:type="dxa"/>
          </w:tcPr>
          <w:p>
            <w:pPr>
              <w:pStyle w:val="94"/>
              <w:spacing w:line="240" w:lineRule="auto"/>
              <w:ind w:firstLine="0" w:firstLineChars="0"/>
              <w:rPr>
                <w:rFonts w:hint="eastAsia"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中华人民共和国生态环境部 关于《岳阳港总体规划（2017-2035年）环境影响报告书》的审查意见（环审〔2020〕65号）；</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hint="default" w:ascii="Times New Roman" w:hAnsi="Times New Roman" w:cs="Times New Roman" w:eastAsiaTheme="minorEastAsia"/>
                <w:color w:val="FF0000"/>
                <w:highlight w:val="none"/>
                <w:u w:val="single"/>
                <w:lang w:val="en-US" w:eastAsia="zh-CN"/>
              </w:rPr>
            </w:pPr>
            <w:r>
              <w:rPr>
                <w:rFonts w:hint="eastAsia" w:ascii="Times New Roman" w:hAnsi="Times New Roman" w:cs="Times New Roman"/>
                <w:color w:val="FF0000"/>
                <w:highlight w:val="none"/>
                <w:u w:val="single"/>
                <w:lang w:eastAsia="zh-CN"/>
              </w:rPr>
              <w:t>附件</w:t>
            </w:r>
            <w:r>
              <w:rPr>
                <w:rFonts w:hint="eastAsia" w:ascii="Times New Roman" w:hAnsi="Times New Roman" w:cs="Times New Roman"/>
                <w:color w:val="FF0000"/>
                <w:highlight w:val="none"/>
                <w:u w:val="single"/>
                <w:lang w:val="en-US" w:eastAsia="zh-CN"/>
              </w:rPr>
              <w:t>14</w:t>
            </w:r>
          </w:p>
        </w:tc>
        <w:tc>
          <w:tcPr>
            <w:tcW w:w="7965" w:type="dxa"/>
          </w:tcPr>
          <w:p>
            <w:pPr>
              <w:tabs>
                <w:tab w:val="left" w:pos="900"/>
              </w:tabs>
              <w:snapToGrid w:val="0"/>
              <w:rPr>
                <w:rFonts w:hint="eastAsia" w:ascii="Times New Roman" w:hAnsi="Times New Roman" w:eastAsiaTheme="minorEastAsia"/>
                <w:bCs/>
                <w:color w:val="FF0000"/>
                <w:sz w:val="24"/>
                <w:highlight w:val="none"/>
                <w:u w:val="single"/>
                <w:lang w:eastAsia="zh-CN"/>
              </w:rPr>
            </w:pPr>
            <w:r>
              <w:rPr>
                <w:rFonts w:hint="eastAsia" w:ascii="Times New Roman" w:hAnsi="Times New Roman" w:eastAsiaTheme="minorEastAsia"/>
                <w:bCs/>
                <w:color w:val="FF0000"/>
                <w:sz w:val="24"/>
                <w:highlight w:val="none"/>
                <w:u w:val="single"/>
                <w:lang w:eastAsia="zh-CN"/>
              </w:rPr>
              <w:t>专家评审会意见及签到表；</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rPr>
            </w:pPr>
          </w:p>
        </w:tc>
        <w:tc>
          <w:tcPr>
            <w:tcW w:w="7965" w:type="dxa"/>
          </w:tcPr>
          <w:p>
            <w:pPr>
              <w:pStyle w:val="94"/>
              <w:spacing w:line="240" w:lineRule="auto"/>
              <w:ind w:firstLine="0" w:firstLineChars="0"/>
              <w:rPr>
                <w:rFonts w:ascii="Times New Roman" w:hAnsi="Times New Roman" w:cs="Times New Roman"/>
                <w:color w:val="FF0000"/>
                <w:highlight w:val="yellow"/>
              </w:rPr>
            </w:pPr>
          </w:p>
        </w:tc>
      </w:tr>
      <w:tr>
        <w:tblPrEx>
          <w:tblCellMar>
            <w:top w:w="0" w:type="dxa"/>
            <w:left w:w="108" w:type="dxa"/>
            <w:bottom w:w="0" w:type="dxa"/>
            <w:right w:w="108" w:type="dxa"/>
          </w:tblCellMar>
        </w:tblPrEx>
        <w:trPr>
          <w:trHeight w:val="340" w:hRule="atLeast"/>
          <w:jc w:val="center"/>
        </w:trPr>
        <w:tc>
          <w:tcPr>
            <w:tcW w:w="9070" w:type="dxa"/>
            <w:gridSpan w:val="2"/>
            <w:vAlign w:val="bottom"/>
          </w:tcPr>
          <w:p>
            <w:pPr>
              <w:adjustRightInd w:val="0"/>
              <w:snapToGrid w:val="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b/>
                <w:color w:val="000000" w:themeColor="text1"/>
                <w:sz w:val="24"/>
                <w14:textFill>
                  <w14:solidFill>
                    <w14:schemeClr w14:val="tx1"/>
                  </w14:solidFill>
                </w14:textFill>
              </w:rPr>
              <w:t>附图：</w:t>
            </w:r>
          </w:p>
        </w:tc>
      </w:tr>
      <w:tr>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本项目地理位置图；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rPr>
            </w:pPr>
            <w:r>
              <w:rPr>
                <w:rFonts w:ascii="Times New Roman" w:hAnsi="Times New Roman" w:cs="Times New Roman"/>
              </w:rPr>
              <w:t>附图2</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本项目沿线主要环境保护目标分布及监测点位布置示意图；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rPr>
            </w:pPr>
            <w:r>
              <w:rPr>
                <w:rFonts w:ascii="Times New Roman" w:hAnsi="Times New Roman" w:cs="Times New Roman"/>
              </w:rPr>
              <w:t>附图3</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本项目码头总平面布置图；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rPr>
            </w:pPr>
            <w:r>
              <w:rPr>
                <w:rFonts w:ascii="Times New Roman" w:hAnsi="Times New Roman" w:cs="Times New Roman"/>
              </w:rPr>
              <w:t>附图4</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本项目码头结构断面图；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rPr>
            </w:pPr>
            <w:r>
              <w:rPr>
                <w:rFonts w:ascii="Times New Roman" w:hAnsi="Times New Roman" w:cs="Times New Roman"/>
              </w:rPr>
              <w:t>附图5</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岳阳港云溪港区陆城作业区规划布置图；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rPr>
            </w:pPr>
            <w:r>
              <w:rPr>
                <w:rFonts w:ascii="Times New Roman" w:hAnsi="Times New Roman" w:cs="Times New Roman"/>
              </w:rPr>
              <w:t>附</w:t>
            </w:r>
            <w:r>
              <w:rPr>
                <w:rFonts w:hint="eastAsia" w:ascii="Times New Roman" w:hAnsi="Times New Roman" w:cs="Times New Roman"/>
              </w:rPr>
              <w:t>图</w:t>
            </w:r>
            <w:r>
              <w:rPr>
                <w:rFonts w:ascii="Times New Roman" w:hAnsi="Times New Roman" w:cs="Times New Roman"/>
              </w:rPr>
              <w:t>6</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w:t>
            </w:r>
            <w:r>
              <w:rPr>
                <w:rFonts w:hint="eastAsia" w:ascii="Times New Roman" w:hAnsi="Times New Roman" w:eastAsiaTheme="minorEastAsia"/>
                <w:kern w:val="0"/>
                <w:sz w:val="24"/>
                <w:szCs w:val="24"/>
              </w:rPr>
              <w:t>周边</w:t>
            </w:r>
            <w:r>
              <w:rPr>
                <w:rFonts w:ascii="Times New Roman" w:hAnsi="Times New Roman" w:eastAsiaTheme="minorEastAsia"/>
                <w:kern w:val="0"/>
                <w:sz w:val="24"/>
                <w:szCs w:val="24"/>
              </w:rPr>
              <w:t>土地利用现状图；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rPr>
            </w:pPr>
            <w:r>
              <w:rPr>
                <w:rFonts w:ascii="Times New Roman" w:hAnsi="Times New Roman" w:cs="Times New Roman"/>
              </w:rPr>
              <w:t>附图7</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w:t>
            </w:r>
            <w:r>
              <w:rPr>
                <w:rFonts w:hint="eastAsia" w:ascii="Times New Roman" w:hAnsi="Times New Roman" w:eastAsiaTheme="minorEastAsia"/>
                <w:kern w:val="0"/>
                <w:sz w:val="24"/>
                <w:szCs w:val="24"/>
              </w:rPr>
              <w:t>周边</w:t>
            </w:r>
            <w:r>
              <w:rPr>
                <w:rFonts w:ascii="Times New Roman" w:hAnsi="Times New Roman" w:eastAsiaTheme="minorEastAsia"/>
                <w:kern w:val="0"/>
                <w:sz w:val="24"/>
                <w:szCs w:val="24"/>
              </w:rPr>
              <w:t>地表水系分布图</w:t>
            </w:r>
            <w:r>
              <w:rPr>
                <w:rFonts w:ascii="Times New Roman" w:hAnsi="Times New Roman" w:eastAsiaTheme="minorEastAsia"/>
                <w:sz w:val="24"/>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附图8</w:t>
            </w:r>
          </w:p>
        </w:tc>
        <w:tc>
          <w:tcPr>
            <w:tcW w:w="7965" w:type="dxa"/>
          </w:tcPr>
          <w:p>
            <w:pPr>
              <w:autoSpaceDE w:val="0"/>
              <w:autoSpaceDN w:val="0"/>
              <w:adjustRightInd w:val="0"/>
              <w:snapToGrid w:val="0"/>
              <w:jc w:val="left"/>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w:t>
            </w:r>
            <w:r>
              <w:rPr>
                <w:rFonts w:hint="eastAsia" w:ascii="Times New Roman" w:hAnsi="Times New Roman" w:eastAsiaTheme="minorEastAsia"/>
                <w:color w:val="000000" w:themeColor="text1"/>
                <w:kern w:val="0"/>
                <w:sz w:val="24"/>
                <w:szCs w:val="24"/>
                <w14:textFill>
                  <w14:solidFill>
                    <w14:schemeClr w14:val="tx1"/>
                  </w14:solidFill>
                </w14:textFill>
              </w:rPr>
              <w:t>纳污</w:t>
            </w:r>
            <w:r>
              <w:rPr>
                <w:rFonts w:ascii="Times New Roman" w:hAnsi="Times New Roman" w:eastAsiaTheme="minorEastAsia"/>
                <w:color w:val="000000" w:themeColor="text1"/>
                <w:kern w:val="0"/>
                <w:sz w:val="24"/>
                <w:szCs w:val="24"/>
                <w14:textFill>
                  <w14:solidFill>
                    <w14:schemeClr w14:val="tx1"/>
                  </w14:solidFill>
                </w14:textFill>
              </w:rPr>
              <w:t>排水</w:t>
            </w:r>
            <w:r>
              <w:rPr>
                <w:rFonts w:hint="eastAsia" w:ascii="Times New Roman" w:hAnsi="Times New Roman" w:eastAsiaTheme="minorEastAsia"/>
                <w:color w:val="000000" w:themeColor="text1"/>
                <w:kern w:val="0"/>
                <w:sz w:val="24"/>
                <w:szCs w:val="24"/>
                <w14:textFill>
                  <w14:solidFill>
                    <w14:schemeClr w14:val="tx1"/>
                  </w14:solidFill>
                </w14:textFill>
              </w:rPr>
              <w:t>管网</w:t>
            </w:r>
            <w:r>
              <w:rPr>
                <w:rFonts w:ascii="Times New Roman" w:hAnsi="Times New Roman" w:eastAsiaTheme="minorEastAsia"/>
                <w:color w:val="000000" w:themeColor="text1"/>
                <w:kern w:val="0"/>
                <w:sz w:val="24"/>
                <w:szCs w:val="24"/>
                <w14:textFill>
                  <w14:solidFill>
                    <w14:schemeClr w14:val="tx1"/>
                  </w14:solidFill>
                </w14:textFill>
              </w:rPr>
              <w:t>示意图；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附图9</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本项目与生态保护红线的位置关系图；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附图10</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本项目与长江监利四大家鱼国家级水产种质资源保护区的位置关系图；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附图11</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本项目与湖南云溪白泥湖国家湿地公园的位置关系图；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附图12</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本项目与湖北长江新螺段白鱀豚国家级自然保护区的位置关系图；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附图13</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本项目与湖南东洞庭湖国家级自然保护区的位置关系图；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附图14</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bCs/>
                <w:color w:val="000000" w:themeColor="text1"/>
                <w:sz w:val="24"/>
                <w14:textFill>
                  <w14:solidFill>
                    <w14:schemeClr w14:val="tx1"/>
                  </w14:solidFill>
                </w14:textFill>
              </w:rPr>
              <w:t>本项目与岳阳市云溪区陆城镇水厂文桥镇水厂长江取水口饮用水源保护区</w:t>
            </w:r>
            <w:r>
              <w:rPr>
                <w:rFonts w:ascii="Times New Roman" w:hAnsi="Times New Roman" w:eastAsiaTheme="minorEastAsia"/>
                <w:color w:val="000000" w:themeColor="text1"/>
                <w:kern w:val="0"/>
                <w:sz w:val="24"/>
                <w:szCs w:val="24"/>
                <w14:textFill>
                  <w14:solidFill>
                    <w14:schemeClr w14:val="tx1"/>
                  </w14:solidFill>
                </w14:textFill>
              </w:rPr>
              <w:t>的位置关系图</w:t>
            </w:r>
            <w:r>
              <w:rPr>
                <w:rFonts w:ascii="Times New Roman" w:hAnsi="Times New Roman" w:eastAsiaTheme="minorEastAsia"/>
                <w:bCs/>
                <w:color w:val="000000" w:themeColor="text1"/>
                <w:sz w:val="24"/>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附图15</w:t>
            </w:r>
          </w:p>
        </w:tc>
        <w:tc>
          <w:tcPr>
            <w:tcW w:w="7965" w:type="dxa"/>
          </w:tcPr>
          <w:p>
            <w:pPr>
              <w:adjustRightInd w:val="0"/>
              <w:snapToGrid w:val="0"/>
              <w:rPr>
                <w:rFonts w:ascii="Times New Roman" w:hAnsi="Times New Roman" w:eastAsiaTheme="minorEastAsia"/>
                <w:bCs/>
                <w:color w:val="000000" w:themeColor="text1"/>
                <w:sz w:val="24"/>
                <w14:textFill>
                  <w14:solidFill>
                    <w14:schemeClr w14:val="tx1"/>
                  </w14:solidFill>
                </w14:textFill>
              </w:rPr>
            </w:pPr>
            <w:r>
              <w:rPr>
                <w:rFonts w:ascii="Times New Roman" w:hAnsi="Times New Roman" w:eastAsiaTheme="minorEastAsia"/>
                <w:bCs/>
                <w:color w:val="000000" w:themeColor="text1"/>
                <w:sz w:val="24"/>
                <w14:textFill>
                  <w14:solidFill>
                    <w14:schemeClr w14:val="tx1"/>
                  </w14:solidFill>
                </w14:textFill>
              </w:rPr>
              <w:t>本项目与岳阳市云溪区道仁矶水厂长江取水口饮用水水源保护区</w:t>
            </w:r>
            <w:r>
              <w:rPr>
                <w:rFonts w:ascii="Times New Roman" w:hAnsi="Times New Roman" w:eastAsiaTheme="minorEastAsia"/>
                <w:color w:val="000000" w:themeColor="text1"/>
                <w:kern w:val="0"/>
                <w:sz w:val="24"/>
                <w:szCs w:val="24"/>
                <w14:textFill>
                  <w14:solidFill>
                    <w14:schemeClr w14:val="tx1"/>
                  </w14:solidFill>
                </w14:textFill>
              </w:rPr>
              <w:t>的位置关系图</w:t>
            </w:r>
            <w:r>
              <w:rPr>
                <w:rFonts w:ascii="Times New Roman" w:hAnsi="Times New Roman" w:eastAsiaTheme="minorEastAsia"/>
                <w:bCs/>
                <w:color w:val="000000" w:themeColor="text1"/>
                <w:sz w:val="24"/>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9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附图16</w:t>
            </w:r>
          </w:p>
        </w:tc>
        <w:tc>
          <w:tcPr>
            <w:tcW w:w="7965" w:type="dxa"/>
          </w:tcPr>
          <w:p>
            <w:pPr>
              <w:adjustRightInd w:val="0"/>
              <w:snapToGrid w:val="0"/>
              <w:rPr>
                <w:rFonts w:ascii="Times New Roman" w:hAnsi="Times New Roman" w:eastAsiaTheme="minorEastAsia"/>
                <w:bCs/>
                <w:color w:val="000000" w:themeColor="text1"/>
                <w:sz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本项目与临湘市工业园滨江产业示范区自来水厂取水口的位置关系图；</w:t>
            </w:r>
          </w:p>
        </w:tc>
      </w:tr>
    </w:tbl>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0" w:firstLineChars="0"/>
        <w:rPr>
          <w:rFonts w:cs="Times New Roman" w:eastAsiaTheme="minorEastAsia"/>
        </w:rPr>
      </w:pPr>
    </w:p>
    <w:p>
      <w:pPr>
        <w:pStyle w:val="69"/>
        <w:ind w:firstLine="480"/>
        <w:rPr>
          <w:rFonts w:cs="Times New Roman" w:eastAsiaTheme="minorEastAsia"/>
        </w:rPr>
        <w:sectPr>
          <w:headerReference r:id="rId6" w:type="default"/>
          <w:footerReference r:id="rId8" w:type="default"/>
          <w:headerReference r:id="rId7" w:type="even"/>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spacing w:line="480" w:lineRule="auto"/>
        <w:ind w:left="431" w:hanging="431"/>
        <w:jc w:val="center"/>
        <w:rPr>
          <w:rFonts w:eastAsiaTheme="minorEastAsia"/>
          <w:b/>
          <w:sz w:val="32"/>
          <w:szCs w:val="32"/>
        </w:rPr>
      </w:pPr>
      <w:bookmarkStart w:id="0" w:name="_Toc19527"/>
      <w:r>
        <w:rPr>
          <w:rFonts w:eastAsiaTheme="minorEastAsia"/>
          <w:b/>
          <w:sz w:val="32"/>
          <w:szCs w:val="32"/>
        </w:rPr>
        <w:t>概  述</w:t>
      </w:r>
      <w:bookmarkEnd w:id="0"/>
    </w:p>
    <w:p>
      <w:pPr>
        <w:pStyle w:val="3"/>
        <w:rPr>
          <w:rFonts w:ascii="Times New Roman" w:hAnsi="Times New Roman" w:eastAsiaTheme="minorEastAsia"/>
          <w:b/>
        </w:rPr>
      </w:pPr>
      <w:bookmarkStart w:id="1" w:name="_Toc14837"/>
      <w:r>
        <w:rPr>
          <w:rFonts w:ascii="Times New Roman" w:hAnsi="Times New Roman" w:eastAsiaTheme="minorEastAsia"/>
          <w:b/>
        </w:rPr>
        <w:t>项目由来</w:t>
      </w:r>
      <w:bookmarkEnd w:id="1"/>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中国石化集团资产经营管理有限公司长岭分公司（简称长岭资产分公司）和中国石油化工股份有限公司长岭分公司（简称长岭股份分公司）统称长岭炼化，坐落在湖南岳阳风景秀丽的洞庭湖畔，北临长江，南靠京广铁路，与武广高速铁路、107国道、京珠高速公路相邻，水陆交通便利。</w:t>
      </w:r>
    </w:p>
    <w:p>
      <w:pPr>
        <w:widowControl/>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2018年4月24日~25日，习近平总书记先后到宜昌、荆州、岳阳、武汉以及三峡坝区等地，考察了企业转型发展、化工企业搬迁、非法码头整治、污染治理、河势控制和护岸工程、航道治理、湿地修复、水文站水文监测工作等方面的情况。</w:t>
      </w:r>
    </w:p>
    <w:p>
      <w:pPr>
        <w:widowControl/>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2018年4月26日，习近平总书记在武汉主持召开深入推动长江经济带发展座谈会并发表重要讲话。习总书记强调，推动长江经济带发展是党中央作出的重大决策，是关系国家发展全局的重大战略，对实现“两个一百年”奋斗目标、实现中华民族伟大复兴的中国梦具有重要意义。新形势下推动长江经济带发展，关键是要正确把握整体推进和重点突破、生态环境保护和经济发展、总体谋划和久久为功、破除旧动能和培育新动能、自我发展和协同发展的关系，坚持新发展理念，坚持稳中求进工作总基调，坚持共抓大保护、不搞大开发，加强改革创新、战略统筹、规划引导，以长江经济带发展推动经济高质量发展。</w:t>
      </w:r>
    </w:p>
    <w:p>
      <w:pPr>
        <w:widowControl/>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为贯彻落实习近平总书记在深入推动长江经济带发展座谈会和岳阳视察时的重要讲话精神，2018年5月至今，湖南省多次专题研究推进长江岸线湖南段港口码头专项整治工作（详见附件</w:t>
      </w:r>
      <w:r>
        <w:rPr>
          <w:rFonts w:hint="eastAsia" w:ascii="Times New Roman" w:hAnsi="Times New Roman" w:eastAsiaTheme="minorEastAsia"/>
          <w:color w:val="FF0000"/>
          <w:kern w:val="0"/>
          <w:sz w:val="24"/>
          <w:szCs w:val="24"/>
          <w:u w:val="single"/>
          <w:lang w:val="en-US" w:eastAsia="zh-CN"/>
        </w:rPr>
        <w:t>6</w:t>
      </w:r>
      <w:r>
        <w:rPr>
          <w:rFonts w:ascii="Times New Roman" w:hAnsi="Times New Roman" w:eastAsiaTheme="minorEastAsia"/>
          <w:color w:val="FF0000"/>
          <w:kern w:val="0"/>
          <w:sz w:val="24"/>
          <w:szCs w:val="24"/>
          <w:u w:val="single"/>
        </w:rPr>
        <w:t>-</w:t>
      </w:r>
      <w:r>
        <w:rPr>
          <w:rFonts w:hint="eastAsia" w:ascii="Times New Roman" w:hAnsi="Times New Roman" w:eastAsiaTheme="minorEastAsia"/>
          <w:color w:val="FF0000"/>
          <w:kern w:val="0"/>
          <w:sz w:val="24"/>
          <w:szCs w:val="24"/>
          <w:u w:val="single"/>
          <w:lang w:val="en-US" w:eastAsia="zh-CN"/>
        </w:rPr>
        <w:t>9</w:t>
      </w:r>
      <w:r>
        <w:rPr>
          <w:rFonts w:ascii="Times New Roman" w:hAnsi="Times New Roman" w:eastAsiaTheme="minorEastAsia"/>
          <w:color w:val="FF0000"/>
          <w:kern w:val="0"/>
          <w:sz w:val="24"/>
          <w:szCs w:val="24"/>
          <w:u w:val="single"/>
        </w:rPr>
        <w:t>）。根据专项整治工作的会议要求，对正在运行的13家单位40个泊位需要提质改造，其中长岭分公司港口部码头即属于本次提质改造13家单位之一。</w:t>
      </w:r>
    </w:p>
    <w:p>
      <w:pPr>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长岭分公司港口部码头位于长江黄金水道岳阳港云溪港区，于上世纪70年代初期建成投产，现共有8个危化品装卸泊位和1个工作泊位，装卸及中转品种15个左右。由于建成时间较长，现有码头标准较低、安全环保等存在隐患，已不能适应新形势下的发展需要。根据习总书记座谈会精神以及湖南省委省政府关于长江岸线码头专项整治的工作部署，长岭分公司积极推进陆城港口部长江岸线码头的提质改造工作。</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根据《中华人民共和国环境保护法》、《中华人民共和国环境影响评价法》《建设项目环境保护管理条例》等法律、法规的规定，对照《建设项目环境影响评价分类管理名录》（国家环境保护部第44号令）中</w:t>
      </w:r>
      <w:r>
        <w:rPr>
          <w:rFonts w:ascii="Times New Roman" w:hAnsi="Times New Roman" w:eastAsiaTheme="minorEastAsia"/>
          <w:kern w:val="0"/>
          <w:sz w:val="24"/>
          <w:szCs w:val="24"/>
          <w:highlight w:val="none"/>
        </w:rPr>
        <w:t>“</w:t>
      </w:r>
      <w:r>
        <w:rPr>
          <w:rFonts w:hint="eastAsia" w:ascii="Times New Roman" w:hAnsi="Times New Roman" w:eastAsiaTheme="minorEastAsia"/>
          <w:kern w:val="0"/>
          <w:sz w:val="24"/>
          <w:szCs w:val="24"/>
          <w:highlight w:val="none"/>
          <w:lang w:eastAsia="zh-CN"/>
        </w:rPr>
        <w:t>五十二</w:t>
      </w:r>
      <w:r>
        <w:rPr>
          <w:rFonts w:ascii="Times New Roman" w:hAnsi="Times New Roman" w:eastAsiaTheme="minorEastAsia"/>
          <w:kern w:val="0"/>
          <w:sz w:val="24"/>
          <w:szCs w:val="24"/>
          <w:highlight w:val="none"/>
        </w:rPr>
        <w:t>、交通运输业、管道运输业，第1</w:t>
      </w:r>
      <w:r>
        <w:rPr>
          <w:rFonts w:hint="eastAsia" w:ascii="Times New Roman" w:hAnsi="Times New Roman" w:eastAsiaTheme="minorEastAsia"/>
          <w:kern w:val="0"/>
          <w:sz w:val="24"/>
          <w:szCs w:val="24"/>
          <w:highlight w:val="none"/>
          <w:lang w:val="en-US" w:eastAsia="zh-CN"/>
        </w:rPr>
        <w:t>38</w:t>
      </w:r>
      <w:r>
        <w:rPr>
          <w:rFonts w:ascii="Times New Roman" w:hAnsi="Times New Roman" w:eastAsiaTheme="minorEastAsia"/>
          <w:kern w:val="0"/>
          <w:sz w:val="24"/>
          <w:szCs w:val="24"/>
          <w:highlight w:val="none"/>
        </w:rPr>
        <w:t>条油气、液体化工码头”</w:t>
      </w:r>
      <w:r>
        <w:rPr>
          <w:rFonts w:ascii="Times New Roman" w:hAnsi="Times New Roman" w:eastAsiaTheme="minorEastAsia"/>
          <w:kern w:val="0"/>
          <w:sz w:val="24"/>
          <w:szCs w:val="24"/>
        </w:rPr>
        <w:t>，本项目属于扩建液体化工码头，应编制环境影响报告书。</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为履行环保审批手续，中国石化集团资产经营管理有限公司长岭分公司对本项目进行环境影响评价。在接受委托之后，我司立即成立项目组，组织人员对项目现场进行了细致的踏勘，收集了相关基础资料，按照相关要求，编制了该项目环境影响报告书，报</w:t>
      </w:r>
      <w:r>
        <w:rPr>
          <w:rFonts w:hint="eastAsia" w:ascii="Times New Roman" w:hAnsi="Times New Roman" w:eastAsiaTheme="minorEastAsia"/>
          <w:kern w:val="0"/>
          <w:sz w:val="24"/>
          <w:szCs w:val="24"/>
        </w:rPr>
        <w:t>生态环境</w:t>
      </w:r>
      <w:r>
        <w:rPr>
          <w:rFonts w:ascii="Times New Roman" w:hAnsi="Times New Roman" w:eastAsiaTheme="minorEastAsia"/>
          <w:kern w:val="0"/>
          <w:sz w:val="24"/>
          <w:szCs w:val="24"/>
        </w:rPr>
        <w:t>主管部门审查批准。</w:t>
      </w:r>
    </w:p>
    <w:p>
      <w:pPr>
        <w:pStyle w:val="3"/>
        <w:rPr>
          <w:rFonts w:ascii="Times New Roman" w:hAnsi="Times New Roman" w:eastAsiaTheme="minorEastAsia"/>
          <w:b/>
        </w:rPr>
      </w:pPr>
      <w:bookmarkStart w:id="2" w:name="_Toc774"/>
      <w:r>
        <w:rPr>
          <w:rFonts w:ascii="Times New Roman" w:hAnsi="Times New Roman" w:eastAsiaTheme="minorEastAsia"/>
          <w:b/>
        </w:rPr>
        <w:t>项目特点</w:t>
      </w:r>
      <w:bookmarkEnd w:id="2"/>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本项目包括码头及管线工程。码头位于岳阳</w:t>
      </w:r>
      <w:r>
        <w:rPr>
          <w:rFonts w:hint="eastAsia" w:ascii="Times New Roman" w:hAnsi="Times New Roman" w:eastAsiaTheme="minorEastAsia"/>
          <w:kern w:val="0"/>
          <w:sz w:val="24"/>
          <w:szCs w:val="24"/>
        </w:rPr>
        <w:t>港</w:t>
      </w:r>
      <w:r>
        <w:rPr>
          <w:rFonts w:ascii="Times New Roman" w:hAnsi="Times New Roman" w:eastAsiaTheme="minorEastAsia"/>
          <w:kern w:val="0"/>
          <w:sz w:val="24"/>
          <w:szCs w:val="24"/>
        </w:rPr>
        <w:t>云溪港区陆城作业区岸线，管线连接码头与罐区。</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color w:val="000000"/>
          <w:kern w:val="0"/>
          <w:sz w:val="24"/>
          <w:szCs w:val="24"/>
          <w:lang w:bidi="ar"/>
        </w:rPr>
        <w:t>本项目分为水域和陆域两个部分。水域工程：拟对2#~4#码头（6个危化品泊位）拆除重建，从上游到下游建设3个5000吨级液体化工泊位和2个3000吨级油品化工泊位，</w:t>
      </w:r>
      <w:r>
        <w:rPr>
          <w:rFonts w:hint="eastAsia" w:ascii="Times New Roman" w:hAnsi="Times New Roman" w:eastAsiaTheme="minorEastAsia"/>
          <w:color w:val="000000"/>
          <w:kern w:val="0"/>
          <w:sz w:val="24"/>
          <w:szCs w:val="24"/>
          <w:lang w:bidi="ar"/>
        </w:rPr>
        <w:t>泊位编号自上至下依次为2#泊位~6#泊位。2#泊位、3#泊位趸船新建，4#泊位、5#泊位、6#泊位趸船利旧，</w:t>
      </w:r>
      <w:r>
        <w:rPr>
          <w:rFonts w:ascii="Times New Roman" w:hAnsi="Times New Roman" w:eastAsiaTheme="minorEastAsia"/>
          <w:color w:val="000000"/>
          <w:kern w:val="0"/>
          <w:sz w:val="24"/>
          <w:szCs w:val="24"/>
          <w:lang w:bidi="ar"/>
        </w:rPr>
        <w:t>原5#码头（2个危化品泊位）</w:t>
      </w:r>
      <w:r>
        <w:rPr>
          <w:rFonts w:hint="eastAsia" w:ascii="Times New Roman" w:hAnsi="Times New Roman" w:eastAsiaTheme="minorEastAsia"/>
          <w:color w:val="000000"/>
          <w:kern w:val="0"/>
          <w:sz w:val="24"/>
          <w:szCs w:val="24"/>
          <w:lang w:bidi="ar"/>
        </w:rPr>
        <w:t>岸线将改建为岳阳LNG储配基地项目配套LNG码头，另行立项建设，不属于本次工程范围。本项目</w:t>
      </w:r>
      <w:r>
        <w:rPr>
          <w:rFonts w:ascii="Times New Roman" w:hAnsi="Times New Roman" w:eastAsiaTheme="minorEastAsia"/>
          <w:color w:val="000000"/>
          <w:kern w:val="0"/>
          <w:sz w:val="24"/>
          <w:szCs w:val="24"/>
          <w:lang w:bidi="ar"/>
        </w:rPr>
        <w:t>主要施工项目有水工建筑物、工艺设备及土建工程、水、电、信配套设施安装等；陆域工程：依托现有设施，不涉及储罐区，增加安全环保设施（主要为油气回收及氮气系统）、增加部分转输泵、系统管线、生活污水处理设施及其配套电气、自控、电信设施，罐区至码头管廊利旧，厂际管线不在本项目范围内，厂外增加1根管线，拆除原有老化不利用5根管线。</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本项目施工期约12个月，</w:t>
      </w:r>
      <w:r>
        <w:rPr>
          <w:rFonts w:ascii="Times New Roman" w:hAnsi="Times New Roman" w:eastAsiaTheme="minorEastAsia"/>
          <w:color w:val="000000"/>
          <w:kern w:val="0"/>
          <w:sz w:val="24"/>
          <w:szCs w:val="24"/>
          <w:lang w:bidi="ar"/>
        </w:rPr>
        <w:t>本项目总投资约29398.67万元。</w:t>
      </w:r>
    </w:p>
    <w:p>
      <w:pPr>
        <w:pStyle w:val="3"/>
        <w:rPr>
          <w:rFonts w:ascii="Times New Roman" w:hAnsi="Times New Roman" w:eastAsiaTheme="minorEastAsia"/>
          <w:b/>
        </w:rPr>
      </w:pPr>
      <w:bookmarkStart w:id="3" w:name="_Toc8883"/>
      <w:r>
        <w:rPr>
          <w:rFonts w:ascii="Times New Roman" w:hAnsi="Times New Roman" w:eastAsiaTheme="minorEastAsia"/>
          <w:b/>
        </w:rPr>
        <w:t>环境影响评价工作过程</w:t>
      </w:r>
      <w:bookmarkEnd w:id="3"/>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中华人民共和国环境评价法》第十六条、第二十五条和国务院第682号令《建设项目环境保护管理办法》的有关规定，为切实做好建设项目的环境保护工作，使经济建设与环境保护协调发展，确保项目工程顺利进行，本项目必须进行环评申报审批程序。对照中华人民共和国环境保护部第44号令《建设项目环境影响评价分类管理名录》及生态环境部第1号令《关于修改&lt;建设项目环境影响评价分类管理名录&gt;部分内容的决定》（20</w:t>
      </w:r>
      <w:r>
        <w:rPr>
          <w:rFonts w:hint="eastAsia" w:ascii="Times New Roman" w:hAnsi="Times New Roman" w:eastAsiaTheme="minorEastAsia"/>
          <w:kern w:val="0"/>
          <w:sz w:val="24"/>
          <w:szCs w:val="24"/>
          <w:lang w:val="en-US" w:eastAsia="zh-CN"/>
        </w:rPr>
        <w:t>21年版</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highlight w:val="none"/>
          <w:lang w:eastAsia="zh-CN"/>
        </w:rPr>
        <w:t>五十二</w:t>
      </w:r>
      <w:r>
        <w:rPr>
          <w:rFonts w:ascii="Times New Roman" w:hAnsi="Times New Roman" w:eastAsiaTheme="minorEastAsia"/>
          <w:kern w:val="0"/>
          <w:sz w:val="24"/>
          <w:szCs w:val="24"/>
          <w:highlight w:val="none"/>
        </w:rPr>
        <w:t>、交通运输业、管道运输业</w:t>
      </w:r>
      <w:r>
        <w:rPr>
          <w:rFonts w:ascii="Times New Roman" w:hAnsi="Times New Roman" w:eastAsiaTheme="minorEastAsia"/>
          <w:kern w:val="0"/>
          <w:sz w:val="24"/>
          <w:szCs w:val="24"/>
        </w:rPr>
        <w:t>”类别的</w:t>
      </w:r>
      <w:r>
        <w:rPr>
          <w:rFonts w:ascii="Times New Roman" w:hAnsi="Times New Roman" w:eastAsiaTheme="minorEastAsia"/>
          <w:kern w:val="0"/>
          <w:sz w:val="24"/>
          <w:szCs w:val="24"/>
          <w:highlight w:val="none"/>
        </w:rPr>
        <w:t>第1</w:t>
      </w:r>
      <w:r>
        <w:rPr>
          <w:rFonts w:hint="eastAsia" w:ascii="Times New Roman" w:hAnsi="Times New Roman" w:eastAsiaTheme="minorEastAsia"/>
          <w:kern w:val="0"/>
          <w:sz w:val="24"/>
          <w:szCs w:val="24"/>
          <w:highlight w:val="none"/>
          <w:lang w:val="en-US" w:eastAsia="zh-CN"/>
        </w:rPr>
        <w:t>38</w:t>
      </w:r>
      <w:r>
        <w:rPr>
          <w:rFonts w:ascii="Times New Roman" w:hAnsi="Times New Roman" w:eastAsiaTheme="minorEastAsia"/>
          <w:kern w:val="0"/>
          <w:sz w:val="24"/>
          <w:szCs w:val="24"/>
          <w:highlight w:val="none"/>
        </w:rPr>
        <w:t>条油气、液体化工码头</w:t>
      </w:r>
      <w:r>
        <w:rPr>
          <w:rFonts w:ascii="Times New Roman" w:hAnsi="Times New Roman" w:eastAsiaTheme="minorEastAsia"/>
          <w:kern w:val="0"/>
          <w:sz w:val="24"/>
          <w:szCs w:val="24"/>
        </w:rPr>
        <w:t>中“新建、扩建”应编制环境影响报告书。根据现场勘查及资料收集，确定项目码头为扩建油品、化学品码头，其环评类别应为环境影响报告书。中国石化集团资产经营管理有限公司长岭分公司于2019年7月委托湖南葆华环保有限公司承担中国石化集团资产经营管理有限公司长岭分公司港口部码头提质改造工程的环境影响评价工作，并编制环境影响报告书。</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2019年7月评价单位接受环评委托后，评价技术人员收集项目设计方案及相关规划等基础资料，对现场初步调查，对项目工程进行初步分析，对环境影响因素进行识别与筛选，确定项目评价重点和环境保护目标、评价工作等级、评价范围和评价标准等。并于2019年7月15日~7</w:t>
      </w:r>
      <w:r>
        <w:rPr>
          <w:rFonts w:hint="eastAsia" w:ascii="Times New Roman" w:hAnsi="Times New Roman" w:eastAsiaTheme="minorEastAsia"/>
          <w:kern w:val="0"/>
          <w:sz w:val="24"/>
          <w:szCs w:val="24"/>
        </w:rPr>
        <w:t>月31日</w:t>
      </w:r>
      <w:r>
        <w:rPr>
          <w:rFonts w:ascii="Times New Roman" w:hAnsi="Times New Roman" w:eastAsiaTheme="minorEastAsia"/>
          <w:kern w:val="0"/>
          <w:sz w:val="24"/>
          <w:szCs w:val="24"/>
        </w:rPr>
        <w:t>发布了项目环评第一次公示</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2020年4月17日~4</w:t>
      </w:r>
      <w:r>
        <w:rPr>
          <w:rFonts w:hint="eastAsia" w:ascii="Times New Roman" w:hAnsi="Times New Roman" w:eastAsiaTheme="minorEastAsia"/>
          <w:kern w:val="0"/>
          <w:sz w:val="24"/>
          <w:szCs w:val="24"/>
        </w:rPr>
        <w:t>月3</w:t>
      </w:r>
      <w:r>
        <w:rPr>
          <w:rFonts w:ascii="Times New Roman" w:hAnsi="Times New Roman" w:eastAsiaTheme="minorEastAsia"/>
          <w:kern w:val="0"/>
          <w:sz w:val="24"/>
          <w:szCs w:val="24"/>
        </w:rPr>
        <w:t>0</w:t>
      </w:r>
      <w:r>
        <w:rPr>
          <w:rFonts w:hint="eastAsia" w:ascii="Times New Roman" w:hAnsi="Times New Roman" w:eastAsiaTheme="minorEastAsia"/>
          <w:kern w:val="0"/>
          <w:sz w:val="24"/>
          <w:szCs w:val="24"/>
        </w:rPr>
        <w:t>日</w:t>
      </w:r>
      <w:r>
        <w:rPr>
          <w:rFonts w:ascii="Times New Roman" w:hAnsi="Times New Roman" w:eastAsiaTheme="minorEastAsia"/>
          <w:kern w:val="0"/>
          <w:sz w:val="24"/>
          <w:szCs w:val="24"/>
        </w:rPr>
        <w:t>发布了项目环评第</w:t>
      </w:r>
      <w:r>
        <w:rPr>
          <w:rFonts w:hint="eastAsia" w:ascii="Times New Roman" w:hAnsi="Times New Roman" w:eastAsiaTheme="minorEastAsia"/>
          <w:kern w:val="0"/>
          <w:sz w:val="24"/>
          <w:szCs w:val="24"/>
        </w:rPr>
        <w:t>二</w:t>
      </w:r>
      <w:r>
        <w:rPr>
          <w:rFonts w:ascii="Times New Roman" w:hAnsi="Times New Roman" w:eastAsiaTheme="minorEastAsia"/>
          <w:kern w:val="0"/>
          <w:sz w:val="24"/>
          <w:szCs w:val="24"/>
        </w:rPr>
        <w:t>次公示。</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2019年8月~2019年9月开展对评价范围内环境质量现状调查工作，同时对项目工程进行详细分析，确定项目主要污染因素及生态影响因素。在环境现状调查和工程分析的基础上，对各环境要素环境影响进行预测与评价。在各环境要素及影响分析的基础上，提出环境保护措施，并对项目产业政策、选址规划、环境经济损益等符合性进行分析，提出环境管理及环境监测要求。</w:t>
      </w:r>
    </w:p>
    <w:p>
      <w:pPr>
        <w:pStyle w:val="3"/>
        <w:rPr>
          <w:rFonts w:ascii="Times New Roman" w:hAnsi="Times New Roman" w:eastAsiaTheme="minorEastAsia"/>
          <w:b/>
        </w:rPr>
      </w:pPr>
      <w:bookmarkStart w:id="4" w:name="_Toc32635"/>
      <w:r>
        <w:rPr>
          <w:rFonts w:ascii="Times New Roman" w:hAnsi="Times New Roman" w:eastAsiaTheme="minorEastAsia"/>
          <w:b/>
        </w:rPr>
        <w:t>分析判定相关情况</w:t>
      </w:r>
      <w:bookmarkEnd w:id="4"/>
    </w:p>
    <w:p>
      <w:pPr>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1、产业政策符合性分析</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根据《产业结构调整指导目录（2019年本）》中内容，本项目属于“鼓励类”第七条“石油、天然气”中的“原油、天然气、液化天然气、成品油的储运和管道输送设施及网络建设”和第二十五条“水运”中的“深水泊位（沿海万吨级、内河千吨级及以上）建设”项目。另外，本项目不属于《限制用地项目目录（2012年本）》和《禁止用地项目目录（2012年本）》中的限制用地和禁止用地。因此，本项目的建设符合国家产业政策和相关法律、法规的要求。</w:t>
      </w:r>
    </w:p>
    <w:p>
      <w:pPr>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2、相关规划符合性分析</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符合《长江干线航道总体规划纲要》、《长江干线航道建设规划》、《长江岸线保护和开发利用总体规划》、《长江经济带发展负面清单指南（试行）》、《湖南省交通运输“十三五”发展规划》、《湖南省港口布局规划》、《岳阳市城市总体规划（2008-2030）》、《岳阳市生态环境保护“十三五”规划》、《岳阳市国民经济和社会发展第十三个五年规划纲要》、《岳阳港总体规划》等规划。</w:t>
      </w:r>
    </w:p>
    <w:p>
      <w:pPr>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3、“三线一单”的符合性分析</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本项目不在生态保护红线范围内，项目的建设不会造成所在区域环境质量下降或恶化，符合资源利用上限中相关规定，</w:t>
      </w:r>
      <w:r>
        <w:rPr>
          <w:rFonts w:hint="eastAsia" w:ascii="Times New Roman" w:hAnsi="Times New Roman" w:eastAsiaTheme="minorEastAsia"/>
          <w:color w:val="000000" w:themeColor="text1"/>
          <w:kern w:val="0"/>
          <w:sz w:val="24"/>
          <w:szCs w:val="24"/>
          <w14:textFill>
            <w14:solidFill>
              <w14:schemeClr w14:val="tx1"/>
            </w14:solidFill>
          </w14:textFill>
        </w:rPr>
        <w:t>未纳入</w:t>
      </w:r>
      <w:r>
        <w:rPr>
          <w:rFonts w:hint="eastAsia" w:ascii="Times New Roman" w:hAnsi="Times New Roman"/>
          <w:color w:val="000000"/>
          <w:sz w:val="24"/>
        </w:rPr>
        <w:t>湖南省</w:t>
      </w:r>
      <w:r>
        <w:rPr>
          <w:rFonts w:ascii="Times New Roman" w:hAnsi="Times New Roman"/>
          <w:color w:val="000000"/>
          <w:sz w:val="24"/>
        </w:rPr>
        <w:t>的</w:t>
      </w:r>
      <w:r>
        <w:rPr>
          <w:rFonts w:hint="eastAsia" w:ascii="Times New Roman" w:hAnsi="Times New Roman"/>
          <w:color w:val="000000"/>
          <w:sz w:val="24"/>
        </w:rPr>
        <w:t>产业准入负面清单，</w:t>
      </w:r>
      <w:r>
        <w:rPr>
          <w:rFonts w:ascii="Times New Roman" w:hAnsi="Times New Roman" w:eastAsiaTheme="minorEastAsia"/>
          <w:color w:val="000000" w:themeColor="text1"/>
          <w:kern w:val="0"/>
          <w:sz w:val="24"/>
          <w:szCs w:val="24"/>
          <w14:textFill>
            <w14:solidFill>
              <w14:schemeClr w14:val="tx1"/>
            </w14:solidFill>
          </w14:textFill>
        </w:rPr>
        <w:t>且不属于港口岸线利用功能准入负面清单中所列明的禁止项目，符合“三线一单”的要求。</w:t>
      </w:r>
    </w:p>
    <w:p>
      <w:pPr>
        <w:pStyle w:val="3"/>
        <w:rPr>
          <w:rFonts w:ascii="Times New Roman" w:hAnsi="Times New Roman" w:eastAsiaTheme="minorEastAsia"/>
          <w:b/>
        </w:rPr>
      </w:pPr>
      <w:bookmarkStart w:id="5" w:name="_Toc28774"/>
      <w:r>
        <w:rPr>
          <w:rFonts w:ascii="Times New Roman" w:hAnsi="Times New Roman" w:eastAsiaTheme="minorEastAsia"/>
          <w:b/>
        </w:rPr>
        <w:t>项目关注的主要环境问题</w:t>
      </w:r>
      <w:bookmarkEnd w:id="5"/>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根据《环境影响评价技术导则》的要求，结合项目特点和区域环境功能现状等的要求，本次评价工作的评价重点为：</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码头工程施工对长江水质、水生生态的影响以及管线工程施工对生态环境的影响及防治和减缓影响的措施；</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营运期码头装卸过程产生的非甲烷总烃</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T</w:t>
      </w:r>
      <w:r>
        <w:rPr>
          <w:rFonts w:hint="eastAsia" w:ascii="Times New Roman" w:hAnsi="Times New Roman" w:eastAsiaTheme="minorEastAsia"/>
          <w:kern w:val="0"/>
          <w:sz w:val="24"/>
          <w:szCs w:val="24"/>
        </w:rPr>
        <w:t>VOC</w:t>
      </w:r>
      <w:r>
        <w:rPr>
          <w:rFonts w:ascii="Times New Roman" w:hAnsi="Times New Roman" w:eastAsiaTheme="minorEastAsia"/>
          <w:kern w:val="0"/>
          <w:sz w:val="24"/>
          <w:szCs w:val="24"/>
        </w:rPr>
        <w:t>对周边环境的影响，包括影响范围和程度及拟采取的环境保护措施等；</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⑶</w:t>
      </w:r>
      <w:r>
        <w:rPr>
          <w:rFonts w:ascii="Times New Roman" w:hAnsi="Times New Roman" w:eastAsiaTheme="minorEastAsia"/>
          <w:kern w:val="0"/>
          <w:sz w:val="24"/>
          <w:szCs w:val="24"/>
        </w:rPr>
        <w:t xml:space="preserve"> 营运期码头废水、噪声的排放对环境的影响以及各类固体废物的产生、处理处置情况；</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⑷</w:t>
      </w:r>
      <w:r>
        <w:rPr>
          <w:rFonts w:ascii="Times New Roman" w:hAnsi="Times New Roman" w:eastAsiaTheme="minorEastAsia"/>
          <w:kern w:val="0"/>
          <w:sz w:val="24"/>
          <w:szCs w:val="24"/>
        </w:rPr>
        <w:t xml:space="preserve"> 营运期码头工程可能发生的船舶事故溢油对长江水环境的影响，包括影响范围和程度及拟采取的事故风险防范措施和应急预案等；</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⑸</w:t>
      </w:r>
      <w:r>
        <w:rPr>
          <w:rFonts w:ascii="Times New Roman" w:hAnsi="Times New Roman" w:eastAsiaTheme="minorEastAsia"/>
          <w:kern w:val="0"/>
          <w:sz w:val="24"/>
          <w:szCs w:val="24"/>
        </w:rPr>
        <w:t xml:space="preserve"> 营运期可能发生的油品泄漏对大气、地下水、土壤环境的影响及拟采取的事故风险防范措施。</w:t>
      </w:r>
    </w:p>
    <w:p>
      <w:pPr>
        <w:pStyle w:val="3"/>
        <w:rPr>
          <w:rFonts w:ascii="Times New Roman" w:hAnsi="Times New Roman" w:eastAsiaTheme="minorEastAsia"/>
          <w:b/>
        </w:rPr>
      </w:pPr>
      <w:bookmarkStart w:id="6" w:name="_Toc6092"/>
      <w:r>
        <w:rPr>
          <w:rFonts w:ascii="Times New Roman" w:hAnsi="Times New Roman" w:eastAsiaTheme="minorEastAsia"/>
          <w:b/>
        </w:rPr>
        <w:t>环评主要结论</w:t>
      </w:r>
      <w:bookmarkEnd w:id="6"/>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本项目的建设与岳阳港总体规划基本相符，项目选址合理。项目在建设及建成营运过程中将会产生噪声和一定量的废气、废水及固体废弃物等，经评价分析，项目采取合理可行的环保治理措施和管理手段，其环境影响可得到最大程度的减缓。项目对周围的大气、水、声环境及地下水环境影响较小，不会降低区域的环境质量现状，对外界环境影响相对较小；项目通过加强航道内船舶交通秩序管理，落实码头风险防范措施，可有效控制风险水平到可接受的程度。</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建设单位应严格按照国家“三同时”政策及时做好有关工作，切实履行实施本评价所提出的对策与建议，保证污染物稳定达标排放情况下，从环保的角度分析，项目的</w:t>
      </w:r>
      <w:r>
        <w:rPr>
          <w:rFonts w:hint="eastAsia" w:ascii="Times New Roman" w:hAnsi="Times New Roman" w:eastAsiaTheme="minorEastAsia"/>
          <w:kern w:val="0"/>
          <w:sz w:val="24"/>
          <w:szCs w:val="24"/>
        </w:rPr>
        <w:t>提质</w:t>
      </w:r>
      <w:r>
        <w:rPr>
          <w:rFonts w:ascii="Times New Roman" w:hAnsi="Times New Roman" w:eastAsiaTheme="minorEastAsia"/>
          <w:kern w:val="0"/>
          <w:sz w:val="24"/>
          <w:szCs w:val="24"/>
        </w:rPr>
        <w:t>改造建设具有可行性。</w:t>
      </w:r>
    </w:p>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ind w:firstLine="500" w:firstLineChars="200"/>
        <w:rPr>
          <w:rFonts w:ascii="Times New Roman" w:hAnsi="Times New Roman" w:eastAsiaTheme="minorEastAsia"/>
          <w:spacing w:val="5"/>
          <w:sz w:val="24"/>
          <w:szCs w:val="24"/>
        </w:rPr>
        <w:sectPr>
          <w:headerReference r:id="rId9"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spacing w:line="480" w:lineRule="auto"/>
        <w:ind w:left="431" w:hanging="431"/>
        <w:jc w:val="center"/>
        <w:rPr>
          <w:rFonts w:eastAsiaTheme="minorEastAsia"/>
          <w:b/>
          <w:sz w:val="32"/>
          <w:szCs w:val="32"/>
        </w:rPr>
      </w:pPr>
      <w:bookmarkStart w:id="7" w:name="_Toc17240"/>
      <w:r>
        <w:rPr>
          <w:rFonts w:eastAsiaTheme="minorEastAsia"/>
          <w:b/>
          <w:sz w:val="32"/>
          <w:szCs w:val="32"/>
        </w:rPr>
        <w:t>总  则</w:t>
      </w:r>
      <w:bookmarkEnd w:id="7"/>
    </w:p>
    <w:p>
      <w:pPr>
        <w:pStyle w:val="3"/>
        <w:rPr>
          <w:rFonts w:ascii="Times New Roman" w:hAnsi="Times New Roman" w:eastAsiaTheme="minorEastAsia"/>
          <w:b/>
        </w:rPr>
      </w:pPr>
      <w:bookmarkStart w:id="8" w:name="_Toc56245033"/>
      <w:bookmarkStart w:id="9" w:name="_Toc476665437"/>
      <w:bookmarkStart w:id="10" w:name="_Toc486164877"/>
      <w:bookmarkStart w:id="11" w:name="_Toc146342007"/>
      <w:bookmarkStart w:id="12" w:name="_Toc484483849"/>
      <w:bookmarkStart w:id="13" w:name="_Toc456409117"/>
      <w:bookmarkStart w:id="14" w:name="_Toc53570297"/>
      <w:bookmarkStart w:id="15" w:name="_Toc58730046"/>
      <w:bookmarkStart w:id="16" w:name="_Toc130307561"/>
      <w:bookmarkStart w:id="17" w:name="_Toc487572248"/>
      <w:bookmarkStart w:id="18" w:name="_Toc496284861"/>
      <w:bookmarkStart w:id="19" w:name="_Toc47262311"/>
      <w:bookmarkStart w:id="20" w:name="_Toc477272606"/>
      <w:bookmarkStart w:id="21" w:name="_Toc27373"/>
      <w:r>
        <w:rPr>
          <w:rFonts w:ascii="Times New Roman" w:hAnsi="Times New Roman" w:eastAsiaTheme="minorEastAsia"/>
          <w:b/>
        </w:rPr>
        <w:t>评价目的</w:t>
      </w:r>
      <w:bookmarkEnd w:id="8"/>
      <w:bookmarkEnd w:id="9"/>
      <w:bookmarkEnd w:id="10"/>
      <w:bookmarkEnd w:id="11"/>
      <w:bookmarkEnd w:id="12"/>
      <w:bookmarkEnd w:id="13"/>
      <w:bookmarkEnd w:id="14"/>
      <w:bookmarkEnd w:id="15"/>
      <w:bookmarkEnd w:id="16"/>
      <w:bookmarkEnd w:id="17"/>
      <w:bookmarkEnd w:id="18"/>
      <w:bookmarkEnd w:id="19"/>
      <w:bookmarkEnd w:id="20"/>
      <w:r>
        <w:rPr>
          <w:rFonts w:ascii="Times New Roman" w:hAnsi="Times New Roman" w:eastAsiaTheme="minorEastAsia"/>
          <w:b/>
        </w:rPr>
        <w:t>及原则</w:t>
      </w:r>
      <w:bookmarkEnd w:id="21"/>
    </w:p>
    <w:p>
      <w:pPr>
        <w:pStyle w:val="4"/>
        <w:rPr>
          <w:rFonts w:eastAsiaTheme="minorEastAsia"/>
        </w:rPr>
      </w:pPr>
      <w:r>
        <w:rPr>
          <w:rFonts w:eastAsiaTheme="minorEastAsia"/>
        </w:rPr>
        <w:t>评价目的</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依据国家有关环保法律和法规，贯彻执行“清洁生产、达标排放、总量控制”的原则，落实国务院关于“环境保护科学发展观”的决定，并遵循“循环经济”理念，使该工程的建设达到经济效益、社会效益和环境效益的统一。针对建设项目的污染特征，预测和分析建设项目对环境影响的范围和程度，提出相应的污染防治对策，降低建设项目造成的环境影响，提出节能降耗和节水措施，为建设项目的设计运行、环境监督检查和管理提供科学依据。</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按照国家建设项目环境影响评价技术导则的规定对该项目开展环境影响评价工作，本评价将达到如下要求与目标：</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通过区域环境质量现状调查与监测，掌握建设项目所在区域的环境质量背景状况和现存的主要环境问题。</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通过对项目工程详细分析，明确建设项目的主要环境问题，筛选对环境造成影响的因子，尤其关注建设项目产生的特征污染因子。并通过类比、物料衡算，核算出污染源源强，为环境影响预测和总量控制提供依据。</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⑶</w:t>
      </w:r>
      <w:r>
        <w:rPr>
          <w:rFonts w:ascii="Times New Roman" w:hAnsi="Times New Roman" w:eastAsiaTheme="minorEastAsia"/>
          <w:kern w:val="0"/>
          <w:sz w:val="24"/>
          <w:szCs w:val="24"/>
        </w:rPr>
        <w:t xml:space="preserve"> 通过模拟计算，预测建设项目的环境影响程度和范围，包括环境风险和可接受性，论证风险防范措施及管理的有效性和可行性。</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⑷</w:t>
      </w:r>
      <w:r>
        <w:rPr>
          <w:rFonts w:ascii="Times New Roman" w:hAnsi="Times New Roman" w:eastAsiaTheme="minorEastAsia"/>
          <w:kern w:val="0"/>
          <w:sz w:val="24"/>
          <w:szCs w:val="24"/>
        </w:rPr>
        <w:t xml:space="preserve"> 根据建设项目的排污特点，通过类比调查与分析研究，论证污染防治措施的可行性，并进行环境经济损益分析。</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⑸</w:t>
      </w:r>
      <w:r>
        <w:rPr>
          <w:rFonts w:ascii="Times New Roman" w:hAnsi="Times New Roman" w:eastAsiaTheme="minorEastAsia"/>
          <w:kern w:val="0"/>
          <w:sz w:val="24"/>
          <w:szCs w:val="24"/>
        </w:rPr>
        <w:t xml:space="preserve"> 结合建设区域内的环境质量现状，预测分析本项目完成后对周边环境的影响范围与程度。</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⑹</w:t>
      </w:r>
      <w:r>
        <w:rPr>
          <w:rFonts w:ascii="Times New Roman" w:hAnsi="Times New Roman" w:eastAsiaTheme="minorEastAsia"/>
          <w:kern w:val="0"/>
          <w:sz w:val="24"/>
          <w:szCs w:val="24"/>
        </w:rPr>
        <w:t xml:space="preserve"> 结合环境功能区划要求，从环保角度论证该项目的可行性，为环保设施的优化设计、企业环境监测管理以及环境保护主管部门综合决策提供依据。</w:t>
      </w:r>
    </w:p>
    <w:p>
      <w:pPr>
        <w:autoSpaceDE w:val="0"/>
        <w:autoSpaceDN w:val="0"/>
        <w:adjustRightInd w:val="0"/>
        <w:snapToGrid w:val="0"/>
        <w:spacing w:line="360" w:lineRule="auto"/>
        <w:ind w:firstLine="480" w:firstLineChars="200"/>
        <w:rPr>
          <w:rFonts w:ascii="Times New Roman" w:hAnsi="Times New Roman" w:eastAsiaTheme="minorEastAsia"/>
          <w:kern w:val="0"/>
          <w:sz w:val="20"/>
          <w:szCs w:val="20"/>
        </w:rPr>
      </w:pPr>
      <w:r>
        <w:rPr>
          <w:rFonts w:hint="eastAsia" w:ascii="宋体" w:hAnsi="宋体" w:cs="宋体"/>
          <w:kern w:val="0"/>
          <w:sz w:val="24"/>
          <w:szCs w:val="24"/>
        </w:rPr>
        <w:t>⑺</w:t>
      </w:r>
      <w:r>
        <w:rPr>
          <w:rFonts w:ascii="Times New Roman" w:hAnsi="Times New Roman" w:eastAsiaTheme="minorEastAsia"/>
          <w:kern w:val="0"/>
          <w:sz w:val="24"/>
          <w:szCs w:val="24"/>
        </w:rPr>
        <w:t xml:space="preserve"> 论证建设项目与当地建设规划的相容性、资源开发利用可行性以及环境可行性。</w:t>
      </w:r>
    </w:p>
    <w:p>
      <w:pPr>
        <w:pStyle w:val="4"/>
        <w:rPr>
          <w:rFonts w:eastAsiaTheme="minorEastAsia"/>
        </w:rPr>
      </w:pPr>
      <w:r>
        <w:rPr>
          <w:rFonts w:eastAsiaTheme="minorEastAsia"/>
        </w:rPr>
        <w:t>评价原则</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按照突出环境影响评价的源头预防作用，坚持保护和改善环境质量的要求，遵循以下原则开展环境影响评价工作：</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1、依法评价</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贯彻执行我国环境保护相关法律法规、标准、政策和规划等，优化项目建设，服务环境管理。</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2、科学评价</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规范环境影响评价方法，科学分析项目建设对环境质量的影响。</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3、突出重点</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rPr>
          <w:rFonts w:ascii="Times New Roman" w:hAnsi="Times New Roman" w:eastAsiaTheme="minorEastAsia"/>
          <w:b/>
        </w:rPr>
      </w:pPr>
      <w:bookmarkStart w:id="22" w:name="_Toc1845"/>
      <w:r>
        <w:rPr>
          <w:rFonts w:ascii="Times New Roman" w:hAnsi="Times New Roman" w:eastAsiaTheme="minorEastAsia"/>
          <w:b/>
        </w:rPr>
        <w:t>编制依据</w:t>
      </w:r>
      <w:bookmarkEnd w:id="22"/>
    </w:p>
    <w:p>
      <w:pPr>
        <w:pStyle w:val="4"/>
        <w:rPr>
          <w:rFonts w:eastAsiaTheme="minorEastAsia"/>
        </w:rPr>
      </w:pPr>
      <w:r>
        <w:rPr>
          <w:rFonts w:eastAsiaTheme="minorEastAsia"/>
        </w:rPr>
        <w:t>国家有关环境保护的法律、法规、规定</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1、《中华人民共和国环境保护法》，2015年1月1日实施；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2、《中华人民共和国环境影响评价法》，2018年12月29日实施；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3、《中华人民共和国水污染防治法》，2018年1月1日实施；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4、《中华人民共和国大气污染防治法》，2018年10月26日实施；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5、《中华人民共和国环境噪声污染防治法》，2018月12月29日实施；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6、《中华人民共和国固体废物污染环境防治法》，2016年11月7日修正；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7、《中华人民共和国土壤污染防治法》，2018年8月31日审议通过，自2019年1月1日起施行；</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8、《中华人民共和国节约能源法》，2018年10月26日修订并实施；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9、《中华人民共和国防洪法》，2016年7月2日修订；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10、《中华人民共和国港口法》，2017年11月4日修正；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11、《中华人民共和国渔业法》，2004年8月28日修订；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12、《中华人民共和国航道法》，2016年7月2日修正；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13、《中华人民共和国野生动物保护法》，2016年7月2日修订；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14、《中华人民共和国清洁生产促进法》，2012年7月1日实施；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15、中华人民共和国国务院令第682号《建设项目环境保护管理条例》，2017年7月16日修订；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16、国家环保总局、卫生部、建设部、水利部、地矿部关于《饮用水水源保护区污染防治管理规定》，环境保护部令第16号自2010年12月修订；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17、国发〔2013〕37号《国务院关于印发大气污染防治行动计划的通知》，2013年9月10日；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18、国发〔2014〕39号《国务院关于依托黄金水道推动长江经济带发展的指导意见》，2014年9月25日；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19、国发〔2015〕17号《国务院关于印发水污染防治行动计划的通知》，2015年4月2日；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20、国发〔2005〕40号《国务院关于发布实施〈促进产业结构调整暂行规定〉的决定》，2008年3月28日；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21、国家发展和改革委员会令2020第</w:t>
      </w:r>
      <w:r>
        <w:rPr>
          <w:rFonts w:hint="eastAsia" w:ascii="Times New Roman" w:hAnsi="Times New Roman" w:eastAsiaTheme="minorEastAsia"/>
          <w:kern w:val="0"/>
          <w:sz w:val="24"/>
          <w:szCs w:val="24"/>
        </w:rPr>
        <w:t>2</w:t>
      </w:r>
      <w:r>
        <w:rPr>
          <w:rFonts w:ascii="Times New Roman" w:hAnsi="Times New Roman" w:eastAsiaTheme="minorEastAsia"/>
          <w:kern w:val="0"/>
          <w:sz w:val="24"/>
          <w:szCs w:val="24"/>
        </w:rPr>
        <w:t>9号《产业结构调整指导目录（2019年本）》，2019年8月27日；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22、环发〔2012〕77号《关于进一步加强环境影响评价管理防范环境风险的通知》；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23、环发〔2012〕98号《关于切实加强风险防范严格环境影响评价管理的通知》；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24、环发〔2013〕86号《关于进一步加强水生生物资源保护严格环境影响评价管理的通知》；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25、环境保护部令第44号《建设项目环境影响评价分类管理名录》，2017年9月1日；</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26、生态环境部《关于修改&lt;建设项目环境影响评价分类管理名录&gt;部分内容的决定》，20</w:t>
      </w:r>
      <w:r>
        <w:rPr>
          <w:rFonts w:hint="eastAsia" w:ascii="Times New Roman" w:hAnsi="Times New Roman" w:eastAsiaTheme="minorEastAsia"/>
          <w:color w:val="FF0000"/>
          <w:kern w:val="0"/>
          <w:sz w:val="24"/>
          <w:szCs w:val="24"/>
          <w:u w:val="single"/>
          <w:lang w:val="en-US" w:eastAsia="zh-CN"/>
        </w:rPr>
        <w:t>21年1月1日实施</w:t>
      </w:r>
      <w:r>
        <w:rPr>
          <w:rFonts w:ascii="Times New Roman" w:hAnsi="Times New Roman" w:eastAsiaTheme="minorEastAsia"/>
          <w:color w:val="FF0000"/>
          <w:kern w:val="0"/>
          <w:sz w:val="24"/>
          <w:szCs w:val="24"/>
          <w:u w:val="single"/>
        </w:rPr>
        <w:t>；</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27、生态环境部令</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第4号</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环境影响评价公众参与办法》</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2018年4月16日由生态环境部部务会议审议通过，自2019年1月1日起施行；</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28、中共中央、国务院中发〔2016〕14号《长江经济带发展规划纲要》，2016年5月30日；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29、中华人民共和国国务院令第355号《中华人民共和国内河交通安全管理条例》，2017年3月1日修正。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30、交通运输部关于印发船舶与港口污染防治专项行动实施方案（2015-2020年）的通知，2015年8月27日；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31、发改环资〔2016〕370号《关于加强长江黄金水道环境污染防控治理的指导意见》，2016年2月23日；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32、交通部2015年第25号令《中华人民共和国防治船舶污染内河水域环境管理规定》，2016年5月1日；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33、交通部2003年第5号令《交通建设项目环境保护管理办法》，2003年5月13日；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34、环境保护部办公厅文件环办〔2013〕104号《关于切实加强环境影响评价监督管理工作的通知》，2013年11月15日；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35、中办、国办印发《关于划定并严守生态保护红线的若干意见》，2017年2月8日；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36、环保部、发改委环办生态〔2017〕48号《生态保护红线划定指南》，2017年5月；</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37、《中华人民共和国自然保护区条例》，2017年10月7日修正；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38、农业部农渔发〔2017〕19号《农业部关于进一步规范水生生物增殖放流活动的通知》，2017年7月10日；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39、农办渔〔2014〕55号《农业部办公厅关于进一步加强水生生物经济物种增殖放流苗种管理的通知》，2014年10月8日；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40、环境保护部环发〔2015〕57号《关于进一步加强涉及自然保护区开发建设活动监督管理的通知》，2015年5月8日；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41、农渔发〔2016〕11号《农业部关于做好“十三五”水生生物增殖放流工作的指导意见》，2016年4月20日；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42、《水产种质资源保护区管理暂行办法》（中华人民共和国农业部令2011年第1号，实施时间2011年3月1日）；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43、《环境保护部、农业部关于进一步加强水生生物资源保护严格环境影响评价管理的通知》（环发〔2013〕86号，2013年8月5日）</w:t>
      </w:r>
      <w:r>
        <w:rPr>
          <w:rFonts w:hint="eastAsia" w:ascii="Times New Roman" w:hAnsi="Times New Roman" w:eastAsiaTheme="minorEastAsia"/>
          <w:color w:val="000000"/>
          <w:sz w:val="24"/>
        </w:rPr>
        <w:t>；</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hint="eastAsia" w:ascii="Times New Roman" w:hAnsi="Times New Roman" w:eastAsiaTheme="minorEastAsia"/>
          <w:color w:val="000000"/>
          <w:sz w:val="24"/>
        </w:rPr>
        <w:t>44、</w:t>
      </w:r>
      <w:r>
        <w:rPr>
          <w:rFonts w:ascii="Times New Roman" w:hAnsi="Times New Roman" w:eastAsiaTheme="minorEastAsia"/>
          <w:color w:val="000000"/>
          <w:sz w:val="24"/>
        </w:rPr>
        <w:t>交通运输部办公厅关于印发《长江经济带船舶污染防治专项行动方案（2018-2020年）》的通知</w:t>
      </w:r>
      <w:r>
        <w:rPr>
          <w:rFonts w:hint="eastAsia" w:ascii="Times New Roman" w:hAnsi="Times New Roman" w:eastAsiaTheme="minorEastAsia"/>
          <w:color w:val="000000"/>
          <w:sz w:val="24"/>
        </w:rPr>
        <w:t>（</w:t>
      </w:r>
      <w:r>
        <w:rPr>
          <w:rFonts w:ascii="Times New Roman" w:hAnsi="Times New Roman" w:eastAsiaTheme="minorEastAsia"/>
          <w:color w:val="000000"/>
          <w:sz w:val="24"/>
        </w:rPr>
        <w:t>交办海〔2017〕195号</w:t>
      </w:r>
      <w:r>
        <w:rPr>
          <w:rFonts w:hint="eastAsia" w:ascii="Times New Roman" w:hAnsi="Times New Roman" w:eastAsiaTheme="minorEastAsia"/>
          <w:color w:val="000000"/>
          <w:sz w:val="24"/>
        </w:rPr>
        <w:t>，</w:t>
      </w:r>
      <w:r>
        <w:rPr>
          <w:rFonts w:ascii="Times New Roman" w:hAnsi="Times New Roman" w:eastAsiaTheme="minorEastAsia"/>
          <w:color w:val="000000"/>
          <w:sz w:val="24"/>
        </w:rPr>
        <w:t>2018年1月8日</w:t>
      </w:r>
      <w:r>
        <w:rPr>
          <w:rFonts w:hint="eastAsia" w:ascii="Times New Roman" w:hAnsi="Times New Roman" w:eastAsiaTheme="minorEastAsia"/>
          <w:color w:val="000000"/>
          <w:sz w:val="24"/>
        </w:rPr>
        <w:t>）；</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45</w:t>
      </w:r>
      <w:r>
        <w:rPr>
          <w:rFonts w:hint="eastAsia" w:ascii="Times New Roman" w:hAnsi="Times New Roman" w:eastAsiaTheme="minorEastAsia"/>
          <w:color w:val="000000"/>
          <w:sz w:val="24"/>
        </w:rPr>
        <w:t>、</w:t>
      </w:r>
      <w:r>
        <w:rPr>
          <w:rFonts w:ascii="Times New Roman" w:hAnsi="Times New Roman" w:eastAsiaTheme="minorEastAsia"/>
          <w:color w:val="000000"/>
          <w:sz w:val="24"/>
        </w:rPr>
        <w:t>交通运输部 发展改革委 生态环境部 住房城乡建设部关于印发</w:t>
      </w:r>
      <w:r>
        <w:rPr>
          <w:rFonts w:hint="eastAsia" w:ascii="Times New Roman" w:hAnsi="Times New Roman" w:eastAsiaTheme="minorEastAsia"/>
          <w:color w:val="000000"/>
          <w:sz w:val="24"/>
        </w:rPr>
        <w:t>《</w:t>
      </w:r>
      <w:r>
        <w:rPr>
          <w:rFonts w:ascii="Times New Roman" w:hAnsi="Times New Roman" w:eastAsiaTheme="minorEastAsia"/>
          <w:color w:val="000000"/>
          <w:sz w:val="24"/>
        </w:rPr>
        <w:t>长江经济带船舶和港口污染突出问题整治方案</w:t>
      </w:r>
      <w:r>
        <w:rPr>
          <w:rFonts w:hint="eastAsia" w:ascii="Times New Roman" w:hAnsi="Times New Roman" w:eastAsiaTheme="minorEastAsia"/>
          <w:color w:val="000000"/>
          <w:sz w:val="24"/>
        </w:rPr>
        <w:t>》</w:t>
      </w:r>
      <w:r>
        <w:rPr>
          <w:rFonts w:ascii="Times New Roman" w:hAnsi="Times New Roman" w:eastAsiaTheme="minorEastAsia"/>
          <w:color w:val="000000"/>
          <w:sz w:val="24"/>
        </w:rPr>
        <w:t>的通知</w:t>
      </w:r>
      <w:r>
        <w:rPr>
          <w:rFonts w:hint="eastAsia" w:ascii="Times New Roman" w:hAnsi="Times New Roman" w:eastAsiaTheme="minorEastAsia"/>
          <w:color w:val="000000"/>
          <w:sz w:val="24"/>
        </w:rPr>
        <w:t>（</w:t>
      </w:r>
      <w:r>
        <w:rPr>
          <w:rFonts w:ascii="Times New Roman" w:hAnsi="Times New Roman" w:eastAsiaTheme="minorEastAsia"/>
          <w:color w:val="000000"/>
          <w:sz w:val="24"/>
        </w:rPr>
        <w:t>交水发〔2020〕17号</w:t>
      </w:r>
      <w:r>
        <w:rPr>
          <w:rFonts w:hint="eastAsia" w:ascii="Times New Roman" w:hAnsi="Times New Roman" w:eastAsiaTheme="minorEastAsia"/>
          <w:color w:val="000000"/>
          <w:sz w:val="24"/>
        </w:rPr>
        <w:t>，</w:t>
      </w:r>
      <w:r>
        <w:rPr>
          <w:rFonts w:ascii="Times New Roman" w:hAnsi="Times New Roman" w:eastAsiaTheme="minorEastAsia"/>
          <w:color w:val="000000"/>
          <w:sz w:val="24"/>
        </w:rPr>
        <w:t>2020年1月19日</w:t>
      </w:r>
      <w:r>
        <w:rPr>
          <w:rFonts w:hint="eastAsia" w:ascii="Times New Roman" w:hAnsi="Times New Roman" w:eastAsiaTheme="minorEastAsia"/>
          <w:color w:val="000000"/>
          <w:sz w:val="24"/>
        </w:rPr>
        <w:t>）</w:t>
      </w:r>
      <w:r>
        <w:rPr>
          <w:rFonts w:ascii="Times New Roman" w:hAnsi="Times New Roman" w:eastAsiaTheme="minorEastAsia"/>
          <w:color w:val="000000"/>
          <w:sz w:val="24"/>
        </w:rPr>
        <w:t>。</w:t>
      </w:r>
    </w:p>
    <w:p>
      <w:pPr>
        <w:pStyle w:val="4"/>
        <w:rPr>
          <w:rFonts w:eastAsiaTheme="minorEastAsia"/>
        </w:rPr>
      </w:pPr>
      <w:r>
        <w:rPr>
          <w:rFonts w:eastAsiaTheme="minorEastAsia"/>
        </w:rPr>
        <w:t>地方有关环境保护的法律、法规、规定</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w:t>
      </w:r>
      <w:r>
        <w:rPr>
          <w:rFonts w:ascii="Times New Roman" w:hAnsi="Times New Roman"/>
          <w:color w:val="000000"/>
          <w:sz w:val="24"/>
        </w:rPr>
        <w:t>《湖南省环境保护条例》（修正），湖南省第十二届人民代表大会常务委员会，2020.01.01</w:t>
      </w:r>
      <w:r>
        <w:rPr>
          <w:rFonts w:hint="eastAsia" w:ascii="Times New Roman" w:hAnsi="Times New Roman"/>
          <w:color w:val="000000"/>
          <w:sz w:val="24"/>
        </w:rPr>
        <w:t>实施</w:t>
      </w:r>
      <w:r>
        <w:rPr>
          <w:rFonts w:ascii="Times New Roman" w:hAnsi="Times New Roman" w:eastAsiaTheme="minorEastAsia"/>
          <w:color w:val="000000"/>
          <w:sz w:val="24"/>
        </w:rPr>
        <w:t>；</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2、《湖南省生态文明体制改革实施方案（2014-2020年）》，湘办发〔2015〕15号；</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3、《湖南省大气污染防治实施办法》，湖南省第八届人民代表大会常务委员会，1997年6月4日；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4、《湖南省大气污染防治条例》，湖南省第十二届人民代表大会常务委员会，2017年6月1日；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bCs/>
          <w:color w:val="000000"/>
          <w:sz w:val="24"/>
        </w:rPr>
        <w:t>5、湖南省人民政府关于印发《湖南省生态保护红线》的通知，</w:t>
      </w:r>
      <w:r>
        <w:rPr>
          <w:rFonts w:ascii="Times New Roman" w:hAnsi="Times New Roman" w:eastAsiaTheme="minorEastAsia"/>
          <w:color w:val="000000"/>
          <w:sz w:val="24"/>
        </w:rPr>
        <w:t>湘政发〔2018〕20号，2018年7月28日；</w:t>
      </w:r>
    </w:p>
    <w:p>
      <w:pPr>
        <w:tabs>
          <w:tab w:val="left" w:pos="900"/>
        </w:tabs>
        <w:snapToGrid w:val="0"/>
        <w:spacing w:line="360" w:lineRule="auto"/>
        <w:ind w:firstLine="480" w:firstLineChars="200"/>
        <w:rPr>
          <w:rFonts w:ascii="Times New Roman" w:hAnsi="Times New Roman" w:eastAsiaTheme="minorEastAsia"/>
          <w:bCs/>
          <w:color w:val="000000"/>
          <w:sz w:val="24"/>
        </w:rPr>
      </w:pPr>
      <w:r>
        <w:rPr>
          <w:rFonts w:ascii="Times New Roman" w:hAnsi="Times New Roman" w:eastAsiaTheme="minorEastAsia"/>
          <w:color w:val="000000"/>
          <w:sz w:val="24"/>
        </w:rPr>
        <w:t>6、</w:t>
      </w:r>
      <w:r>
        <w:rPr>
          <w:rFonts w:ascii="Times New Roman" w:hAnsi="Times New Roman" w:eastAsiaTheme="minorEastAsia"/>
          <w:bCs/>
          <w:color w:val="000000"/>
          <w:sz w:val="24"/>
        </w:rPr>
        <w:t>《湖南省长江经济带发展负面清单实施细则》，湖南省发展和改革委员会，2019年7月17日；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7、《湖南省主要水系地表水环境功能区划》（DB43/023-2005），湖南省环保局、湖南省质量技术监督管理局，2005年7月1日；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8、湖南省人民政府关于印发《湖南省主体功能区规划》的通知，湖南省政府办公厅湘政发〔2012〕39号，2012年12月26日）；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9、《关于印发&lt;湖南省重要饮用水水源地名录&gt;的通知》，湘政办函〔2014〕146号，2014年12月17日；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10、《湖南省人民政府关于公布湖南省县级以上地表水集中式饮用水水源保护区划定方案的通知》，湘政函〔2016〕176号，2016年12月30日；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11、《湖南省</w:t>
      </w:r>
      <w:r>
        <w:rPr>
          <w:rFonts w:hint="eastAsia" w:ascii="Times New Roman" w:hAnsi="Times New Roman" w:eastAsiaTheme="minorEastAsia"/>
          <w:color w:val="000000"/>
          <w:sz w:val="24"/>
        </w:rPr>
        <w:t>生态环境厅</w:t>
      </w:r>
      <w:r>
        <w:rPr>
          <w:rFonts w:ascii="Times New Roman" w:hAnsi="Times New Roman" w:eastAsiaTheme="minorEastAsia"/>
          <w:color w:val="000000"/>
          <w:sz w:val="24"/>
        </w:rPr>
        <w:t>关于请求下放部分行政许可事项办理</w:t>
      </w:r>
      <w:r>
        <w:rPr>
          <w:rFonts w:hint="eastAsia" w:ascii="Times New Roman" w:hAnsi="Times New Roman" w:eastAsiaTheme="minorEastAsia"/>
          <w:color w:val="000000"/>
          <w:sz w:val="24"/>
        </w:rPr>
        <w:t>项的</w:t>
      </w:r>
      <w:r>
        <w:rPr>
          <w:rFonts w:ascii="Times New Roman" w:hAnsi="Times New Roman" w:eastAsiaTheme="minorEastAsia"/>
          <w:color w:val="000000"/>
          <w:sz w:val="24"/>
        </w:rPr>
        <w:t>函》，湖南省</w:t>
      </w:r>
      <w:r>
        <w:rPr>
          <w:rFonts w:hint="eastAsia" w:ascii="Times New Roman" w:hAnsi="Times New Roman" w:eastAsiaTheme="minorEastAsia"/>
          <w:color w:val="000000"/>
          <w:sz w:val="24"/>
        </w:rPr>
        <w:t>生态</w:t>
      </w:r>
      <w:r>
        <w:rPr>
          <w:rFonts w:ascii="Times New Roman" w:hAnsi="Times New Roman" w:eastAsiaTheme="minorEastAsia"/>
          <w:color w:val="000000"/>
          <w:sz w:val="24"/>
        </w:rPr>
        <w:t>环境厅</w:t>
      </w:r>
      <w:r>
        <w:rPr>
          <w:rFonts w:hint="eastAsia" w:ascii="Times New Roman" w:hAnsi="Times New Roman" w:eastAsiaTheme="minorEastAsia"/>
          <w:color w:val="000000"/>
          <w:sz w:val="24"/>
        </w:rPr>
        <w:t>，</w:t>
      </w:r>
      <w:r>
        <w:rPr>
          <w:rFonts w:ascii="Times New Roman" w:hAnsi="Times New Roman" w:eastAsiaTheme="minorEastAsia"/>
          <w:color w:val="000000"/>
          <w:sz w:val="24"/>
        </w:rPr>
        <w:t>湘环</w:t>
      </w:r>
      <w:r>
        <w:rPr>
          <w:rFonts w:hint="eastAsia" w:ascii="Times New Roman" w:hAnsi="Times New Roman" w:eastAsiaTheme="minorEastAsia"/>
          <w:color w:val="000000"/>
          <w:sz w:val="24"/>
        </w:rPr>
        <w:t>函</w:t>
      </w:r>
      <w:r>
        <w:rPr>
          <w:rFonts w:ascii="Times New Roman" w:hAnsi="Times New Roman" w:eastAsiaTheme="minorEastAsia"/>
          <w:color w:val="000000"/>
          <w:sz w:val="24"/>
        </w:rPr>
        <w:t>〔2019〕134号，2019年5月10日；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12、《湖南省野生动植物资源保护条例》，湖南省人大常委会，2018年7月19日修订；</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13、《湖南省人民政府关于修订湖南省地方重点保护野生动物名录和湖南省地方重点保护野生植物名录的通知》，湘政函〔2002〕172号，2002年9月5日；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14、《关于印发&lt;湖南省环境保护厅建设项目“三同时”监督管理试行办法&gt;的通知》，湖南省环境保护厅办公室，湘环发〔2011〕29号，2011年6月27日</w:t>
      </w:r>
      <w:r>
        <w:rPr>
          <w:rFonts w:hint="eastAsia" w:ascii="Times New Roman" w:hAnsi="Times New Roman" w:eastAsiaTheme="minorEastAsia"/>
          <w:color w:val="000000"/>
          <w:sz w:val="24"/>
        </w:rPr>
        <w:t>。</w:t>
      </w:r>
    </w:p>
    <w:p>
      <w:pPr>
        <w:pStyle w:val="4"/>
        <w:rPr>
          <w:rFonts w:eastAsiaTheme="minorEastAsia"/>
        </w:rPr>
      </w:pPr>
      <w:r>
        <w:rPr>
          <w:rFonts w:eastAsiaTheme="minorEastAsia"/>
        </w:rPr>
        <w:t>环境影响评价技术文件</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1、《建设项目环境影响评价技术导则  总纲》（HJ 2.1-2016）；</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2、《环境影响评价技术导则  大气环境》（HJ 2.2-2018）；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3、《环境影响评价技术导则  地表水环境》（HJ 2.3-2018）；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4、《环境影响评价技术导则  声环境》（HJ 2.4-2009）；</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5、《环境影响评价技术导则  生态影响》（HJ 19-2011）；</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6、《环境影响评价技术导则  地下水环境》（HJ 610-2016）；</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7、《环境影响评价技术导则  土壤环境（试行）》（HJ 964-2018）；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8、《建设项目环境风险评价技术导则》（HJ 169-2018）；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9、《港口建设项目环境影响评价规范》（JTS105-1-2011）；</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10、《建设项目危险废物环境影响评价指南》（环境保护部公告2017年第43号）；</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11、《危险化学品重大危险源辨识》（GB18218-2018）；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12、《饮用水水源保护区划分技术规范》（HJ T338-2018）；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13、《开发建设项目水土保持技术规范》（GB50433-2007）；</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14、《港口工程环境保护设计规范》（JTS149-1-2007）；</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15、《港口码头溢油应急设备配备要求》（JT/T451-2009）；</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16、《港口（港区）溢油应急计划编制指南》，中国海事局，2001年8月；</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17、《船舶水污染防治技术政策》（公告2018年第八号）；</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18、《河港工程总体设计规范》（JTJ212-2006）；</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19、《装卸油品码头防火设计规范》（JTJ237-2019）；</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20、《石油天然气工程设计防火规范》（GB50183-2016）；</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21、《内河通航标准》（GB50139-2004）；</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22、《内河航运工程水文规范》（JTS145-1-2011）；</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23、《港口及航道护岸工程设计与施工规范》（JTJ300-2000）；</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24、《港口工程荷载规范》（JTS144-1-2010）；</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25、《港口工程环境保护设计规范》（JTS149-1-2007）；</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26、《绿色港口等级评价标注》（JTS/T105-4-2013）；</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27、《水运工程节能设计规范》（JTS150-2007）。</w:t>
      </w:r>
    </w:p>
    <w:p>
      <w:pPr>
        <w:pStyle w:val="4"/>
        <w:rPr>
          <w:rFonts w:eastAsiaTheme="minorEastAsia"/>
        </w:rPr>
      </w:pPr>
      <w:r>
        <w:rPr>
          <w:rFonts w:eastAsiaTheme="minorEastAsia"/>
        </w:rPr>
        <w:t>项目设计文件及参考资料</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1、《中国石化集团资产经营管理有限公司长岭分公司港口部码头提质改造工程工程可行性研究报告（水域工程）》（2020年2月，报批稿），中交第二航务工程勘察设计院有限公司；</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2、《中国石化集团资产经营管理有限公司长岭分公司港口部码头提质改造工程工程可行性研究报告（陆域部分）》（2019年7月，报批稿），长岭炼化岳阳工程设计有限公司；</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3、《岳阳港总体规划》（</w:t>
      </w:r>
      <w:r>
        <w:rPr>
          <w:rFonts w:hint="eastAsia" w:ascii="Times New Roman" w:hAnsi="Times New Roman" w:eastAsiaTheme="minorEastAsia"/>
          <w:color w:val="000000"/>
          <w:sz w:val="24"/>
          <w:szCs w:val="24"/>
        </w:rPr>
        <w:t>2</w:t>
      </w:r>
      <w:r>
        <w:rPr>
          <w:rFonts w:ascii="Times New Roman" w:hAnsi="Times New Roman" w:eastAsiaTheme="minorEastAsia"/>
          <w:color w:val="000000"/>
          <w:sz w:val="24"/>
          <w:szCs w:val="24"/>
        </w:rPr>
        <w:t>017-2035</w:t>
      </w:r>
      <w:r>
        <w:rPr>
          <w:rFonts w:ascii="Times New Roman" w:hAnsi="Times New Roman" w:eastAsiaTheme="minorEastAsia"/>
          <w:color w:val="000000" w:themeColor="text1"/>
          <w:sz w:val="24"/>
          <w:szCs w:val="24"/>
          <w14:textFill>
            <w14:solidFill>
              <w14:schemeClr w14:val="tx1"/>
            </w14:solidFill>
          </w14:textFill>
        </w:rPr>
        <w:t>年</w:t>
      </w:r>
      <w:r>
        <w:rPr>
          <w:rFonts w:ascii="Times New Roman" w:hAnsi="Times New Roman" w:eastAsiaTheme="minorEastAsia"/>
          <w:color w:val="000000"/>
          <w:sz w:val="24"/>
          <w:szCs w:val="24"/>
        </w:rPr>
        <w:t>）；</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4、湖南省人民政府专题会议纪要，湘府阅</w:t>
      </w:r>
      <w:r>
        <w:rPr>
          <w:rFonts w:ascii="Times New Roman" w:hAnsi="Times New Roman" w:eastAsiaTheme="minorEastAsia"/>
          <w:color w:val="000000"/>
          <w:sz w:val="24"/>
        </w:rPr>
        <w:t>〔2018〕</w:t>
      </w:r>
      <w:r>
        <w:rPr>
          <w:rFonts w:ascii="Times New Roman" w:hAnsi="Times New Roman" w:eastAsiaTheme="minorEastAsia"/>
          <w:color w:val="000000"/>
          <w:sz w:val="24"/>
          <w:szCs w:val="24"/>
        </w:rPr>
        <w:t>28号，关于推进长江岸线湖南段港口码头专项整治工作的会议纪要；</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5、湖南省人民政府专题会议纪要，湘府阅</w:t>
      </w:r>
      <w:r>
        <w:rPr>
          <w:rFonts w:ascii="Times New Roman" w:hAnsi="Times New Roman" w:eastAsiaTheme="minorEastAsia"/>
          <w:color w:val="000000"/>
          <w:sz w:val="24"/>
        </w:rPr>
        <w:t>〔2018〕</w:t>
      </w:r>
      <w:r>
        <w:rPr>
          <w:rFonts w:ascii="Times New Roman" w:hAnsi="Times New Roman" w:eastAsiaTheme="minorEastAsia"/>
          <w:color w:val="000000"/>
          <w:sz w:val="24"/>
          <w:szCs w:val="24"/>
        </w:rPr>
        <w:t>33号，关于推进长江岸线湖南段港口码头专项整治工作的第二次会议纪要；</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6、湖南省人民政府专题会议纪要，湘府阅</w:t>
      </w:r>
      <w:r>
        <w:rPr>
          <w:rFonts w:ascii="Times New Roman" w:hAnsi="Times New Roman" w:eastAsiaTheme="minorEastAsia"/>
          <w:color w:val="000000"/>
          <w:sz w:val="24"/>
        </w:rPr>
        <w:t>〔2018〕</w:t>
      </w:r>
      <w:r>
        <w:rPr>
          <w:rFonts w:ascii="Times New Roman" w:hAnsi="Times New Roman" w:eastAsiaTheme="minorEastAsia"/>
          <w:color w:val="000000"/>
          <w:sz w:val="24"/>
          <w:szCs w:val="24"/>
        </w:rPr>
        <w:t>48号，关于推进长江岸线湖南段港口码头专项整治工作第三次会议暨长江湖南段“河长制”工作会议纪要；</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7、湖南省交通运输厅，湘交函</w:t>
      </w:r>
      <w:r>
        <w:rPr>
          <w:rFonts w:ascii="Times New Roman" w:hAnsi="Times New Roman" w:eastAsiaTheme="minorEastAsia"/>
          <w:color w:val="000000"/>
          <w:sz w:val="24"/>
        </w:rPr>
        <w:t>〔2018〕</w:t>
      </w:r>
      <w:r>
        <w:rPr>
          <w:rFonts w:ascii="Times New Roman" w:hAnsi="Times New Roman" w:eastAsiaTheme="minorEastAsia"/>
          <w:color w:val="000000"/>
          <w:sz w:val="24"/>
          <w:szCs w:val="24"/>
        </w:rPr>
        <w:t>320号，湖南省交通运输厅关于报送长江岸线湖南段港口码头渡口提质改造实施方案的函；</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8、《长江岸线湖南段港口码头提质改造实施方案指南》，湖南省水运管理局，2018年7月；</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9、长炼码头提质改造实施方案评审会专家组综合评估意见；</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10、《长岭炼化长江岸线码头提质升级改造工程码头检测及评估报告》，湖南宏特试验检测有限公司，2018年8月。</w:t>
      </w:r>
    </w:p>
    <w:p>
      <w:pPr>
        <w:tabs>
          <w:tab w:val="left" w:pos="900"/>
        </w:tabs>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sz w:val="24"/>
          <w:szCs w:val="24"/>
        </w:rPr>
        <w:t>11、《中国石化集团资产经营管理有限公司长岭分公司港口部码头提质改造工程对</w:t>
      </w:r>
      <w:r>
        <w:rPr>
          <w:rFonts w:ascii="Times New Roman" w:hAnsi="Times New Roman" w:eastAsiaTheme="minorEastAsia"/>
          <w:color w:val="000000" w:themeColor="text1"/>
          <w:kern w:val="0"/>
          <w:sz w:val="24"/>
          <w:szCs w:val="24"/>
          <w14:textFill>
            <w14:solidFill>
              <w14:schemeClr w14:val="tx1"/>
            </w14:solidFill>
          </w14:textFill>
        </w:rPr>
        <w:t>长江监利四大家鱼国家级水产种质资源保护区</w:t>
      </w:r>
      <w:r>
        <w:rPr>
          <w:rFonts w:ascii="Times New Roman" w:hAnsi="Times New Roman" w:eastAsiaTheme="minorEastAsia"/>
          <w:color w:val="000000"/>
          <w:sz w:val="24"/>
          <w:szCs w:val="24"/>
        </w:rPr>
        <w:t>影响专题论证报告</w:t>
      </w:r>
      <w:r>
        <w:rPr>
          <w:rFonts w:ascii="Times New Roman" w:hAnsi="Times New Roman" w:eastAsiaTheme="minorEastAsia"/>
          <w:sz w:val="24"/>
          <w:szCs w:val="24"/>
        </w:rPr>
        <w:t>》（2020年4月，报</w:t>
      </w:r>
      <w:r>
        <w:rPr>
          <w:rFonts w:ascii="Times New Roman" w:hAnsi="Times New Roman" w:eastAsiaTheme="minorEastAsia"/>
          <w:color w:val="000000"/>
          <w:sz w:val="24"/>
          <w:szCs w:val="24"/>
        </w:rPr>
        <w:t>批稿），</w:t>
      </w:r>
      <w:r>
        <w:rPr>
          <w:rFonts w:ascii="Times New Roman" w:hAnsi="Times New Roman" w:eastAsiaTheme="minorEastAsia"/>
          <w:color w:val="000000" w:themeColor="text1"/>
          <w:kern w:val="0"/>
          <w:sz w:val="24"/>
          <w:szCs w:val="24"/>
          <w14:textFill>
            <w14:solidFill>
              <w14:schemeClr w14:val="tx1"/>
            </w14:solidFill>
          </w14:textFill>
        </w:rPr>
        <w:t>华中师范大学；</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12、《</w:t>
      </w:r>
      <w:r>
        <w:rPr>
          <w:rFonts w:ascii="Times New Roman" w:hAnsi="Times New Roman" w:eastAsiaTheme="minorEastAsia"/>
          <w:color w:val="000000" w:themeColor="text1"/>
          <w:kern w:val="0"/>
          <w:sz w:val="24"/>
          <w:szCs w:val="24"/>
          <w14:textFill>
            <w14:solidFill>
              <w14:schemeClr w14:val="tx1"/>
            </w14:solidFill>
          </w14:textFill>
        </w:rPr>
        <w:t>湖南云溪白泥湖国家湿地公园</w:t>
      </w:r>
      <w:r>
        <w:rPr>
          <w:rFonts w:ascii="Times New Roman" w:hAnsi="Times New Roman" w:eastAsiaTheme="minorEastAsia"/>
          <w:color w:val="000000"/>
          <w:sz w:val="24"/>
          <w:szCs w:val="24"/>
        </w:rPr>
        <w:t>总体规划》（2016-2020年）；</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13、《湖南省交通运输“十三五”发展规划》；</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14、《湖南省环境保护“十三五”规划》，湖南省环境保护厅，2015年9月；</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15、《中国石化集团资产经营管理有限公司长岭分公司港口部码头提质改造工程现状环境质量检测报告》，湖南永蓝检测技术股份有限公司，2019年10月；</w:t>
      </w:r>
    </w:p>
    <w:p>
      <w:pPr>
        <w:tabs>
          <w:tab w:val="left" w:pos="900"/>
        </w:tabs>
        <w:snapToGrid w:val="0"/>
        <w:spacing w:line="360" w:lineRule="auto"/>
        <w:ind w:firstLine="480" w:firstLineChars="200"/>
        <w:rPr>
          <w:rFonts w:ascii="Times New Roman" w:hAnsi="Times New Roman" w:eastAsiaTheme="minorEastAsia"/>
          <w:bCs/>
          <w:color w:val="000000" w:themeColor="text1"/>
          <w:sz w:val="24"/>
          <w14:textFill>
            <w14:solidFill>
              <w14:schemeClr w14:val="tx1"/>
            </w14:solidFill>
          </w14:textFill>
        </w:rPr>
      </w:pPr>
      <w:r>
        <w:rPr>
          <w:rFonts w:ascii="Times New Roman" w:hAnsi="Times New Roman" w:eastAsiaTheme="minorEastAsia"/>
          <w:color w:val="000000"/>
          <w:sz w:val="24"/>
          <w:szCs w:val="24"/>
        </w:rPr>
        <w:t>16、《</w:t>
      </w:r>
      <w:r>
        <w:rPr>
          <w:rFonts w:ascii="Times New Roman" w:hAnsi="Times New Roman" w:eastAsiaTheme="minorEastAsia"/>
          <w:bCs/>
          <w:color w:val="000000" w:themeColor="text1"/>
          <w:sz w:val="24"/>
          <w14:textFill>
            <w14:solidFill>
              <w14:schemeClr w14:val="tx1"/>
            </w14:solidFill>
          </w14:textFill>
        </w:rPr>
        <w:t>岳阳市云溪区陆城镇水厂文桥镇水厂长江取水口饮用水源保护区划分技术</w:t>
      </w:r>
      <w:r>
        <w:rPr>
          <w:rFonts w:ascii="Times New Roman" w:hAnsi="Times New Roman" w:eastAsiaTheme="minorEastAsia"/>
          <w:color w:val="000000"/>
          <w:sz w:val="24"/>
          <w:szCs w:val="24"/>
        </w:rPr>
        <w:t>报告》（2019年9月，报批稿）</w:t>
      </w:r>
      <w:r>
        <w:rPr>
          <w:rFonts w:ascii="Times New Roman" w:hAnsi="Times New Roman" w:eastAsiaTheme="minorEastAsia"/>
          <w:bCs/>
          <w:color w:val="000000" w:themeColor="text1"/>
          <w:sz w:val="24"/>
          <w14:textFill>
            <w14:solidFill>
              <w14:schemeClr w14:val="tx1"/>
            </w14:solidFill>
          </w14:textFill>
        </w:rPr>
        <w:t>，云溪区人民政府；</w:t>
      </w:r>
    </w:p>
    <w:p>
      <w:pPr>
        <w:tabs>
          <w:tab w:val="left" w:pos="900"/>
        </w:tabs>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color w:val="000000" w:themeColor="text1"/>
          <w:sz w:val="24"/>
          <w14:textFill>
            <w14:solidFill>
              <w14:schemeClr w14:val="tx1"/>
            </w14:solidFill>
          </w14:textFill>
        </w:rPr>
        <w:t>17、</w:t>
      </w:r>
      <w:r>
        <w:rPr>
          <w:rFonts w:ascii="Times New Roman" w:hAnsi="Times New Roman" w:eastAsiaTheme="minorEastAsia"/>
          <w:color w:val="000000"/>
          <w:sz w:val="24"/>
          <w:szCs w:val="24"/>
        </w:rPr>
        <w:t>《</w:t>
      </w:r>
      <w:r>
        <w:rPr>
          <w:rFonts w:ascii="Times New Roman" w:hAnsi="Times New Roman" w:eastAsiaTheme="minorEastAsia"/>
          <w:bCs/>
          <w:color w:val="000000" w:themeColor="text1"/>
          <w:sz w:val="24"/>
          <w14:textFill>
            <w14:solidFill>
              <w14:schemeClr w14:val="tx1"/>
            </w14:solidFill>
          </w14:textFill>
        </w:rPr>
        <w:t>岳阳市云溪区道仁矶水厂长江取水口饮用水水源保护区划分技术报告》</w:t>
      </w:r>
      <w:r>
        <w:rPr>
          <w:rFonts w:ascii="Times New Roman" w:hAnsi="Times New Roman" w:eastAsiaTheme="minorEastAsia"/>
          <w:color w:val="000000"/>
          <w:sz w:val="24"/>
          <w:szCs w:val="24"/>
        </w:rPr>
        <w:t>（2019年9月，报</w:t>
      </w:r>
      <w:r>
        <w:rPr>
          <w:rFonts w:ascii="Times New Roman" w:hAnsi="Times New Roman" w:eastAsiaTheme="minorEastAsia"/>
          <w:sz w:val="24"/>
          <w:szCs w:val="24"/>
        </w:rPr>
        <w:t>批稿）</w:t>
      </w:r>
      <w:r>
        <w:rPr>
          <w:rFonts w:ascii="Times New Roman" w:hAnsi="Times New Roman" w:eastAsiaTheme="minorEastAsia"/>
          <w:bCs/>
          <w:sz w:val="24"/>
        </w:rPr>
        <w:t>，云溪区人民政府；</w:t>
      </w:r>
    </w:p>
    <w:p>
      <w:pPr>
        <w:tabs>
          <w:tab w:val="left" w:pos="900"/>
        </w:tabs>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18、</w:t>
      </w:r>
      <w:r>
        <w:rPr>
          <w:rFonts w:hint="eastAsia" w:ascii="Times New Roman" w:hAnsi="Times New Roman" w:eastAsiaTheme="minorEastAsia"/>
          <w:bCs/>
          <w:sz w:val="24"/>
        </w:rPr>
        <w:t>中华人民共和国生态环境部  关于《岳阳港总体规划（2017-2035年）环境影响报告书》的审查意见（环审〔2020〕65号</w:t>
      </w:r>
      <w:r>
        <w:rPr>
          <w:rFonts w:ascii="Times New Roman" w:hAnsi="Times New Roman" w:eastAsiaTheme="minorEastAsia"/>
          <w:bCs/>
          <w:sz w:val="24"/>
        </w:rPr>
        <w:t>）</w:t>
      </w:r>
      <w:r>
        <w:rPr>
          <w:rFonts w:hint="eastAsia" w:ascii="Times New Roman" w:hAnsi="Times New Roman" w:eastAsiaTheme="minorEastAsia"/>
          <w:bCs/>
          <w:sz w:val="24"/>
        </w:rPr>
        <w:t>；</w:t>
      </w:r>
    </w:p>
    <w:p>
      <w:pPr>
        <w:tabs>
          <w:tab w:val="left" w:pos="900"/>
        </w:tabs>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19、</w:t>
      </w:r>
      <w:r>
        <w:rPr>
          <w:rFonts w:hint="eastAsia" w:ascii="Times New Roman" w:hAnsi="Times New Roman" w:eastAsiaTheme="minorEastAsia"/>
          <w:bCs/>
          <w:sz w:val="24"/>
        </w:rPr>
        <w:t>湖南省交通运输厅  关于中国石化集团资产经营管理有限公司长岭分公司港口部码头提质改造工程核准行业意见的函（湘交函〔2020〕383号</w:t>
      </w:r>
      <w:r>
        <w:rPr>
          <w:rFonts w:ascii="Times New Roman" w:hAnsi="Times New Roman" w:eastAsiaTheme="minorEastAsia"/>
          <w:bCs/>
          <w:sz w:val="24"/>
        </w:rPr>
        <w:t>）。</w:t>
      </w:r>
    </w:p>
    <w:p>
      <w:pPr>
        <w:pStyle w:val="3"/>
        <w:rPr>
          <w:rFonts w:ascii="Times New Roman" w:hAnsi="Times New Roman" w:eastAsiaTheme="minorEastAsia"/>
          <w:b/>
        </w:rPr>
      </w:pPr>
      <w:bookmarkStart w:id="23" w:name="_Toc1083"/>
      <w:r>
        <w:rPr>
          <w:rFonts w:ascii="Times New Roman" w:hAnsi="Times New Roman" w:eastAsiaTheme="minorEastAsia"/>
          <w:b/>
        </w:rPr>
        <w:t>环境影响因素识别及评价因子筛选</w:t>
      </w:r>
      <w:bookmarkEnd w:id="23"/>
    </w:p>
    <w:p>
      <w:pPr>
        <w:pStyle w:val="4"/>
        <w:rPr>
          <w:rFonts w:eastAsiaTheme="minorEastAsia"/>
        </w:rPr>
      </w:pPr>
      <w:r>
        <w:rPr>
          <w:rFonts w:eastAsiaTheme="minorEastAsia"/>
        </w:rPr>
        <w:t>环境影响因素识别</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采用矩阵识别法对拟建项目在施工期和运行期产生的环境影响因素进行识别，识别结果见表2.3-1和表2.3-2。</w:t>
      </w:r>
    </w:p>
    <w:p>
      <w:pPr>
        <w:tabs>
          <w:tab w:val="left" w:pos="900"/>
        </w:tabs>
        <w:snapToGrid w:val="0"/>
        <w:spacing w:line="360" w:lineRule="auto"/>
        <w:ind w:firstLine="480" w:firstLineChars="200"/>
        <w:rPr>
          <w:rFonts w:ascii="Times New Roman" w:hAnsi="Times New Roman" w:eastAsiaTheme="minorEastAsia"/>
          <w:color w:val="000000"/>
          <w:sz w:val="24"/>
          <w:szCs w:val="24"/>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表2.3-1  施工期环境影响因素识别矩阵</w:t>
      </w:r>
    </w:p>
    <w:tbl>
      <w:tblPr>
        <w:tblStyle w:val="7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91"/>
        <w:gridCol w:w="1068"/>
        <w:gridCol w:w="1269"/>
        <w:gridCol w:w="865"/>
        <w:gridCol w:w="1063"/>
        <w:gridCol w:w="1063"/>
        <w:gridCol w:w="1057"/>
        <w:gridCol w:w="1063"/>
        <w:gridCol w:w="10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912" w:type="pct"/>
            <w:gridSpan w:val="2"/>
            <w:vAlign w:val="center"/>
          </w:tcPr>
          <w:p>
            <w:pPr>
              <w:autoSpaceDE w:val="0"/>
              <w:autoSpaceDN w:val="0"/>
              <w:adjustRightInd w:val="0"/>
              <w:snapToGrid w:val="0"/>
              <w:jc w:val="center"/>
              <w:rPr>
                <w:rFonts w:ascii="Times New Roman" w:hAnsi="Times New Roman" w:eastAsiaTheme="minorEastAsia"/>
                <w:b/>
                <w:kern w:val="0"/>
                <w:sz w:val="24"/>
                <w:szCs w:val="24"/>
              </w:rPr>
            </w:pPr>
            <w:r>
              <w:rPr>
                <w:rFonts w:ascii="Times New Roman" w:hAnsi="Times New Roman" w:eastAsiaTheme="minorEastAsia"/>
                <w:b/>
                <w:color w:val="000000"/>
                <w:kern w:val="0"/>
              </w:rPr>
              <w:t>时段</w:t>
            </w:r>
          </w:p>
        </w:tc>
        <w:tc>
          <w:tcPr>
            <w:tcW w:w="69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评价因子</w:t>
            </w:r>
          </w:p>
        </w:tc>
        <w:tc>
          <w:tcPr>
            <w:tcW w:w="47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性质</w:t>
            </w:r>
          </w:p>
        </w:tc>
        <w:tc>
          <w:tcPr>
            <w:tcW w:w="5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程度</w:t>
            </w:r>
          </w:p>
        </w:tc>
        <w:tc>
          <w:tcPr>
            <w:tcW w:w="5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时间</w:t>
            </w:r>
          </w:p>
        </w:tc>
        <w:tc>
          <w:tcPr>
            <w:tcW w:w="58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可能性</w:t>
            </w:r>
          </w:p>
        </w:tc>
        <w:tc>
          <w:tcPr>
            <w:tcW w:w="5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范围</w:t>
            </w:r>
          </w:p>
        </w:tc>
        <w:tc>
          <w:tcPr>
            <w:tcW w:w="58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可逆性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w:t>
            </w:r>
          </w:p>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工</w:t>
            </w:r>
          </w:p>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期</w:t>
            </w:r>
          </w:p>
        </w:tc>
        <w:tc>
          <w:tcPr>
            <w:tcW w:w="586" w:type="pct"/>
            <w:vMerge w:val="restart"/>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color w:val="000000"/>
                <w:kern w:val="0"/>
              </w:rPr>
              <w:t>码头施工</w:t>
            </w: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color w:val="000000"/>
                <w:kern w:val="0"/>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restart"/>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color w:val="000000"/>
                <w:kern w:val="0"/>
              </w:rPr>
              <w:t>管线施工</w:t>
            </w: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c>
          <w:tcPr>
            <w:tcW w:w="69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pPr>
              <w:autoSpaceDE w:val="0"/>
              <w:autoSpaceDN w:val="0"/>
              <w:adjustRightInd w:val="0"/>
              <w:snapToGrid w:val="0"/>
              <w:jc w:val="center"/>
              <w:rPr>
                <w:rFonts w:ascii="Times New Roman" w:hAnsi="Times New Roman" w:eastAsiaTheme="minorEastAsia"/>
                <w:color w:val="000000"/>
                <w:kern w:val="0"/>
              </w:rPr>
            </w:pPr>
          </w:p>
        </w:tc>
        <w:tc>
          <w:tcPr>
            <w:tcW w:w="128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社会经济</w:t>
            </w:r>
          </w:p>
        </w:tc>
        <w:tc>
          <w:tcPr>
            <w:tcW w:w="47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bl>
    <w:p>
      <w:pPr>
        <w:pStyle w:val="315"/>
        <w:snapToGrid w:val="0"/>
        <w:spacing w:after="0"/>
        <w:rPr>
          <w:rFonts w:ascii="Times New Roman" w:eastAsiaTheme="minorEastAsia"/>
          <w:color w:val="000000"/>
          <w:sz w:val="21"/>
          <w:szCs w:val="21"/>
        </w:rPr>
      </w:pPr>
      <w:r>
        <w:rPr>
          <w:rFonts w:ascii="Times New Roman" w:eastAsiaTheme="minorEastAsia"/>
          <w:color w:val="000000"/>
          <w:sz w:val="21"/>
          <w:szCs w:val="21"/>
        </w:rPr>
        <w:t>注：“＋” 为有利影响，“-” 为不利影响。</w:t>
      </w:r>
    </w:p>
    <w:p>
      <w:pPr>
        <w:pStyle w:val="120"/>
        <w:rPr>
          <w:rFonts w:ascii="Times New Roman" w:hAnsi="Times New Roman" w:cs="Times New Roman" w:eastAsiaTheme="minorEastAsia"/>
        </w:rPr>
      </w:pPr>
    </w:p>
    <w:p>
      <w:pPr>
        <w:tabs>
          <w:tab w:val="left" w:pos="900"/>
        </w:tabs>
        <w:snapToGrid w:val="0"/>
        <w:spacing w:line="276" w:lineRule="auto"/>
        <w:jc w:val="center"/>
        <w:rPr>
          <w:rFonts w:ascii="Times New Roman" w:hAnsi="Times New Roman" w:eastAsiaTheme="minorEastAsia"/>
          <w:kern w:val="0"/>
          <w:sz w:val="24"/>
          <w:szCs w:val="24"/>
        </w:rPr>
      </w:pPr>
      <w:r>
        <w:rPr>
          <w:rFonts w:ascii="Times New Roman" w:hAnsi="Times New Roman" w:eastAsiaTheme="minorEastAsia"/>
          <w:b/>
          <w:color w:val="000000"/>
          <w:sz w:val="24"/>
          <w:szCs w:val="24"/>
        </w:rPr>
        <w:t>表2.3-2  运行期环境影响因素识别矩阵</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37"/>
        <w:gridCol w:w="1145"/>
        <w:gridCol w:w="1214"/>
        <w:gridCol w:w="832"/>
        <w:gridCol w:w="937"/>
        <w:gridCol w:w="950"/>
        <w:gridCol w:w="1227"/>
        <w:gridCol w:w="926"/>
        <w:gridCol w:w="12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blHeader/>
          <w:jc w:val="center"/>
        </w:trPr>
        <w:tc>
          <w:tcPr>
            <w:tcW w:w="979"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时段</w:t>
            </w:r>
          </w:p>
        </w:tc>
        <w:tc>
          <w:tcPr>
            <w:tcW w:w="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评价因子</w:t>
            </w:r>
          </w:p>
        </w:tc>
        <w:tc>
          <w:tcPr>
            <w:tcW w:w="45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性质</w:t>
            </w:r>
          </w:p>
        </w:tc>
        <w:tc>
          <w:tcPr>
            <w:tcW w:w="51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程度</w:t>
            </w:r>
          </w:p>
        </w:tc>
        <w:tc>
          <w:tcPr>
            <w:tcW w:w="52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时间</w:t>
            </w:r>
          </w:p>
        </w:tc>
        <w:tc>
          <w:tcPr>
            <w:tcW w:w="67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可能性</w:t>
            </w:r>
          </w:p>
        </w:tc>
        <w:tc>
          <w:tcPr>
            <w:tcW w:w="50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范围</w:t>
            </w:r>
          </w:p>
        </w:tc>
        <w:tc>
          <w:tcPr>
            <w:tcW w:w="67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可逆性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运行期</w:t>
            </w:r>
          </w:p>
        </w:tc>
        <w:tc>
          <w:tcPr>
            <w:tcW w:w="62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自然环境</w:t>
            </w: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62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62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地下水</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restar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社会环境</w:t>
            </w: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社会经济</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5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环境风险</w:t>
            </w:r>
          </w:p>
        </w:tc>
        <w:tc>
          <w:tcPr>
            <w:tcW w:w="45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bl>
    <w:p>
      <w:pPr>
        <w:autoSpaceDE w:val="0"/>
        <w:autoSpaceDN w:val="0"/>
        <w:adjustRightInd w:val="0"/>
        <w:jc w:val="left"/>
        <w:rPr>
          <w:rFonts w:ascii="Times New Roman" w:hAnsi="Times New Roman" w:eastAsiaTheme="minorEastAsia"/>
          <w:color w:val="000000"/>
          <w:kern w:val="0"/>
        </w:rPr>
      </w:pPr>
      <w:r>
        <w:rPr>
          <w:rFonts w:ascii="Times New Roman" w:hAnsi="Times New Roman" w:eastAsiaTheme="minorEastAsia"/>
          <w:color w:val="000000"/>
          <w:kern w:val="0"/>
        </w:rPr>
        <w:t>注：“+” 为有利影响，“-” 为不利影响。</w:t>
      </w:r>
    </w:p>
    <w:p>
      <w:pPr>
        <w:autoSpaceDE w:val="0"/>
        <w:autoSpaceDN w:val="0"/>
        <w:adjustRightInd w:val="0"/>
        <w:jc w:val="left"/>
        <w:rPr>
          <w:rFonts w:ascii="Times New Roman" w:hAnsi="Times New Roman" w:eastAsiaTheme="minorEastAsia"/>
          <w:kern w:val="0"/>
          <w:sz w:val="24"/>
          <w:szCs w:val="24"/>
        </w:rPr>
      </w:pPr>
    </w:p>
    <w:p>
      <w:pPr>
        <w:pStyle w:val="4"/>
        <w:rPr>
          <w:rFonts w:eastAsiaTheme="minorEastAsia"/>
        </w:rPr>
      </w:pPr>
      <w:r>
        <w:rPr>
          <w:rFonts w:eastAsiaTheme="minorEastAsia"/>
        </w:rPr>
        <w:t>评价因子筛选</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根据工程分析、环境影响识别、项目所在地区各环境要素的特征以及存在的环境问题，确定的评价因子见下表。</w:t>
      </w:r>
    </w:p>
    <w:p>
      <w:pPr>
        <w:tabs>
          <w:tab w:val="left" w:pos="900"/>
        </w:tabs>
        <w:snapToGrid w:val="0"/>
        <w:spacing w:line="276" w:lineRule="auto"/>
        <w:jc w:val="center"/>
        <w:rPr>
          <w:rFonts w:ascii="Times New Roman" w:hAnsi="Times New Roman" w:eastAsiaTheme="minorEastAsia"/>
          <w:kern w:val="0"/>
          <w:sz w:val="24"/>
          <w:szCs w:val="24"/>
        </w:rPr>
      </w:pPr>
      <w:r>
        <w:rPr>
          <w:rFonts w:ascii="Times New Roman" w:hAnsi="Times New Roman" w:eastAsiaTheme="minorEastAsia"/>
          <w:b/>
          <w:color w:val="000000"/>
          <w:sz w:val="24"/>
          <w:szCs w:val="24"/>
        </w:rPr>
        <w:t>表2.3-3  评价因子一览表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34"/>
        <w:gridCol w:w="1139"/>
        <w:gridCol w:w="1427"/>
        <w:gridCol w:w="54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2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410"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要素</w:t>
            </w:r>
          </w:p>
        </w:tc>
        <w:tc>
          <w:tcPr>
            <w:tcW w:w="29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环境质量现状评价</w:t>
            </w:r>
          </w:p>
        </w:tc>
        <w:tc>
          <w:tcPr>
            <w:tcW w:w="626"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水环境质量现状</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w:t>
            </w:r>
          </w:p>
        </w:tc>
        <w:tc>
          <w:tcPr>
            <w:tcW w:w="2967"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pH（无量纲）、溶解氧（DO）、</w:t>
            </w:r>
            <w:r>
              <w:rPr>
                <w:rFonts w:ascii="Times New Roman" w:hAnsi="Times New Roman" w:eastAsiaTheme="minorEastAsia"/>
                <w:color w:val="000000"/>
              </w:rPr>
              <w:t>化学需氧量（COD）、五日生化需氧量（BOD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-N）、总磷（以P计）、</w:t>
            </w:r>
            <w:r>
              <w:rPr>
                <w:rFonts w:hint="eastAsia" w:ascii="Times New Roman" w:hAnsi="Times New Roman" w:eastAsiaTheme="minorEastAsia"/>
                <w:color w:val="000000"/>
                <w:kern w:val="0"/>
              </w:rPr>
              <w:t>总氮</w:t>
            </w:r>
            <w:r>
              <w:rPr>
                <w:rFonts w:ascii="Times New Roman" w:hAnsi="Times New Roman" w:eastAsiaTheme="minorEastAsia"/>
                <w:color w:val="000000"/>
                <w:kern w:val="0"/>
              </w:rPr>
              <w:t>（</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w:t>
            </w:r>
            <w:r>
              <w:rPr>
                <w:rFonts w:hint="eastAsia" w:ascii="Times New Roman" w:hAnsi="Times New Roman" w:eastAsiaTheme="minorEastAsia"/>
                <w:color w:val="000000"/>
                <w:kern w:val="0"/>
              </w:rPr>
              <w:t>、</w:t>
            </w:r>
            <w:r>
              <w:rPr>
                <w:rFonts w:ascii="Times New Roman" w:hAnsi="Times New Roman" w:eastAsiaTheme="minorEastAsia"/>
                <w:color w:val="000000"/>
              </w:rPr>
              <w:t>氟化物</w:t>
            </w:r>
            <w:r>
              <w:rPr>
                <w:rFonts w:hint="eastAsia" w:ascii="Times New Roman" w:hAnsi="Times New Roman" w:eastAsiaTheme="minorEastAsia"/>
                <w:color w:val="000000"/>
              </w:rPr>
              <w:t>（以F</w:t>
            </w:r>
            <w:r>
              <w:rPr>
                <w:rFonts w:hint="eastAsia" w:ascii="Times New Roman" w:hAnsi="Times New Roman" w:eastAsiaTheme="minorEastAsia"/>
                <w:color w:val="000000"/>
                <w:vertAlign w:val="superscript"/>
              </w:rPr>
              <w:t>一</w:t>
            </w:r>
            <w:r>
              <w:rPr>
                <w:rFonts w:ascii="Times New Roman" w:hAnsi="Times New Roman" w:eastAsiaTheme="minorEastAsia"/>
                <w:color w:val="000000"/>
              </w:rPr>
              <w:t>计）、</w:t>
            </w:r>
            <w:r>
              <w:rPr>
                <w:rFonts w:ascii="Times New Roman" w:hAnsi="Times New Roman" w:eastAsiaTheme="minorEastAsia"/>
                <w:color w:val="000000"/>
                <w:kern w:val="0"/>
              </w:rPr>
              <w:t>挥发酚、石油类、硫化物、</w:t>
            </w:r>
            <w:r>
              <w:rPr>
                <w:rFonts w:hint="eastAsia" w:ascii="Times New Roman" w:hAnsi="Times New Roman" w:eastAsiaTheme="minorEastAsia"/>
                <w:color w:val="000000"/>
                <w:kern w:val="0"/>
              </w:rPr>
              <w:t>甲苯</w:t>
            </w:r>
            <w:r>
              <w:rPr>
                <w:rFonts w:ascii="Times New Roman" w:hAnsi="Times New Roman" w:eastAsiaTheme="minorEastAsia"/>
                <w:color w:val="000000"/>
                <w:kern w:val="0"/>
              </w:rPr>
              <w:t>、</w:t>
            </w:r>
            <w:r>
              <w:rPr>
                <w:rFonts w:ascii="Times New Roman" w:hAnsi="Times New Roman" w:eastAsiaTheme="minorEastAsia"/>
                <w:color w:val="000000"/>
              </w:rPr>
              <w:t>二甲苯和悬浮物（SS）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626" w:type="pct"/>
            <w:vMerge w:val="continue"/>
            <w:vAlign w:val="center"/>
          </w:tcPr>
          <w:p>
            <w:pPr>
              <w:autoSpaceDE w:val="0"/>
              <w:autoSpaceDN w:val="0"/>
              <w:adjustRightInd w:val="0"/>
              <w:snapToGrid w:val="0"/>
              <w:jc w:val="left"/>
              <w:rPr>
                <w:rFonts w:ascii="Times New Roman" w:hAnsi="Times New Roman" w:eastAsiaTheme="minorEastAsia"/>
                <w:color w:val="000000"/>
                <w:kern w:val="0"/>
              </w:rPr>
            </w:pP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地下水</w:t>
            </w:r>
          </w:p>
        </w:tc>
        <w:tc>
          <w:tcPr>
            <w:tcW w:w="2967"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水位</w:t>
            </w:r>
            <w:r>
              <w:rPr>
                <w:rFonts w:hint="eastAsia" w:ascii="Times New Roman" w:hAnsi="Times New Roman" w:eastAsiaTheme="minorEastAsia"/>
                <w:color w:val="000000"/>
                <w:kern w:val="0"/>
              </w:rPr>
              <w:t>、</w:t>
            </w:r>
            <w:r>
              <w:rPr>
                <w:rFonts w:ascii="Times New Roman" w:hAnsi="Times New Roman" w:eastAsiaTheme="minorEastAsia"/>
                <w:bCs/>
                <w:color w:val="000000"/>
                <w:kern w:val="0"/>
              </w:rPr>
              <w:t>pH</w:t>
            </w:r>
            <w:r>
              <w:rPr>
                <w:rFonts w:ascii="Times New Roman" w:hAnsi="Times New Roman" w:eastAsiaTheme="minorEastAsia"/>
                <w:color w:val="000000"/>
                <w:kern w:val="0"/>
              </w:rPr>
              <w:t>（无量纲）</w:t>
            </w:r>
            <w:r>
              <w:rPr>
                <w:rFonts w:ascii="Times New Roman" w:hAnsi="Times New Roman" w:eastAsiaTheme="minorEastAsia"/>
                <w:bCs/>
                <w:color w:val="000000"/>
                <w:kern w:val="0"/>
              </w:rPr>
              <w:t>、</w:t>
            </w:r>
            <w:r>
              <w:rPr>
                <w:rFonts w:ascii="Times New Roman" w:hAnsi="Times New Roman" w:eastAsiaTheme="minorEastAsia"/>
                <w:color w:val="000000"/>
                <w:kern w:val="0"/>
              </w:rPr>
              <w:t>总硬度</w:t>
            </w:r>
            <w:r>
              <w:rPr>
                <w:rFonts w:hint="eastAsia" w:ascii="Times New Roman" w:hAnsi="Times New Roman" w:eastAsiaTheme="minorEastAsia"/>
                <w:color w:val="000000"/>
                <w:kern w:val="0"/>
              </w:rPr>
              <w:t>（以C</w:t>
            </w:r>
            <w:r>
              <w:rPr>
                <w:rFonts w:ascii="Times New Roman" w:hAnsi="Times New Roman" w:eastAsiaTheme="minorEastAsia"/>
                <w:color w:val="000000"/>
                <w:kern w:val="0"/>
              </w:rPr>
              <w:t>aCO</w:t>
            </w:r>
            <w:r>
              <w:rPr>
                <w:rFonts w:ascii="Times New Roman" w:hAnsi="Times New Roman" w:eastAsiaTheme="minorEastAsia"/>
                <w:color w:val="000000"/>
                <w:kern w:val="0"/>
                <w:vertAlign w:val="subscript"/>
              </w:rPr>
              <w:t>3</w:t>
            </w:r>
            <w:r>
              <w:rPr>
                <w:rFonts w:hint="eastAsia" w:ascii="Times New Roman" w:hAnsi="Times New Roman" w:eastAsiaTheme="minorEastAsia"/>
                <w:color w:val="000000"/>
                <w:kern w:val="0"/>
              </w:rPr>
              <w:t>计</w:t>
            </w:r>
            <w:r>
              <w:rPr>
                <w:rFonts w:ascii="Times New Roman" w:hAnsi="Times New Roman" w:eastAsiaTheme="minorEastAsia"/>
                <w:color w:val="000000"/>
                <w:kern w:val="0"/>
              </w:rPr>
              <w:t>）、溶解性总固体、硫酸盐、氯化物、挥发性酚类</w:t>
            </w:r>
            <w:r>
              <w:rPr>
                <w:rFonts w:hint="eastAsia" w:ascii="Times New Roman" w:hAnsi="Times New Roman" w:eastAsiaTheme="minorEastAsia"/>
                <w:color w:val="000000"/>
                <w:kern w:val="0"/>
              </w:rPr>
              <w:t>（以</w:t>
            </w:r>
            <w:r>
              <w:rPr>
                <w:rFonts w:ascii="Times New Roman" w:hAnsi="Times New Roman" w:eastAsiaTheme="minorEastAsia"/>
                <w:color w:val="000000"/>
                <w:kern w:val="0"/>
              </w:rPr>
              <w:t>苯酚计）、</w:t>
            </w:r>
            <w:r>
              <w:rPr>
                <w:rFonts w:ascii="Times New Roman" w:hAnsi="Times New Roman" w:eastAsiaTheme="minorEastAsia"/>
                <w:color w:val="000000" w:themeColor="text1"/>
                <w:kern w:val="0"/>
                <w14:textFill>
                  <w14:solidFill>
                    <w14:schemeClr w14:val="tx1"/>
                  </w14:solidFill>
                </w14:textFill>
              </w:rPr>
              <w:t>耗氧量、</w:t>
            </w:r>
            <w:r>
              <w:rPr>
                <w:rFonts w:ascii="Times New Roman" w:hAnsi="Times New Roman" w:eastAsiaTheme="minorEastAsia"/>
                <w:color w:val="000000"/>
                <w:kern w:val="0"/>
              </w:rPr>
              <w:t>氨氮、硫化物、总大肠菌群、亚硝酸盐（</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w:t>
            </w:r>
            <w:r>
              <w:rPr>
                <w:rFonts w:hint="eastAsia" w:ascii="Times New Roman" w:hAnsi="Times New Roman" w:eastAsiaTheme="minorEastAsia"/>
                <w:color w:val="000000"/>
                <w:kern w:val="0"/>
              </w:rPr>
              <w:t>、</w:t>
            </w:r>
            <w:r>
              <w:rPr>
                <w:rFonts w:ascii="Times New Roman" w:hAnsi="Times New Roman" w:eastAsiaTheme="minorEastAsia"/>
                <w:color w:val="000000"/>
                <w:kern w:val="0"/>
              </w:rPr>
              <w:t>硝酸盐（</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）、氰化物、氟化物、</w:t>
            </w:r>
            <w:r>
              <w:rPr>
                <w:rFonts w:hint="eastAsia" w:ascii="Times New Roman" w:hAnsi="Times New Roman" w:eastAsiaTheme="minorEastAsia"/>
                <w:color w:val="000000"/>
                <w:kern w:val="0"/>
              </w:rPr>
              <w:t>苯</w:t>
            </w:r>
            <w:r>
              <w:rPr>
                <w:rFonts w:ascii="Times New Roman" w:hAnsi="Times New Roman" w:eastAsiaTheme="minorEastAsia"/>
                <w:color w:val="000000"/>
                <w:kern w:val="0"/>
              </w:rPr>
              <w:t>、甲苯、</w:t>
            </w:r>
            <w:r>
              <w:rPr>
                <w:rFonts w:hint="eastAsia" w:ascii="Times New Roman" w:hAnsi="Times New Roman" w:eastAsiaTheme="minorEastAsia"/>
                <w:color w:val="000000"/>
                <w:kern w:val="0"/>
              </w:rPr>
              <w:t>乙苯</w:t>
            </w:r>
            <w:r>
              <w:rPr>
                <w:rFonts w:ascii="Times New Roman" w:hAnsi="Times New Roman" w:eastAsiaTheme="minorEastAsia"/>
                <w:color w:val="000000"/>
                <w:kern w:val="0"/>
              </w:rPr>
              <w:t>、二甲苯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环境空气质量现状</w:t>
            </w:r>
          </w:p>
        </w:tc>
        <w:tc>
          <w:tcPr>
            <w:tcW w:w="2967"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SO</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、NO</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、PM</w:t>
            </w:r>
            <w:r>
              <w:rPr>
                <w:rFonts w:ascii="Times New Roman" w:hAnsi="Times New Roman" w:eastAsiaTheme="minorEastAsia"/>
                <w:color w:val="000000"/>
                <w:kern w:val="0"/>
                <w:vertAlign w:val="subscript"/>
              </w:rPr>
              <w:t>10</w:t>
            </w:r>
            <w:r>
              <w:rPr>
                <w:rFonts w:ascii="Times New Roman" w:hAnsi="Times New Roman" w:eastAsiaTheme="minorEastAsia"/>
                <w:color w:val="000000"/>
                <w:kern w:val="0"/>
              </w:rPr>
              <w:t>、PM</w:t>
            </w:r>
            <w:r>
              <w:rPr>
                <w:rFonts w:ascii="Times New Roman" w:hAnsi="Times New Roman" w:eastAsiaTheme="minorEastAsia"/>
                <w:color w:val="000000"/>
                <w:kern w:val="0"/>
                <w:sz w:val="13"/>
                <w:szCs w:val="13"/>
              </w:rPr>
              <w:t>2.5</w:t>
            </w:r>
            <w:r>
              <w:rPr>
                <w:rFonts w:ascii="Times New Roman" w:hAnsi="Times New Roman" w:eastAsiaTheme="minorEastAsia"/>
                <w:color w:val="000000"/>
                <w:kern w:val="0"/>
              </w:rPr>
              <w:t>、CO、O</w:t>
            </w:r>
            <w:r>
              <w:rPr>
                <w:rFonts w:ascii="Times New Roman" w:hAnsi="Times New Roman" w:eastAsiaTheme="minorEastAsia"/>
                <w:color w:val="000000"/>
                <w:kern w:val="0"/>
                <w:vertAlign w:val="subscript"/>
              </w:rPr>
              <w:t>3</w:t>
            </w:r>
            <w:r>
              <w:rPr>
                <w:rFonts w:hint="eastAsia" w:ascii="Times New Roman" w:hAnsi="Times New Roman" w:eastAsiaTheme="minorEastAsia"/>
                <w:color w:val="000000"/>
                <w:kern w:val="0"/>
              </w:rPr>
              <w:t>、</w:t>
            </w:r>
            <w:r>
              <w:rPr>
                <w:rFonts w:ascii="Times New Roman" w:hAnsi="Times New Roman" w:eastAsiaTheme="minorEastAsia"/>
                <w:color w:val="000000"/>
                <w:kern w:val="0"/>
              </w:rPr>
              <w:t>非甲烷总烃</w:t>
            </w:r>
            <w:r>
              <w:rPr>
                <w:rFonts w:hint="eastAsia" w:ascii="Times New Roman" w:hAnsi="Times New Roman" w:eastAsiaTheme="minorEastAsia"/>
                <w:color w:val="000000"/>
                <w:kern w:val="0"/>
              </w:rPr>
              <w:t>和VOC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区域环境噪声质量现状</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土壤质量现状</w:t>
            </w:r>
          </w:p>
        </w:tc>
        <w:tc>
          <w:tcPr>
            <w:tcW w:w="2967"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建设用地基本因子</w:t>
            </w:r>
            <w:r>
              <w:rPr>
                <w:rFonts w:hint="eastAsia" w:ascii="Times New Roman" w:hAnsi="Times New Roman" w:eastAsiaTheme="minorEastAsia"/>
                <w:color w:val="000000"/>
                <w:kern w:val="0"/>
              </w:rPr>
              <w:t>：</w:t>
            </w:r>
            <w:r>
              <w:rPr>
                <w:rFonts w:ascii="Times New Roman" w:hAnsi="Times New Roman" w:eastAsiaTheme="minorEastAsia"/>
                <w:color w:val="000000"/>
                <w:kern w:val="0"/>
              </w:rPr>
              <w:t>砷、镉、铬（六价）、铜、铅、汞、镍、四氯化碳、氯仿、氯甲烷、1,1-二氯甲烷、1,2-二氯甲烷、1,1-二氯乙烯、顺-1,2-二氯乙烯、反-1,2-二氯乙烯、二氯甲烷、1,2-二氯丙烷、1,1,1,2-四氯乙烷、1,1,2,2-四氯乙烷、四氯乙烯、1,1,1-三氯乙烷、1,1,2-三氯乙烷、三氯乙烯、1,2,3-三氯丙烷、氯乙烯、苯、氯苯、1,2-二氯苯、1,4-二氯苯、乙苯、苯乙烯、甲苯、间二甲苯+对甲苯、邻二甲苯、硝基苯、苯胺、2-氯酚、苯并[a]蒽、苯并[a]芘、苯并[b]荧蒽、苯并[k]荧蒽、二苯并[a，h]蒽、䓛、莭并[1,2,3-cd]芘、萘</w:t>
            </w:r>
          </w:p>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农用地基本因子：pH值（无量纲）、镉、汞、砷、铅、铬、铜、镍、锌</w:t>
            </w:r>
          </w:p>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特征因子：石油烃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底泥环境质量现状</w:t>
            </w:r>
          </w:p>
        </w:tc>
        <w:tc>
          <w:tcPr>
            <w:tcW w:w="2967"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pH值（无量纲）、砷、镉、铬、铜、铅、汞、锌</w:t>
            </w:r>
            <w:r>
              <w:rPr>
                <w:rFonts w:hint="eastAsia" w:ascii="Times New Roman" w:hAnsi="Times New Roman" w:eastAsiaTheme="minorEastAsia"/>
                <w:color w:val="000000"/>
                <w:kern w:val="0"/>
              </w:rPr>
              <w:t>、</w:t>
            </w:r>
            <w:r>
              <w:rPr>
                <w:rFonts w:ascii="Times New Roman" w:hAnsi="Times New Roman" w:eastAsiaTheme="minorEastAsia"/>
                <w:color w:val="000000"/>
                <w:kern w:val="0"/>
              </w:rPr>
              <w:t>石油烃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生态环境质量现状</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水生生态、渔业资源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污染源评价</w:t>
            </w: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水污染源</w:t>
            </w:r>
          </w:p>
        </w:tc>
        <w:tc>
          <w:tcPr>
            <w:tcW w:w="2967"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pH</w:t>
            </w:r>
            <w:r>
              <w:rPr>
                <w:rFonts w:hint="eastAsia" w:ascii="Times New Roman" w:hAnsi="Times New Roman" w:eastAsiaTheme="minorEastAsia"/>
                <w:color w:val="000000"/>
                <w:kern w:val="0"/>
              </w:rPr>
              <w:t>值</w:t>
            </w:r>
            <w:r>
              <w:rPr>
                <w:rFonts w:ascii="Times New Roman" w:hAnsi="Times New Roman" w:eastAsiaTheme="minorEastAsia"/>
                <w:color w:val="000000"/>
                <w:kern w:val="0"/>
              </w:rPr>
              <w:t>（无量纲）、COD、BOD</w:t>
            </w:r>
            <w:r>
              <w:rPr>
                <w:rFonts w:ascii="Times New Roman" w:hAnsi="Times New Roman" w:eastAsiaTheme="minorEastAsia"/>
                <w:color w:val="000000"/>
                <w:kern w:val="0"/>
                <w:sz w:val="13"/>
                <w:szCs w:val="13"/>
              </w:rPr>
              <w:t>5</w:t>
            </w:r>
            <w:r>
              <w:rPr>
                <w:rFonts w:ascii="Times New Roman" w:hAnsi="Times New Roman" w:eastAsiaTheme="minorEastAsia"/>
                <w:color w:val="000000"/>
                <w:kern w:val="0"/>
              </w:rPr>
              <w:t>、NH</w:t>
            </w:r>
            <w:r>
              <w:rPr>
                <w:rFonts w:ascii="Times New Roman" w:hAnsi="Times New Roman" w:eastAsiaTheme="minorEastAsia"/>
                <w:color w:val="000000"/>
                <w:kern w:val="0"/>
                <w:sz w:val="13"/>
                <w:szCs w:val="13"/>
              </w:rPr>
              <w:t>3</w:t>
            </w:r>
            <w:r>
              <w:rPr>
                <w:rFonts w:ascii="Times New Roman" w:hAnsi="Times New Roman" w:eastAsiaTheme="minorEastAsia"/>
                <w:color w:val="000000"/>
                <w:kern w:val="0"/>
              </w:rPr>
              <w:t>-N、SS、总磷、石油类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大气污染源</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themeColor="text1"/>
                <w:kern w:val="0"/>
                <w14:textFill>
                  <w14:solidFill>
                    <w14:schemeClr w14:val="tx1"/>
                  </w14:solidFill>
                </w14:textFill>
              </w:rPr>
              <w:t>非甲烷总烃</w:t>
            </w:r>
            <w:r>
              <w:rPr>
                <w:rFonts w:hint="eastAsia" w:ascii="Times New Roman" w:hAnsi="Times New Roman" w:eastAsiaTheme="minorEastAsia"/>
                <w:color w:val="000000" w:themeColor="text1"/>
                <w:kern w:val="0"/>
                <w14:textFill>
                  <w14:solidFill>
                    <w14:schemeClr w14:val="tx1"/>
                  </w14:solidFill>
                </w14:textFill>
              </w:rPr>
              <w:t>、VOC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厂界噪声</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危险废物、生活垃圾等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环境影响预测与评价</w:t>
            </w: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水环境影响预测及评价</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NH</w:t>
            </w:r>
            <w:r>
              <w:rPr>
                <w:rFonts w:ascii="Times New Roman" w:hAnsi="Times New Roman" w:eastAsiaTheme="minorEastAsia"/>
                <w:color w:val="000000"/>
                <w:kern w:val="0"/>
                <w:sz w:val="13"/>
                <w:szCs w:val="13"/>
              </w:rPr>
              <w:t>3</w:t>
            </w:r>
            <w:r>
              <w:rPr>
                <w:rFonts w:ascii="Times New Roman" w:hAnsi="Times New Roman" w:eastAsiaTheme="minorEastAsia"/>
                <w:color w:val="000000"/>
                <w:kern w:val="0"/>
              </w:rPr>
              <w:t>-N、石油类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大气环境影响预测及评价</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非甲烷总烃</w:t>
            </w:r>
            <w:r>
              <w:rPr>
                <w:rFonts w:hint="eastAsia" w:ascii="Times New Roman" w:hAnsi="Times New Roman" w:eastAsiaTheme="minorEastAsia"/>
                <w:color w:val="000000" w:themeColor="text1"/>
                <w:kern w:val="0"/>
                <w14:textFill>
                  <w14:solidFill>
                    <w14:schemeClr w14:val="tx1"/>
                  </w14:solidFill>
                </w14:textFill>
              </w:rPr>
              <w:t>、VOC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噪声环境影响预测及评价</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固体废物环境影响分析</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危险废物、生活垃圾等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生态环境影响分析</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水生生态、渔业资源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3"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事故风险</w:t>
            </w:r>
          </w:p>
        </w:tc>
        <w:tc>
          <w:tcPr>
            <w:tcW w:w="2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溢油、管线泄漏等</w:t>
            </w:r>
          </w:p>
        </w:tc>
      </w:tr>
    </w:tbl>
    <w:p>
      <w:pPr>
        <w:autoSpaceDE w:val="0"/>
        <w:autoSpaceDN w:val="0"/>
        <w:adjustRightInd w:val="0"/>
        <w:jc w:val="left"/>
        <w:rPr>
          <w:rFonts w:ascii="Times New Roman" w:hAnsi="Times New Roman" w:eastAsiaTheme="minorEastAsia"/>
          <w:kern w:val="0"/>
          <w:sz w:val="24"/>
          <w:szCs w:val="24"/>
        </w:rPr>
      </w:pPr>
    </w:p>
    <w:p>
      <w:pPr>
        <w:pStyle w:val="3"/>
        <w:rPr>
          <w:rFonts w:ascii="Times New Roman" w:hAnsi="Times New Roman" w:eastAsiaTheme="minorEastAsia"/>
          <w:b/>
        </w:rPr>
      </w:pPr>
      <w:bookmarkStart w:id="24" w:name="_Toc14014"/>
      <w:r>
        <w:rPr>
          <w:rFonts w:ascii="Times New Roman" w:hAnsi="Times New Roman" w:eastAsiaTheme="minorEastAsia"/>
          <w:b/>
        </w:rPr>
        <w:t>评价工作重点</w:t>
      </w:r>
      <w:bookmarkEnd w:id="24"/>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根据初步工程分析和项目所在地环境特征，本次评价重点为工程分析、环境现状及环境影响预测评价、环境风险评价、污染防治措施及其可行性论证。</w:t>
      </w:r>
    </w:p>
    <w:p>
      <w:pPr>
        <w:pStyle w:val="3"/>
        <w:rPr>
          <w:rFonts w:ascii="Times New Roman" w:hAnsi="Times New Roman" w:eastAsiaTheme="minorEastAsia"/>
          <w:b/>
        </w:rPr>
      </w:pPr>
      <w:bookmarkStart w:id="25" w:name="_Toc1252"/>
      <w:r>
        <w:rPr>
          <w:rFonts w:ascii="Times New Roman" w:hAnsi="Times New Roman" w:eastAsiaTheme="minorEastAsia"/>
          <w:b/>
        </w:rPr>
        <w:t>评价工作等级及范围</w:t>
      </w:r>
      <w:bookmarkEnd w:id="25"/>
    </w:p>
    <w:p>
      <w:pPr>
        <w:pStyle w:val="4"/>
        <w:rPr>
          <w:rFonts w:eastAsiaTheme="minorEastAsia"/>
        </w:rPr>
      </w:pPr>
      <w:r>
        <w:rPr>
          <w:rFonts w:eastAsiaTheme="minorEastAsia"/>
        </w:rPr>
        <w:t>评价工作等级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根据本项目污染物排放性质、特征、项目所在地区的地形特点和环境功能区划，按照《环境影响评价技术导则》所规定的方法，确定本次环境影响评价等级和评价范围。</w:t>
      </w:r>
    </w:p>
    <w:p>
      <w:pPr>
        <w:pStyle w:val="5"/>
        <w:rPr>
          <w:rFonts w:eastAsiaTheme="minorEastAsia"/>
        </w:rPr>
      </w:pPr>
      <w:r>
        <w:rPr>
          <w:rFonts w:eastAsiaTheme="minorEastAsia"/>
        </w:rPr>
        <w:t>地表水环境评价等级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根据《环境影响评价技术导则  地表水环境》（HJ2.3-2018）的规定，地表水环境影响评价划分为水污染影响型、水文要素型以及两者兼有的复合型。水污染影响型评价等级按照影响类型、排放方式、排放量或影响情况、受纳水体环境质量现状、水环境保护目标等综合确定，具体判定依据见表2.5-1。水文要素影响型评价等级按照水温、径流与受影响地表水域等三类水文要素的影响程度进行判定，具体判定依据见表2.5-2。</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表2.5-1  水污染影响型建设项目评价等级判定表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85"/>
        <w:gridCol w:w="1443"/>
        <w:gridCol w:w="61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6"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评价等级</w:t>
            </w:r>
          </w:p>
        </w:tc>
        <w:tc>
          <w:tcPr>
            <w:tcW w:w="4184"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判断依据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6"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79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排放方式</w:t>
            </w:r>
          </w:p>
        </w:tc>
        <w:tc>
          <w:tcPr>
            <w:tcW w:w="339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废水排放量</w:t>
            </w:r>
            <w:r>
              <w:rPr>
                <w:rFonts w:ascii="Times New Roman" w:hAnsi="Times New Roman" w:eastAsiaTheme="minorEastAsia"/>
                <w:b/>
                <w:bCs/>
                <w:color w:val="000000"/>
                <w:kern w:val="0"/>
              </w:rPr>
              <w:t>Q</w:t>
            </w:r>
            <w:r>
              <w:rPr>
                <w:rFonts w:ascii="Times New Roman" w:hAnsi="Times New Roman" w:eastAsiaTheme="minorEastAsia"/>
                <w:b/>
                <w:color w:val="000000"/>
                <w:kern w:val="0"/>
              </w:rPr>
              <w:t>（</w:t>
            </w:r>
            <w:r>
              <w:rPr>
                <w:rFonts w:ascii="Times New Roman" w:hAnsi="Times New Roman" w:eastAsiaTheme="minorEastAsia"/>
                <w:b/>
                <w:bCs/>
                <w:color w:val="000000"/>
                <w:kern w:val="0"/>
              </w:rPr>
              <w:t>m</w:t>
            </w:r>
            <w:r>
              <w:rPr>
                <w:rFonts w:ascii="Times New Roman" w:hAnsi="Times New Roman" w:eastAsiaTheme="minorEastAsia"/>
                <w:b/>
                <w:bCs/>
                <w:color w:val="000000"/>
                <w:kern w:val="0"/>
                <w:vertAlign w:val="superscript"/>
              </w:rPr>
              <w:t>3</w:t>
            </w:r>
            <w:r>
              <w:rPr>
                <w:rFonts w:ascii="Times New Roman" w:hAnsi="Times New Roman" w:eastAsiaTheme="minorEastAsia"/>
                <w:b/>
                <w:bCs/>
                <w:color w:val="000000"/>
                <w:kern w:val="0"/>
              </w:rPr>
              <w:t>/d</w:t>
            </w:r>
            <w:r>
              <w:rPr>
                <w:rFonts w:ascii="Times New Roman" w:hAnsi="Times New Roman" w:eastAsiaTheme="minorEastAsia"/>
                <w:b/>
                <w:color w:val="000000"/>
                <w:kern w:val="0"/>
              </w:rPr>
              <w:t>）</w:t>
            </w:r>
            <w:r>
              <w:rPr>
                <w:rFonts w:ascii="Times New Roman" w:hAnsi="Times New Roman" w:eastAsiaTheme="minorEastAsia"/>
                <w:b/>
                <w:bCs/>
                <w:color w:val="000000"/>
                <w:kern w:val="0"/>
              </w:rPr>
              <w:t>/</w:t>
            </w:r>
            <w:r>
              <w:rPr>
                <w:rFonts w:ascii="Times New Roman" w:hAnsi="Times New Roman" w:eastAsiaTheme="minorEastAsia"/>
                <w:b/>
                <w:color w:val="000000"/>
                <w:kern w:val="0"/>
              </w:rPr>
              <w:t>水污染物当量数</w:t>
            </w:r>
            <w:r>
              <w:rPr>
                <w:rFonts w:ascii="Times New Roman" w:hAnsi="Times New Roman" w:eastAsiaTheme="minorEastAsia"/>
                <w:b/>
                <w:bCs/>
                <w:color w:val="000000"/>
                <w:kern w:val="0"/>
              </w:rPr>
              <w:t>W</w:t>
            </w:r>
            <w:r>
              <w:rPr>
                <w:rFonts w:hint="eastAsia" w:ascii="Times New Roman" w:hAnsi="Times New Roman" w:eastAsiaTheme="minorEastAsia"/>
                <w:b/>
                <w:color w:val="000000"/>
                <w:kern w:val="0"/>
              </w:rPr>
              <w:t>（</w:t>
            </w:r>
            <w:r>
              <w:rPr>
                <w:rFonts w:ascii="Times New Roman" w:hAnsi="Times New Roman" w:eastAsiaTheme="minorEastAsia"/>
                <w:b/>
                <w:color w:val="000000"/>
                <w:kern w:val="0"/>
              </w:rPr>
              <w:t>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7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直接排放</w:t>
            </w:r>
          </w:p>
        </w:tc>
        <w:tc>
          <w:tcPr>
            <w:tcW w:w="339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Q≥20000或W≥600000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8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7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直接排放</w:t>
            </w:r>
          </w:p>
        </w:tc>
        <w:tc>
          <w:tcPr>
            <w:tcW w:w="339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三级A</w:t>
            </w:r>
          </w:p>
        </w:tc>
        <w:tc>
          <w:tcPr>
            <w:tcW w:w="7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直接排放</w:t>
            </w:r>
          </w:p>
        </w:tc>
        <w:tc>
          <w:tcPr>
            <w:tcW w:w="339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Q＜200且W＜6000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6" w:type="pct"/>
            <w:shd w:val="clear" w:color="auto" w:fill="BEBEBE" w:themeFill="background1" w:themeFillShade="BF"/>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三级B</w:t>
            </w:r>
          </w:p>
        </w:tc>
        <w:tc>
          <w:tcPr>
            <w:tcW w:w="793" w:type="pct"/>
            <w:shd w:val="clear" w:color="auto" w:fill="BEBEBE" w:themeFill="background1" w:themeFillShade="BF"/>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间接排放</w:t>
            </w:r>
          </w:p>
        </w:tc>
        <w:tc>
          <w:tcPr>
            <w:tcW w:w="3391" w:type="pct"/>
            <w:shd w:val="clear" w:color="auto" w:fill="BEBEBE" w:themeFill="background1" w:themeFillShade="BF"/>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bl>
    <w:p>
      <w:pPr>
        <w:autoSpaceDE w:val="0"/>
        <w:autoSpaceDN w:val="0"/>
        <w:adjustRightInd w:val="0"/>
        <w:jc w:val="left"/>
        <w:rPr>
          <w:rFonts w:ascii="Times New Roman" w:hAnsi="Times New Roman" w:eastAsiaTheme="minorEastAsia"/>
          <w:kern w:val="0"/>
          <w:sz w:val="24"/>
          <w:szCs w:val="24"/>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表2.5-2  水文要素影响型建设项目评价等级判定表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456"/>
        <w:gridCol w:w="1456"/>
        <w:gridCol w:w="934"/>
        <w:gridCol w:w="1543"/>
        <w:gridCol w:w="1434"/>
        <w:gridCol w:w="1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评价等级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水温</w:t>
            </w:r>
          </w:p>
        </w:tc>
        <w:tc>
          <w:tcPr>
            <w:tcW w:w="1313"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径流</w:t>
            </w:r>
          </w:p>
        </w:tc>
        <w:tc>
          <w:tcPr>
            <w:tcW w:w="2609" w:type="pct"/>
            <w:gridSpan w:val="3"/>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受影响地表水域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00"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年径流量与总库容百分比α/%</w:t>
            </w:r>
          </w:p>
        </w:tc>
        <w:tc>
          <w:tcPr>
            <w:tcW w:w="800"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兴利库容与年径流量百分比β/%</w:t>
            </w:r>
          </w:p>
        </w:tc>
        <w:tc>
          <w:tcPr>
            <w:tcW w:w="513"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取水量占多年平均径流量百分比γ/%</w:t>
            </w:r>
          </w:p>
        </w:tc>
        <w:tc>
          <w:tcPr>
            <w:tcW w:w="1636"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工程垂直投影面积及外扩范围A</w:t>
            </w:r>
            <w:r>
              <w:rPr>
                <w:rFonts w:ascii="Times New Roman" w:hAnsi="Times New Roman" w:eastAsiaTheme="minorEastAsia"/>
                <w:b/>
                <w:color w:val="000000"/>
                <w:kern w:val="0"/>
                <w:sz w:val="13"/>
                <w:szCs w:val="13"/>
              </w:rPr>
              <w:t>1</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工程扰动水底面积A</w:t>
            </w:r>
            <w:r>
              <w:rPr>
                <w:rFonts w:ascii="Times New Roman" w:hAnsi="Times New Roman" w:eastAsiaTheme="minorEastAsia"/>
                <w:b/>
                <w:color w:val="000000"/>
                <w:kern w:val="0"/>
                <w:sz w:val="13"/>
                <w:szCs w:val="13"/>
              </w:rPr>
              <w:t>2</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过水断面宽度占用比例或占用水域面积比例R/%</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工程垂直投影面积及外扩范围A</w:t>
            </w:r>
            <w:r>
              <w:rPr>
                <w:rFonts w:ascii="Times New Roman" w:hAnsi="Times New Roman" w:eastAsiaTheme="minorEastAsia"/>
                <w:b/>
                <w:color w:val="000000"/>
                <w:kern w:val="0"/>
                <w:sz w:val="13"/>
                <w:szCs w:val="13"/>
              </w:rPr>
              <w:t>1</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工程扰动水底面积A</w:t>
            </w:r>
            <w:r>
              <w:rPr>
                <w:rFonts w:ascii="Times New Roman" w:hAnsi="Times New Roman" w:eastAsiaTheme="minorEastAsia"/>
                <w:b/>
                <w:color w:val="000000"/>
                <w:kern w:val="0"/>
                <w:sz w:val="13"/>
                <w:szCs w:val="13"/>
              </w:rPr>
              <w:t>2</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00"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00"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13"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4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河流</w:t>
            </w: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湖库</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入海河口、近岸海域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α≤10；或稳定分层</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β≥20；或完全年调节或多年调节</w:t>
            </w:r>
          </w:p>
        </w:tc>
        <w:tc>
          <w:tcPr>
            <w:tcW w:w="51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γ≥3</w:t>
            </w:r>
          </w:p>
        </w:tc>
        <w:tc>
          <w:tcPr>
            <w:tcW w:w="84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≥0.3；或A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≥1.5；或R≥10</w:t>
            </w: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≥0.3或A</w:t>
            </w:r>
            <w:r>
              <w:rPr>
                <w:rFonts w:ascii="Times New Roman" w:hAnsi="Times New Roman" w:eastAsiaTheme="minorEastAsia"/>
                <w:color w:val="000000"/>
                <w:kern w:val="0"/>
                <w:vertAlign w:val="subscript"/>
              </w:rPr>
              <w:t>2</w:t>
            </w:r>
            <w:r>
              <w:rPr>
                <w:rFonts w:ascii="Times New Roman" w:hAnsi="Times New Roman" w:eastAsiaTheme="minorEastAsia"/>
                <w:color w:val="000000"/>
                <w:kern w:val="0"/>
              </w:rPr>
              <w:t>≥1.5或R≥20</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20＞α＞10；或不稳定分层</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20＞β＞2；或季调节与不完全年调节</w:t>
            </w:r>
          </w:p>
        </w:tc>
        <w:tc>
          <w:tcPr>
            <w:tcW w:w="51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30＞γ＞10</w:t>
            </w:r>
          </w:p>
        </w:tc>
        <w:tc>
          <w:tcPr>
            <w:tcW w:w="84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＞0.05；1.5＞A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＞0.2；或10＞R＞5</w:t>
            </w:r>
          </w:p>
          <w:p>
            <w:pPr>
              <w:autoSpaceDE w:val="0"/>
              <w:autoSpaceDN w:val="0"/>
              <w:adjustRightInd w:val="0"/>
              <w:snapToGrid w:val="0"/>
              <w:jc w:val="center"/>
              <w:rPr>
                <w:rFonts w:ascii="Times New Roman" w:hAnsi="Times New Roman" w:eastAsiaTheme="minorEastAsia"/>
                <w:color w:val="000000"/>
                <w:kern w:val="0"/>
              </w:rPr>
            </w:pP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＞0.05；1.5＞A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＞0.2或20＞R＞5</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＞0.15；3＞A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shd w:val="clear" w:color="auto" w:fill="BEBEBE" w:themeFill="background1" w:themeFillShade="BF"/>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α≥20；或混合型</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β≤2；或无调节</w:t>
            </w:r>
          </w:p>
        </w:tc>
        <w:tc>
          <w:tcPr>
            <w:tcW w:w="51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γ≤10</w:t>
            </w:r>
          </w:p>
        </w:tc>
        <w:tc>
          <w:tcPr>
            <w:tcW w:w="848" w:type="pct"/>
            <w:shd w:val="clear" w:color="auto" w:fill="BEBEBE" w:themeFill="background1" w:themeFillShade="BF"/>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≤0.2；或R≤5</w:t>
            </w: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≤0.2或R≤5</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≤0.15；或A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≤0.5</w:t>
            </w:r>
          </w:p>
        </w:tc>
      </w:tr>
    </w:tbl>
    <w:p>
      <w:pPr>
        <w:autoSpaceDE w:val="0"/>
        <w:autoSpaceDN w:val="0"/>
        <w:adjustRightInd w:val="0"/>
        <w:jc w:val="left"/>
        <w:rPr>
          <w:rFonts w:ascii="Times New Roman" w:hAnsi="Times New Roman" w:eastAsiaTheme="minorEastAsia"/>
          <w:kern w:val="0"/>
          <w:sz w:val="24"/>
          <w:szCs w:val="24"/>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sz w:val="24"/>
          <w:szCs w:val="24"/>
        </w:rPr>
        <w:t>本项目管线工程、环保工程及相关配套设施属于陆域工程，码头工程属于水域工程。因此，本项目的</w:t>
      </w:r>
      <w:r>
        <w:rPr>
          <w:rFonts w:ascii="Times New Roman" w:hAnsi="Times New Roman" w:eastAsiaTheme="minorEastAsia"/>
          <w:color w:val="000000" w:themeColor="text1"/>
          <w:sz w:val="24"/>
          <w:szCs w:val="24"/>
          <w14:textFill>
            <w14:solidFill>
              <w14:schemeClr w14:val="tx1"/>
            </w14:solidFill>
          </w14:textFill>
        </w:rPr>
        <w:t>地表水环境影响评价属于水污染影响型和水文要素型兼有的复合型。</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themeColor="text1"/>
          <w:sz w:val="24"/>
          <w:szCs w:val="24"/>
          <w14:textFill>
            <w14:solidFill>
              <w14:schemeClr w14:val="tx1"/>
            </w14:solidFill>
          </w14:textFill>
        </w:rPr>
        <w:t>本项目废水排放量为</w:t>
      </w:r>
      <w:r>
        <w:rPr>
          <w:rFonts w:ascii="Times New Roman" w:hAnsi="Times New Roman" w:eastAsiaTheme="minorEastAsia"/>
          <w:color w:val="000000" w:themeColor="text1"/>
          <w:kern w:val="0"/>
          <w:sz w:val="24"/>
          <w:szCs w:val="24"/>
          <w14:textFill>
            <w14:solidFill>
              <w14:schemeClr w14:val="tx1"/>
            </w14:solidFill>
          </w14:textFill>
        </w:rPr>
        <w:t>10929.78</w:t>
      </w:r>
      <w:r>
        <w:rPr>
          <w:rFonts w:ascii="Times New Roman" w:hAnsi="Times New Roman" w:eastAsiaTheme="minorEastAsia"/>
          <w:color w:val="000000" w:themeColor="text1"/>
          <w:sz w:val="24"/>
          <w:szCs w:val="24"/>
          <w14:textFill>
            <w14:solidFill>
              <w14:schemeClr w14:val="tx1"/>
            </w14:solidFill>
          </w14:textFill>
        </w:rPr>
        <w:t>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/a，废水中主要污染物为COD、BOD</w:t>
      </w:r>
      <w:r>
        <w:rPr>
          <w:rFonts w:ascii="Times New Roman" w:hAnsi="Times New Roman" w:eastAsiaTheme="minorEastAsia"/>
          <w:color w:val="000000" w:themeColor="text1"/>
          <w:sz w:val="24"/>
          <w:szCs w:val="24"/>
          <w:vertAlign w:val="subscript"/>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、SS、NH</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-N、石油类等。趸船装卸区四周设收</w:t>
      </w:r>
      <w:r>
        <w:rPr>
          <w:rFonts w:ascii="Times New Roman" w:hAnsi="Times New Roman" w:eastAsiaTheme="minorEastAsia"/>
          <w:color w:val="000000"/>
          <w:sz w:val="24"/>
          <w:szCs w:val="24"/>
        </w:rPr>
        <w:t>集坎，在趸船内设污水箱，收集坎内初期雨水和冲洗废水经收集流入污水箱中，由防爆污水泵通过管道输送至岸侧，初期雨水和冲洗废水通过污水池收集后，经污水输送泵至港口部污水处理站</w:t>
      </w:r>
      <w:r>
        <w:rPr>
          <w:rFonts w:ascii="Times New Roman" w:hAnsi="Times New Roman" w:eastAsiaTheme="minorEastAsia"/>
          <w:kern w:val="0"/>
          <w:sz w:val="24"/>
          <w:szCs w:val="24"/>
        </w:rPr>
        <w:t>通过调节、隔油池、除油、气浮处理达到《污水综合排放标准》（GB8978-1996）三级标准水质要求后通过污水管网进入长岭分公司第二污水处理厂；码头部生活污水经一体化模压式净化槽处理后进入</w:t>
      </w:r>
      <w:r>
        <w:rPr>
          <w:rFonts w:ascii="Times New Roman" w:hAnsi="Times New Roman" w:eastAsiaTheme="minorEastAsia"/>
          <w:color w:val="000000"/>
          <w:sz w:val="24"/>
          <w:szCs w:val="24"/>
        </w:rPr>
        <w:t>港口部污水处理站后，再与码头部生产废水一同通过</w:t>
      </w:r>
      <w:r>
        <w:rPr>
          <w:rFonts w:ascii="Times New Roman" w:hAnsi="Times New Roman" w:eastAsiaTheme="minorEastAsia"/>
          <w:kern w:val="0"/>
          <w:sz w:val="24"/>
          <w:szCs w:val="24"/>
        </w:rPr>
        <w:t>污水管网进入长岭分公司第二污水处理厂，长岭分公司第二污水处理厂污水处理达到《石油炼制工业污染物排放标准》（GB31570-2015）表1中直接排放限值后排入长江</w:t>
      </w:r>
      <w:r>
        <w:rPr>
          <w:rFonts w:ascii="Times New Roman" w:hAnsi="Times New Roman" w:eastAsiaTheme="minorEastAsia"/>
          <w:color w:val="000000"/>
          <w:sz w:val="24"/>
          <w:szCs w:val="24"/>
        </w:rPr>
        <w:t>。通过表2.5-1，本项目水污染评价工作等级为三级B评价的要求。本项目码头采用浮码头结构，工程垂直投影面积及外扩面积A</w:t>
      </w:r>
      <w:r>
        <w:rPr>
          <w:rFonts w:ascii="Times New Roman" w:hAnsi="Times New Roman" w:eastAsiaTheme="minorEastAsia"/>
          <w:color w:val="000000"/>
          <w:sz w:val="24"/>
          <w:szCs w:val="24"/>
          <w:vertAlign w:val="subscript"/>
        </w:rPr>
        <w:t>1</w:t>
      </w:r>
      <w:r>
        <w:rPr>
          <w:rFonts w:ascii="Times New Roman" w:hAnsi="Times New Roman" w:eastAsiaTheme="minorEastAsia"/>
          <w:color w:val="000000"/>
          <w:sz w:val="24"/>
          <w:szCs w:val="24"/>
        </w:rPr>
        <w:t>约为0.006km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，工程扰动水底面积A</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约为60m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，过水断面宽度占用比例或占用水域面积比例R</w:t>
      </w:r>
      <w:r>
        <w:rPr>
          <w:rFonts w:hint="eastAsia" w:ascii="Times New Roman" w:hAnsi="Times New Roman" w:eastAsiaTheme="minorEastAsia"/>
          <w:color w:val="000000"/>
          <w:sz w:val="24"/>
          <w:szCs w:val="24"/>
          <w:lang w:val="en-US" w:eastAsia="zh-CN"/>
        </w:rPr>
        <w:t>为1.9%，</w:t>
      </w:r>
      <w:r>
        <w:rPr>
          <w:rFonts w:hint="eastAsia" w:ascii="Times New Roman" w:hAnsi="Times New Roman" w:eastAsiaTheme="minorEastAsia"/>
          <w:color w:val="FF0000"/>
          <w:sz w:val="24"/>
          <w:szCs w:val="24"/>
          <w:u w:val="single"/>
          <w:lang w:val="en-US" w:eastAsia="zh-CN"/>
        </w:rPr>
        <w:t>但本项目涉及长江监利段四大家鱼国家级水产种质资源保护区实验区，评价范围不涉及鱼类三场。</w:t>
      </w:r>
      <w:r>
        <w:rPr>
          <w:rFonts w:ascii="Times New Roman" w:hAnsi="Times New Roman" w:eastAsiaTheme="minorEastAsia"/>
          <w:color w:val="FF0000"/>
          <w:sz w:val="24"/>
          <w:szCs w:val="24"/>
          <w:u w:val="single"/>
        </w:rPr>
        <w:t>根据表2.5-2，水文评价等级判定为</w:t>
      </w:r>
      <w:r>
        <w:rPr>
          <w:rFonts w:hint="eastAsia" w:ascii="Times New Roman" w:hAnsi="Times New Roman" w:eastAsiaTheme="minorEastAsia"/>
          <w:color w:val="FF0000"/>
          <w:sz w:val="24"/>
          <w:szCs w:val="24"/>
          <w:u w:val="single"/>
          <w:lang w:val="en-US" w:eastAsia="zh-CN"/>
        </w:rPr>
        <w:t>二</w:t>
      </w:r>
      <w:r>
        <w:rPr>
          <w:rFonts w:ascii="Times New Roman" w:hAnsi="Times New Roman" w:eastAsiaTheme="minorEastAsia"/>
          <w:color w:val="FF0000"/>
          <w:sz w:val="24"/>
          <w:szCs w:val="24"/>
          <w:u w:val="single"/>
        </w:rPr>
        <w:t>级。</w:t>
      </w:r>
    </w:p>
    <w:p>
      <w:pPr>
        <w:pStyle w:val="5"/>
        <w:rPr>
          <w:rFonts w:eastAsiaTheme="minorEastAsia"/>
        </w:rPr>
      </w:pPr>
      <w:r>
        <w:rPr>
          <w:rFonts w:eastAsiaTheme="minorEastAsia"/>
        </w:rPr>
        <w:t>地下水评价等级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地下水评价等级根据《环境影响评价技术导则  地下水环境》（HJ610-2016）中的附录A地下水环境影响评价行业分类表，本项目属于“S 水运”中的“129、油气、液体化工码头”；“F 石油、天然气”中的“石油、天然气、成品油管线（不含城市天然气管线）”中“其他”，对应的地下水环境影响评价项目类别见表2.5-3。</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表2.5-3  地下水环境影响评价项目类别</w:t>
      </w:r>
    </w:p>
    <w:tbl>
      <w:tblPr>
        <w:tblStyle w:val="7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01"/>
        <w:gridCol w:w="1922"/>
        <w:gridCol w:w="1152"/>
        <w:gridCol w:w="1667"/>
        <w:gridCol w:w="1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484" w:type="pct"/>
            <w:vMerge w:val="restart"/>
            <w:tcBorders>
              <w:top w:val="single" w:color="000000" w:sz="12" w:space="0"/>
              <w:left w:val="single" w:color="000000" w:sz="12" w:space="0"/>
              <w:tl2br w:val="single" w:color="000000" w:sz="4" w:space="0"/>
            </w:tcBorders>
            <w:vAlign w:val="center"/>
          </w:tcPr>
          <w:p>
            <w:pPr>
              <w:autoSpaceDE w:val="0"/>
              <w:autoSpaceDN w:val="0"/>
              <w:adjustRightInd w:val="0"/>
              <w:snapToGrid w:val="0"/>
              <w:jc w:val="right"/>
              <w:rPr>
                <w:rFonts w:ascii="Times New Roman" w:hAnsi="Times New Roman" w:eastAsiaTheme="minorEastAsia"/>
                <w:b/>
                <w:color w:val="000000"/>
                <w:kern w:val="0"/>
              </w:rPr>
            </w:pPr>
            <w:r>
              <w:rPr>
                <w:rFonts w:ascii="Times New Roman" w:hAnsi="Times New Roman" w:eastAsiaTheme="minorEastAsia"/>
                <w:b/>
                <w:color w:val="000000"/>
                <w:kern w:val="0"/>
              </w:rPr>
              <w:t>行业类别</w:t>
            </w:r>
          </w:p>
          <w:p>
            <w:pPr>
              <w:autoSpaceDE w:val="0"/>
              <w:autoSpaceDN w:val="0"/>
              <w:adjustRightInd w:val="0"/>
              <w:snapToGrid w:val="0"/>
              <w:rPr>
                <w:rFonts w:ascii="Times New Roman" w:hAnsi="Times New Roman" w:eastAsiaTheme="minorEastAsia"/>
                <w:b/>
                <w:color w:val="000000"/>
                <w:kern w:val="0"/>
              </w:rPr>
            </w:pPr>
            <w:r>
              <w:rPr>
                <w:rFonts w:ascii="Times New Roman" w:hAnsi="Times New Roman" w:eastAsiaTheme="minorEastAsia"/>
                <w:b/>
                <w:color w:val="000000"/>
                <w:kern w:val="0"/>
              </w:rPr>
              <w:t>环评类别</w:t>
            </w:r>
          </w:p>
        </w:tc>
        <w:tc>
          <w:tcPr>
            <w:tcW w:w="1056" w:type="pct"/>
            <w:vMerge w:val="restart"/>
            <w:tcBorders>
              <w:top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报告书</w:t>
            </w:r>
          </w:p>
        </w:tc>
        <w:tc>
          <w:tcPr>
            <w:tcW w:w="633" w:type="pct"/>
            <w:vMerge w:val="restart"/>
            <w:tcBorders>
              <w:top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报告表</w:t>
            </w:r>
          </w:p>
        </w:tc>
        <w:tc>
          <w:tcPr>
            <w:tcW w:w="1827" w:type="pct"/>
            <w:gridSpan w:val="2"/>
            <w:tcBorders>
              <w:top w:val="single" w:color="000000" w:sz="12" w:space="0"/>
              <w:right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地下水环境影响评价项目类别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484" w:type="pct"/>
            <w:vMerge w:val="continue"/>
            <w:tcBorders>
              <w:left w:val="single" w:color="000000" w:sz="12" w:space="0"/>
              <w:tl2br w:val="single" w:color="000000" w:sz="4" w:space="0"/>
            </w:tcBorders>
            <w:vAlign w:val="center"/>
          </w:tcPr>
          <w:p>
            <w:pPr>
              <w:autoSpaceDE w:val="0"/>
              <w:autoSpaceDN w:val="0"/>
              <w:adjustRightInd w:val="0"/>
              <w:snapToGrid w:val="0"/>
              <w:jc w:val="center"/>
              <w:rPr>
                <w:rFonts w:ascii="Times New Roman" w:hAnsi="Times New Roman" w:eastAsiaTheme="minorEastAsia"/>
                <w:b/>
                <w:color w:val="000000"/>
                <w:kern w:val="0"/>
              </w:rPr>
            </w:pPr>
          </w:p>
        </w:tc>
        <w:tc>
          <w:tcPr>
            <w:tcW w:w="1056"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633"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91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报告书</w:t>
            </w:r>
          </w:p>
        </w:tc>
        <w:tc>
          <w:tcPr>
            <w:tcW w:w="911" w:type="pct"/>
            <w:tcBorders>
              <w:right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484" w:type="pct"/>
            <w:tcBorders>
              <w:left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129、油气、液体化工码头</w:t>
            </w:r>
          </w:p>
        </w:tc>
        <w:tc>
          <w:tcPr>
            <w:tcW w:w="105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全部</w:t>
            </w:r>
          </w:p>
        </w:tc>
        <w:tc>
          <w:tcPr>
            <w:tcW w:w="63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9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宋体" w:hAnsi="宋体" w:cs="宋体"/>
                <w:bCs/>
                <w:color w:val="000000"/>
                <w:kern w:val="0"/>
              </w:rPr>
              <w:t>Ⅱ</w:t>
            </w:r>
            <w:r>
              <w:rPr>
                <w:rFonts w:ascii="Times New Roman" w:hAnsi="Times New Roman" w:eastAsiaTheme="minorEastAsia"/>
                <w:color w:val="000000"/>
                <w:kern w:val="0"/>
              </w:rPr>
              <w:t>类</w:t>
            </w:r>
          </w:p>
        </w:tc>
        <w:tc>
          <w:tcPr>
            <w:tcW w:w="911" w:type="pct"/>
            <w:tcBorders>
              <w:right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jc w:val="center"/>
        </w:trPr>
        <w:tc>
          <w:tcPr>
            <w:tcW w:w="1484" w:type="pct"/>
            <w:tcBorders>
              <w:left w:val="single" w:color="000000" w:sz="12" w:space="0"/>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41、石油、天然气、成品油管线（不含城市天然气管线）</w:t>
            </w:r>
          </w:p>
        </w:tc>
        <w:tc>
          <w:tcPr>
            <w:tcW w:w="1056" w:type="pct"/>
            <w:tcBorders>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200公里及以上；涉及环境敏感区的</w:t>
            </w:r>
          </w:p>
        </w:tc>
        <w:tc>
          <w:tcPr>
            <w:tcW w:w="633" w:type="pct"/>
            <w:tcBorders>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其他</w:t>
            </w:r>
          </w:p>
        </w:tc>
        <w:tc>
          <w:tcPr>
            <w:tcW w:w="916" w:type="pct"/>
            <w:tcBorders>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油</w:t>
            </w:r>
            <w:r>
              <w:rPr>
                <w:rFonts w:hint="eastAsia" w:ascii="宋体" w:hAnsi="宋体" w:cs="宋体"/>
                <w:color w:val="000000"/>
                <w:kern w:val="0"/>
              </w:rPr>
              <w:t>Ⅱ</w:t>
            </w:r>
            <w:r>
              <w:rPr>
                <w:rFonts w:ascii="Times New Roman" w:hAnsi="Times New Roman" w:eastAsiaTheme="minorEastAsia"/>
                <w:color w:val="000000"/>
                <w:kern w:val="0"/>
              </w:rPr>
              <w:t>类，气</w:t>
            </w:r>
            <w:r>
              <w:rPr>
                <w:rFonts w:hint="eastAsia" w:ascii="宋体" w:hAnsi="宋体" w:cs="宋体"/>
                <w:color w:val="000000"/>
                <w:kern w:val="0"/>
              </w:rPr>
              <w:t>Ⅲ</w:t>
            </w:r>
            <w:r>
              <w:rPr>
                <w:rFonts w:ascii="Times New Roman" w:hAnsi="Times New Roman" w:eastAsiaTheme="minorEastAsia"/>
                <w:color w:val="000000"/>
                <w:kern w:val="0"/>
              </w:rPr>
              <w:t>类</w:t>
            </w:r>
          </w:p>
        </w:tc>
        <w:tc>
          <w:tcPr>
            <w:tcW w:w="911" w:type="pct"/>
            <w:tcBorders>
              <w:bottom w:val="single" w:color="000000" w:sz="12" w:space="0"/>
              <w:right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油</w:t>
            </w:r>
            <w:r>
              <w:rPr>
                <w:rFonts w:hint="eastAsia" w:ascii="宋体" w:hAnsi="宋体" w:cs="宋体"/>
                <w:bCs/>
                <w:color w:val="000000"/>
                <w:kern w:val="0"/>
              </w:rPr>
              <w:t>Ⅱ</w:t>
            </w:r>
            <w:r>
              <w:rPr>
                <w:rFonts w:ascii="Times New Roman" w:hAnsi="Times New Roman" w:eastAsiaTheme="minorEastAsia"/>
                <w:color w:val="000000"/>
                <w:kern w:val="0"/>
              </w:rPr>
              <w:t>类，</w:t>
            </w:r>
            <w:r>
              <w:rPr>
                <w:rFonts w:hint="eastAsia" w:ascii="宋体" w:hAnsi="宋体" w:cs="宋体"/>
                <w:bCs/>
                <w:color w:val="000000"/>
                <w:kern w:val="0"/>
              </w:rPr>
              <w:t>Ⅳ</w:t>
            </w:r>
            <w:r>
              <w:rPr>
                <w:rFonts w:ascii="Times New Roman" w:hAnsi="Times New Roman" w:eastAsiaTheme="minorEastAsia"/>
                <w:color w:val="000000"/>
                <w:kern w:val="0"/>
              </w:rPr>
              <w:t>类</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地下水环境敏感程度分级见表2.5-4。</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表2.5-4  地下水环境敏感程度分级表</w:t>
      </w:r>
    </w:p>
    <w:tbl>
      <w:tblPr>
        <w:tblStyle w:val="7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34"/>
        <w:gridCol w:w="79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23" w:type="pct"/>
            <w:vAlign w:val="center"/>
          </w:tcPr>
          <w:p>
            <w:pPr>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rPr>
              <w:t>敏感程度</w:t>
            </w:r>
          </w:p>
        </w:tc>
        <w:tc>
          <w:tcPr>
            <w:tcW w:w="4377" w:type="pct"/>
            <w:vAlign w:val="center"/>
          </w:tcPr>
          <w:p>
            <w:pPr>
              <w:pStyle w:val="319"/>
              <w:snapToGrid w:val="0"/>
              <w:spacing w:after="0"/>
              <w:jc w:val="center"/>
              <w:rPr>
                <w:rFonts w:ascii="Times New Roman" w:eastAsiaTheme="minorEastAsia"/>
                <w:b/>
                <w:color w:val="000000"/>
                <w:sz w:val="21"/>
                <w:szCs w:val="21"/>
              </w:rPr>
            </w:pPr>
            <w:r>
              <w:rPr>
                <w:rFonts w:ascii="Times New Roman" w:eastAsiaTheme="minorEastAsia"/>
                <w:b/>
                <w:color w:val="000000"/>
                <w:sz w:val="21"/>
                <w:szCs w:val="21"/>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pct"/>
            <w:vAlign w:val="center"/>
          </w:tcPr>
          <w:p>
            <w:pPr>
              <w:pStyle w:val="321"/>
              <w:snapToGrid w:val="0"/>
              <w:spacing w:after="0"/>
              <w:jc w:val="center"/>
              <w:rPr>
                <w:rFonts w:ascii="Times New Roman" w:eastAsiaTheme="minorEastAsia"/>
                <w:color w:val="000000"/>
                <w:sz w:val="21"/>
                <w:szCs w:val="21"/>
              </w:rPr>
            </w:pPr>
            <w:r>
              <w:rPr>
                <w:rFonts w:ascii="Times New Roman" w:eastAsiaTheme="minorEastAsia"/>
                <w:color w:val="000000"/>
                <w:sz w:val="21"/>
                <w:szCs w:val="21"/>
              </w:rPr>
              <w:t>敏感</w:t>
            </w:r>
          </w:p>
        </w:tc>
        <w:tc>
          <w:tcPr>
            <w:tcW w:w="4377" w:type="pct"/>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rPr>
              <w:t>集中式饮用水水源（包括已建成的在用、备用、应急水源，在建和规划的饮用水水源）准保护区；除集中式应用水水源以外的国家或地方政府设定的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3" w:type="pct"/>
            <w:vAlign w:val="center"/>
          </w:tcPr>
          <w:p>
            <w:pPr>
              <w:pStyle w:val="322"/>
              <w:snapToGrid w:val="0"/>
              <w:jc w:val="center"/>
              <w:rPr>
                <w:rFonts w:ascii="Times New Roman" w:eastAsiaTheme="minorEastAsia"/>
                <w:color w:val="000000"/>
                <w:sz w:val="21"/>
                <w:szCs w:val="21"/>
              </w:rPr>
            </w:pPr>
            <w:r>
              <w:rPr>
                <w:rFonts w:ascii="Times New Roman" w:eastAsiaTheme="minorEastAsia"/>
                <w:color w:val="000000"/>
                <w:sz w:val="21"/>
                <w:szCs w:val="21"/>
              </w:rPr>
              <w:t>较敏感</w:t>
            </w:r>
          </w:p>
        </w:tc>
        <w:tc>
          <w:tcPr>
            <w:tcW w:w="4377" w:type="pct"/>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2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不敏感</w:t>
            </w:r>
          </w:p>
        </w:tc>
        <w:tc>
          <w:tcPr>
            <w:tcW w:w="4377" w:type="pct"/>
            <w:vAlign w:val="center"/>
          </w:tcPr>
          <w:p>
            <w:pPr>
              <w:adjustRightInd w:val="0"/>
              <w:snapToGrid w:val="0"/>
              <w:rPr>
                <w:rFonts w:ascii="Times New Roman" w:hAnsi="Times New Roman" w:eastAsiaTheme="minorEastAsia"/>
                <w:color w:val="000000"/>
              </w:rPr>
            </w:pPr>
            <w:r>
              <w:rPr>
                <w:rFonts w:ascii="Times New Roman" w:hAnsi="Times New Roman" w:eastAsiaTheme="minorEastAsia"/>
                <w:color w:val="000000"/>
                <w:kern w:val="0"/>
              </w:rPr>
              <w:t>上述地区之外的其他地区。</w:t>
            </w:r>
          </w:p>
        </w:tc>
      </w:tr>
    </w:tbl>
    <w:p>
      <w:pPr>
        <w:autoSpaceDE w:val="0"/>
        <w:autoSpaceDN w:val="0"/>
        <w:adjustRightInd w:val="0"/>
        <w:snapToGrid w:val="0"/>
        <w:jc w:val="left"/>
        <w:rPr>
          <w:rFonts w:ascii="Times New Roman" w:hAnsi="Times New Roman" w:eastAsiaTheme="minorEastAsia"/>
          <w:color w:val="000000"/>
          <w:kern w:val="0"/>
        </w:rPr>
      </w:pPr>
      <w:r>
        <w:rPr>
          <w:rFonts w:ascii="Times New Roman" w:hAnsi="Times New Roman" w:eastAsiaTheme="minorEastAsia"/>
          <w:color w:val="000000"/>
          <w:kern w:val="0"/>
        </w:rPr>
        <w:t>注：a“ 环境敏感区”是指《建设项目环境影响评价分类管理名录》中所界定的涉及地下水的环境敏感区。</w:t>
      </w:r>
    </w:p>
    <w:p>
      <w:pPr>
        <w:autoSpaceDE w:val="0"/>
        <w:autoSpaceDN w:val="0"/>
        <w:adjustRightInd w:val="0"/>
        <w:snapToGrid w:val="0"/>
        <w:jc w:val="left"/>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本项目地下水为</w:t>
      </w:r>
      <w:r>
        <w:rPr>
          <w:rFonts w:hint="eastAsia" w:ascii="宋体" w:hAnsi="宋体" w:cs="宋体"/>
          <w:color w:val="000000"/>
          <w:sz w:val="24"/>
          <w:szCs w:val="24"/>
        </w:rPr>
        <w:t>Ⅱ</w:t>
      </w:r>
      <w:r>
        <w:rPr>
          <w:rFonts w:ascii="Times New Roman" w:hAnsi="Times New Roman" w:eastAsiaTheme="minorEastAsia"/>
          <w:color w:val="000000"/>
          <w:sz w:val="24"/>
          <w:szCs w:val="24"/>
        </w:rPr>
        <w:t>类项目，项目所在区域不属于集中式饮用水水源准保护区、不属于热水、矿泉水、温泉等特殊地下水源保护区，无分散居民饮用水源等其它环境敏感区，地下水敏感程度为不敏感。根据地下水环境影响评价工作等级划分依据，项目地下水评价工作等级为三级，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表2.5-5  地下水环境评价工作等级判定表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64"/>
        <w:gridCol w:w="2146"/>
        <w:gridCol w:w="2146"/>
        <w:gridCol w:w="21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6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项目类别环境敏感程度</w:t>
            </w:r>
          </w:p>
        </w:tc>
        <w:tc>
          <w:tcPr>
            <w:tcW w:w="117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bCs/>
                <w:color w:val="000000"/>
                <w:kern w:val="0"/>
              </w:rPr>
              <w:t>Ⅰ</w:t>
            </w:r>
            <w:r>
              <w:rPr>
                <w:rFonts w:ascii="Times New Roman" w:hAnsi="Times New Roman" w:eastAsiaTheme="minorEastAsia"/>
                <w:b/>
                <w:color w:val="000000"/>
                <w:kern w:val="0"/>
              </w:rPr>
              <w:t>类项目</w:t>
            </w:r>
          </w:p>
        </w:tc>
        <w:tc>
          <w:tcPr>
            <w:tcW w:w="117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bCs/>
                <w:color w:val="000000"/>
                <w:kern w:val="0"/>
              </w:rPr>
              <w:t>Ⅱ</w:t>
            </w:r>
            <w:r>
              <w:rPr>
                <w:rFonts w:ascii="Times New Roman" w:hAnsi="Times New Roman" w:eastAsiaTheme="minorEastAsia"/>
                <w:b/>
                <w:color w:val="000000"/>
                <w:kern w:val="0"/>
              </w:rPr>
              <w:t>类项目</w:t>
            </w:r>
          </w:p>
        </w:tc>
        <w:tc>
          <w:tcPr>
            <w:tcW w:w="117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bCs/>
                <w:color w:val="000000"/>
                <w:kern w:val="0"/>
              </w:rPr>
              <w:t>Ⅲ</w:t>
            </w:r>
            <w:r>
              <w:rPr>
                <w:rFonts w:ascii="Times New Roman" w:hAnsi="Times New Roman" w:eastAsiaTheme="minorEastAsia"/>
                <w:b/>
                <w:color w:val="000000"/>
                <w:kern w:val="0"/>
              </w:rPr>
              <w:t>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敏感</w:t>
            </w:r>
          </w:p>
        </w:tc>
        <w:tc>
          <w:tcPr>
            <w:tcW w:w="117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w:t>
            </w:r>
          </w:p>
        </w:tc>
        <w:tc>
          <w:tcPr>
            <w:tcW w:w="117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w:t>
            </w:r>
          </w:p>
        </w:tc>
        <w:tc>
          <w:tcPr>
            <w:tcW w:w="11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较敏感</w:t>
            </w:r>
          </w:p>
        </w:tc>
        <w:tc>
          <w:tcPr>
            <w:tcW w:w="117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w:t>
            </w:r>
          </w:p>
        </w:tc>
        <w:tc>
          <w:tcPr>
            <w:tcW w:w="117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w:t>
            </w:r>
          </w:p>
        </w:tc>
        <w:tc>
          <w:tcPr>
            <w:tcW w:w="11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不敏感</w:t>
            </w:r>
          </w:p>
        </w:tc>
        <w:tc>
          <w:tcPr>
            <w:tcW w:w="117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w:t>
            </w:r>
          </w:p>
        </w:tc>
        <w:tc>
          <w:tcPr>
            <w:tcW w:w="1179" w:type="pct"/>
            <w:shd w:val="clear" w:color="auto" w:fill="BEBEBE"/>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w:t>
            </w:r>
          </w:p>
        </w:tc>
        <w:tc>
          <w:tcPr>
            <w:tcW w:w="11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w:t>
            </w:r>
          </w:p>
        </w:tc>
      </w:tr>
    </w:tbl>
    <w:p>
      <w:pPr>
        <w:autoSpaceDE w:val="0"/>
        <w:autoSpaceDN w:val="0"/>
        <w:adjustRightInd w:val="0"/>
        <w:jc w:val="left"/>
        <w:rPr>
          <w:rFonts w:ascii="Times New Roman" w:hAnsi="Times New Roman" w:eastAsiaTheme="minorEastAsia"/>
          <w:kern w:val="0"/>
          <w:sz w:val="24"/>
          <w:szCs w:val="24"/>
        </w:rPr>
      </w:pPr>
    </w:p>
    <w:p>
      <w:pPr>
        <w:pStyle w:val="5"/>
        <w:rPr>
          <w:rFonts w:eastAsiaTheme="minorEastAsia"/>
        </w:rPr>
      </w:pPr>
      <w:r>
        <w:rPr>
          <w:rFonts w:eastAsiaTheme="minorEastAsia"/>
        </w:rPr>
        <w:t>大气环境评价等级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根据《环境影响评价技术导则  大气环境》（HJ2.2-2018），分别计算项目排放主要污染物的最大地面空气质量浓度占标率P</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 xml:space="preserve"> （第i个污染物，简称“最大浓度占标率”），及第i个污染物的地面空气质量浓度达到标准值的10%时所对应的最远距离D</w:t>
      </w:r>
      <w:r>
        <w:rPr>
          <w:rFonts w:ascii="Times New Roman" w:hAnsi="Times New Roman" w:eastAsiaTheme="minorEastAsia"/>
          <w:color w:val="000000"/>
          <w:sz w:val="24"/>
          <w:szCs w:val="24"/>
          <w:vertAlign w:val="subscript"/>
        </w:rPr>
        <w:t>10%</w:t>
      </w:r>
      <w:r>
        <w:rPr>
          <w:rFonts w:ascii="Times New Roman" w:hAnsi="Times New Roman" w:eastAsiaTheme="minorEastAsia"/>
          <w:color w:val="000000"/>
          <w:sz w:val="24"/>
          <w:szCs w:val="24"/>
        </w:rPr>
        <w:t xml:space="preserve"> 。其中P</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 xml:space="preserve"> 定义为：</w:t>
      </w:r>
    </w:p>
    <w:p>
      <w:pPr>
        <w:adjustRightInd w:val="0"/>
        <w:snapToGrid w:val="0"/>
        <w:spacing w:line="360" w:lineRule="auto"/>
        <w:jc w:val="center"/>
        <w:rPr>
          <w:rFonts w:ascii="Times New Roman" w:hAnsi="Times New Roman" w:eastAsiaTheme="minorEastAsia"/>
          <w:color w:val="000000"/>
          <w:sz w:val="24"/>
          <w:szCs w:val="24"/>
        </w:rPr>
      </w:pPr>
      <w:r>
        <w:rPr>
          <w:rFonts w:ascii="Times New Roman" w:hAnsi="Times New Roman" w:eastAsiaTheme="minorEastAsia"/>
        </w:rPr>
        <w:drawing>
          <wp:inline distT="0" distB="0" distL="0" distR="0">
            <wp:extent cx="1009650" cy="4114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1032411" cy="420796"/>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式中：P</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—第i个污染物的最大地面空气质量浓度占标率，%；</w:t>
      </w:r>
    </w:p>
    <w:p>
      <w:pPr>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C</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—采用估算模式计算出的第i个污染物的最大1h地面空气质量浓度，μg/m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C</w:t>
      </w:r>
      <w:r>
        <w:rPr>
          <w:rFonts w:ascii="Times New Roman" w:hAnsi="Times New Roman" w:eastAsiaTheme="minorEastAsia"/>
          <w:color w:val="000000"/>
          <w:sz w:val="24"/>
          <w:szCs w:val="24"/>
          <w:vertAlign w:val="subscript"/>
        </w:rPr>
        <w:t>oi</w:t>
      </w:r>
      <w:r>
        <w:rPr>
          <w:rFonts w:ascii="Times New Roman" w:hAnsi="Times New Roman" w:eastAsiaTheme="minorEastAsia"/>
          <w:color w:val="000000"/>
          <w:sz w:val="24"/>
          <w:szCs w:val="24"/>
        </w:rPr>
        <w:t>—第i个污染物的环境空气质量标准，μg/m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C</w:t>
      </w:r>
      <w:r>
        <w:rPr>
          <w:rFonts w:ascii="Times New Roman" w:hAnsi="Times New Roman" w:eastAsiaTheme="minorEastAsia"/>
          <w:color w:val="000000"/>
          <w:sz w:val="24"/>
          <w:szCs w:val="24"/>
          <w:vertAlign w:val="subscript"/>
        </w:rPr>
        <w:t>oi</w:t>
      </w:r>
      <w:r>
        <w:rPr>
          <w:rFonts w:ascii="Times New Roman" w:hAnsi="Times New Roman" w:eastAsiaTheme="minorEastAsia"/>
          <w:color w:val="000000"/>
          <w:sz w:val="24"/>
          <w:szCs w:val="24"/>
        </w:rPr>
        <w:t xml:space="preserve"> 一般选用《环境空气质量标准》（GB3095-2012）中1小时平均取样时间的二级标准的浓度限值；如项目位于一类环境空气功能区，应选择相应的一级浓度限值；对该标准中未包含的污染物，可参照附录D附录中的浓度限值。对上述标准中都未包含的污染物，可参照选用其他国家、国际组织发布的环境质量浓度限值或基准值，但应作出说明，经生态环境主管部门同意后执行。</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根据《环境影响评价技术导则  大气环境》（HJ2.2-2018）中规定的大气评价等级及推荐的估算模式计算P</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，其计算依据见表2.5-6，相关污染物排放参数及计算结果见下表2.5-7、表2.5-8。</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表2.5-6  环境空气评价工作等级判据</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50"/>
        <w:gridCol w:w="4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评价工作等级</w:t>
            </w:r>
          </w:p>
        </w:tc>
        <w:tc>
          <w:tcPr>
            <w:tcW w:w="250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评价工作等级判据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250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P</w:t>
            </w:r>
            <w:r>
              <w:rPr>
                <w:rFonts w:ascii="Times New Roman" w:hAnsi="Times New Roman" w:eastAsiaTheme="minorEastAsia"/>
                <w:color w:val="000000"/>
                <w:kern w:val="0"/>
                <w:vertAlign w:val="subscript"/>
              </w:rPr>
              <w:t>max</w:t>
            </w:r>
            <w:r>
              <w:rPr>
                <w:rFonts w:ascii="Times New Roman" w:hAnsi="Times New Roman" w:eastAsiaTheme="minorEastAsia"/>
                <w:color w:val="000000"/>
                <w:kern w:val="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250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1%≤P</w:t>
            </w:r>
            <w:r>
              <w:rPr>
                <w:rFonts w:ascii="Times New Roman" w:hAnsi="Times New Roman" w:eastAsiaTheme="minorEastAsia"/>
                <w:color w:val="000000"/>
                <w:kern w:val="0"/>
                <w:vertAlign w:val="subscript"/>
              </w:rPr>
              <w:t>max</w:t>
            </w:r>
            <w:r>
              <w:rPr>
                <w:rFonts w:ascii="Times New Roman" w:hAnsi="Times New Roman" w:eastAsiaTheme="minorEastAsia"/>
                <w:color w:val="000000"/>
                <w:kern w:val="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250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P</w:t>
            </w:r>
            <w:r>
              <w:rPr>
                <w:rFonts w:ascii="Times New Roman" w:hAnsi="Times New Roman" w:eastAsiaTheme="minorEastAsia"/>
                <w:color w:val="000000"/>
                <w:kern w:val="0"/>
                <w:vertAlign w:val="subscript"/>
              </w:rPr>
              <w:t>max</w:t>
            </w:r>
            <w:r>
              <w:rPr>
                <w:rFonts w:ascii="Times New Roman" w:hAnsi="Times New Roman" w:eastAsiaTheme="minorEastAsia"/>
                <w:color w:val="000000"/>
                <w:kern w:val="0"/>
              </w:rPr>
              <w:t>&lt;1%</w:t>
            </w:r>
          </w:p>
        </w:tc>
      </w:tr>
    </w:tbl>
    <w:p>
      <w:pPr>
        <w:autoSpaceDE w:val="0"/>
        <w:autoSpaceDN w:val="0"/>
        <w:adjustRightInd w:val="0"/>
        <w:spacing w:after="85"/>
        <w:jc w:val="left"/>
        <w:rPr>
          <w:rFonts w:ascii="Times New Roman" w:hAnsi="Times New Roman" w:eastAsiaTheme="minorEastAsia"/>
          <w:color w:val="000000"/>
          <w:kern w:val="0"/>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表2.5-7  估算模型参数表</w:t>
      </w:r>
    </w:p>
    <w:tbl>
      <w:tblPr>
        <w:tblStyle w:val="7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704"/>
        <w:gridCol w:w="1689"/>
        <w:gridCol w:w="1804"/>
        <w:gridCol w:w="2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414" w:type="pct"/>
            <w:gridSpan w:val="2"/>
            <w:tcBorders>
              <w:tl2br w:val="nil"/>
              <w:tr2bl w:val="nil"/>
            </w:tcBorders>
            <w:vAlign w:val="center"/>
          </w:tcPr>
          <w:p>
            <w:pPr>
              <w:jc w:val="center"/>
              <w:rPr>
                <w:b/>
              </w:rPr>
            </w:pPr>
            <w:r>
              <w:rPr>
                <w:rFonts w:ascii="宋体" w:hAnsi="宋体"/>
                <w:b/>
              </w:rPr>
              <w:t>参数</w:t>
            </w:r>
          </w:p>
        </w:tc>
        <w:tc>
          <w:tcPr>
            <w:tcW w:w="2585" w:type="pct"/>
            <w:gridSpan w:val="2"/>
            <w:tcBorders>
              <w:tl2br w:val="nil"/>
              <w:tr2bl w:val="nil"/>
            </w:tcBorders>
            <w:vAlign w:val="center"/>
          </w:tcPr>
          <w:p>
            <w:pPr>
              <w:jc w:val="center"/>
              <w:rPr>
                <w:b/>
              </w:rPr>
            </w:pPr>
            <w:r>
              <w:rPr>
                <w:rFonts w:ascii="宋体" w:hAnsi="宋体"/>
                <w:b/>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rPr>
            </w:pPr>
            <w:r>
              <w:rPr>
                <w:rFonts w:ascii="Times New Roman" w:hAnsi="Times New Roman"/>
              </w:rPr>
              <w:t>城市/农村选项</w:t>
            </w:r>
          </w:p>
        </w:tc>
        <w:tc>
          <w:tcPr>
            <w:tcW w:w="1919" w:type="pct"/>
            <w:gridSpan w:val="2"/>
            <w:tcBorders>
              <w:tl2br w:val="nil"/>
              <w:tr2bl w:val="nil"/>
            </w:tcBorders>
            <w:vAlign w:val="center"/>
          </w:tcPr>
          <w:p>
            <w:pPr>
              <w:jc w:val="center"/>
              <w:rPr>
                <w:rFonts w:ascii="Times New Roman" w:hAnsi="Times New Roman"/>
              </w:rPr>
            </w:pPr>
            <w:r>
              <w:rPr>
                <w:rFonts w:ascii="Times New Roman" w:hAnsi="Times New Roman"/>
              </w:rPr>
              <w:t>城市/农村</w:t>
            </w:r>
          </w:p>
        </w:tc>
        <w:tc>
          <w:tcPr>
            <w:tcW w:w="1594" w:type="pct"/>
            <w:tcBorders>
              <w:tl2br w:val="nil"/>
              <w:tr2bl w:val="nil"/>
            </w:tcBorders>
            <w:vAlign w:val="center"/>
          </w:tcPr>
          <w:p>
            <w:pPr>
              <w:jc w:val="center"/>
              <w:rPr>
                <w:rFonts w:ascii="Times New Roman" w:hAnsi="Times New Roman"/>
              </w:rPr>
            </w:pPr>
            <w:r>
              <w:rPr>
                <w:rFonts w:ascii="Times New Roman" w:hAnsi="Times New Roma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rPr>
            </w:pPr>
          </w:p>
        </w:tc>
        <w:tc>
          <w:tcPr>
            <w:tcW w:w="1919" w:type="pct"/>
            <w:gridSpan w:val="2"/>
            <w:tcBorders>
              <w:tl2br w:val="nil"/>
              <w:tr2bl w:val="nil"/>
            </w:tcBorders>
            <w:vAlign w:val="center"/>
          </w:tcPr>
          <w:p>
            <w:pPr>
              <w:jc w:val="center"/>
              <w:rPr>
                <w:rFonts w:ascii="Times New Roman" w:hAnsi="Times New Roman"/>
              </w:rPr>
            </w:pPr>
            <w:r>
              <w:rPr>
                <w:rFonts w:ascii="Times New Roman" w:hAnsi="Times New Roman"/>
              </w:rPr>
              <w:t>人口数</w:t>
            </w:r>
            <w:r>
              <w:rPr>
                <w:rFonts w:hint="eastAsia" w:ascii="Times New Roman" w:hAnsi="Times New Roman"/>
              </w:rPr>
              <w:t>（</w:t>
            </w:r>
            <w:r>
              <w:rPr>
                <w:rFonts w:ascii="Times New Roman" w:hAnsi="Times New Roman"/>
              </w:rPr>
              <w:t>城市人口数</w:t>
            </w:r>
            <w:r>
              <w:rPr>
                <w:rFonts w:hint="eastAsia" w:ascii="Times New Roman" w:hAnsi="Times New Roman"/>
              </w:rPr>
              <w:t>）</w:t>
            </w:r>
          </w:p>
        </w:tc>
        <w:tc>
          <w:tcPr>
            <w:tcW w:w="1594" w:type="pct"/>
            <w:tcBorders>
              <w:tl2br w:val="nil"/>
              <w:tr2bl w:val="nil"/>
            </w:tcBorders>
            <w:vAlign w:val="center"/>
          </w:tcPr>
          <w:p>
            <w:pPr>
              <w:jc w:val="center"/>
              <w:rPr>
                <w:rFonts w:ascii="Times New Roman" w:hAnsi="Times New Roman"/>
              </w:rPr>
            </w:pPr>
            <w:r>
              <w:rPr>
                <w:rFonts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rPr>
            </w:pPr>
            <w:r>
              <w:rPr>
                <w:rFonts w:ascii="Times New Roman" w:hAnsi="Times New Roman"/>
              </w:rPr>
              <w:t>最高环境温度</w:t>
            </w:r>
          </w:p>
        </w:tc>
        <w:tc>
          <w:tcPr>
            <w:tcW w:w="2585" w:type="pct"/>
            <w:gridSpan w:val="2"/>
            <w:tcBorders>
              <w:tl2br w:val="nil"/>
              <w:tr2bl w:val="nil"/>
            </w:tcBorders>
            <w:vAlign w:val="center"/>
          </w:tcPr>
          <w:p>
            <w:pPr>
              <w:jc w:val="center"/>
              <w:rPr>
                <w:rFonts w:ascii="Times New Roman" w:hAnsi="Times New Roman"/>
              </w:rPr>
            </w:pPr>
            <w:r>
              <w:rPr>
                <w:rFonts w:ascii="Times New Roman" w:hAnsi="Times New Roma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rPr>
            </w:pPr>
            <w:r>
              <w:rPr>
                <w:rFonts w:ascii="Times New Roman" w:hAnsi="Times New Roman"/>
              </w:rPr>
              <w:t>最低环境温度</w:t>
            </w:r>
          </w:p>
        </w:tc>
        <w:tc>
          <w:tcPr>
            <w:tcW w:w="2585" w:type="pct"/>
            <w:gridSpan w:val="2"/>
            <w:tcBorders>
              <w:tl2br w:val="nil"/>
              <w:tr2bl w:val="nil"/>
            </w:tcBorders>
            <w:vAlign w:val="center"/>
          </w:tcPr>
          <w:p>
            <w:pPr>
              <w:jc w:val="center"/>
              <w:rPr>
                <w:rFonts w:ascii="Times New Roman" w:hAnsi="Times New Roman"/>
              </w:rPr>
            </w:pPr>
            <w:r>
              <w:rPr>
                <w:rFonts w:ascii="Times New Roman" w:hAnsi="Times New Roma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rPr>
            </w:pPr>
            <w:r>
              <w:rPr>
                <w:rFonts w:ascii="Times New Roman" w:hAnsi="Times New Roman"/>
              </w:rPr>
              <w:t>土地利用类型</w:t>
            </w:r>
          </w:p>
        </w:tc>
        <w:tc>
          <w:tcPr>
            <w:tcW w:w="2585" w:type="pct"/>
            <w:gridSpan w:val="2"/>
            <w:tcBorders>
              <w:tl2br w:val="nil"/>
              <w:tr2bl w:val="nil"/>
            </w:tcBorders>
            <w:vAlign w:val="center"/>
          </w:tcPr>
          <w:p>
            <w:pPr>
              <w:jc w:val="center"/>
              <w:rPr>
                <w:rFonts w:ascii="Times New Roman" w:hAnsi="Times New Roman"/>
              </w:rPr>
            </w:pPr>
            <w:r>
              <w:rPr>
                <w:rFonts w:ascii="Times New Roman" w:hAnsi="Times New Roman"/>
              </w:rPr>
              <w:t>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rPr>
            </w:pPr>
            <w:r>
              <w:rPr>
                <w:rFonts w:ascii="Times New Roman" w:hAnsi="Times New Roman"/>
              </w:rPr>
              <w:t>区域湿度条件</w:t>
            </w:r>
          </w:p>
        </w:tc>
        <w:tc>
          <w:tcPr>
            <w:tcW w:w="2585" w:type="pct"/>
            <w:gridSpan w:val="2"/>
            <w:tcBorders>
              <w:tl2br w:val="nil"/>
              <w:tr2bl w:val="nil"/>
            </w:tcBorders>
            <w:vAlign w:val="center"/>
          </w:tcPr>
          <w:p>
            <w:pPr>
              <w:jc w:val="center"/>
              <w:rPr>
                <w:rFonts w:ascii="Times New Roman" w:hAnsi="Times New Roman"/>
              </w:rPr>
            </w:pPr>
            <w:r>
              <w:rPr>
                <w:rFonts w:ascii="Times New Roman" w:hAnsi="Times New Roman"/>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rPr>
            </w:pPr>
            <w:r>
              <w:rPr>
                <w:rFonts w:ascii="Times New Roman" w:hAnsi="Times New Roman"/>
              </w:rPr>
              <w:t>是否考虑地形</w:t>
            </w:r>
          </w:p>
        </w:tc>
        <w:tc>
          <w:tcPr>
            <w:tcW w:w="1919" w:type="pct"/>
            <w:gridSpan w:val="2"/>
            <w:tcBorders>
              <w:tl2br w:val="nil"/>
              <w:tr2bl w:val="nil"/>
            </w:tcBorders>
            <w:vAlign w:val="center"/>
          </w:tcPr>
          <w:p>
            <w:pPr>
              <w:jc w:val="center"/>
              <w:rPr>
                <w:rFonts w:ascii="Times New Roman" w:hAnsi="Times New Roman"/>
              </w:rPr>
            </w:pPr>
            <w:r>
              <w:rPr>
                <w:rFonts w:ascii="Times New Roman" w:hAnsi="Times New Roman"/>
              </w:rPr>
              <w:t>考虑地形</w:t>
            </w:r>
          </w:p>
        </w:tc>
        <w:tc>
          <w:tcPr>
            <w:tcW w:w="1594" w:type="pct"/>
            <w:tcBorders>
              <w:tl2br w:val="nil"/>
              <w:tr2bl w:val="nil"/>
            </w:tcBorders>
            <w:vAlign w:val="center"/>
          </w:tcPr>
          <w:p>
            <w:pPr>
              <w:jc w:val="center"/>
              <w:rPr>
                <w:rFonts w:ascii="Times New Roman" w:hAnsi="Times New Roman"/>
              </w:rPr>
            </w:pPr>
            <w:r>
              <w:rPr>
                <w:rFonts w:ascii="Times New Roman" w:hAnsi="Times New Roma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rPr>
            </w:pPr>
          </w:p>
        </w:tc>
        <w:tc>
          <w:tcPr>
            <w:tcW w:w="1919" w:type="pct"/>
            <w:gridSpan w:val="2"/>
            <w:tcBorders>
              <w:tl2br w:val="nil"/>
              <w:tr2bl w:val="nil"/>
            </w:tcBorders>
            <w:vAlign w:val="center"/>
          </w:tcPr>
          <w:p>
            <w:pPr>
              <w:jc w:val="center"/>
              <w:rPr>
                <w:rFonts w:ascii="Times New Roman" w:hAnsi="Times New Roman"/>
              </w:rPr>
            </w:pPr>
            <w:r>
              <w:rPr>
                <w:rFonts w:ascii="Times New Roman" w:hAnsi="Times New Roman"/>
              </w:rPr>
              <w:t>地形数据分辨率(m)</w:t>
            </w:r>
          </w:p>
        </w:tc>
        <w:tc>
          <w:tcPr>
            <w:tcW w:w="1594" w:type="pct"/>
            <w:tcBorders>
              <w:tl2br w:val="nil"/>
              <w:tr2bl w:val="nil"/>
            </w:tcBorders>
            <w:vAlign w:val="center"/>
          </w:tcPr>
          <w:p>
            <w:pPr>
              <w:jc w:val="center"/>
              <w:rPr>
                <w:rFonts w:ascii="Times New Roman" w:hAnsi="Times New Roman"/>
              </w:rPr>
            </w:pPr>
            <w:r>
              <w:rPr>
                <w:rFonts w:ascii="Times New Roman" w:hAnsi="Times New Roma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rPr>
            </w:pPr>
            <w:r>
              <w:rPr>
                <w:rFonts w:ascii="Times New Roman" w:hAnsi="Times New Roman"/>
              </w:rPr>
              <w:t>是否考虑岸线熏烟</w:t>
            </w:r>
          </w:p>
        </w:tc>
        <w:tc>
          <w:tcPr>
            <w:tcW w:w="1919" w:type="pct"/>
            <w:gridSpan w:val="2"/>
            <w:tcBorders>
              <w:tl2br w:val="nil"/>
              <w:tr2bl w:val="nil"/>
            </w:tcBorders>
            <w:vAlign w:val="center"/>
          </w:tcPr>
          <w:p>
            <w:pPr>
              <w:jc w:val="center"/>
              <w:rPr>
                <w:rFonts w:ascii="Times New Roman" w:hAnsi="Times New Roman"/>
              </w:rPr>
            </w:pPr>
            <w:r>
              <w:rPr>
                <w:rFonts w:ascii="Times New Roman" w:hAnsi="Times New Roman"/>
              </w:rPr>
              <w:t>考虑岸线熏烟</w:t>
            </w:r>
          </w:p>
        </w:tc>
        <w:tc>
          <w:tcPr>
            <w:tcW w:w="1594" w:type="pct"/>
            <w:tcBorders>
              <w:tl2br w:val="nil"/>
              <w:tr2bl w:val="nil"/>
            </w:tcBorders>
            <w:vAlign w:val="center"/>
          </w:tcPr>
          <w:p>
            <w:pPr>
              <w:jc w:val="center"/>
              <w:rPr>
                <w:rFonts w:ascii="Times New Roman" w:hAnsi="Times New Roman"/>
              </w:rPr>
            </w:pPr>
            <w:r>
              <w:rPr>
                <w:rFonts w:ascii="Times New Roman" w:hAnsi="Times New Roma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rPr>
            </w:pPr>
          </w:p>
        </w:tc>
        <w:tc>
          <w:tcPr>
            <w:tcW w:w="1919" w:type="pct"/>
            <w:gridSpan w:val="2"/>
            <w:tcBorders>
              <w:tl2br w:val="nil"/>
              <w:tr2bl w:val="nil"/>
            </w:tcBorders>
            <w:vAlign w:val="center"/>
          </w:tcPr>
          <w:p>
            <w:pPr>
              <w:jc w:val="center"/>
              <w:rPr>
                <w:rFonts w:ascii="Times New Roman" w:hAnsi="Times New Roman"/>
              </w:rPr>
            </w:pPr>
            <w:r>
              <w:rPr>
                <w:rFonts w:ascii="Times New Roman" w:hAnsi="Times New Roman"/>
              </w:rPr>
              <w:t>岸线距离/m</w:t>
            </w:r>
          </w:p>
        </w:tc>
        <w:tc>
          <w:tcPr>
            <w:tcW w:w="1594" w:type="pct"/>
            <w:tcBorders>
              <w:tl2br w:val="nil"/>
              <w:tr2bl w:val="nil"/>
            </w:tcBorders>
            <w:vAlign w:val="center"/>
          </w:tcPr>
          <w:p>
            <w:pPr>
              <w:jc w:val="center"/>
              <w:rPr>
                <w:rFonts w:ascii="Times New Roman" w:hAnsi="Times New Roman"/>
              </w:rPr>
            </w:pPr>
            <w:r>
              <w:rPr>
                <w:rFonts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rPr>
            </w:pPr>
          </w:p>
        </w:tc>
        <w:tc>
          <w:tcPr>
            <w:tcW w:w="1919" w:type="pct"/>
            <w:gridSpan w:val="2"/>
            <w:tcBorders>
              <w:tl2br w:val="nil"/>
              <w:tr2bl w:val="nil"/>
            </w:tcBorders>
            <w:vAlign w:val="center"/>
          </w:tcPr>
          <w:p>
            <w:pPr>
              <w:jc w:val="center"/>
              <w:rPr>
                <w:rFonts w:ascii="Times New Roman" w:hAnsi="Times New Roman"/>
              </w:rPr>
            </w:pPr>
            <w:r>
              <w:rPr>
                <w:rFonts w:ascii="Times New Roman" w:hAnsi="Times New Roman"/>
              </w:rPr>
              <w:t>岸线方向/°</w:t>
            </w:r>
          </w:p>
        </w:tc>
        <w:tc>
          <w:tcPr>
            <w:tcW w:w="1594" w:type="pct"/>
            <w:tcBorders>
              <w:tl2br w:val="nil"/>
              <w:tr2bl w:val="nil"/>
            </w:tcBorders>
            <w:vAlign w:val="center"/>
          </w:tcPr>
          <w:p>
            <w:pPr>
              <w:jc w:val="center"/>
              <w:rPr>
                <w:rFonts w:ascii="Times New Roman" w:hAnsi="Times New Roman"/>
              </w:rPr>
            </w:pPr>
            <w:r>
              <w:rPr>
                <w:rFonts w:ascii="Times New Roman" w:hAnsi="Times New Roman"/>
              </w:rPr>
              <w:t>/</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经过采用估算模式计算，所得的计算结果如下表2.5-8。</w:t>
      </w:r>
    </w:p>
    <w:p>
      <w:pPr>
        <w:tabs>
          <w:tab w:val="left" w:pos="900"/>
        </w:tabs>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表2.5-8  项目废气排放估算模式参数取值一览表</w:t>
      </w:r>
    </w:p>
    <w:tbl>
      <w:tblPr>
        <w:tblStyle w:val="7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14"/>
        <w:gridCol w:w="1195"/>
        <w:gridCol w:w="1801"/>
        <w:gridCol w:w="1560"/>
        <w:gridCol w:w="1560"/>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778"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污染源名称</w:t>
            </w:r>
          </w:p>
        </w:tc>
        <w:tc>
          <w:tcPr>
            <w:tcW w:w="657"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评价因子</w:t>
            </w:r>
          </w:p>
        </w:tc>
        <w:tc>
          <w:tcPr>
            <w:tcW w:w="990"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评价标准(μg/m³)</w:t>
            </w:r>
          </w:p>
        </w:tc>
        <w:tc>
          <w:tcPr>
            <w:tcW w:w="858"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C</w:t>
            </w:r>
            <w:r>
              <w:rPr>
                <w:rFonts w:ascii="Times New Roman" w:hAnsi="Times New Roman"/>
                <w:b/>
                <w:color w:val="000000" w:themeColor="text1"/>
                <w:vertAlign w:val="subscript"/>
                <w14:textFill>
                  <w14:solidFill>
                    <w14:schemeClr w14:val="tx1"/>
                  </w14:solidFill>
                </w14:textFill>
              </w:rPr>
              <w:t>max</w:t>
            </w:r>
            <w:r>
              <w:rPr>
                <w:rFonts w:ascii="Times New Roman" w:hAnsi="Times New Roman"/>
                <w:b/>
                <w:color w:val="000000" w:themeColor="text1"/>
                <w14:textFill>
                  <w14:solidFill>
                    <w14:schemeClr w14:val="tx1"/>
                  </w14:solidFill>
                </w14:textFill>
              </w:rPr>
              <w:t>(μg/m³)</w:t>
            </w:r>
          </w:p>
        </w:tc>
        <w:tc>
          <w:tcPr>
            <w:tcW w:w="858"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P</w:t>
            </w:r>
            <w:r>
              <w:rPr>
                <w:rFonts w:ascii="Times New Roman" w:hAnsi="Times New Roman"/>
                <w:b/>
                <w:color w:val="000000" w:themeColor="text1"/>
                <w:vertAlign w:val="subscript"/>
                <w14:textFill>
                  <w14:solidFill>
                    <w14:schemeClr w14:val="tx1"/>
                  </w14:solidFill>
                </w14:textFill>
              </w:rPr>
              <w:t>max</w:t>
            </w:r>
            <w:r>
              <w:rPr>
                <w:rFonts w:ascii="Times New Roman" w:hAnsi="Times New Roman"/>
                <w:b/>
                <w:color w:val="000000" w:themeColor="text1"/>
                <w14:textFill>
                  <w14:solidFill>
                    <w14:schemeClr w14:val="tx1"/>
                  </w14:solidFill>
                </w14:textFill>
              </w:rPr>
              <w:t>(%)</w:t>
            </w:r>
          </w:p>
        </w:tc>
        <w:tc>
          <w:tcPr>
            <w:tcW w:w="859"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D</w:t>
            </w:r>
            <w:r>
              <w:rPr>
                <w:rFonts w:ascii="Times New Roman" w:hAnsi="Times New Roman"/>
                <w:b/>
                <w:color w:val="000000" w:themeColor="text1"/>
                <w:vertAlign w:val="subscript"/>
                <w14:textFill>
                  <w14:solidFill>
                    <w14:schemeClr w14:val="tx1"/>
                  </w14:solidFill>
                </w14:textFill>
              </w:rPr>
              <w:t>10</w:t>
            </w:r>
            <w:r>
              <w:rPr>
                <w:rFonts w:ascii="Times New Roman" w:hAnsi="Times New Roman"/>
                <w:b/>
                <w:color w:val="000000" w:themeColor="text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trPr>
        <w:tc>
          <w:tcPr>
            <w:tcW w:w="778"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矩形面源</w:t>
            </w:r>
          </w:p>
        </w:tc>
        <w:tc>
          <w:tcPr>
            <w:tcW w:w="657"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VOCs</w:t>
            </w:r>
          </w:p>
        </w:tc>
        <w:tc>
          <w:tcPr>
            <w:tcW w:w="99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1200.0</w:t>
            </w:r>
          </w:p>
        </w:tc>
        <w:tc>
          <w:tcPr>
            <w:tcW w:w="858"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0.6165</w:t>
            </w:r>
          </w:p>
        </w:tc>
        <w:tc>
          <w:tcPr>
            <w:tcW w:w="858"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0.0500</w:t>
            </w:r>
          </w:p>
        </w:tc>
        <w:tc>
          <w:tcPr>
            <w:tcW w:w="859"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778"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点源</w:t>
            </w:r>
          </w:p>
        </w:tc>
        <w:tc>
          <w:tcPr>
            <w:tcW w:w="657"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VOCs</w:t>
            </w:r>
          </w:p>
        </w:tc>
        <w:tc>
          <w:tcPr>
            <w:tcW w:w="99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1200.0</w:t>
            </w:r>
          </w:p>
        </w:tc>
        <w:tc>
          <w:tcPr>
            <w:tcW w:w="858"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75.1250</w:t>
            </w:r>
          </w:p>
        </w:tc>
        <w:tc>
          <w:tcPr>
            <w:tcW w:w="858"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6.2600</w:t>
            </w:r>
          </w:p>
        </w:tc>
        <w:tc>
          <w:tcPr>
            <w:tcW w:w="859"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w:t>
            </w:r>
          </w:p>
        </w:tc>
      </w:tr>
    </w:tbl>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本项目P</w:t>
      </w:r>
      <w:r>
        <w:rPr>
          <w:rFonts w:ascii="Times New Roman" w:hAnsi="Times New Roman"/>
          <w:color w:val="000000" w:themeColor="text1"/>
          <w:sz w:val="24"/>
          <w:szCs w:val="24"/>
          <w:vertAlign w:val="subscript"/>
          <w14:textFill>
            <w14:solidFill>
              <w14:schemeClr w14:val="tx1"/>
            </w14:solidFill>
          </w14:textFill>
        </w:rPr>
        <w:t>max</w:t>
      </w:r>
      <w:r>
        <w:rPr>
          <w:rFonts w:ascii="Times New Roman" w:hAnsi="Times New Roman"/>
          <w:color w:val="000000" w:themeColor="text1"/>
          <w:sz w:val="24"/>
          <w:szCs w:val="24"/>
          <w14:textFill>
            <w14:solidFill>
              <w14:schemeClr w14:val="tx1"/>
            </w14:solidFill>
          </w14:textFill>
        </w:rPr>
        <w:t>最大值出现为</w:t>
      </w:r>
      <w:r>
        <w:rPr>
          <w:rFonts w:ascii="Times New Roman" w:hAnsi="Times New Roman"/>
          <w:color w:val="000000" w:themeColor="text1"/>
          <w:sz w:val="24"/>
          <w14:textFill>
            <w14:solidFill>
              <w14:schemeClr w14:val="tx1"/>
            </w14:solidFill>
          </w14:textFill>
        </w:rPr>
        <w:t>点源排放的VOCsP</w:t>
      </w:r>
      <w:r>
        <w:rPr>
          <w:rFonts w:ascii="Times New Roman" w:hAnsi="Times New Roman"/>
          <w:color w:val="000000" w:themeColor="text1"/>
          <w:sz w:val="24"/>
          <w:vertAlign w:val="subscript"/>
          <w14:textFill>
            <w14:solidFill>
              <w14:schemeClr w14:val="tx1"/>
            </w14:solidFill>
          </w14:textFill>
        </w:rPr>
        <w:t>max</w:t>
      </w:r>
      <w:r>
        <w:rPr>
          <w:rFonts w:ascii="Times New Roman" w:hAnsi="Times New Roman"/>
          <w:color w:val="000000" w:themeColor="text1"/>
          <w:sz w:val="24"/>
          <w14:textFill>
            <w14:solidFill>
              <w14:schemeClr w14:val="tx1"/>
            </w14:solidFill>
          </w14:textFill>
        </w:rPr>
        <w:t>值为6.26%</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C</w:t>
      </w:r>
      <w:r>
        <w:rPr>
          <w:rFonts w:ascii="Times New Roman" w:hAnsi="Times New Roman"/>
          <w:color w:val="000000" w:themeColor="text1"/>
          <w:sz w:val="24"/>
          <w:vertAlign w:val="subscript"/>
          <w14:textFill>
            <w14:solidFill>
              <w14:schemeClr w14:val="tx1"/>
            </w14:solidFill>
          </w14:textFill>
        </w:rPr>
        <w:t>max</w:t>
      </w:r>
      <w:r>
        <w:rPr>
          <w:rFonts w:ascii="Times New Roman" w:hAnsi="Times New Roman"/>
          <w:color w:val="000000" w:themeColor="text1"/>
          <w:sz w:val="24"/>
          <w14:textFill>
            <w14:solidFill>
              <w14:schemeClr w14:val="tx1"/>
            </w14:solidFill>
          </w14:textFill>
        </w:rPr>
        <w:t>为75.125μg/m³，</w:t>
      </w:r>
      <w:r>
        <w:rPr>
          <w:rFonts w:ascii="Times New Roman" w:hAnsi="Times New Roman"/>
          <w:color w:val="000000" w:themeColor="text1"/>
          <w:sz w:val="24"/>
          <w:szCs w:val="24"/>
          <w14:textFill>
            <w14:solidFill>
              <w14:schemeClr w14:val="tx1"/>
            </w14:solidFill>
          </w14:textFill>
        </w:rPr>
        <w:t>根据《环境影响评价技术导则 大气环境》（HJ2.2-2018）分级判据，确定本项目大气环境影响评价工作等级为二级</w:t>
      </w:r>
      <w:r>
        <w:rPr>
          <w:rFonts w:ascii="Times New Roman" w:hAnsi="Times New Roman" w:eastAsiaTheme="minorEastAsia"/>
          <w:color w:val="000000" w:themeColor="text1"/>
          <w:sz w:val="24"/>
          <w:szCs w:val="24"/>
          <w14:textFill>
            <w14:solidFill>
              <w14:schemeClr w14:val="tx1"/>
            </w14:solidFill>
          </w14:textFill>
        </w:rPr>
        <w:t>。</w:t>
      </w:r>
    </w:p>
    <w:p>
      <w:pPr>
        <w:pStyle w:val="5"/>
        <w:rPr>
          <w:rFonts w:eastAsiaTheme="minorEastAsia"/>
        </w:rPr>
      </w:pPr>
      <w:r>
        <w:rPr>
          <w:rFonts w:eastAsiaTheme="minorEastAsia"/>
        </w:rPr>
        <w:t>声环境评价等级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本项目码头水域工程位于岳阳市云溪港区</w:t>
      </w:r>
      <w:r>
        <w:rPr>
          <w:rFonts w:ascii="Times New Roman" w:hAnsi="Times New Roman" w:eastAsiaTheme="minorEastAsia"/>
          <w:kern w:val="0"/>
          <w:sz w:val="24"/>
          <w:szCs w:val="24"/>
        </w:rPr>
        <w:t>陆城作业区</w:t>
      </w:r>
      <w:r>
        <w:rPr>
          <w:rFonts w:ascii="Times New Roman" w:hAnsi="Times New Roman" w:eastAsiaTheme="minorEastAsia"/>
          <w:color w:val="000000"/>
          <w:sz w:val="24"/>
          <w:szCs w:val="24"/>
        </w:rPr>
        <w:t>岸线，陆域工程紧靠码头。航道两侧35m红线范围内声环境功能要求为4a类，码头其他区域及管线区域声环境功能要求为2类。项目建成后噪声级增加不明显，受噪声影响人口较少。根据《环境影响评价技术导则  声环境》（HJ2.4-2009）要求，本项目噪声影响评价工作等级确定为二级。</w:t>
      </w:r>
    </w:p>
    <w:p>
      <w:pPr>
        <w:pStyle w:val="5"/>
        <w:rPr>
          <w:rFonts w:eastAsiaTheme="minorEastAsia"/>
        </w:rPr>
      </w:pPr>
      <w:r>
        <w:rPr>
          <w:rFonts w:eastAsiaTheme="minorEastAsia"/>
        </w:rPr>
        <w:t>生态环境评价等级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本项目作为提质改造项目，提质改造的工程内容均在原有工程的用地范围内，因此本次提质改造项目不涉及征地。本次提质改造工程</w:t>
      </w:r>
      <w:r>
        <w:rPr>
          <w:rFonts w:hint="eastAsia" w:ascii="Times New Roman" w:hAnsi="Times New Roman" w:eastAsiaTheme="minorEastAsia"/>
          <w:color w:val="000000"/>
          <w:sz w:val="24"/>
          <w:szCs w:val="24"/>
        </w:rPr>
        <w:t>不新增</w:t>
      </w:r>
      <w:r>
        <w:rPr>
          <w:rFonts w:ascii="Times New Roman" w:hAnsi="Times New Roman" w:eastAsiaTheme="minorEastAsia"/>
          <w:color w:val="000000"/>
          <w:sz w:val="24"/>
          <w:szCs w:val="24"/>
        </w:rPr>
        <w:t>用地，现有工程占地面积小于2km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，管线管廊维护长度约600m，依据《环境影响评价技术导则  生态影响》（HJ19-2011），根据现场踏勘，项目码头工程位于长江岳阳段右岸，位于</w:t>
      </w:r>
      <w:r>
        <w:rPr>
          <w:rFonts w:ascii="Times New Roman" w:hAnsi="Times New Roman" w:eastAsiaTheme="minorEastAsia"/>
          <w:color w:val="000000" w:themeColor="text1"/>
          <w:kern w:val="0"/>
          <w:sz w:val="24"/>
          <w:szCs w:val="24"/>
          <w14:textFill>
            <w14:solidFill>
              <w14:schemeClr w14:val="tx1"/>
            </w14:solidFill>
          </w14:textFill>
        </w:rPr>
        <w:t>长江监利四大家鱼国家级水产种质资源保护区的实验区</w:t>
      </w:r>
      <w:r>
        <w:rPr>
          <w:rFonts w:ascii="Times New Roman" w:hAnsi="Times New Roman" w:eastAsiaTheme="minorEastAsia"/>
          <w:color w:val="000000"/>
          <w:sz w:val="24"/>
          <w:szCs w:val="24"/>
        </w:rPr>
        <w:t>，生态环境较为敏感。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因此，确定该项目生态环境影响评价工作等级为三级。</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表2.5-9  生态影响评价工作等级划分表</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71"/>
        <w:gridCol w:w="2153"/>
        <w:gridCol w:w="2985"/>
        <w:gridCol w:w="19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083" w:type="pct"/>
            <w:vMerge w:val="restart"/>
            <w:vAlign w:val="center"/>
          </w:tcPr>
          <w:p>
            <w:pPr>
              <w:autoSpaceDE w:val="0"/>
              <w:autoSpaceDN w:val="0"/>
              <w:adjustRightInd w:val="0"/>
              <w:snapToGrid w:val="0"/>
              <w:jc w:val="center"/>
              <w:rPr>
                <w:rFonts w:ascii="Times New Roman" w:hAnsi="Times New Roman" w:eastAsiaTheme="minorEastAsia"/>
                <w:b/>
                <w:kern w:val="0"/>
                <w:sz w:val="24"/>
                <w:szCs w:val="24"/>
              </w:rPr>
            </w:pPr>
            <w:r>
              <w:rPr>
                <w:rFonts w:ascii="Times New Roman" w:hAnsi="Times New Roman" w:eastAsiaTheme="minorEastAsia"/>
                <w:b/>
                <w:color w:val="000000"/>
                <w:kern w:val="0"/>
              </w:rPr>
              <w:t>影响区域生态敏感性</w:t>
            </w:r>
          </w:p>
        </w:tc>
        <w:tc>
          <w:tcPr>
            <w:tcW w:w="3917" w:type="pct"/>
            <w:gridSpan w:val="3"/>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083" w:type="pct"/>
            <w:vMerge w:val="continue"/>
            <w:vAlign w:val="center"/>
          </w:tcPr>
          <w:p>
            <w:pPr>
              <w:autoSpaceDE w:val="0"/>
              <w:autoSpaceDN w:val="0"/>
              <w:adjustRightInd w:val="0"/>
              <w:snapToGrid w:val="0"/>
              <w:jc w:val="center"/>
              <w:rPr>
                <w:rFonts w:ascii="Times New Roman" w:hAnsi="Times New Roman" w:eastAsiaTheme="minorEastAsia"/>
                <w:b/>
                <w:kern w:val="0"/>
                <w:sz w:val="24"/>
                <w:szCs w:val="24"/>
              </w:rPr>
            </w:pPr>
          </w:p>
        </w:tc>
        <w:tc>
          <w:tcPr>
            <w:tcW w:w="118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面积</w:t>
            </w:r>
            <w:r>
              <w:rPr>
                <w:rFonts w:ascii="Times New Roman" w:hAnsi="Times New Roman" w:eastAsiaTheme="minorEastAsia"/>
                <w:b/>
                <w:bCs/>
                <w:color w:val="000000"/>
                <w:kern w:val="0"/>
              </w:rPr>
              <w:t>≥20km</w:t>
            </w:r>
            <w:r>
              <w:rPr>
                <w:rFonts w:ascii="Times New Roman" w:hAnsi="Times New Roman" w:eastAsiaTheme="minorEastAsia"/>
                <w:b/>
                <w:bCs/>
                <w:color w:val="000000"/>
                <w:kern w:val="0"/>
                <w:vertAlign w:val="superscript"/>
              </w:rPr>
              <w:t>2</w:t>
            </w:r>
            <w:r>
              <w:rPr>
                <w:rFonts w:ascii="Times New Roman" w:hAnsi="Times New Roman" w:eastAsiaTheme="minorEastAsia"/>
                <w:b/>
                <w:color w:val="000000"/>
                <w:kern w:val="0"/>
              </w:rPr>
              <w:t>或长度</w:t>
            </w:r>
            <w:r>
              <w:rPr>
                <w:rFonts w:ascii="Times New Roman" w:hAnsi="Times New Roman" w:eastAsiaTheme="minorEastAsia"/>
                <w:b/>
                <w:bCs/>
                <w:color w:val="000000"/>
                <w:kern w:val="0"/>
              </w:rPr>
              <w:t>≥100km</w:t>
            </w:r>
          </w:p>
        </w:tc>
        <w:tc>
          <w:tcPr>
            <w:tcW w:w="164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面积</w:t>
            </w:r>
            <w:r>
              <w:rPr>
                <w:rFonts w:ascii="Times New Roman" w:hAnsi="Times New Roman" w:eastAsiaTheme="minorEastAsia"/>
                <w:b/>
                <w:bCs/>
                <w:color w:val="000000"/>
                <w:kern w:val="0"/>
              </w:rPr>
              <w:t>2km</w:t>
            </w:r>
            <w:r>
              <w:rPr>
                <w:rFonts w:ascii="Times New Roman" w:hAnsi="Times New Roman" w:eastAsiaTheme="minorEastAsia"/>
                <w:b/>
                <w:bCs/>
                <w:color w:val="000000"/>
                <w:kern w:val="0"/>
                <w:vertAlign w:val="superscript"/>
              </w:rPr>
              <w:t>2</w:t>
            </w:r>
            <w:r>
              <w:rPr>
                <w:rFonts w:ascii="Times New Roman" w:hAnsi="Times New Roman" w:eastAsiaTheme="minorEastAsia"/>
                <w:b/>
                <w:bCs/>
                <w:color w:val="000000"/>
                <w:kern w:val="0"/>
              </w:rPr>
              <w:t>~20km</w:t>
            </w:r>
            <w:r>
              <w:rPr>
                <w:rFonts w:ascii="Times New Roman" w:hAnsi="Times New Roman" w:eastAsiaTheme="minorEastAsia"/>
                <w:b/>
                <w:bCs/>
                <w:color w:val="000000"/>
                <w:kern w:val="0"/>
                <w:vertAlign w:val="superscript"/>
              </w:rPr>
              <w:t>2</w:t>
            </w:r>
            <w:r>
              <w:rPr>
                <w:rFonts w:ascii="Times New Roman" w:hAnsi="Times New Roman" w:eastAsiaTheme="minorEastAsia"/>
                <w:b/>
                <w:color w:val="000000"/>
                <w:kern w:val="0"/>
              </w:rPr>
              <w:t>或长度</w:t>
            </w:r>
            <w:r>
              <w:rPr>
                <w:rFonts w:ascii="Times New Roman" w:hAnsi="Times New Roman" w:eastAsiaTheme="minorEastAsia"/>
                <w:b/>
                <w:bCs/>
                <w:color w:val="000000"/>
                <w:kern w:val="0"/>
              </w:rPr>
              <w:t>50km~100km</w:t>
            </w:r>
          </w:p>
        </w:tc>
        <w:tc>
          <w:tcPr>
            <w:tcW w:w="109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面积</w:t>
            </w:r>
            <w:r>
              <w:rPr>
                <w:rFonts w:ascii="Times New Roman" w:hAnsi="Times New Roman" w:eastAsiaTheme="minorEastAsia"/>
                <w:b/>
                <w:bCs/>
                <w:color w:val="000000"/>
                <w:kern w:val="0"/>
              </w:rPr>
              <w:t>≤2km</w:t>
            </w:r>
            <w:r>
              <w:rPr>
                <w:rFonts w:ascii="Times New Roman" w:hAnsi="Times New Roman" w:eastAsiaTheme="minorEastAsia"/>
                <w:b/>
                <w:bCs/>
                <w:color w:val="000000"/>
                <w:kern w:val="0"/>
                <w:vertAlign w:val="superscript"/>
              </w:rPr>
              <w:t>2</w:t>
            </w:r>
            <w:r>
              <w:rPr>
                <w:rFonts w:ascii="Times New Roman" w:hAnsi="Times New Roman" w:eastAsiaTheme="minorEastAsia"/>
                <w:b/>
                <w:color w:val="000000"/>
                <w:kern w:val="0"/>
              </w:rPr>
              <w:t>或长度</w:t>
            </w:r>
            <w:r>
              <w:rPr>
                <w:rFonts w:ascii="Times New Roman" w:hAnsi="Times New Roman" w:eastAsiaTheme="minorEastAsia"/>
                <w:b/>
                <w:bCs/>
                <w:color w:val="000000"/>
                <w:kern w:val="0"/>
              </w:rPr>
              <w:t>≤50km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特殊生态敏感区</w:t>
            </w:r>
          </w:p>
        </w:tc>
        <w:tc>
          <w:tcPr>
            <w:tcW w:w="11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1640" w:type="pct"/>
            <w:shd w:val="clear" w:color="auto" w:fill="auto"/>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1093" w:type="pct"/>
            <w:shd w:val="clear" w:color="auto" w:fill="auto"/>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shd w:val="clear"/>
              </w:rPr>
              <w:t>一级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重要生态敏感区</w:t>
            </w:r>
          </w:p>
        </w:tc>
        <w:tc>
          <w:tcPr>
            <w:tcW w:w="11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1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1093" w:type="pct"/>
            <w:shd w:val="clear" w:color="auto" w:fill="BEBEBE" w:themeFill="background1" w:themeFillShade="BF"/>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一般区域</w:t>
            </w:r>
          </w:p>
        </w:tc>
        <w:tc>
          <w:tcPr>
            <w:tcW w:w="11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1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10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r>
    </w:tbl>
    <w:p>
      <w:pPr>
        <w:autoSpaceDE w:val="0"/>
        <w:autoSpaceDN w:val="0"/>
        <w:adjustRightInd w:val="0"/>
        <w:snapToGrid w:val="0"/>
        <w:ind w:firstLine="480" w:firstLineChars="200"/>
        <w:jc w:val="left"/>
        <w:rPr>
          <w:rFonts w:ascii="Times New Roman" w:hAnsi="Times New Roman" w:eastAsiaTheme="minorEastAsia"/>
          <w:kern w:val="0"/>
          <w:sz w:val="24"/>
          <w:szCs w:val="24"/>
        </w:rPr>
      </w:pPr>
    </w:p>
    <w:p>
      <w:pPr>
        <w:pStyle w:val="5"/>
        <w:rPr>
          <w:rFonts w:eastAsiaTheme="minorEastAsia"/>
        </w:rPr>
      </w:pPr>
      <w:r>
        <w:rPr>
          <w:rFonts w:eastAsiaTheme="minorEastAsia"/>
        </w:rPr>
        <w:t>环境风险评价等级</w:t>
      </w:r>
    </w:p>
    <w:p>
      <w:pPr>
        <w:adjustRightInd w:val="0"/>
        <w:snapToGrid w:val="0"/>
        <w:spacing w:line="360" w:lineRule="auto"/>
        <w:ind w:firstLine="480" w:firstLineChars="200"/>
        <w:rPr>
          <w:rFonts w:hint="eastAsia"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根据《建设项目环境风险评价技术导则》（HJ169-2018）的规定，根据建设项目涉及的物质及工艺系统危险性和所在地的环境敏感性确定环境风险潜势，将环境风险评价工作划分为一、二、三级及简单分析</w:t>
      </w:r>
      <w:r>
        <w:rPr>
          <w:rFonts w:hint="eastAsia" w:ascii="Times New Roman" w:hAnsi="Times New Roman" w:eastAsiaTheme="minorEastAsia"/>
          <w:color w:val="FF0000"/>
          <w:sz w:val="24"/>
          <w:szCs w:val="24"/>
          <w:u w:val="single"/>
        </w:rPr>
        <w:t>。本项目地下水</w:t>
      </w:r>
      <w:r>
        <w:rPr>
          <w:rFonts w:hint="eastAsia" w:ascii="Times New Roman" w:hAnsi="Times New Roman" w:eastAsiaTheme="minorEastAsia"/>
          <w:color w:val="FF0000"/>
          <w:sz w:val="24"/>
          <w:szCs w:val="24"/>
          <w:u w:val="single"/>
          <w:lang w:eastAsia="zh-CN"/>
        </w:rPr>
        <w:t>、</w:t>
      </w:r>
      <w:r>
        <w:rPr>
          <w:rFonts w:hint="eastAsia" w:ascii="Times New Roman" w:hAnsi="Times New Roman" w:eastAsiaTheme="minorEastAsia"/>
          <w:color w:val="FF0000"/>
          <w:sz w:val="24"/>
          <w:szCs w:val="24"/>
          <w:u w:val="single"/>
        </w:rPr>
        <w:t>大气环境、地表水环境风险潜势为</w:t>
      </w:r>
      <w:r>
        <w:rPr>
          <w:rFonts w:hint="eastAsia" w:ascii="Times New Roman" w:hAnsi="Times New Roman" w:eastAsiaTheme="minorEastAsia"/>
          <w:color w:val="FF0000"/>
          <w:sz w:val="24"/>
          <w:szCs w:val="24"/>
          <w:u w:val="single"/>
          <w:lang w:val="en-US" w:eastAsia="zh-CN"/>
        </w:rPr>
        <w:t>Ⅲ</w:t>
      </w:r>
      <w:r>
        <w:rPr>
          <w:rFonts w:hint="eastAsia" w:ascii="Times New Roman" w:hAnsi="Times New Roman" w:eastAsiaTheme="minorEastAsia"/>
          <w:color w:val="FF0000"/>
          <w:sz w:val="24"/>
          <w:szCs w:val="24"/>
          <w:u w:val="single"/>
        </w:rPr>
        <w:t>级，因此本工程地下水</w:t>
      </w:r>
      <w:r>
        <w:rPr>
          <w:rFonts w:hint="eastAsia" w:ascii="Times New Roman" w:hAnsi="Times New Roman" w:eastAsiaTheme="minorEastAsia"/>
          <w:color w:val="FF0000"/>
          <w:sz w:val="24"/>
          <w:szCs w:val="24"/>
          <w:u w:val="single"/>
          <w:lang w:eastAsia="zh-CN"/>
        </w:rPr>
        <w:t>、</w:t>
      </w:r>
      <w:r>
        <w:rPr>
          <w:rFonts w:hint="eastAsia" w:ascii="Times New Roman" w:hAnsi="Times New Roman" w:eastAsiaTheme="minorEastAsia"/>
          <w:color w:val="FF0000"/>
          <w:sz w:val="24"/>
          <w:szCs w:val="24"/>
          <w:u w:val="single"/>
        </w:rPr>
        <w:t>大气、地表水环境风险评价等级</w:t>
      </w:r>
      <w:r>
        <w:rPr>
          <w:rFonts w:hint="eastAsia" w:ascii="Times New Roman" w:hAnsi="Times New Roman" w:eastAsiaTheme="minorEastAsia"/>
          <w:color w:val="FF0000"/>
          <w:sz w:val="24"/>
          <w:szCs w:val="24"/>
          <w:u w:val="single"/>
          <w:lang w:val="en-US" w:eastAsia="zh-CN"/>
        </w:rPr>
        <w:t>均</w:t>
      </w:r>
      <w:r>
        <w:rPr>
          <w:rFonts w:hint="eastAsia" w:ascii="Times New Roman" w:hAnsi="Times New Roman" w:eastAsiaTheme="minorEastAsia"/>
          <w:color w:val="FF0000"/>
          <w:sz w:val="24"/>
          <w:szCs w:val="24"/>
          <w:u w:val="single"/>
        </w:rPr>
        <w:t>为</w:t>
      </w:r>
      <w:r>
        <w:rPr>
          <w:rFonts w:hint="eastAsia" w:ascii="Times New Roman" w:hAnsi="Times New Roman" w:eastAsiaTheme="minorEastAsia"/>
          <w:color w:val="FF0000"/>
          <w:sz w:val="24"/>
          <w:szCs w:val="24"/>
          <w:u w:val="single"/>
          <w:lang w:val="en-US" w:eastAsia="zh-CN"/>
        </w:rPr>
        <w:t>二</w:t>
      </w:r>
      <w:r>
        <w:rPr>
          <w:rFonts w:hint="eastAsia" w:ascii="Times New Roman" w:hAnsi="Times New Roman" w:eastAsiaTheme="minorEastAsia"/>
          <w:color w:val="FF0000"/>
          <w:sz w:val="24"/>
          <w:szCs w:val="24"/>
          <w:u w:val="single"/>
        </w:rPr>
        <w:t>级。</w:t>
      </w:r>
    </w:p>
    <w:p>
      <w:pPr>
        <w:adjustRightInd w:val="0"/>
        <w:snapToGrid w:val="0"/>
        <w:spacing w:line="360" w:lineRule="auto"/>
        <w:ind w:firstLine="480" w:firstLineChars="200"/>
        <w:rPr>
          <w:rFonts w:hint="eastAsia" w:ascii="Times New Roman" w:hAnsi="Times New Roman" w:eastAsiaTheme="minorEastAsia"/>
          <w:color w:val="FF0000"/>
          <w:sz w:val="24"/>
          <w:szCs w:val="24"/>
          <w:u w:val="single"/>
          <w:lang w:eastAsia="zh-CN"/>
        </w:rPr>
      </w:pPr>
      <w:r>
        <w:rPr>
          <w:rFonts w:hint="eastAsia" w:ascii="Times New Roman" w:hAnsi="Times New Roman" w:eastAsiaTheme="minorEastAsia"/>
          <w:color w:val="FF0000"/>
          <w:sz w:val="24"/>
          <w:szCs w:val="24"/>
          <w:u w:val="single"/>
        </w:rPr>
        <w:t>《建设项目环境风险评价技术导则》</w:t>
      </w:r>
      <w:r>
        <w:rPr>
          <w:rFonts w:hint="eastAsia" w:ascii="Times New Roman" w:hAnsi="Times New Roman" w:eastAsiaTheme="minorEastAsia"/>
          <w:color w:val="FF0000"/>
          <w:sz w:val="24"/>
          <w:szCs w:val="24"/>
          <w:u w:val="single"/>
          <w:lang w:eastAsia="zh-CN"/>
        </w:rPr>
        <w:t>（</w:t>
      </w:r>
      <w:r>
        <w:rPr>
          <w:rFonts w:hint="eastAsia" w:ascii="Times New Roman" w:hAnsi="Times New Roman" w:eastAsiaTheme="minorEastAsia"/>
          <w:color w:val="FF0000"/>
          <w:sz w:val="24"/>
          <w:szCs w:val="24"/>
          <w:u w:val="single"/>
        </w:rPr>
        <w:t>HJ 169-2018</w:t>
      </w:r>
      <w:r>
        <w:rPr>
          <w:rFonts w:hint="eastAsia" w:ascii="Times New Roman" w:hAnsi="Times New Roman" w:eastAsiaTheme="minorEastAsia"/>
          <w:color w:val="FF0000"/>
          <w:sz w:val="24"/>
          <w:szCs w:val="24"/>
          <w:u w:val="single"/>
          <w:lang w:eastAsia="zh-CN"/>
        </w:rPr>
        <w:t>）</w:t>
      </w:r>
      <w:r>
        <w:rPr>
          <w:rFonts w:hint="eastAsia" w:ascii="Times New Roman" w:hAnsi="Times New Roman" w:eastAsiaTheme="minorEastAsia"/>
          <w:color w:val="FF0000"/>
          <w:sz w:val="24"/>
          <w:szCs w:val="24"/>
          <w:u w:val="single"/>
        </w:rPr>
        <w:t>评价等级划分见</w:t>
      </w:r>
      <w:r>
        <w:rPr>
          <w:rFonts w:hint="eastAsia" w:ascii="Times New Roman" w:hAnsi="Times New Roman" w:eastAsiaTheme="minorEastAsia"/>
          <w:color w:val="FF0000"/>
          <w:sz w:val="24"/>
          <w:szCs w:val="24"/>
          <w:u w:val="single"/>
          <w:lang w:val="en-US" w:eastAsia="zh-CN"/>
        </w:rPr>
        <w:t>下</w:t>
      </w:r>
      <w:r>
        <w:rPr>
          <w:rFonts w:hint="eastAsia" w:ascii="Times New Roman" w:hAnsi="Times New Roman" w:eastAsiaTheme="minorEastAsia"/>
          <w:color w:val="FF0000"/>
          <w:sz w:val="24"/>
          <w:szCs w:val="24"/>
          <w:u w:val="single"/>
        </w:rPr>
        <w:t>表</w:t>
      </w:r>
      <w:r>
        <w:rPr>
          <w:rFonts w:hint="eastAsia" w:ascii="Times New Roman" w:hAnsi="Times New Roman" w:eastAsiaTheme="minorEastAsia"/>
          <w:color w:val="FF0000"/>
          <w:sz w:val="24"/>
          <w:szCs w:val="24"/>
          <w:u w:val="single"/>
          <w:lang w:eastAsia="zh-CN"/>
        </w:rPr>
        <w:t>：</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表2.5-10  风险评价工作等级判定表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530"/>
        <w:gridCol w:w="1822"/>
        <w:gridCol w:w="1571"/>
        <w:gridCol w:w="1632"/>
        <w:gridCol w:w="17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136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环境风险潜势</w:t>
            </w:r>
          </w:p>
        </w:tc>
        <w:tc>
          <w:tcPr>
            <w:tcW w:w="98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Ⅳ</w:t>
            </w:r>
            <w:r>
              <w:rPr>
                <w:rFonts w:ascii="Times New Roman" w:hAnsi="Times New Roman" w:eastAsiaTheme="minorEastAsia"/>
                <w:b/>
                <w:color w:val="000000"/>
                <w:kern w:val="0"/>
              </w:rPr>
              <w:t>、</w:t>
            </w:r>
            <w:r>
              <w:rPr>
                <w:rFonts w:hint="eastAsia" w:ascii="宋体" w:hAnsi="宋体" w:cs="宋体"/>
                <w:b/>
                <w:color w:val="000000"/>
                <w:kern w:val="0"/>
              </w:rPr>
              <w:t>Ⅳ</w:t>
            </w:r>
            <w:r>
              <w:rPr>
                <w:rFonts w:ascii="Times New Roman" w:hAnsi="Times New Roman" w:eastAsiaTheme="minorEastAsia"/>
                <w:b/>
                <w:color w:val="000000"/>
                <w:kern w:val="0"/>
                <w:vertAlign w:val="superscript"/>
              </w:rPr>
              <w:t>+</w:t>
            </w:r>
          </w:p>
        </w:tc>
        <w:tc>
          <w:tcPr>
            <w:tcW w:w="84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Ⅲ</w:t>
            </w:r>
          </w:p>
        </w:tc>
        <w:tc>
          <w:tcPr>
            <w:tcW w:w="87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Ⅱ</w:t>
            </w:r>
          </w:p>
        </w:tc>
        <w:tc>
          <w:tcPr>
            <w:tcW w:w="93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5" w:hRule="atLeast"/>
          <w:jc w:val="center"/>
        </w:trPr>
        <w:tc>
          <w:tcPr>
            <w:tcW w:w="13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评价工作等级</w:t>
            </w:r>
          </w:p>
        </w:tc>
        <w:tc>
          <w:tcPr>
            <w:tcW w:w="9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w:t>
            </w:r>
          </w:p>
        </w:tc>
        <w:tc>
          <w:tcPr>
            <w:tcW w:w="846" w:type="pct"/>
            <w:shd w:val="clear" w:color="auto" w:fill="BEBEBE" w:themeFill="background1" w:themeFillShade="BF"/>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w:t>
            </w:r>
          </w:p>
        </w:tc>
        <w:tc>
          <w:tcPr>
            <w:tcW w:w="879" w:type="pct"/>
            <w:shd w:val="clear" w:color="auto" w:fill="auto"/>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w:t>
            </w:r>
          </w:p>
        </w:tc>
        <w:tc>
          <w:tcPr>
            <w:tcW w:w="931" w:type="pct"/>
            <w:shd w:val="clear" w:color="auto" w:fill="auto"/>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shd w:val="clear"/>
              </w:rPr>
              <w:t>简单分析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5" w:hRule="atLeast"/>
          <w:jc w:val="center"/>
        </w:trPr>
        <w:tc>
          <w:tcPr>
            <w:tcW w:w="5000" w:type="pct"/>
            <w:gridSpan w:val="5"/>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rPr>
              <w:t>a是相对于详细评价评价工作内容而言，在描述危险物质、环境影响途经、环境危害后果、风险防范措施等方面给出定型的说明。见附录A。</w:t>
            </w:r>
          </w:p>
        </w:tc>
      </w:tr>
    </w:tbl>
    <w:p>
      <w:pPr>
        <w:pStyle w:val="319"/>
        <w:snapToGrid w:val="0"/>
        <w:spacing w:after="0" w:line="360" w:lineRule="auto"/>
        <w:jc w:val="both"/>
        <w:rPr>
          <w:rFonts w:ascii="Times New Roman" w:eastAsiaTheme="minorEastAsia"/>
          <w:color w:val="000000"/>
        </w:rPr>
      </w:pPr>
    </w:p>
    <w:p>
      <w:pPr>
        <w:pStyle w:val="5"/>
        <w:rPr>
          <w:rFonts w:eastAsiaTheme="minorEastAsia"/>
        </w:rPr>
      </w:pPr>
      <w:r>
        <w:rPr>
          <w:rFonts w:eastAsiaTheme="minorEastAsia"/>
        </w:rPr>
        <w:t>土壤环境评价等级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本项目工程内容包括码头和管线两部分，根据《环境影响评价技术导则  土壤环境》（HJ964-2018）第6.2.5条规定：线性工程重点针对主要站场位置（如输油站、泵站、阀室、加油站、维修场所等）6.2.2 分段判断评价等级，并按相应等级分别开展评价工作。本项目在码头区域设置阀室平台4个，因此本次评价按码头区域的占地情况来确定土壤评价等级。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根据导则，建设项目土壤环境影响评价工作等级的划分应依据建设项目行业分类和土壤环境敏感程度分级进行判定：</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建设项目行业分类：对照《环境影响评价技术导则  土壤环境》（HJ964-2018）附录A，拟建工程属于“交通运输仓储邮政类”中“石油及成品油的输送管线”类，按土壤环境影响评价项目类别划分为</w:t>
      </w:r>
      <w:r>
        <w:rPr>
          <w:rFonts w:hint="eastAsia" w:ascii="宋体" w:hAnsi="宋体" w:cs="宋体"/>
          <w:color w:val="000000"/>
          <w:sz w:val="24"/>
          <w:szCs w:val="24"/>
          <w:lang w:eastAsia="ja-JP"/>
        </w:rPr>
        <w:t>Ⅱ</w:t>
      </w:r>
      <w:r>
        <w:rPr>
          <w:rFonts w:ascii="Times New Roman" w:hAnsi="Times New Roman" w:eastAsiaTheme="minorEastAsia"/>
          <w:color w:val="000000"/>
          <w:sz w:val="24"/>
          <w:szCs w:val="24"/>
        </w:rPr>
        <w:t>类。</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土壤环境敏感程度分级：码头及阀室均位于大堤外，工程周边200m范围存在土壤敏感目标。因此，土壤敏感程度为敏感。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⑶</w:t>
      </w:r>
      <w:r>
        <w:rPr>
          <w:rFonts w:ascii="Times New Roman" w:hAnsi="Times New Roman" w:eastAsiaTheme="minorEastAsia"/>
          <w:color w:val="000000"/>
          <w:sz w:val="24"/>
          <w:szCs w:val="24"/>
        </w:rPr>
        <w:t xml:space="preserve"> 建设项目占地规模分级：码头及阀室占地规模小于5hm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，占地规模为小型。</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具体等级划分见表2.5-11。</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表2.5-11  各环境要素环境影响评价等级一览表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84"/>
        <w:gridCol w:w="5935"/>
        <w:gridCol w:w="11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09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等级划分指标</w:t>
            </w:r>
          </w:p>
        </w:tc>
        <w:tc>
          <w:tcPr>
            <w:tcW w:w="326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建设项目情况</w:t>
            </w:r>
          </w:p>
        </w:tc>
        <w:tc>
          <w:tcPr>
            <w:tcW w:w="65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分级情况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建设项目行业分类</w:t>
            </w:r>
          </w:p>
        </w:tc>
        <w:tc>
          <w:tcPr>
            <w:tcW w:w="3261"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对照《环境影响评价技术导则土壤环境》（HJ964-2018）附录A，本项目属于“交通运输仓储邮政类”中“石油及成品油的输送管线”类，土壤环境影响评价项目类别划分为</w:t>
            </w:r>
            <w:r>
              <w:rPr>
                <w:rFonts w:hint="eastAsia" w:ascii="宋体" w:hAnsi="宋体" w:cs="宋体"/>
                <w:color w:val="000000"/>
                <w:kern w:val="0"/>
                <w:lang w:eastAsia="ja-JP"/>
              </w:rPr>
              <w:t>Ⅱ</w:t>
            </w:r>
            <w:r>
              <w:rPr>
                <w:rFonts w:ascii="Times New Roman" w:hAnsi="Times New Roman" w:eastAsiaTheme="minorEastAsia"/>
                <w:color w:val="000000"/>
                <w:kern w:val="0"/>
              </w:rPr>
              <w:t>类。</w:t>
            </w:r>
          </w:p>
        </w:tc>
        <w:tc>
          <w:tcPr>
            <w:tcW w:w="650"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宋体" w:hAnsi="宋体" w:cs="宋体"/>
                <w:color w:val="000000"/>
                <w:kern w:val="0"/>
                <w:lang w:eastAsia="ja-JP"/>
              </w:rPr>
              <w:t>Ⅱ</w:t>
            </w:r>
            <w:r>
              <w:rPr>
                <w:rFonts w:ascii="Times New Roman" w:hAnsi="Times New Roman" w:eastAsiaTheme="minorEastAsia"/>
                <w:color w:val="000000"/>
                <w:kern w:val="0"/>
              </w:rPr>
              <w:t>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土壤环境敏感程度</w:t>
            </w:r>
          </w:p>
        </w:tc>
        <w:tc>
          <w:tcPr>
            <w:tcW w:w="326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码头及阀室周边存在耕地、居民区等土壤敏感目标</w:t>
            </w:r>
          </w:p>
        </w:tc>
        <w:tc>
          <w:tcPr>
            <w:tcW w:w="65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敏感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占地规模</w:t>
            </w:r>
          </w:p>
        </w:tc>
        <w:tc>
          <w:tcPr>
            <w:tcW w:w="326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≤5hm</w:t>
            </w:r>
            <w:r>
              <w:rPr>
                <w:rFonts w:ascii="Times New Roman" w:hAnsi="Times New Roman" w:eastAsiaTheme="minorEastAsia"/>
                <w:color w:val="000000"/>
                <w:kern w:val="0"/>
                <w:vertAlign w:val="superscript"/>
              </w:rPr>
              <w:t>2</w:t>
            </w:r>
          </w:p>
        </w:tc>
        <w:tc>
          <w:tcPr>
            <w:tcW w:w="65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工作等级划分</w:t>
            </w:r>
          </w:p>
        </w:tc>
        <w:tc>
          <w:tcPr>
            <w:tcW w:w="326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65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r>
    </w:tbl>
    <w:p>
      <w:pPr>
        <w:adjustRightInd w:val="0"/>
        <w:snapToGrid w:val="0"/>
        <w:spacing w:line="360" w:lineRule="auto"/>
        <w:ind w:firstLine="480" w:firstLineChars="200"/>
        <w:rPr>
          <w:rFonts w:ascii="Times New Roman" w:hAnsi="Times New Roman" w:eastAsiaTheme="minorEastAsia"/>
          <w:kern w:val="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经以上分析，根据《环境影响评价技术导则  土壤环境》（HJ964-2018）中相关规定，本项目为污染影响型的二级土壤评价。</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本项目环境评价工作等级汇总见下表。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表2.5-12  本项目环境评价工作级汇总表</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99"/>
        <w:gridCol w:w="2000"/>
        <w:gridCol w:w="2664"/>
        <w:gridCol w:w="2331"/>
        <w:gridCol w:w="10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pStyle w:val="330"/>
              <w:snapToGrid w:val="0"/>
              <w:spacing w:after="0"/>
              <w:jc w:val="center"/>
              <w:rPr>
                <w:rFonts w:ascii="Times New Roman" w:eastAsiaTheme="minorEastAsia"/>
                <w:b/>
                <w:color w:val="000000"/>
                <w:sz w:val="21"/>
                <w:szCs w:val="21"/>
              </w:rPr>
            </w:pPr>
            <w:r>
              <w:rPr>
                <w:rFonts w:ascii="Times New Roman" w:eastAsiaTheme="minorEastAsia"/>
                <w:b/>
                <w:color w:val="000000"/>
                <w:sz w:val="21"/>
                <w:szCs w:val="21"/>
              </w:rPr>
              <w:t>序号</w:t>
            </w:r>
          </w:p>
        </w:tc>
        <w:tc>
          <w:tcPr>
            <w:tcW w:w="2563"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评价内容</w:t>
            </w:r>
          </w:p>
        </w:tc>
        <w:tc>
          <w:tcPr>
            <w:tcW w:w="1281" w:type="pct"/>
            <w:vAlign w:val="center"/>
          </w:tcPr>
          <w:p>
            <w:pPr>
              <w:pStyle w:val="330"/>
              <w:snapToGrid w:val="0"/>
              <w:spacing w:after="0"/>
              <w:jc w:val="center"/>
              <w:rPr>
                <w:rFonts w:ascii="Times New Roman" w:eastAsiaTheme="minorEastAsia"/>
                <w:b/>
                <w:color w:val="000000"/>
                <w:sz w:val="21"/>
                <w:szCs w:val="21"/>
              </w:rPr>
            </w:pPr>
            <w:r>
              <w:rPr>
                <w:rFonts w:ascii="Times New Roman" w:eastAsiaTheme="minorEastAsia"/>
                <w:b/>
                <w:color w:val="000000"/>
                <w:sz w:val="21"/>
                <w:szCs w:val="21"/>
              </w:rPr>
              <w:t>评价工作等级</w:t>
            </w:r>
          </w:p>
        </w:tc>
        <w:tc>
          <w:tcPr>
            <w:tcW w:w="55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09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地表水环境</w:t>
            </w:r>
          </w:p>
        </w:tc>
        <w:tc>
          <w:tcPr>
            <w:tcW w:w="14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水污染影响型</w:t>
            </w:r>
          </w:p>
        </w:tc>
        <w:tc>
          <w:tcPr>
            <w:tcW w:w="12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三级B</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09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4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水文要素影响型</w:t>
            </w:r>
          </w:p>
        </w:tc>
        <w:tc>
          <w:tcPr>
            <w:tcW w:w="12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二</w:t>
            </w:r>
            <w:r>
              <w:rPr>
                <w:rFonts w:ascii="Times New Roman" w:hAnsi="Times New Roman" w:eastAsiaTheme="minorEastAsia"/>
                <w:color w:val="000000" w:themeColor="text1"/>
                <w:kern w:val="0"/>
                <w14:textFill>
                  <w14:solidFill>
                    <w14:schemeClr w14:val="tx1"/>
                  </w14:solidFill>
                </w14:textFill>
              </w:rPr>
              <w:t>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二级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地下水环境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三级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三</w:t>
            </w:r>
            <w:r>
              <w:rPr>
                <w:rFonts w:ascii="Times New Roman" w:hAnsi="Times New Roman" w:eastAsiaTheme="minorEastAsia"/>
                <w:color w:val="000000" w:themeColor="text1"/>
                <w:kern w:val="0"/>
                <w14:textFill>
                  <w14:solidFill>
                    <w14:schemeClr w14:val="tx1"/>
                  </w14:solidFill>
                </w14:textFill>
              </w:rPr>
              <w:t>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环境风险</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简单分析</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土壤环境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二级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bl>
    <w:p>
      <w:pPr>
        <w:adjustRightInd w:val="0"/>
        <w:snapToGrid w:val="0"/>
        <w:spacing w:line="360" w:lineRule="auto"/>
        <w:ind w:firstLine="480" w:firstLineChars="200"/>
        <w:rPr>
          <w:rFonts w:ascii="Times New Roman" w:hAnsi="Times New Roman" w:eastAsiaTheme="minorEastAsia"/>
          <w:kern w:val="0"/>
          <w:sz w:val="24"/>
          <w:szCs w:val="24"/>
        </w:rPr>
      </w:pPr>
    </w:p>
    <w:p>
      <w:pPr>
        <w:pStyle w:val="4"/>
        <w:rPr>
          <w:rFonts w:eastAsiaTheme="minorEastAsia"/>
        </w:rPr>
      </w:pPr>
      <w:r>
        <w:rPr>
          <w:rFonts w:eastAsiaTheme="minorEastAsia"/>
        </w:rPr>
        <w:t>评价范围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本项目包括码头及管线部分，管线部分为码头至罐区外的管道，不包括罐区内部储存罐和管线。根据拟建项目评价等级，确定各环境要素的评价范围，具体见表2.5-13。</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表2.5-13  评价范围一览表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97"/>
        <w:gridCol w:w="739"/>
        <w:gridCol w:w="76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评价内容</w:t>
            </w:r>
          </w:p>
        </w:tc>
        <w:tc>
          <w:tcPr>
            <w:tcW w:w="421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码头上游10km至下游30km共约40km的长江干流水域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地下水环境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码头所在水文地质单元，周边6km</w:t>
            </w:r>
            <w:r>
              <w:rPr>
                <w:rFonts w:ascii="Times New Roman" w:hAnsi="Times New Roman" w:eastAsiaTheme="minorEastAsia"/>
                <w:kern w:val="0"/>
                <w:vertAlign w:val="superscript"/>
              </w:rPr>
              <w:t>2</w:t>
            </w:r>
            <w:r>
              <w:rPr>
                <w:rFonts w:ascii="Times New Roman" w:hAnsi="Times New Roman" w:eastAsiaTheme="minorEastAsia"/>
                <w:kern w:val="0"/>
              </w:rPr>
              <w:t>的范围内，管线工程两侧各200m内区域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大气环境</w:t>
            </w:r>
          </w:p>
        </w:tc>
        <w:tc>
          <w:tcPr>
            <w:tcW w:w="4210" w:type="pct"/>
            <w:vAlign w:val="center"/>
          </w:tcPr>
          <w:p>
            <w:pPr>
              <w:autoSpaceDE w:val="0"/>
              <w:autoSpaceDN w:val="0"/>
              <w:adjustRightInd w:val="0"/>
              <w:snapToGrid w:val="0"/>
              <w:jc w:val="left"/>
              <w:rPr>
                <w:rFonts w:ascii="Times New Roman" w:hAnsi="Times New Roman" w:eastAsiaTheme="minorEastAsia"/>
                <w:color w:val="2306FA"/>
                <w:kern w:val="0"/>
              </w:rPr>
            </w:pPr>
            <w:r>
              <w:rPr>
                <w:rFonts w:ascii="Times New Roman" w:hAnsi="Times New Roman" w:eastAsiaTheme="minorEastAsia"/>
                <w:color w:val="000000" w:themeColor="text1"/>
                <w:spacing w:val="-6"/>
                <w14:textFill>
                  <w14:solidFill>
                    <w14:schemeClr w14:val="tx1"/>
                  </w14:solidFill>
                </w14:textFill>
              </w:rPr>
              <w:t>以项目</w:t>
            </w:r>
            <w:r>
              <w:rPr>
                <w:rFonts w:hint="eastAsia" w:ascii="Times New Roman" w:hAnsi="Times New Roman" w:eastAsiaTheme="minorEastAsia"/>
                <w:color w:val="000000" w:themeColor="text1"/>
                <w:spacing w:val="-6"/>
                <w14:textFill>
                  <w14:solidFill>
                    <w14:schemeClr w14:val="tx1"/>
                  </w14:solidFill>
                </w14:textFill>
              </w:rPr>
              <w:t>码头</w:t>
            </w:r>
            <w:r>
              <w:rPr>
                <w:rFonts w:ascii="Times New Roman" w:hAnsi="Times New Roman" w:eastAsiaTheme="minorEastAsia"/>
                <w:color w:val="000000" w:themeColor="text1"/>
                <w:spacing w:val="-6"/>
                <w14:textFill>
                  <w14:solidFill>
                    <w14:schemeClr w14:val="tx1"/>
                  </w14:solidFill>
                </w14:textFill>
              </w:rPr>
              <w:t>区域中心为中心，边长为5km矩形范围；管线工程两侧各200m内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码头四周场界200m范围内，管线工程两侧各200m内区域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土壤环境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码头及管线两侧各200m内区域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40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水域</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码头上游1km至下游10km共约11km的长江干流水域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3"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40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陆域</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码头边界周围200m以内范围管线工程两侧各200m内区域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环境风险</w:t>
            </w:r>
          </w:p>
        </w:tc>
        <w:tc>
          <w:tcPr>
            <w:tcW w:w="4210" w:type="pct"/>
            <w:vAlign w:val="center"/>
          </w:tcPr>
          <w:p>
            <w:pPr>
              <w:autoSpaceDE w:val="0"/>
              <w:autoSpaceDN w:val="0"/>
              <w:adjustRightInd w:val="0"/>
              <w:snapToGrid w:val="0"/>
              <w:jc w:val="left"/>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大气环境风险评价范围为建设项目边界外5km的圆形区域。地表水环境风险评价范围为码头泊位上游1km至下游8km。地下水环境风险评价范围为以相对独立水文单元以自然分水岭为界，整个水文地质单元评价范围为13.56km</w:t>
            </w:r>
            <w:r>
              <w:rPr>
                <w:rFonts w:hint="eastAsia" w:ascii="Times New Roman" w:hAnsi="Times New Roman" w:eastAsiaTheme="minorEastAsia"/>
                <w:color w:val="FF0000"/>
                <w:kern w:val="0"/>
                <w:u w:val="single"/>
                <w:vertAlign w:val="superscript"/>
              </w:rPr>
              <w:t>2</w:t>
            </w:r>
          </w:p>
        </w:tc>
      </w:tr>
    </w:tbl>
    <w:p>
      <w:pPr>
        <w:autoSpaceDE w:val="0"/>
        <w:autoSpaceDN w:val="0"/>
        <w:adjustRightInd w:val="0"/>
        <w:snapToGrid w:val="0"/>
        <w:spacing w:line="360" w:lineRule="auto"/>
        <w:ind w:firstLine="480" w:firstLineChars="200"/>
        <w:jc w:val="left"/>
        <w:rPr>
          <w:rFonts w:ascii="Times New Roman" w:hAnsi="Times New Roman" w:eastAsiaTheme="minorEastAsia"/>
          <w:kern w:val="0"/>
          <w:sz w:val="24"/>
          <w:szCs w:val="24"/>
        </w:rPr>
      </w:pPr>
    </w:p>
    <w:p>
      <w:pPr>
        <w:pStyle w:val="3"/>
        <w:rPr>
          <w:rFonts w:ascii="Times New Roman" w:hAnsi="Times New Roman" w:eastAsiaTheme="minorEastAsia"/>
          <w:b/>
          <w:color w:val="000000"/>
          <w:szCs w:val="24"/>
          <w:lang w:bidi="ar"/>
        </w:rPr>
      </w:pPr>
      <w:bookmarkStart w:id="26" w:name="_Toc535"/>
      <w:r>
        <w:rPr>
          <w:rFonts w:ascii="Times New Roman" w:hAnsi="Times New Roman" w:eastAsiaTheme="minorEastAsia"/>
          <w:b/>
        </w:rPr>
        <w:t>环境功能区划与评价标准</w:t>
      </w:r>
      <w:bookmarkEnd w:id="26"/>
    </w:p>
    <w:p>
      <w:pPr>
        <w:pStyle w:val="4"/>
        <w:rPr>
          <w:rFonts w:eastAsiaTheme="minorEastAsia"/>
        </w:rPr>
      </w:pPr>
      <w:r>
        <w:rPr>
          <w:rFonts w:eastAsiaTheme="minorEastAsia"/>
        </w:rPr>
        <w:t>环境功能区划</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1、地表水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本项目地表水体为长江干流岳阳段（即“塔市驿（湖北省流入湖南省断面）至黄盖湖（湖南省流入湖北省断面）”，属渔业用水区），长江岳阳段属于《地表水环境质量标准》（GB3838-2002）中</w:t>
      </w:r>
      <w:r>
        <w:rPr>
          <w:rFonts w:hint="eastAsia" w:ascii="宋体" w:hAnsi="宋体" w:cs="宋体"/>
          <w:color w:val="000000"/>
          <w:sz w:val="24"/>
          <w:szCs w:val="24"/>
        </w:rPr>
        <w:t>Ⅲ</w:t>
      </w:r>
      <w:r>
        <w:rPr>
          <w:rFonts w:ascii="Times New Roman" w:hAnsi="Times New Roman" w:eastAsiaTheme="minorEastAsia"/>
          <w:color w:val="000000"/>
          <w:sz w:val="24"/>
          <w:szCs w:val="24"/>
        </w:rPr>
        <w:t>类水体。</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2、地下水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本项目所在地地下水执行《地下水质量标准》（GB/T14848-2017）</w:t>
      </w:r>
      <w:r>
        <w:rPr>
          <w:rFonts w:hint="eastAsia" w:ascii="宋体" w:hAnsi="宋体" w:cs="宋体"/>
          <w:color w:val="000000"/>
          <w:sz w:val="24"/>
          <w:szCs w:val="24"/>
        </w:rPr>
        <w:t>Ⅲ</w:t>
      </w:r>
      <w:r>
        <w:rPr>
          <w:rFonts w:ascii="Times New Roman" w:hAnsi="Times New Roman" w:eastAsiaTheme="minorEastAsia"/>
          <w:color w:val="000000"/>
          <w:sz w:val="24"/>
          <w:szCs w:val="24"/>
        </w:rPr>
        <w:t>类标准。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3、环境空气</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本项目所在区域属于《环境空气质量标准》（GB3095-2012）二类功能区，执行环境空气质量标准》（GB3095-2012）二级标准。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4、声环境</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根据《声环境质量标准》（GB3096-2008）的规定，按区域的使用功能特点和环境质量要求，声环境功能区分为以下五种类型：</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0类声环境功能区：指康复疗养区等特别需要安静的区域。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1类声环境功能区：指以居民住宅、医疗卫生、文化教育、科研设计、行政办公为主要功能，需要保持安静的区域。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2类声环境功能区：指以商业金融、集市贸易为主要功能，或者居住、商业、工业混杂，需要维护住宅安静的区域。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3类声环境功能区：指以工业生产、仓储物流为主要功能，需要防止工业噪声对周围环境产生严重影响的区域。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4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本项目航道两侧35m红线范围内声环境质量执行《声环境质量标准》（GB3096-2008）4a类标准，码头其他区域及管线区域声环境质量执行《声环境质量标准》（GB3096-2008）2类标准。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5、土壤</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码头工程区域土壤环境执行《土壤环境质量建设用地土壤污染风险管控标准》（GB36600-2018）中二类用地筛选值限值要求；项目管线工程区域执行《土壤环境质量农用地土壤污染风险管控标准》（GB15618-2018）。</w:t>
      </w:r>
    </w:p>
    <w:p>
      <w:pPr>
        <w:pStyle w:val="4"/>
        <w:rPr>
          <w:rFonts w:eastAsiaTheme="minorEastAsia"/>
        </w:rPr>
      </w:pPr>
      <w:r>
        <w:rPr>
          <w:rFonts w:eastAsiaTheme="minorEastAsia"/>
        </w:rPr>
        <w:t>环境质量标准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1、地表水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根据环境功能区划，长江（岳阳段）水质执行《地表水环境质量标准》（GB3838-2002）III类标准，详见表2.6-1。</w:t>
      </w:r>
      <w:r>
        <w:rPr>
          <w:rFonts w:hint="eastAsia" w:ascii="Times New Roman" w:hAnsi="Times New Roman" w:eastAsiaTheme="minorEastAsia"/>
          <w:color w:val="auto"/>
          <w:sz w:val="24"/>
          <w:szCs w:val="24"/>
        </w:rPr>
        <w:t>评价范围内农灌渠执行《农田灌溉水质标准》（GB5084-2005）标准，鱼塘执行《渔业水质标准》（GB11607-1989）。</w:t>
      </w: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表2.6-1  地表水环境质量评价标准一览表          </w:t>
      </w:r>
      <w:r>
        <w:rPr>
          <w:rFonts w:ascii="Times New Roman" w:hAnsi="Times New Roman" w:eastAsiaTheme="minorEastAsia"/>
          <w:color w:val="000000"/>
          <w:sz w:val="24"/>
          <w:szCs w:val="24"/>
        </w:rPr>
        <w:t>单位：mg/L</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67"/>
        <w:gridCol w:w="2992"/>
        <w:gridCol w:w="28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164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bCs/>
                <w:color w:val="000000"/>
                <w:kern w:val="0"/>
              </w:rPr>
              <w:t>Ⅲ</w:t>
            </w:r>
            <w:r>
              <w:rPr>
                <w:rFonts w:ascii="Times New Roman" w:hAnsi="Times New Roman" w:eastAsiaTheme="minorEastAsia"/>
                <w:b/>
                <w:color w:val="000000"/>
                <w:kern w:val="0"/>
              </w:rPr>
              <w:t>类标准</w:t>
            </w:r>
          </w:p>
        </w:tc>
        <w:tc>
          <w:tcPr>
            <w:tcW w:w="156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pH</w:t>
            </w:r>
            <w:r>
              <w:rPr>
                <w:rFonts w:hint="eastAsia" w:ascii="Times New Roman" w:hAnsi="Times New Roman" w:eastAsiaTheme="minorEastAsia"/>
                <w:color w:val="000000"/>
                <w:kern w:val="0"/>
              </w:rPr>
              <w:t>值</w:t>
            </w:r>
            <w:r>
              <w:rPr>
                <w:rFonts w:ascii="Times New Roman" w:hAnsi="Times New Roman" w:eastAsiaTheme="minorEastAsia"/>
                <w:color w:val="000000"/>
                <w:kern w:val="0"/>
              </w:rPr>
              <w:t>（无量纲）</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6~9</w:t>
            </w:r>
          </w:p>
        </w:tc>
        <w:tc>
          <w:tcPr>
            <w:tcW w:w="1561" w:type="pct"/>
            <w:vMerge w:val="restar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《地表水环境质量标准》（GB3838-2002）</w:t>
            </w:r>
            <w:r>
              <w:rPr>
                <w:rFonts w:hint="eastAsia" w:ascii="宋体" w:hAnsi="宋体" w:cs="宋体"/>
                <w:color w:val="000000"/>
                <w:kern w:val="0"/>
                <w:lang w:eastAsia="ja-JP"/>
              </w:rPr>
              <w:t>Ⅲ</w:t>
            </w:r>
            <w:r>
              <w:rPr>
                <w:rFonts w:ascii="Times New Roman" w:hAnsi="Times New Roman" w:eastAsiaTheme="minorEastAsia"/>
                <w:color w:val="000000"/>
                <w:kern w:val="0"/>
              </w:rPr>
              <w:t>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溶解氧（DO）</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561" w:type="pct"/>
            <w:vMerge w:val="continue"/>
            <w:vAlign w:val="center"/>
          </w:tcPr>
          <w:p>
            <w:pPr>
              <w:autoSpaceDE w:val="0"/>
              <w:autoSpaceDN w:val="0"/>
              <w:adjustRightInd w:val="0"/>
              <w:snapToGrid w:val="0"/>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化学需氧量（COD）</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总磷（以P计）</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总氮</w:t>
            </w:r>
            <w:r>
              <w:rPr>
                <w:rFonts w:ascii="Times New Roman" w:hAnsi="Times New Roman" w:eastAsiaTheme="minorEastAsia"/>
                <w:color w:val="000000"/>
                <w:kern w:val="0"/>
              </w:rPr>
              <w:t>（以N计）</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r>
              <w:rPr>
                <w:rFonts w:hint="eastAsia" w:ascii="Times New Roman" w:hAnsi="Times New Roman" w:eastAsiaTheme="minorEastAsia"/>
                <w:color w:val="000000"/>
                <w:kern w:val="0"/>
              </w:rPr>
              <w:t>1.0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氟化物</w:t>
            </w:r>
            <w:r>
              <w:rPr>
                <w:rFonts w:hint="eastAsia" w:ascii="Times New Roman" w:hAnsi="Times New Roman" w:eastAsiaTheme="minorEastAsia"/>
                <w:color w:val="000000"/>
              </w:rPr>
              <w:t>（以F</w:t>
            </w:r>
            <w:r>
              <w:rPr>
                <w:rFonts w:hint="eastAsia" w:ascii="Times New Roman" w:hAnsi="Times New Roman" w:eastAsiaTheme="minorEastAsia"/>
                <w:color w:val="000000"/>
                <w:vertAlign w:val="superscript"/>
              </w:rPr>
              <w:t>—</w:t>
            </w:r>
            <w:r>
              <w:rPr>
                <w:rFonts w:ascii="Times New Roman" w:hAnsi="Times New Roman" w:eastAsiaTheme="minorEastAsia"/>
                <w:color w:val="000000"/>
              </w:rPr>
              <w:t>）</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挥发酚</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≤0.005</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石油类</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≤0.05</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硫化物</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甲苯</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r>
              <w:rPr>
                <w:rFonts w:hint="eastAsia" w:ascii="Times New Roman" w:hAnsi="Times New Roman" w:eastAsiaTheme="minorEastAsia"/>
                <w:color w:val="000000"/>
                <w:kern w:val="0"/>
              </w:rPr>
              <w:t>0.7</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二甲苯</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悬浮物（SS）</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≤30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bl>
    <w:p>
      <w:pPr>
        <w:pStyle w:val="335"/>
        <w:snapToGrid w:val="0"/>
        <w:spacing w:line="360" w:lineRule="auto"/>
        <w:rPr>
          <w:rFonts w:ascii="Times New Roman" w:eastAsiaTheme="minorEastAsia"/>
          <w:sz w:val="21"/>
          <w:szCs w:val="21"/>
        </w:rPr>
      </w:pPr>
      <w:r>
        <w:rPr>
          <w:rFonts w:ascii="Times New Roman" w:eastAsiaTheme="minorEastAsia"/>
          <w:sz w:val="21"/>
          <w:szCs w:val="21"/>
        </w:rPr>
        <w:t>注：悬浮物参照《地表水资源质量标准》中的相应标准值。</w:t>
      </w:r>
    </w:p>
    <w:p>
      <w:pPr>
        <w:pStyle w:val="120"/>
        <w:snapToGrid w:val="0"/>
        <w:ind w:firstLine="480" w:firstLineChars="200"/>
      </w:pPr>
    </w:p>
    <w:p>
      <w:pPr>
        <w:pStyle w:val="335"/>
        <w:snapToGrid w:val="0"/>
        <w:spacing w:line="360" w:lineRule="auto"/>
        <w:ind w:firstLine="482"/>
        <w:rPr>
          <w:rFonts w:ascii="Times New Roman" w:eastAsiaTheme="minorEastAsia"/>
          <w:b/>
          <w:color w:val="000000"/>
        </w:rPr>
      </w:pPr>
      <w:r>
        <w:rPr>
          <w:rFonts w:ascii="Times New Roman" w:eastAsiaTheme="minorEastAsia"/>
          <w:b/>
          <w:color w:val="000000"/>
        </w:rPr>
        <w:t>2、地下水</w:t>
      </w:r>
    </w:p>
    <w:p>
      <w:pPr>
        <w:pStyle w:val="335"/>
        <w:snapToGrid w:val="0"/>
        <w:spacing w:line="360" w:lineRule="auto"/>
        <w:ind w:firstLine="482"/>
        <w:rPr>
          <w:rFonts w:ascii="Times New Roman" w:eastAsiaTheme="minorEastAsia"/>
          <w:color w:val="000000"/>
        </w:rPr>
      </w:pPr>
      <w:r>
        <w:rPr>
          <w:rFonts w:ascii="Times New Roman" w:eastAsiaTheme="minorEastAsia"/>
          <w:color w:val="000000"/>
        </w:rPr>
        <w:t>本项目所在地地下水执行《地下水质量标准》（GB/T14848-2017）</w:t>
      </w:r>
      <w:r>
        <w:rPr>
          <w:rFonts w:hint="eastAsia" w:hAnsi="宋体" w:cs="宋体"/>
          <w:color w:val="000000"/>
        </w:rPr>
        <w:t>Ⅲ</w:t>
      </w:r>
      <w:r>
        <w:rPr>
          <w:rFonts w:ascii="Times New Roman" w:eastAsiaTheme="minorEastAsia"/>
          <w:color w:val="000000"/>
        </w:rPr>
        <w:t>类标准。具体见表2.6-2。</w:t>
      </w: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表2.6-2  地下水质量标准一览表   </w:t>
      </w:r>
      <w:r>
        <w:rPr>
          <w:rFonts w:ascii="Times New Roman" w:hAnsi="Times New Roman" w:eastAsiaTheme="minorEastAsia"/>
          <w:color w:val="000000"/>
          <w:sz w:val="24"/>
          <w:szCs w:val="24"/>
        </w:rPr>
        <w:t>单位：mg/L（pH 无量纲）</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79"/>
        <w:gridCol w:w="1303"/>
        <w:gridCol w:w="1427"/>
        <w:gridCol w:w="1427"/>
        <w:gridCol w:w="1427"/>
        <w:gridCol w:w="859"/>
        <w:gridCol w:w="1143"/>
        <w:gridCol w:w="8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71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bCs/>
                <w:color w:val="000000"/>
                <w:kern w:val="0"/>
              </w:rPr>
              <w:t>pH</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总硬度</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溶解性总固体</w:t>
            </w:r>
          </w:p>
        </w:tc>
        <w:tc>
          <w:tcPr>
            <w:tcW w:w="784"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kern w:val="0"/>
              </w:rPr>
              <w:t>硫酸盐</w:t>
            </w:r>
          </w:p>
        </w:tc>
        <w:tc>
          <w:tcPr>
            <w:tcW w:w="472"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kern w:val="0"/>
              </w:rPr>
              <w:t>氯化物</w:t>
            </w:r>
          </w:p>
        </w:tc>
        <w:tc>
          <w:tcPr>
            <w:tcW w:w="628"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kern w:val="0"/>
              </w:rPr>
              <w:t>挥发性酚类</w:t>
            </w:r>
          </w:p>
        </w:tc>
        <w:tc>
          <w:tcPr>
            <w:tcW w:w="459"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耗氧量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宋体" w:hAnsi="宋体" w:cs="宋体"/>
                <w:color w:val="000000"/>
                <w:kern w:val="0"/>
              </w:rPr>
              <w:t>Ⅲ</w:t>
            </w:r>
            <w:r>
              <w:rPr>
                <w:rFonts w:ascii="Times New Roman" w:hAnsi="Times New Roman" w:eastAsiaTheme="minorEastAsia"/>
                <w:color w:val="000000"/>
                <w:kern w:val="0"/>
              </w:rPr>
              <w:t>类</w:t>
            </w:r>
          </w:p>
        </w:tc>
        <w:tc>
          <w:tcPr>
            <w:tcW w:w="716" w:type="pct"/>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color w:val="000000"/>
                <w:kern w:val="0"/>
              </w:rPr>
              <w:t>6.5~8.5</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450</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1000</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c>
          <w:tcPr>
            <w:tcW w:w="62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0.002</w:t>
            </w:r>
          </w:p>
        </w:tc>
        <w:tc>
          <w:tcPr>
            <w:tcW w:w="45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71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氨氮</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硫化物</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总大肠菌群</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亚硝酸盐</w:t>
            </w:r>
          </w:p>
        </w:tc>
        <w:tc>
          <w:tcPr>
            <w:tcW w:w="47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硝酸盐</w:t>
            </w:r>
          </w:p>
        </w:tc>
        <w:tc>
          <w:tcPr>
            <w:tcW w:w="62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氰化物</w:t>
            </w:r>
          </w:p>
        </w:tc>
        <w:tc>
          <w:tcPr>
            <w:tcW w:w="45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氟化物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宋体" w:hAnsi="宋体" w:cs="宋体"/>
                <w:color w:val="000000"/>
                <w:kern w:val="0"/>
              </w:rPr>
              <w:t>Ⅲ</w:t>
            </w:r>
            <w:r>
              <w:rPr>
                <w:rFonts w:ascii="Times New Roman" w:hAnsi="Times New Roman" w:eastAsiaTheme="minorEastAsia"/>
                <w:color w:val="000000"/>
                <w:kern w:val="0"/>
              </w:rPr>
              <w:t>类</w:t>
            </w:r>
          </w:p>
        </w:tc>
        <w:tc>
          <w:tcPr>
            <w:tcW w:w="716" w:type="pct"/>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color w:val="000000"/>
                <w:kern w:val="0"/>
              </w:rPr>
              <w:t>0.5</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62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0.05</w:t>
            </w:r>
          </w:p>
        </w:tc>
        <w:tc>
          <w:tcPr>
            <w:tcW w:w="45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71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Times New Roman" w:hAnsi="Times New Roman" w:eastAsiaTheme="minorEastAsia"/>
                <w:b/>
                <w:color w:val="000000"/>
                <w:kern w:val="0"/>
              </w:rPr>
              <w:t>苯(μg/</w:t>
            </w:r>
            <w:r>
              <w:rPr>
                <w:rFonts w:ascii="Times New Roman" w:hAnsi="Times New Roman" w:eastAsiaTheme="minorEastAsia"/>
                <w:b/>
                <w:color w:val="000000"/>
                <w:kern w:val="0"/>
              </w:rPr>
              <w:t>L)</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Times New Roman" w:hAnsi="Times New Roman" w:eastAsiaTheme="minorEastAsia"/>
                <w:b/>
                <w:color w:val="000000"/>
                <w:kern w:val="0"/>
              </w:rPr>
              <w:t>甲苯(μg/</w:t>
            </w:r>
            <w:r>
              <w:rPr>
                <w:rFonts w:ascii="Times New Roman" w:hAnsi="Times New Roman" w:eastAsiaTheme="minorEastAsia"/>
                <w:b/>
                <w:color w:val="000000"/>
                <w:kern w:val="0"/>
              </w:rPr>
              <w:t>L)</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Times New Roman" w:hAnsi="Times New Roman" w:eastAsiaTheme="minorEastAsia"/>
                <w:b/>
                <w:color w:val="000000"/>
                <w:kern w:val="0"/>
              </w:rPr>
              <w:t>乙苯(μg/</w:t>
            </w:r>
            <w:r>
              <w:rPr>
                <w:rFonts w:ascii="Times New Roman" w:hAnsi="Times New Roman" w:eastAsiaTheme="minorEastAsia"/>
                <w:b/>
                <w:color w:val="000000"/>
                <w:kern w:val="0"/>
              </w:rPr>
              <w:t>L)</w:t>
            </w: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Times New Roman" w:hAnsi="Times New Roman" w:eastAsiaTheme="minorEastAsia"/>
                <w:b/>
                <w:color w:val="000000"/>
                <w:kern w:val="0"/>
              </w:rPr>
              <w:t>二甲</w:t>
            </w:r>
            <w:r>
              <w:rPr>
                <w:rFonts w:ascii="Times New Roman" w:hAnsi="Times New Roman" w:eastAsiaTheme="minorEastAsia"/>
                <w:b/>
                <w:color w:val="000000"/>
                <w:kern w:val="0"/>
              </w:rPr>
              <w:t>苯</w:t>
            </w:r>
            <w:r>
              <w:rPr>
                <w:rFonts w:hint="eastAsia" w:ascii="Times New Roman" w:hAnsi="Times New Roman" w:eastAsiaTheme="minorEastAsia"/>
                <w:b/>
                <w:color w:val="000000"/>
                <w:kern w:val="0"/>
              </w:rPr>
              <w:t>(μg/</w:t>
            </w:r>
            <w:r>
              <w:rPr>
                <w:rFonts w:ascii="Times New Roman" w:hAnsi="Times New Roman" w:eastAsiaTheme="minorEastAsia"/>
                <w:b/>
                <w:color w:val="000000"/>
                <w:kern w:val="0"/>
              </w:rPr>
              <w:t>L)</w:t>
            </w:r>
          </w:p>
        </w:tc>
        <w:tc>
          <w:tcPr>
            <w:tcW w:w="472" w:type="pct"/>
            <w:vAlign w:val="center"/>
          </w:tcPr>
          <w:p>
            <w:pPr>
              <w:autoSpaceDE w:val="0"/>
              <w:autoSpaceDN w:val="0"/>
              <w:adjustRightInd w:val="0"/>
              <w:snapToGrid w:val="0"/>
              <w:jc w:val="center"/>
              <w:rPr>
                <w:rFonts w:ascii="Times New Roman" w:hAnsi="Times New Roman" w:eastAsiaTheme="minorEastAsia"/>
                <w:b/>
                <w:color w:val="000000"/>
                <w:kern w:val="0"/>
              </w:rPr>
            </w:pPr>
          </w:p>
        </w:tc>
        <w:tc>
          <w:tcPr>
            <w:tcW w:w="628" w:type="pct"/>
            <w:vAlign w:val="center"/>
          </w:tcPr>
          <w:p>
            <w:pPr>
              <w:autoSpaceDE w:val="0"/>
              <w:autoSpaceDN w:val="0"/>
              <w:adjustRightInd w:val="0"/>
              <w:snapToGrid w:val="0"/>
              <w:jc w:val="center"/>
              <w:rPr>
                <w:rFonts w:ascii="Times New Roman" w:hAnsi="Times New Roman" w:eastAsiaTheme="minorEastAsia"/>
                <w:b/>
                <w:color w:val="000000"/>
                <w:kern w:val="0"/>
              </w:rPr>
            </w:pPr>
          </w:p>
        </w:tc>
        <w:tc>
          <w:tcPr>
            <w:tcW w:w="459" w:type="pct"/>
            <w:vAlign w:val="center"/>
          </w:tcPr>
          <w:p>
            <w:pPr>
              <w:autoSpaceDE w:val="0"/>
              <w:autoSpaceDN w:val="0"/>
              <w:adjustRightInd w:val="0"/>
              <w:snapToGrid w:val="0"/>
              <w:jc w:val="center"/>
              <w:rPr>
                <w:rFonts w:ascii="Times New Roman" w:hAnsi="Times New Roman" w:eastAsiaTheme="minorEastAsia"/>
                <w:b/>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宋体" w:hAnsi="宋体" w:cs="宋体"/>
                <w:color w:val="000000"/>
                <w:kern w:val="0"/>
              </w:rPr>
              <w:t>Ⅲ</w:t>
            </w:r>
            <w:r>
              <w:rPr>
                <w:rFonts w:ascii="Times New Roman" w:hAnsi="Times New Roman" w:eastAsiaTheme="minorEastAsia"/>
                <w:color w:val="000000"/>
                <w:kern w:val="0"/>
              </w:rPr>
              <w:t>类</w:t>
            </w:r>
          </w:p>
        </w:tc>
        <w:tc>
          <w:tcPr>
            <w:tcW w:w="7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10</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700</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300</w:t>
            </w:r>
          </w:p>
        </w:tc>
        <w:tc>
          <w:tcPr>
            <w:tcW w:w="7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500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p>
        </w:tc>
        <w:tc>
          <w:tcPr>
            <w:tcW w:w="628" w:type="pct"/>
            <w:vAlign w:val="center"/>
          </w:tcPr>
          <w:p>
            <w:pPr>
              <w:autoSpaceDE w:val="0"/>
              <w:autoSpaceDN w:val="0"/>
              <w:adjustRightInd w:val="0"/>
              <w:snapToGrid w:val="0"/>
              <w:jc w:val="center"/>
              <w:rPr>
                <w:rFonts w:ascii="Times New Roman" w:hAnsi="Times New Roman" w:eastAsiaTheme="minorEastAsia"/>
                <w:color w:val="000000"/>
                <w:kern w:val="0"/>
              </w:rPr>
            </w:pPr>
          </w:p>
        </w:tc>
        <w:tc>
          <w:tcPr>
            <w:tcW w:w="459" w:type="pct"/>
            <w:vAlign w:val="center"/>
          </w:tcPr>
          <w:p>
            <w:pPr>
              <w:autoSpaceDE w:val="0"/>
              <w:autoSpaceDN w:val="0"/>
              <w:adjustRightInd w:val="0"/>
              <w:snapToGrid w:val="0"/>
              <w:jc w:val="center"/>
              <w:rPr>
                <w:rFonts w:ascii="Times New Roman" w:hAnsi="Times New Roman" w:eastAsiaTheme="minorEastAsia"/>
                <w:color w:val="000000"/>
                <w:kern w:val="0"/>
              </w:rPr>
            </w:pPr>
          </w:p>
        </w:tc>
      </w:tr>
    </w:tbl>
    <w:p>
      <w:pPr>
        <w:pStyle w:val="335"/>
        <w:snapToGrid w:val="0"/>
        <w:spacing w:line="360" w:lineRule="auto"/>
        <w:rPr>
          <w:rFonts w:ascii="Times New Roman" w:eastAsiaTheme="minorEastAsia"/>
          <w:sz w:val="21"/>
          <w:szCs w:val="21"/>
        </w:rPr>
      </w:pPr>
      <w:r>
        <w:rPr>
          <w:rFonts w:ascii="Times New Roman" w:eastAsiaTheme="minorEastAsia"/>
          <w:color w:val="000000"/>
          <w:sz w:val="21"/>
          <w:szCs w:val="21"/>
        </w:rPr>
        <w:t>注：总大肠菌群单位为MPN</w:t>
      </w:r>
      <w:r>
        <w:rPr>
          <w:rFonts w:ascii="Times New Roman" w:eastAsiaTheme="minorEastAsia"/>
          <w:color w:val="000000"/>
          <w:sz w:val="21"/>
          <w:szCs w:val="21"/>
          <w:vertAlign w:val="superscript"/>
        </w:rPr>
        <w:t>b</w:t>
      </w:r>
      <w:r>
        <w:rPr>
          <w:rFonts w:ascii="Times New Roman" w:eastAsiaTheme="minorEastAsia"/>
          <w:sz w:val="21"/>
          <w:szCs w:val="21"/>
        </w:rPr>
        <w:t>/100mL。</w:t>
      </w:r>
    </w:p>
    <w:p>
      <w:pPr>
        <w:pStyle w:val="120"/>
        <w:snapToGrid w:val="0"/>
        <w:ind w:firstLine="480" w:firstLineChars="200"/>
      </w:pPr>
    </w:p>
    <w:p>
      <w:pPr>
        <w:pStyle w:val="335"/>
        <w:snapToGrid w:val="0"/>
        <w:spacing w:line="360" w:lineRule="auto"/>
        <w:ind w:firstLine="482"/>
        <w:rPr>
          <w:rFonts w:ascii="Times New Roman" w:eastAsiaTheme="minorEastAsia"/>
          <w:b/>
          <w:color w:val="000000"/>
        </w:rPr>
      </w:pPr>
      <w:r>
        <w:rPr>
          <w:rFonts w:ascii="Times New Roman" w:eastAsiaTheme="minorEastAsia"/>
          <w:b/>
          <w:color w:val="000000"/>
        </w:rPr>
        <w:t>3、环境空气</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本项目所在区域常规大气污染因子SO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、NO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、PM</w:t>
      </w:r>
      <w:r>
        <w:rPr>
          <w:rFonts w:ascii="Times New Roman" w:hAnsi="Times New Roman" w:eastAsiaTheme="minorEastAsia"/>
          <w:color w:val="000000"/>
          <w:sz w:val="24"/>
          <w:szCs w:val="24"/>
          <w:vertAlign w:val="subscript"/>
        </w:rPr>
        <w:t>10</w:t>
      </w:r>
      <w:r>
        <w:rPr>
          <w:rFonts w:ascii="Times New Roman" w:hAnsi="Times New Roman" w:eastAsiaTheme="minorEastAsia"/>
          <w:color w:val="000000"/>
          <w:sz w:val="24"/>
          <w:szCs w:val="24"/>
        </w:rPr>
        <w:t>、PM</w:t>
      </w:r>
      <w:r>
        <w:rPr>
          <w:rFonts w:ascii="Times New Roman" w:hAnsi="Times New Roman" w:eastAsiaTheme="minorEastAsia"/>
          <w:color w:val="000000"/>
          <w:sz w:val="24"/>
          <w:szCs w:val="24"/>
          <w:vertAlign w:val="subscript"/>
        </w:rPr>
        <w:t>2.5</w:t>
      </w:r>
      <w:r>
        <w:rPr>
          <w:rFonts w:ascii="Times New Roman" w:hAnsi="Times New Roman" w:eastAsiaTheme="minorEastAsia"/>
          <w:color w:val="000000"/>
          <w:sz w:val="24"/>
          <w:szCs w:val="24"/>
        </w:rPr>
        <w:t>、CO和O</w:t>
      </w:r>
      <w:r>
        <w:rPr>
          <w:rFonts w:ascii="Times New Roman" w:hAnsi="Times New Roman" w:eastAsiaTheme="minorEastAsia"/>
          <w:color w:val="000000"/>
          <w:sz w:val="24"/>
          <w:szCs w:val="24"/>
          <w:vertAlign w:val="subscript"/>
        </w:rPr>
        <w:t>3</w:t>
      </w:r>
      <w:r>
        <w:rPr>
          <w:rFonts w:ascii="Times New Roman" w:hAnsi="Times New Roman" w:eastAsiaTheme="minorEastAsia"/>
          <w:color w:val="000000"/>
          <w:sz w:val="24"/>
          <w:szCs w:val="24"/>
        </w:rPr>
        <w:t xml:space="preserve"> 执行《环境空气质量标准》（GB3095-2012）中二级标准；特征因子非甲烷总烃执行《大气污染物综合排放标准详解》中的有关规定。详下见表2.6-3。</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表2.6-3  评价采用环境质量标准一览表</w:t>
      </w:r>
    </w:p>
    <w:tbl>
      <w:tblPr>
        <w:tblStyle w:val="7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26"/>
        <w:gridCol w:w="2828"/>
        <w:gridCol w:w="991"/>
        <w:gridCol w:w="1273"/>
        <w:gridCol w:w="28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6" w:type="dxa"/>
            <w:vAlign w:val="center"/>
          </w:tcPr>
          <w:p>
            <w:pPr>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要素分类</w:t>
            </w:r>
          </w:p>
        </w:tc>
        <w:tc>
          <w:tcPr>
            <w:tcW w:w="2828" w:type="dxa"/>
            <w:vAlign w:val="center"/>
          </w:tcPr>
          <w:p>
            <w:pPr>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标准名称</w:t>
            </w:r>
          </w:p>
        </w:tc>
        <w:tc>
          <w:tcPr>
            <w:tcW w:w="991" w:type="dxa"/>
            <w:vAlign w:val="center"/>
          </w:tcPr>
          <w:p>
            <w:pPr>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适用类别</w:t>
            </w:r>
          </w:p>
        </w:tc>
        <w:tc>
          <w:tcPr>
            <w:tcW w:w="4095" w:type="dxa"/>
            <w:gridSpan w:val="2"/>
            <w:vAlign w:val="center"/>
          </w:tcPr>
          <w:p>
            <w:pPr>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环境空气</w:t>
            </w:r>
          </w:p>
        </w:tc>
        <w:tc>
          <w:tcPr>
            <w:tcW w:w="2828"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《环境空气质量标准》（GB3095-2012）</w:t>
            </w:r>
          </w:p>
        </w:tc>
        <w:tc>
          <w:tcPr>
            <w:tcW w:w="991"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二级</w:t>
            </w:r>
          </w:p>
        </w:tc>
        <w:tc>
          <w:tcPr>
            <w:tcW w:w="1273" w:type="dxa"/>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项目</w:t>
            </w:r>
          </w:p>
        </w:tc>
        <w:tc>
          <w:tcPr>
            <w:tcW w:w="2822" w:type="dxa"/>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PM</w:t>
            </w:r>
            <w:r>
              <w:rPr>
                <w:rFonts w:ascii="Times New Roman" w:hAnsi="Times New Roman" w:eastAsiaTheme="minorEastAsia"/>
                <w:color w:val="000000"/>
                <w:kern w:val="0"/>
                <w:sz w:val="13"/>
                <w:szCs w:val="13"/>
              </w:rPr>
              <w:t>10</w:t>
            </w:r>
          </w:p>
        </w:tc>
        <w:tc>
          <w:tcPr>
            <w:tcW w:w="2822" w:type="dxa"/>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kern w:val="0"/>
              </w:rPr>
              <w:t>日平均值150μg/m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2" w:type="dxa"/>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kern w:val="0"/>
              </w:rPr>
              <w:t>年平均值70μg/m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PM</w:t>
            </w:r>
            <w:r>
              <w:rPr>
                <w:rFonts w:ascii="Times New Roman" w:hAnsi="Times New Roman" w:eastAsiaTheme="minorEastAsia"/>
                <w:color w:val="000000"/>
                <w:kern w:val="0"/>
                <w:sz w:val="13"/>
                <w:szCs w:val="13"/>
              </w:rPr>
              <w:t>2..5</w:t>
            </w:r>
          </w:p>
        </w:tc>
        <w:tc>
          <w:tcPr>
            <w:tcW w:w="2822" w:type="dxa"/>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kern w:val="0"/>
              </w:rPr>
              <w:t>日平均值75μg/m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2" w:type="dxa"/>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kern w:val="0"/>
              </w:rPr>
              <w:t>年平均值35μg/m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SO</w:t>
            </w:r>
            <w:r>
              <w:rPr>
                <w:rFonts w:ascii="Times New Roman" w:hAnsi="Times New Roman" w:eastAsiaTheme="minorEastAsia"/>
                <w:color w:val="000000"/>
                <w:kern w:val="0"/>
                <w:vertAlign w:val="subscript"/>
              </w:rPr>
              <w:t>2</w:t>
            </w:r>
          </w:p>
        </w:tc>
        <w:tc>
          <w:tcPr>
            <w:tcW w:w="2822" w:type="dxa"/>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kern w:val="0"/>
              </w:rPr>
              <w:t>小时平均值500μg/m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2" w:type="dxa"/>
            <w:vAlign w:val="center"/>
          </w:tcPr>
          <w:p>
            <w:pPr>
              <w:adjustRightInd w:val="0"/>
              <w:snapToGrid w:val="0"/>
              <w:rPr>
                <w:rFonts w:ascii="Times New Roman" w:hAnsi="Times New Roman" w:eastAsiaTheme="minorEastAsia"/>
                <w:color w:val="000000"/>
                <w:sz w:val="24"/>
                <w:szCs w:val="24"/>
              </w:rPr>
            </w:pPr>
            <w:r>
              <w:rPr>
                <w:rFonts w:ascii="Times New Roman" w:hAnsi="Times New Roman" w:eastAsiaTheme="minorEastAsia"/>
                <w:color w:val="000000"/>
                <w:kern w:val="0"/>
              </w:rPr>
              <w:t>日平均值150μg/m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年平均值60μg/m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NO</w:t>
            </w:r>
            <w:r>
              <w:rPr>
                <w:rFonts w:ascii="Times New Roman" w:hAnsi="Times New Roman" w:eastAsiaTheme="minorEastAsia"/>
                <w:color w:val="000000"/>
                <w:kern w:val="0"/>
                <w:vertAlign w:val="subscript"/>
              </w:rPr>
              <w:t>2</w:t>
            </w: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小时平均值200μg/m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日平均值80μg/m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年平均值40μg/m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CO</w:t>
            </w: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小时平均值10000μg/m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kern w:val="0"/>
              </w:rPr>
            </w:pP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日平均值4000μg/m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restart"/>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O</w:t>
            </w:r>
            <w:r>
              <w:rPr>
                <w:rFonts w:ascii="Times New Roman" w:hAnsi="Times New Roman" w:eastAsiaTheme="minorEastAsia"/>
                <w:color w:val="000000"/>
                <w:kern w:val="0"/>
                <w:vertAlign w:val="subscript"/>
              </w:rPr>
              <w:t>3</w:t>
            </w: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小时平均值200μg/m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991"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1273" w:type="dxa"/>
            <w:vMerge w:val="continue"/>
            <w:vAlign w:val="center"/>
          </w:tcPr>
          <w:p>
            <w:pPr>
              <w:adjustRightInd w:val="0"/>
              <w:snapToGrid w:val="0"/>
              <w:jc w:val="center"/>
              <w:rPr>
                <w:rFonts w:ascii="Times New Roman" w:hAnsi="Times New Roman" w:eastAsiaTheme="minorEastAsia"/>
                <w:color w:val="000000"/>
                <w:kern w:val="0"/>
              </w:rPr>
            </w:pP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日最大小时平均值160μg/m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《大气污染物综合排放标准详解》</w:t>
            </w:r>
          </w:p>
        </w:tc>
        <w:tc>
          <w:tcPr>
            <w:tcW w:w="991" w:type="dxa"/>
            <w:vAlign w:val="center"/>
          </w:tcPr>
          <w:p>
            <w:pPr>
              <w:adjustRightInd w:val="0"/>
              <w:snapToGrid w:val="0"/>
              <w:jc w:val="center"/>
              <w:rPr>
                <w:rFonts w:ascii="Times New Roman" w:hAnsi="Times New Roman" w:eastAsiaTheme="minorEastAsia"/>
                <w:color w:val="000000"/>
                <w:sz w:val="24"/>
                <w:szCs w:val="24"/>
              </w:rPr>
            </w:pPr>
            <w:r>
              <w:rPr>
                <w:rFonts w:ascii="Times New Roman" w:hAnsi="Times New Roman" w:eastAsiaTheme="minorEastAsia"/>
                <w:color w:val="000000"/>
                <w:kern w:val="0"/>
              </w:rPr>
              <w:t>一次值</w:t>
            </w:r>
          </w:p>
        </w:tc>
        <w:tc>
          <w:tcPr>
            <w:tcW w:w="1273" w:type="dxa"/>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非甲烷总烃</w:t>
            </w: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2.0mg/m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6" w:type="dxa"/>
            <w:vMerge w:val="continue"/>
            <w:vAlign w:val="center"/>
          </w:tcPr>
          <w:p>
            <w:pPr>
              <w:adjustRightInd w:val="0"/>
              <w:snapToGrid w:val="0"/>
              <w:jc w:val="center"/>
              <w:rPr>
                <w:rFonts w:ascii="Times New Roman" w:hAnsi="Times New Roman" w:eastAsiaTheme="minorEastAsia"/>
                <w:color w:val="000000"/>
                <w:sz w:val="24"/>
                <w:szCs w:val="24"/>
              </w:rPr>
            </w:pPr>
          </w:p>
        </w:tc>
        <w:tc>
          <w:tcPr>
            <w:tcW w:w="2828" w:type="dxa"/>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《环境影响评价技术导则大气环境》（HJ2.2-2018）附录D中其他污染物空气质量浓度参考限值</w:t>
            </w:r>
          </w:p>
        </w:tc>
        <w:tc>
          <w:tcPr>
            <w:tcW w:w="991" w:type="dxa"/>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小时值</w:t>
            </w:r>
          </w:p>
        </w:tc>
        <w:tc>
          <w:tcPr>
            <w:tcW w:w="1273" w:type="dxa"/>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TVOC</w:t>
            </w:r>
          </w:p>
        </w:tc>
        <w:tc>
          <w:tcPr>
            <w:tcW w:w="2822" w:type="dxa"/>
            <w:vAlign w:val="center"/>
          </w:tcPr>
          <w:p>
            <w:pPr>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0.6mg/m</w:t>
            </w:r>
            <w:r>
              <w:rPr>
                <w:rFonts w:ascii="Times New Roman" w:hAnsi="Times New Roman" w:eastAsiaTheme="minorEastAsia"/>
                <w:color w:val="000000"/>
                <w:kern w:val="0"/>
                <w:vertAlign w:val="superscript"/>
              </w:rPr>
              <w:t>3</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4、声环境</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码头位于岳阳市陆城岸线。航道两侧35m红线范围内声环境质量执行《声环境质量标准》（GB3096-2008）4a类标准，其他区域及敏感点声环境质量执行《声环境质量标准》（GB3096-2008）2类标准，具体详见表2.6-4。</w:t>
      </w: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表2.6-4  声环境质量标准              </w:t>
      </w:r>
      <w:r>
        <w:rPr>
          <w:rFonts w:ascii="Times New Roman" w:hAnsi="Times New Roman" w:eastAsiaTheme="minorEastAsia"/>
          <w:color w:val="000000"/>
          <w:sz w:val="24"/>
          <w:szCs w:val="24"/>
        </w:rPr>
        <w:t>单位：dB(A)</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034"/>
        <w:gridCol w:w="3034"/>
        <w:gridCol w:w="30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昼间</w:t>
            </w:r>
          </w:p>
        </w:tc>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60</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4a类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5、土壤</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码头区域土壤执行《土壤环境质量建设用地土壤污染风险管控标准》（GB36600-2018）中第二类用地筛选值限值要求；管线区域土壤执行《土壤环境质量农用地土壤污染风险管控标准》（GB15618-2018）中表1“其他”。具体见表2.6-5和表2.6-6。</w:t>
      </w:r>
    </w:p>
    <w:p>
      <w:pPr>
        <w:tabs>
          <w:tab w:val="left" w:pos="900"/>
        </w:tabs>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表2.6-5  建设用地土壤环境质量标准一览表    </w:t>
      </w:r>
      <w:r>
        <w:rPr>
          <w:rFonts w:ascii="Times New Roman" w:hAnsi="Times New Roman" w:eastAsiaTheme="minorEastAsia"/>
          <w:color w:val="000000"/>
          <w:sz w:val="24"/>
          <w:szCs w:val="24"/>
        </w:rPr>
        <w:t>单位：mg/kg</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39"/>
        <w:gridCol w:w="448"/>
        <w:gridCol w:w="1551"/>
        <w:gridCol w:w="664"/>
        <w:gridCol w:w="664"/>
        <w:gridCol w:w="446"/>
        <w:gridCol w:w="1663"/>
        <w:gridCol w:w="664"/>
        <w:gridCol w:w="6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285"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标准名称</w:t>
            </w:r>
          </w:p>
        </w:tc>
        <w:tc>
          <w:tcPr>
            <w:tcW w:w="246"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852"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730" w:type="pct"/>
            <w:gridSpan w:val="2"/>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评价标准</w:t>
            </w:r>
          </w:p>
        </w:tc>
        <w:tc>
          <w:tcPr>
            <w:tcW w:w="245"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序号</w:t>
            </w:r>
          </w:p>
        </w:tc>
        <w:tc>
          <w:tcPr>
            <w:tcW w:w="914"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730"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tblHeader/>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246"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52"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36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筛选值</w:t>
            </w:r>
          </w:p>
        </w:tc>
        <w:tc>
          <w:tcPr>
            <w:tcW w:w="365" w:type="pc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管控值</w:t>
            </w:r>
          </w:p>
        </w:tc>
        <w:tc>
          <w:tcPr>
            <w:tcW w:w="245"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914"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36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筛选值</w:t>
            </w:r>
          </w:p>
        </w:tc>
        <w:tc>
          <w:tcPr>
            <w:tcW w:w="36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管控值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restar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GB36600-2018第二类用地</w:t>
            </w: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24</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1,2,3-三氯丙烷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镉</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172</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氯乙烯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0.43</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铬（六价）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5.7</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78</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26</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4</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铜</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18000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36000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27</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氯苯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270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5</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铅</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800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28</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1,2-二氯苯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560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6</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汞</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38</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82</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1,4-二氯苯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7</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镍</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乙苯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28</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2280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8</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四氯化碳</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2.8</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36</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31</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苯乙烯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1290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9</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氯仿</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0.9</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32</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甲苯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10</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氯甲烷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37</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间二甲苯+对甲苯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570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11</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1,1-二氯乙烷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34</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邻二甲苯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640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12</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1,2-二氯乙烷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21</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35</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硝基苯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76</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13</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1,1-二氯乙烯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66</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36</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苯胺</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260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14</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顺-1,2-二氯乙烯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596</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37</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2-氯酚</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2256</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15</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反-1,2-二氯乙烯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54</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163</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38</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苯并[a]蒽</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16</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二氯甲烷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616</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39</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苯并[a]芘</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17</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1,2-二氯丙烷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47</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苯并[b]荧蒽</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18</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1,1,1,2-四氯乙烷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41</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苯并[k]荧蒽</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151</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19</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1,1,2,2-四氯乙烷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6.8</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42</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二苯并[a，h]蒽）</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1293</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129000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四氯乙烯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53</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183</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43</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䓛</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21</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1,1,1-三氯乙烷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44</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茚并[1,2,3-cd]芘</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22</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1,1,2-三氯乙烷</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2.8</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45</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萘</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85"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2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23</w:t>
            </w:r>
          </w:p>
        </w:tc>
        <w:tc>
          <w:tcPr>
            <w:tcW w:w="8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三氯乙烯</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2.8</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2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46</w:t>
            </w:r>
          </w:p>
        </w:tc>
        <w:tc>
          <w:tcPr>
            <w:tcW w:w="9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石油烃</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4500</w:t>
            </w:r>
          </w:p>
        </w:tc>
        <w:tc>
          <w:tcPr>
            <w:tcW w:w="36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9000</w:t>
            </w:r>
          </w:p>
        </w:tc>
      </w:tr>
    </w:tbl>
    <w:p>
      <w:pPr>
        <w:adjustRightInd w:val="0"/>
        <w:snapToGrid w:val="0"/>
        <w:spacing w:line="360" w:lineRule="auto"/>
        <w:rPr>
          <w:rFonts w:hint="eastAsia" w:ascii="Times New Roman" w:hAnsi="Times New Roman" w:eastAsiaTheme="minorEastAsia"/>
          <w:color w:val="000000"/>
          <w:sz w:val="24"/>
          <w:szCs w:val="24"/>
          <w:lang w:eastAsia="zh-CN"/>
        </w:rPr>
      </w:pPr>
    </w:p>
    <w:p>
      <w:pPr>
        <w:adjustRightInd w:val="0"/>
        <w:snapToGrid w:val="0"/>
        <w:spacing w:line="360" w:lineRule="auto"/>
        <w:rPr>
          <w:rFonts w:hint="eastAsia" w:ascii="Times New Roman" w:hAnsi="Times New Roman" w:eastAsiaTheme="minorEastAsia"/>
          <w:color w:val="000000"/>
          <w:sz w:val="24"/>
          <w:szCs w:val="24"/>
          <w:lang w:eastAsia="zh-CN"/>
        </w:rPr>
      </w:pP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表2.6-6  农用地土壤环境质量标准一览表     </w:t>
      </w:r>
      <w:r>
        <w:rPr>
          <w:rFonts w:ascii="Times New Roman" w:hAnsi="Times New Roman" w:eastAsiaTheme="minorEastAsia"/>
          <w:color w:val="000000"/>
          <w:sz w:val="24"/>
          <w:szCs w:val="24"/>
        </w:rPr>
        <w:t>单位：mg/kg</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81"/>
        <w:gridCol w:w="715"/>
        <w:gridCol w:w="1361"/>
        <w:gridCol w:w="854"/>
        <w:gridCol w:w="1165"/>
        <w:gridCol w:w="1165"/>
        <w:gridCol w:w="8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3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标准名称</w:t>
            </w:r>
          </w:p>
        </w:tc>
        <w:tc>
          <w:tcPr>
            <w:tcW w:w="39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74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2221" w:type="pct"/>
            <w:gridSpan w:val="4"/>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GB15618-2018表1“其他”</w:t>
            </w: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pH</w:t>
            </w:r>
            <w:r>
              <w:rPr>
                <w:rFonts w:hint="eastAsia" w:ascii="Times New Roman" w:hAnsi="Times New Roman" w:eastAsiaTheme="minorEastAsia"/>
                <w:color w:val="000000"/>
                <w:kern w:val="0"/>
              </w:rPr>
              <w:t>（无纲量</w:t>
            </w:r>
            <w:r>
              <w:rPr>
                <w:rFonts w:ascii="Times New Roman" w:hAnsi="Times New Roman" w:eastAsiaTheme="minorEastAsia"/>
                <w:color w:val="000000"/>
                <w:kern w:val="0"/>
              </w:rPr>
              <w:t>）</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5.5~6.5</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6.5~7.5</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&gt;7.5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镉</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汞</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2.4</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砷</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铅</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铬</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铜</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镍</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38"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3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7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锌</w:t>
            </w:r>
          </w:p>
        </w:tc>
        <w:tc>
          <w:tcPr>
            <w:tcW w:w="4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c>
          <w:tcPr>
            <w:tcW w:w="47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r>
    </w:tbl>
    <w:p>
      <w:pPr>
        <w:adjustRightInd w:val="0"/>
        <w:snapToGrid w:val="0"/>
        <w:spacing w:line="360" w:lineRule="auto"/>
        <w:ind w:firstLine="480" w:firstLineChars="200"/>
        <w:rPr>
          <w:rFonts w:ascii="Times New Roman" w:hAnsi="Times New Roman" w:eastAsiaTheme="minorEastAsia"/>
          <w:kern w:val="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6、底泥</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底泥不是土壤，不能直接引用土壤质量标准。由于底泥没有相应的环境指标标准，根据其最终用途参考执行相应的土壤质量标准。底泥参考执行《土壤环境质量  建设用地土壤污染风险管控标准》（GB36600-2018）中第二类用地筛选值限值要求。</w:t>
      </w: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表2.6-7  本项目底泥参考执行标准        </w:t>
      </w:r>
      <w:r>
        <w:rPr>
          <w:rFonts w:ascii="Times New Roman" w:hAnsi="Times New Roman" w:eastAsiaTheme="minorEastAsia"/>
          <w:color w:val="000000"/>
          <w:sz w:val="24"/>
          <w:szCs w:val="24"/>
        </w:rPr>
        <w:t xml:space="preserve">  单位：mg/kg</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475"/>
        <w:gridCol w:w="1067"/>
        <w:gridCol w:w="2754"/>
        <w:gridCol w:w="1401"/>
        <w:gridCol w:w="14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标准名称</w:t>
            </w:r>
          </w:p>
        </w:tc>
        <w:tc>
          <w:tcPr>
            <w:tcW w:w="586"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513"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1541"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586"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1513"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77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筛选值</w:t>
            </w:r>
          </w:p>
        </w:tc>
        <w:tc>
          <w:tcPr>
            <w:tcW w:w="77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管控值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restar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GB36600-2018第二类用地</w:t>
            </w:r>
          </w:p>
        </w:tc>
        <w:tc>
          <w:tcPr>
            <w:tcW w:w="58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w:t>
            </w:r>
          </w:p>
        </w:tc>
        <w:tc>
          <w:tcPr>
            <w:tcW w:w="151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砷</w:t>
            </w:r>
          </w:p>
        </w:tc>
        <w:tc>
          <w:tcPr>
            <w:tcW w:w="7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60</w:t>
            </w:r>
          </w:p>
        </w:tc>
        <w:tc>
          <w:tcPr>
            <w:tcW w:w="77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8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w:t>
            </w:r>
          </w:p>
        </w:tc>
        <w:tc>
          <w:tcPr>
            <w:tcW w:w="151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镉</w:t>
            </w:r>
          </w:p>
        </w:tc>
        <w:tc>
          <w:tcPr>
            <w:tcW w:w="7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w:t>
            </w:r>
          </w:p>
        </w:tc>
        <w:tc>
          <w:tcPr>
            <w:tcW w:w="77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8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w:t>
            </w:r>
          </w:p>
        </w:tc>
        <w:tc>
          <w:tcPr>
            <w:tcW w:w="151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铬</w:t>
            </w:r>
          </w:p>
        </w:tc>
        <w:tc>
          <w:tcPr>
            <w:tcW w:w="7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5.7</w:t>
            </w:r>
          </w:p>
        </w:tc>
        <w:tc>
          <w:tcPr>
            <w:tcW w:w="77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8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4</w:t>
            </w:r>
          </w:p>
        </w:tc>
        <w:tc>
          <w:tcPr>
            <w:tcW w:w="151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铜</w:t>
            </w:r>
          </w:p>
        </w:tc>
        <w:tc>
          <w:tcPr>
            <w:tcW w:w="7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18000</w:t>
            </w:r>
          </w:p>
        </w:tc>
        <w:tc>
          <w:tcPr>
            <w:tcW w:w="77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8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5</w:t>
            </w:r>
          </w:p>
        </w:tc>
        <w:tc>
          <w:tcPr>
            <w:tcW w:w="151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铅</w:t>
            </w:r>
          </w:p>
        </w:tc>
        <w:tc>
          <w:tcPr>
            <w:tcW w:w="7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800</w:t>
            </w:r>
          </w:p>
        </w:tc>
        <w:tc>
          <w:tcPr>
            <w:tcW w:w="77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8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6</w:t>
            </w:r>
          </w:p>
        </w:tc>
        <w:tc>
          <w:tcPr>
            <w:tcW w:w="151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汞</w:t>
            </w:r>
          </w:p>
        </w:tc>
        <w:tc>
          <w:tcPr>
            <w:tcW w:w="7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38</w:t>
            </w:r>
          </w:p>
        </w:tc>
        <w:tc>
          <w:tcPr>
            <w:tcW w:w="77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360"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8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7</w:t>
            </w:r>
          </w:p>
        </w:tc>
        <w:tc>
          <w:tcPr>
            <w:tcW w:w="151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石油烃</w:t>
            </w:r>
          </w:p>
        </w:tc>
        <w:tc>
          <w:tcPr>
            <w:tcW w:w="7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4500</w:t>
            </w:r>
          </w:p>
        </w:tc>
        <w:tc>
          <w:tcPr>
            <w:tcW w:w="77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9000</w:t>
            </w:r>
          </w:p>
        </w:tc>
      </w:tr>
    </w:tbl>
    <w:p>
      <w:pPr>
        <w:autoSpaceDE w:val="0"/>
        <w:autoSpaceDN w:val="0"/>
        <w:adjustRightInd w:val="0"/>
        <w:jc w:val="left"/>
        <w:rPr>
          <w:rFonts w:ascii="Times New Roman" w:hAnsi="Times New Roman" w:eastAsiaTheme="minorEastAsia"/>
          <w:kern w:val="0"/>
          <w:sz w:val="24"/>
          <w:szCs w:val="24"/>
        </w:rPr>
      </w:pPr>
    </w:p>
    <w:p>
      <w:pPr>
        <w:pStyle w:val="4"/>
        <w:rPr>
          <w:rFonts w:eastAsiaTheme="minorEastAsia"/>
        </w:rPr>
      </w:pPr>
      <w:r>
        <w:rPr>
          <w:rFonts w:eastAsiaTheme="minorEastAsia"/>
        </w:rPr>
        <w:t>污染物排放标准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1、废水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船舶废水执行《船舶水污染物排放标准》（GB3552-2018），详见表2.6-8。</w:t>
      </w: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表2.6-8  船舶水污染物排放控制标准（GB3552-2018）    </w:t>
      </w:r>
      <w:r>
        <w:rPr>
          <w:rFonts w:ascii="Times New Roman" w:hAnsi="Times New Roman" w:eastAsiaTheme="minorEastAsia"/>
          <w:color w:val="000000"/>
          <w:sz w:val="24"/>
          <w:szCs w:val="24"/>
        </w:rPr>
        <w:t>单位：mg/L</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72"/>
        <w:gridCol w:w="983"/>
        <w:gridCol w:w="71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53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54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w:t>
            </w:r>
          </w:p>
        </w:tc>
        <w:tc>
          <w:tcPr>
            <w:tcW w:w="392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5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船舶含油污水</w:t>
            </w:r>
          </w:p>
        </w:tc>
        <w:tc>
          <w:tcPr>
            <w:tcW w:w="3926"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内河，机器处所油污水，2021年1月1日之前建造的船舶执行石油类最高容许浓度≤15mg/L或收集并排入接收设施；2021年1月1日及以后建造的船舶收集并排入接收设施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5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3926"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内河，利用船载收集装置收集排入接收设施。或利用船载生活污水处理装置处理达到如下标准排放：</w:t>
            </w:r>
          </w:p>
          <w:p>
            <w:pPr>
              <w:autoSpaceDE w:val="0"/>
              <w:autoSpaceDN w:val="0"/>
              <w:adjustRightInd w:val="0"/>
              <w:snapToGrid w:val="0"/>
              <w:ind w:firstLine="210" w:firstLineChars="100"/>
              <w:rPr>
                <w:rFonts w:ascii="Times New Roman" w:hAnsi="Times New Roman" w:eastAsiaTheme="minorEastAsia"/>
                <w:color w:val="000000"/>
                <w:kern w:val="0"/>
              </w:rPr>
            </w:pPr>
            <w:r>
              <w:rPr>
                <w:rFonts w:hint="eastAsia" w:ascii="宋体" w:hAnsi="宋体" w:cs="宋体"/>
                <w:color w:val="000000"/>
                <w:kern w:val="0"/>
              </w:rPr>
              <w:t>⑴</w:t>
            </w:r>
            <w:r>
              <w:rPr>
                <w:rFonts w:ascii="Times New Roman" w:hAnsi="Times New Roman" w:eastAsiaTheme="minorEastAsia"/>
                <w:color w:val="000000"/>
                <w:kern w:val="0"/>
              </w:rPr>
              <w:t xml:space="preserve"> 2012年1月1日以前安装含更换生活污水处理装置的船舶执行BOD</w:t>
            </w:r>
            <w:r>
              <w:rPr>
                <w:rFonts w:ascii="Times New Roman" w:hAnsi="Times New Roman" w:eastAsiaTheme="minorEastAsia"/>
                <w:color w:val="000000"/>
                <w:kern w:val="0"/>
                <w:vertAlign w:val="subscript"/>
              </w:rPr>
              <w:t>5</w:t>
            </w:r>
            <w:r>
              <w:rPr>
                <w:rFonts w:ascii="Times New Roman" w:hAnsi="Times New Roman" w:eastAsiaTheme="minorEastAsia"/>
                <w:color w:val="000000"/>
                <w:kern w:val="0"/>
              </w:rPr>
              <w:t>最高容许浓度≤50mg/L；</w:t>
            </w:r>
          </w:p>
          <w:p>
            <w:pPr>
              <w:autoSpaceDE w:val="0"/>
              <w:autoSpaceDN w:val="0"/>
              <w:adjustRightInd w:val="0"/>
              <w:snapToGrid w:val="0"/>
              <w:ind w:firstLine="210" w:firstLineChars="100"/>
              <w:rPr>
                <w:rFonts w:ascii="Times New Roman" w:hAnsi="Times New Roman" w:eastAsiaTheme="minorEastAsia"/>
                <w:color w:val="000000"/>
                <w:kern w:val="0"/>
              </w:rPr>
            </w:pPr>
            <w:r>
              <w:rPr>
                <w:rFonts w:hint="eastAsia" w:ascii="宋体" w:hAnsi="宋体" w:cs="宋体"/>
                <w:color w:val="000000"/>
                <w:kern w:val="0"/>
              </w:rPr>
              <w:t>⑵</w:t>
            </w:r>
            <w:r>
              <w:rPr>
                <w:rFonts w:ascii="Times New Roman" w:hAnsi="Times New Roman" w:eastAsiaTheme="minorEastAsia"/>
                <w:color w:val="000000"/>
                <w:kern w:val="0"/>
              </w:rPr>
              <w:t xml:space="preserve"> 2012年1月1日及以后安装含更换生活污水处理装置的船舶执行BOD</w:t>
            </w:r>
            <w:r>
              <w:rPr>
                <w:rFonts w:ascii="Times New Roman" w:hAnsi="Times New Roman" w:eastAsiaTheme="minorEastAsia"/>
                <w:color w:val="000000"/>
                <w:kern w:val="0"/>
                <w:vertAlign w:val="subscript"/>
              </w:rPr>
              <w:t>5</w:t>
            </w:r>
            <w:r>
              <w:rPr>
                <w:rFonts w:ascii="Times New Roman" w:hAnsi="Times New Roman" w:eastAsiaTheme="minorEastAsia"/>
                <w:color w:val="000000"/>
                <w:kern w:val="0"/>
              </w:rPr>
              <w:t>最高容许浓度≤25mg/L、COD</w:t>
            </w:r>
            <w:r>
              <w:rPr>
                <w:rFonts w:ascii="Times New Roman" w:hAnsi="Times New Roman" w:eastAsiaTheme="minorEastAsia"/>
                <w:color w:val="000000"/>
                <w:kern w:val="0"/>
                <w:sz w:val="13"/>
                <w:szCs w:val="13"/>
              </w:rPr>
              <w:t>CR</w:t>
            </w:r>
            <w:r>
              <w:rPr>
                <w:rFonts w:ascii="Times New Roman" w:hAnsi="Times New Roman" w:eastAsiaTheme="minorEastAsia"/>
                <w:color w:val="000000"/>
                <w:kern w:val="0"/>
              </w:rPr>
              <w:t>最高容许浓度≤125mg/L</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趸船污水由管道输送至后方罐区污水处理设施处理。趸船装卸区四周设收集坎，在趸船内设污水箱，收集坎内初期雨水和冲洗废水经收集流入污水箱中，由防爆污水泵通过管道输送至岸侧，初期雨水和冲洗废水通过污水池收集后，经污水输送泵至港口部污水处理站</w:t>
      </w:r>
      <w:r>
        <w:rPr>
          <w:rFonts w:ascii="Times New Roman" w:hAnsi="Times New Roman" w:eastAsiaTheme="minorEastAsia"/>
          <w:kern w:val="0"/>
          <w:sz w:val="24"/>
          <w:szCs w:val="24"/>
        </w:rPr>
        <w:t>通过调节、隔油池、除油、气浮处理达到《污水综合排放标准》（GB8978-1996）三级标准水质要求后</w:t>
      </w:r>
      <w:r>
        <w:rPr>
          <w:rFonts w:ascii="Times New Roman" w:hAnsi="Times New Roman" w:eastAsiaTheme="minorEastAsia"/>
          <w:color w:val="000000"/>
          <w:sz w:val="24"/>
          <w:szCs w:val="24"/>
        </w:rPr>
        <w:t>，再与码头部</w:t>
      </w:r>
      <w:r>
        <w:rPr>
          <w:rFonts w:hint="eastAsia" w:ascii="Times New Roman" w:hAnsi="Times New Roman" w:eastAsiaTheme="minorEastAsia"/>
          <w:color w:val="000000"/>
          <w:sz w:val="24"/>
          <w:szCs w:val="24"/>
        </w:rPr>
        <w:t>生产</w:t>
      </w:r>
      <w:r>
        <w:rPr>
          <w:rFonts w:ascii="Times New Roman" w:hAnsi="Times New Roman" w:eastAsiaTheme="minorEastAsia"/>
          <w:color w:val="000000"/>
          <w:sz w:val="24"/>
          <w:szCs w:val="24"/>
        </w:rPr>
        <w:t>生</w:t>
      </w:r>
      <w:r>
        <w:rPr>
          <w:rFonts w:hint="eastAsia" w:ascii="Times New Roman" w:hAnsi="Times New Roman" w:eastAsiaTheme="minorEastAsia"/>
          <w:color w:val="000000"/>
          <w:sz w:val="24"/>
          <w:szCs w:val="24"/>
        </w:rPr>
        <w:t>活</w:t>
      </w:r>
      <w:r>
        <w:rPr>
          <w:rFonts w:ascii="Times New Roman" w:hAnsi="Times New Roman" w:eastAsiaTheme="minorEastAsia"/>
          <w:color w:val="000000"/>
          <w:sz w:val="24"/>
          <w:szCs w:val="24"/>
        </w:rPr>
        <w:t>废水一同通过</w:t>
      </w:r>
      <w:r>
        <w:rPr>
          <w:rFonts w:ascii="Times New Roman" w:hAnsi="Times New Roman" w:eastAsiaTheme="minorEastAsia"/>
          <w:kern w:val="0"/>
          <w:sz w:val="24"/>
          <w:szCs w:val="24"/>
        </w:rPr>
        <w:t>污水管网进入长岭分公司第二污水处理厂，长岭分公司第二污水处理厂污水处理达到《石油炼制工业污染物排放标准》（GB31570-2015）表1中直接排放限值后排入长江</w:t>
      </w:r>
      <w:r>
        <w:rPr>
          <w:rFonts w:ascii="Times New Roman" w:hAnsi="Times New Roman" w:eastAsiaTheme="minorEastAsia"/>
          <w:color w:val="000000"/>
          <w:sz w:val="24"/>
          <w:szCs w:val="24"/>
        </w:rPr>
        <w:t>。排放标准具体见表2.6-9。</w:t>
      </w: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表2.6-9  《污水综合排放标准》     </w:t>
      </w:r>
      <w:r>
        <w:rPr>
          <w:rFonts w:ascii="Times New Roman" w:hAnsi="Times New Roman" w:eastAsiaTheme="minorEastAsia"/>
          <w:color w:val="000000"/>
          <w:sz w:val="24"/>
          <w:szCs w:val="24"/>
        </w:rPr>
        <w:t>单位：mg/L（pH无量纲）</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54"/>
        <w:gridCol w:w="1119"/>
        <w:gridCol w:w="841"/>
        <w:gridCol w:w="839"/>
        <w:gridCol w:w="839"/>
        <w:gridCol w:w="839"/>
        <w:gridCol w:w="981"/>
        <w:gridCol w:w="9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tblHeader/>
          <w:jc w:val="center"/>
        </w:trPr>
        <w:tc>
          <w:tcPr>
            <w:tcW w:w="145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标准名称</w:t>
            </w:r>
          </w:p>
        </w:tc>
        <w:tc>
          <w:tcPr>
            <w:tcW w:w="61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执行级别</w:t>
            </w:r>
          </w:p>
        </w:tc>
        <w:tc>
          <w:tcPr>
            <w:tcW w:w="46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pH</w:t>
            </w:r>
          </w:p>
        </w:tc>
        <w:tc>
          <w:tcPr>
            <w:tcW w:w="46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SS</w:t>
            </w:r>
          </w:p>
        </w:tc>
        <w:tc>
          <w:tcPr>
            <w:tcW w:w="46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BOD</w:t>
            </w:r>
            <w:r>
              <w:rPr>
                <w:rFonts w:ascii="Times New Roman" w:hAnsi="Times New Roman" w:eastAsiaTheme="minorEastAsia"/>
                <w:b/>
                <w:color w:val="000000"/>
                <w:kern w:val="0"/>
                <w:vertAlign w:val="subscript"/>
              </w:rPr>
              <w:t>5</w:t>
            </w:r>
          </w:p>
        </w:tc>
        <w:tc>
          <w:tcPr>
            <w:tcW w:w="46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COD</w:t>
            </w:r>
          </w:p>
        </w:tc>
        <w:tc>
          <w:tcPr>
            <w:tcW w:w="53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石油类</w:t>
            </w:r>
          </w:p>
        </w:tc>
        <w:tc>
          <w:tcPr>
            <w:tcW w:w="54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NH</w:t>
            </w:r>
            <w:r>
              <w:rPr>
                <w:rFonts w:ascii="Times New Roman" w:hAnsi="Times New Roman" w:eastAsiaTheme="minorEastAsia"/>
                <w:b/>
                <w:color w:val="000000"/>
                <w:kern w:val="0"/>
                <w:sz w:val="13"/>
                <w:szCs w:val="13"/>
              </w:rPr>
              <w:t>3</w:t>
            </w:r>
            <w:r>
              <w:rPr>
                <w:rFonts w:ascii="Times New Roman" w:hAnsi="Times New Roman" w:eastAsiaTheme="minorEastAsia"/>
                <w:b/>
                <w:color w:val="000000"/>
                <w:kern w:val="0"/>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45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《污水综合排放标准》（GB8978-1996）</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4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6-9</w:t>
            </w:r>
          </w:p>
        </w:tc>
        <w:tc>
          <w:tcPr>
            <w:tcW w:w="46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46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c>
          <w:tcPr>
            <w:tcW w:w="46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500</w:t>
            </w:r>
          </w:p>
        </w:tc>
        <w:tc>
          <w:tcPr>
            <w:tcW w:w="53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5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r>
    </w:tbl>
    <w:p>
      <w:pPr>
        <w:adjustRightInd w:val="0"/>
        <w:snapToGrid w:val="0"/>
        <w:spacing w:line="360" w:lineRule="auto"/>
        <w:ind w:firstLine="480" w:firstLineChars="200"/>
        <w:rPr>
          <w:rFonts w:ascii="Times New Roman" w:hAnsi="Times New Roman" w:eastAsiaTheme="minorEastAsia"/>
          <w:kern w:val="0"/>
          <w:sz w:val="24"/>
          <w:szCs w:val="24"/>
        </w:rPr>
      </w:pP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表2.6-10  《石油炼制工业污染物排放标准》  </w:t>
      </w:r>
      <w:r>
        <w:rPr>
          <w:rFonts w:ascii="Times New Roman" w:hAnsi="Times New Roman" w:eastAsiaTheme="minorEastAsia"/>
          <w:color w:val="000000"/>
          <w:sz w:val="24"/>
          <w:szCs w:val="24"/>
        </w:rPr>
        <w:t>单位：mg/L（pH无量纲）</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81"/>
        <w:gridCol w:w="2772"/>
        <w:gridCol w:w="1285"/>
        <w:gridCol w:w="855"/>
        <w:gridCol w:w="2189"/>
        <w:gridCol w:w="12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52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指标</w:t>
            </w:r>
          </w:p>
        </w:tc>
        <w:tc>
          <w:tcPr>
            <w:tcW w:w="70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标准限值</w:t>
            </w:r>
          </w:p>
        </w:tc>
        <w:tc>
          <w:tcPr>
            <w:tcW w:w="47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20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指标</w:t>
            </w:r>
          </w:p>
        </w:tc>
        <w:tc>
          <w:tcPr>
            <w:tcW w:w="66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52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pH（无量纲）</w:t>
            </w:r>
          </w:p>
        </w:tc>
        <w:tc>
          <w:tcPr>
            <w:tcW w:w="7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6~9</w:t>
            </w:r>
          </w:p>
        </w:tc>
        <w:tc>
          <w:tcPr>
            <w:tcW w:w="4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120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总氮</w:t>
            </w:r>
          </w:p>
        </w:tc>
        <w:tc>
          <w:tcPr>
            <w:tcW w:w="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1523"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悬浮物</w:t>
            </w:r>
            <w:r>
              <w:rPr>
                <w:rFonts w:ascii="Times New Roman" w:hAnsi="Times New Roman" w:eastAsiaTheme="minorEastAsia"/>
                <w:color w:val="000000"/>
                <w:kern w:val="0"/>
              </w:rPr>
              <w:t>（SS</w:t>
            </w:r>
            <w:r>
              <w:rPr>
                <w:rFonts w:hint="eastAsia" w:ascii="Times New Roman" w:hAnsi="Times New Roman" w:eastAsiaTheme="minorEastAsia"/>
                <w:color w:val="000000"/>
                <w:kern w:val="0"/>
              </w:rPr>
              <w:t>）</w:t>
            </w:r>
          </w:p>
        </w:tc>
        <w:tc>
          <w:tcPr>
            <w:tcW w:w="7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4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120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总磷</w:t>
            </w:r>
          </w:p>
        </w:tc>
        <w:tc>
          <w:tcPr>
            <w:tcW w:w="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152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化学需氧量（COD）</w:t>
            </w:r>
          </w:p>
        </w:tc>
        <w:tc>
          <w:tcPr>
            <w:tcW w:w="7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60</w:t>
            </w:r>
          </w:p>
        </w:tc>
        <w:tc>
          <w:tcPr>
            <w:tcW w:w="4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120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石油类</w:t>
            </w:r>
          </w:p>
        </w:tc>
        <w:tc>
          <w:tcPr>
            <w:tcW w:w="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152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五日生化需氧量（BOD</w:t>
            </w:r>
            <w:r>
              <w:rPr>
                <w:rFonts w:ascii="Times New Roman" w:hAnsi="Times New Roman" w:eastAsiaTheme="minorEastAsia"/>
                <w:color w:val="000000"/>
                <w:kern w:val="0"/>
                <w:vertAlign w:val="subscript"/>
              </w:rPr>
              <w:t>5</w:t>
            </w:r>
            <w:r>
              <w:rPr>
                <w:rFonts w:ascii="Times New Roman" w:hAnsi="Times New Roman" w:eastAsiaTheme="minorEastAsia"/>
                <w:color w:val="000000"/>
                <w:kern w:val="0"/>
              </w:rPr>
              <w:t>）</w:t>
            </w:r>
          </w:p>
        </w:tc>
        <w:tc>
          <w:tcPr>
            <w:tcW w:w="7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4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120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硫化物</w:t>
            </w:r>
          </w:p>
        </w:tc>
        <w:tc>
          <w:tcPr>
            <w:tcW w:w="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52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7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8.0</w:t>
            </w:r>
          </w:p>
        </w:tc>
        <w:tc>
          <w:tcPr>
            <w:tcW w:w="4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20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挥发酚</w:t>
            </w:r>
          </w:p>
        </w:tc>
        <w:tc>
          <w:tcPr>
            <w:tcW w:w="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w:t>
            </w:r>
          </w:p>
        </w:tc>
      </w:tr>
    </w:tbl>
    <w:p>
      <w:pPr>
        <w:adjustRightInd w:val="0"/>
        <w:snapToGrid w:val="0"/>
        <w:spacing w:line="360" w:lineRule="auto"/>
        <w:ind w:firstLine="480" w:firstLineChars="200"/>
        <w:rPr>
          <w:rFonts w:ascii="Times New Roman" w:hAnsi="Times New Roman" w:eastAsiaTheme="minorEastAsia"/>
          <w:kern w:val="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2、废气</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项目营期产生的主要大气污染物是油品</w:t>
      </w:r>
      <w:r>
        <w:rPr>
          <w:rFonts w:hint="eastAsia" w:ascii="Times New Roman" w:hAnsi="Times New Roman" w:eastAsiaTheme="minorEastAsia"/>
          <w:color w:val="FF0000"/>
          <w:sz w:val="24"/>
          <w:szCs w:val="24"/>
          <w:u w:val="single"/>
        </w:rPr>
        <w:t>、化学品</w:t>
      </w:r>
      <w:r>
        <w:rPr>
          <w:rFonts w:ascii="Times New Roman" w:hAnsi="Times New Roman" w:eastAsiaTheme="minorEastAsia"/>
          <w:color w:val="FF0000"/>
          <w:sz w:val="24"/>
          <w:szCs w:val="24"/>
          <w:u w:val="single"/>
        </w:rPr>
        <w:t>装卸时产生的油气（以</w:t>
      </w:r>
      <w:r>
        <w:rPr>
          <w:rFonts w:hint="eastAsia" w:ascii="Times New Roman" w:hAnsi="Times New Roman" w:eastAsiaTheme="minorEastAsia"/>
          <w:color w:val="FF0000"/>
          <w:sz w:val="24"/>
          <w:szCs w:val="24"/>
          <w:u w:val="single"/>
        </w:rPr>
        <w:t>VOCs</w:t>
      </w:r>
      <w:r>
        <w:rPr>
          <w:rFonts w:ascii="Times New Roman" w:hAnsi="Times New Roman" w:eastAsiaTheme="minorEastAsia"/>
          <w:color w:val="FF0000"/>
          <w:sz w:val="24"/>
          <w:szCs w:val="24"/>
          <w:u w:val="single"/>
        </w:rPr>
        <w:t>计），</w:t>
      </w:r>
      <w:r>
        <w:rPr>
          <w:rFonts w:hint="eastAsia" w:ascii="Times New Roman" w:hAnsi="Times New Roman" w:eastAsiaTheme="minorEastAsia"/>
          <w:color w:val="FF0000"/>
          <w:sz w:val="24"/>
          <w:szCs w:val="24"/>
          <w:u w:val="single"/>
        </w:rPr>
        <w:t>VOCs、二甲苯有组织排放参照执行天津市地方标准《工业企业挥发性有机物排放控制标准》（DB12/524-20</w:t>
      </w:r>
      <w:r>
        <w:rPr>
          <w:rFonts w:hint="eastAsia" w:ascii="Times New Roman" w:hAnsi="Times New Roman" w:eastAsiaTheme="minorEastAsia"/>
          <w:color w:val="FF0000"/>
          <w:sz w:val="24"/>
          <w:szCs w:val="24"/>
          <w:u w:val="single"/>
          <w:lang w:val="en-US" w:eastAsia="zh-CN"/>
        </w:rPr>
        <w:t>20</w:t>
      </w:r>
      <w:r>
        <w:rPr>
          <w:rFonts w:hint="eastAsia" w:ascii="Times New Roman" w:hAnsi="Times New Roman" w:eastAsiaTheme="minorEastAsia"/>
          <w:color w:val="FF0000"/>
          <w:sz w:val="24"/>
          <w:szCs w:val="24"/>
          <w:u w:val="single"/>
        </w:rPr>
        <w:t>）中的排放浓度限值及排放速率限值。VOCs无组织排放执行《挥发性有机物无组织排放控制标准》（GB37822-2019）中无组织排放要求；二甲苯厂界无组织排放参照执行天津市地方标准《工业企业挥发性有机物排放控制标准》（DB12/524-20</w:t>
      </w:r>
      <w:r>
        <w:rPr>
          <w:rFonts w:hint="eastAsia" w:ascii="Times New Roman" w:hAnsi="Times New Roman" w:eastAsiaTheme="minorEastAsia"/>
          <w:color w:val="FF0000"/>
          <w:sz w:val="24"/>
          <w:szCs w:val="24"/>
          <w:u w:val="single"/>
          <w:lang w:val="en-US" w:eastAsia="zh-CN"/>
        </w:rPr>
        <w:t>20</w:t>
      </w:r>
      <w:r>
        <w:rPr>
          <w:rFonts w:hint="eastAsia" w:ascii="Times New Roman" w:hAnsi="Times New Roman" w:eastAsiaTheme="minorEastAsia"/>
          <w:color w:val="FF0000"/>
          <w:sz w:val="24"/>
          <w:szCs w:val="24"/>
          <w:u w:val="single"/>
        </w:rPr>
        <w:t>）中的厂界监控点浓度限值要求</w:t>
      </w:r>
      <w:r>
        <w:rPr>
          <w:rFonts w:ascii="Times New Roman" w:hAnsi="Times New Roman" w:eastAsiaTheme="minorEastAsia"/>
          <w:color w:val="FF0000"/>
          <w:sz w:val="24"/>
          <w:szCs w:val="24"/>
          <w:u w:val="single"/>
        </w:rPr>
        <w:t>，详见表2.6-11。</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tabs>
          <w:tab w:val="left" w:pos="900"/>
        </w:tabs>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表2.6-11  项目厂界内无组织排放限值一览表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09"/>
        <w:gridCol w:w="1795"/>
        <w:gridCol w:w="1478"/>
        <w:gridCol w:w="1478"/>
        <w:gridCol w:w="1861"/>
        <w:gridCol w:w="12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93" w:type="pct"/>
            <w:vAlign w:val="center"/>
          </w:tcPr>
          <w:p>
            <w:pPr>
              <w:autoSpaceDE w:val="0"/>
              <w:autoSpaceDN w:val="0"/>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污染物名称</w:t>
            </w:r>
          </w:p>
        </w:tc>
        <w:tc>
          <w:tcPr>
            <w:tcW w:w="842" w:type="pct"/>
            <w:vAlign w:val="center"/>
          </w:tcPr>
          <w:p>
            <w:pPr>
              <w:autoSpaceDE w:val="0"/>
              <w:autoSpaceDN w:val="0"/>
              <w:adjustRightInd w:val="0"/>
              <w:snapToGrid w:val="0"/>
              <w:jc w:val="center"/>
              <w:rPr>
                <w:rFonts w:hint="eastAsia" w:ascii="Times New Roman" w:hAnsi="Times New Roman" w:eastAsiaTheme="minorEastAsia"/>
                <w:b/>
                <w:color w:val="FF0000"/>
                <w:kern w:val="0"/>
                <w:u w:val="single"/>
                <w:lang w:eastAsia="zh-CN"/>
              </w:rPr>
            </w:pPr>
            <w:r>
              <w:rPr>
                <w:rFonts w:hint="eastAsia" w:ascii="Times New Roman" w:hAnsi="Times New Roman" w:eastAsiaTheme="minorEastAsia"/>
                <w:b/>
                <w:color w:val="FF0000"/>
                <w:kern w:val="0"/>
                <w:u w:val="single"/>
                <w:lang w:val="en-US" w:eastAsia="zh-CN"/>
              </w:rPr>
              <w:t>标准</w:t>
            </w:r>
          </w:p>
        </w:tc>
        <w:tc>
          <w:tcPr>
            <w:tcW w:w="841" w:type="pct"/>
            <w:vAlign w:val="center"/>
          </w:tcPr>
          <w:p>
            <w:pPr>
              <w:autoSpaceDE w:val="0"/>
              <w:autoSpaceDN w:val="0"/>
              <w:adjustRightInd w:val="0"/>
              <w:snapToGrid w:val="0"/>
              <w:jc w:val="center"/>
              <w:rPr>
                <w:rFonts w:ascii="Times New Roman" w:hAnsi="Times New Roman" w:eastAsiaTheme="minorEastAsia"/>
                <w:b/>
                <w:color w:val="FF0000"/>
                <w:kern w:val="0"/>
                <w:u w:val="single"/>
              </w:rPr>
            </w:pPr>
            <w:r>
              <w:rPr>
                <w:rFonts w:hint="eastAsia" w:ascii="Times New Roman" w:hAnsi="Times New Roman" w:eastAsiaTheme="minorEastAsia"/>
                <w:b/>
                <w:color w:val="FF0000"/>
                <w:kern w:val="0"/>
                <w:u w:val="single"/>
              </w:rPr>
              <w:t>排放方式</w:t>
            </w:r>
          </w:p>
        </w:tc>
        <w:tc>
          <w:tcPr>
            <w:tcW w:w="841" w:type="pct"/>
            <w:vAlign w:val="center"/>
          </w:tcPr>
          <w:p>
            <w:pPr>
              <w:autoSpaceDE w:val="0"/>
              <w:autoSpaceDN w:val="0"/>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排放限值</w:t>
            </w:r>
            <w:r>
              <w:rPr>
                <w:rFonts w:ascii="Times New Roman" w:hAnsi="Times New Roman" w:eastAsiaTheme="minorEastAsia"/>
                <w:b/>
                <w:bCs/>
                <w:color w:val="FF0000"/>
                <w:kern w:val="0"/>
                <w:u w:val="single"/>
              </w:rPr>
              <w:t>mg/m</w:t>
            </w:r>
            <w:r>
              <w:rPr>
                <w:rFonts w:ascii="Times New Roman" w:hAnsi="Times New Roman" w:eastAsiaTheme="minorEastAsia"/>
                <w:b/>
                <w:bCs/>
                <w:color w:val="FF0000"/>
                <w:kern w:val="0"/>
                <w:u w:val="single"/>
                <w:vertAlign w:val="superscript"/>
              </w:rPr>
              <w:t>3</w:t>
            </w:r>
          </w:p>
        </w:tc>
        <w:tc>
          <w:tcPr>
            <w:tcW w:w="1051" w:type="pct"/>
            <w:vAlign w:val="center"/>
          </w:tcPr>
          <w:p>
            <w:pPr>
              <w:autoSpaceDE w:val="0"/>
              <w:autoSpaceDN w:val="0"/>
              <w:adjustRightInd w:val="0"/>
              <w:snapToGrid w:val="0"/>
              <w:jc w:val="center"/>
              <w:rPr>
                <w:rFonts w:ascii="Times New Roman" w:hAnsi="Times New Roman" w:eastAsiaTheme="minorEastAsia"/>
                <w:b/>
                <w:color w:val="FF0000"/>
                <w:kern w:val="0"/>
                <w:u w:val="single"/>
              </w:rPr>
            </w:pPr>
            <w:r>
              <w:rPr>
                <w:rFonts w:hint="eastAsia" w:ascii="Times New Roman" w:hAnsi="Times New Roman" w:eastAsiaTheme="minorEastAsia"/>
                <w:b/>
                <w:color w:val="FF0000"/>
                <w:kern w:val="0"/>
                <w:u w:val="single"/>
              </w:rPr>
              <w:t>排放速率</w:t>
            </w:r>
            <w:r>
              <w:rPr>
                <w:rFonts w:hint="eastAsia" w:ascii="Times New Roman" w:hAnsi="Times New Roman" w:eastAsiaTheme="minorEastAsia"/>
                <w:b/>
                <w:bCs/>
                <w:color w:val="FF0000"/>
                <w:kern w:val="0"/>
                <w:u w:val="single"/>
              </w:rPr>
              <w:t>kg/h</w:t>
            </w:r>
          </w:p>
        </w:tc>
        <w:tc>
          <w:tcPr>
            <w:tcW w:w="731" w:type="pct"/>
            <w:vAlign w:val="center"/>
          </w:tcPr>
          <w:p>
            <w:pPr>
              <w:autoSpaceDE w:val="0"/>
              <w:autoSpaceDN w:val="0"/>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限值含义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93" w:type="pct"/>
            <w:vMerge w:val="restar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VOCs</w:t>
            </w:r>
          </w:p>
        </w:tc>
        <w:tc>
          <w:tcPr>
            <w:tcW w:w="842" w:type="pct"/>
            <w:vMerge w:val="restar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《工业企业挥发性有机物排放控制标准》（DB12/524-20</w:t>
            </w:r>
            <w:r>
              <w:rPr>
                <w:rFonts w:hint="eastAsia" w:ascii="Times New Roman" w:hAnsi="Times New Roman" w:eastAsiaTheme="minorEastAsia"/>
                <w:color w:val="FF0000"/>
                <w:kern w:val="0"/>
                <w:u w:val="single"/>
                <w:lang w:val="en-US" w:eastAsia="zh-CN"/>
              </w:rPr>
              <w:t>20</w:t>
            </w:r>
            <w:r>
              <w:rPr>
                <w:rFonts w:hint="eastAsia" w:ascii="Times New Roman" w:hAnsi="Times New Roman" w:eastAsiaTheme="minorEastAsia"/>
                <w:color w:val="FF0000"/>
                <w:kern w:val="0"/>
                <w:u w:val="single"/>
              </w:rPr>
              <w:t>）</w:t>
            </w:r>
          </w:p>
        </w:tc>
        <w:tc>
          <w:tcPr>
            <w:tcW w:w="841"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有组织</w:t>
            </w:r>
          </w:p>
        </w:tc>
        <w:tc>
          <w:tcPr>
            <w:tcW w:w="841"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lang w:val="en-US" w:eastAsia="zh-CN"/>
              </w:rPr>
              <w:t>6</w:t>
            </w:r>
            <w:r>
              <w:rPr>
                <w:rFonts w:hint="eastAsia" w:ascii="Times New Roman" w:hAnsi="Times New Roman" w:eastAsiaTheme="minorEastAsia"/>
                <w:color w:val="FF0000"/>
                <w:kern w:val="0"/>
                <w:u w:val="single"/>
              </w:rPr>
              <w:t>0</w:t>
            </w:r>
          </w:p>
        </w:tc>
        <w:tc>
          <w:tcPr>
            <w:tcW w:w="1051" w:type="pct"/>
            <w:vAlign w:val="center"/>
          </w:tcPr>
          <w:p>
            <w:pPr>
              <w:autoSpaceDE w:val="0"/>
              <w:autoSpaceDN w:val="0"/>
              <w:adjustRightInd w:val="0"/>
              <w:snapToGrid w:val="0"/>
              <w:jc w:val="center"/>
              <w:rPr>
                <w:rFonts w:hint="default"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1.8</w:t>
            </w:r>
          </w:p>
        </w:tc>
        <w:tc>
          <w:tcPr>
            <w:tcW w:w="731"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排气筒高度15m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93" w:type="pct"/>
            <w:vMerge w:val="continue"/>
            <w:vAlign w:val="center"/>
          </w:tcPr>
          <w:p>
            <w:pPr>
              <w:autoSpaceDE w:val="0"/>
              <w:autoSpaceDN w:val="0"/>
              <w:adjustRightInd w:val="0"/>
              <w:snapToGrid w:val="0"/>
              <w:jc w:val="center"/>
              <w:rPr>
                <w:rFonts w:ascii="Times New Roman" w:hAnsi="Times New Roman" w:eastAsiaTheme="minorEastAsia"/>
                <w:color w:val="FF0000"/>
                <w:kern w:val="0"/>
                <w:u w:val="single"/>
              </w:rPr>
            </w:pPr>
          </w:p>
        </w:tc>
        <w:tc>
          <w:tcPr>
            <w:tcW w:w="842" w:type="pct"/>
            <w:vMerge w:val="continue"/>
            <w:vAlign w:val="center"/>
          </w:tcPr>
          <w:p>
            <w:pPr>
              <w:autoSpaceDE w:val="0"/>
              <w:autoSpaceDN w:val="0"/>
              <w:adjustRightInd w:val="0"/>
              <w:snapToGrid w:val="0"/>
              <w:jc w:val="center"/>
              <w:rPr>
                <w:rFonts w:ascii="Times New Roman" w:hAnsi="Times New Roman" w:eastAsiaTheme="minorEastAsia"/>
                <w:color w:val="FF0000"/>
                <w:kern w:val="0"/>
                <w:u w:val="single"/>
              </w:rPr>
            </w:pPr>
          </w:p>
        </w:tc>
        <w:tc>
          <w:tcPr>
            <w:tcW w:w="841"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无组织</w:t>
            </w:r>
          </w:p>
        </w:tc>
        <w:tc>
          <w:tcPr>
            <w:tcW w:w="841"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6（小时值）</w:t>
            </w:r>
          </w:p>
          <w:p>
            <w:pPr>
              <w:autoSpaceDE w:val="0"/>
              <w:autoSpaceDN w:val="0"/>
              <w:adjustRightInd w:val="0"/>
              <w:snapToGrid w:val="0"/>
              <w:jc w:val="center"/>
              <w:rPr>
                <w:rFonts w:hint="default"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20（一次值）</w:t>
            </w:r>
          </w:p>
        </w:tc>
        <w:tc>
          <w:tcPr>
            <w:tcW w:w="1051"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w:t>
            </w:r>
          </w:p>
        </w:tc>
        <w:tc>
          <w:tcPr>
            <w:tcW w:w="731" w:type="pct"/>
            <w:vAlign w:val="center"/>
          </w:tcPr>
          <w:p>
            <w:pPr>
              <w:autoSpaceDE w:val="0"/>
              <w:autoSpaceDN w:val="0"/>
              <w:adjustRightInd w:val="0"/>
              <w:snapToGrid w:val="0"/>
              <w:jc w:val="center"/>
              <w:rPr>
                <w:rFonts w:hint="default"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在非封闭厂房作业的，在操作工位旁设置监控点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93"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二甲苯</w:t>
            </w:r>
          </w:p>
        </w:tc>
        <w:tc>
          <w:tcPr>
            <w:tcW w:w="842" w:type="pct"/>
            <w:vMerge w:val="continue"/>
            <w:vAlign w:val="center"/>
          </w:tcPr>
          <w:p>
            <w:pPr>
              <w:autoSpaceDE w:val="0"/>
              <w:autoSpaceDN w:val="0"/>
              <w:adjustRightInd w:val="0"/>
              <w:snapToGrid w:val="0"/>
              <w:jc w:val="center"/>
              <w:rPr>
                <w:rFonts w:ascii="Times New Roman" w:hAnsi="Times New Roman" w:eastAsiaTheme="minorEastAsia"/>
                <w:color w:val="FF0000"/>
                <w:kern w:val="0"/>
                <w:u w:val="single"/>
              </w:rPr>
            </w:pPr>
          </w:p>
        </w:tc>
        <w:tc>
          <w:tcPr>
            <w:tcW w:w="841"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有组织</w:t>
            </w:r>
          </w:p>
        </w:tc>
        <w:tc>
          <w:tcPr>
            <w:tcW w:w="841" w:type="pct"/>
            <w:vAlign w:val="center"/>
          </w:tcPr>
          <w:p>
            <w:pPr>
              <w:autoSpaceDE w:val="0"/>
              <w:autoSpaceDN w:val="0"/>
              <w:adjustRightInd w:val="0"/>
              <w:snapToGrid w:val="0"/>
              <w:jc w:val="center"/>
              <w:rPr>
                <w:rFonts w:hint="default"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40</w:t>
            </w:r>
          </w:p>
        </w:tc>
        <w:tc>
          <w:tcPr>
            <w:tcW w:w="1051" w:type="pct"/>
            <w:vAlign w:val="center"/>
          </w:tcPr>
          <w:p>
            <w:pPr>
              <w:autoSpaceDE w:val="0"/>
              <w:autoSpaceDN w:val="0"/>
              <w:adjustRightInd w:val="0"/>
              <w:snapToGrid w:val="0"/>
              <w:jc w:val="center"/>
              <w:rPr>
                <w:rFonts w:hint="default"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1.0</w:t>
            </w:r>
          </w:p>
        </w:tc>
        <w:tc>
          <w:tcPr>
            <w:tcW w:w="731"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排气筒高度15m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93"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rPr>
              <w:t>VOCs</w:t>
            </w:r>
          </w:p>
        </w:tc>
        <w:tc>
          <w:tcPr>
            <w:tcW w:w="842"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rPr>
            </w:pPr>
            <w:r>
              <w:rPr>
                <w:rFonts w:hint="eastAsia" w:ascii="Times New Roman" w:hAnsi="Times New Roman" w:eastAsiaTheme="minorEastAsia"/>
                <w:color w:val="FF0000"/>
                <w:kern w:val="0"/>
                <w:u w:val="single"/>
              </w:rPr>
              <w:t>《挥发性有机物无组织排放控制标准》（GB37822-2019）</w:t>
            </w:r>
          </w:p>
        </w:tc>
        <w:tc>
          <w:tcPr>
            <w:tcW w:w="841"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无组织</w:t>
            </w:r>
          </w:p>
        </w:tc>
        <w:tc>
          <w:tcPr>
            <w:tcW w:w="841"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10（小时值）</w:t>
            </w:r>
          </w:p>
          <w:p>
            <w:pPr>
              <w:autoSpaceDE w:val="0"/>
              <w:autoSpaceDN w:val="0"/>
              <w:adjustRightInd w:val="0"/>
              <w:snapToGrid w:val="0"/>
              <w:jc w:val="center"/>
              <w:rPr>
                <w:rFonts w:hint="default"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30（一次值）</w:t>
            </w:r>
          </w:p>
        </w:tc>
        <w:tc>
          <w:tcPr>
            <w:tcW w:w="1051"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w:t>
            </w:r>
          </w:p>
        </w:tc>
        <w:tc>
          <w:tcPr>
            <w:tcW w:w="731" w:type="pct"/>
            <w:vAlign w:val="center"/>
          </w:tcPr>
          <w:p>
            <w:pPr>
              <w:autoSpaceDE w:val="0"/>
              <w:autoSpaceDN w:val="0"/>
              <w:adjustRightInd w:val="0"/>
              <w:snapToGrid w:val="0"/>
              <w:jc w:val="center"/>
              <w:rPr>
                <w:rFonts w:hint="eastAsia" w:ascii="Times New Roman" w:hAnsi="Times New Roman" w:eastAsiaTheme="minorEastAsia"/>
                <w:color w:val="FF0000"/>
                <w:kern w:val="0"/>
                <w:u w:val="single"/>
                <w:lang w:val="en-US" w:eastAsia="zh-CN"/>
              </w:rPr>
            </w:pPr>
            <w:r>
              <w:rPr>
                <w:rFonts w:hint="eastAsia" w:ascii="Times New Roman" w:hAnsi="Times New Roman" w:eastAsiaTheme="minorEastAsia"/>
                <w:color w:val="FF0000"/>
                <w:kern w:val="0"/>
                <w:u w:val="single"/>
                <w:lang w:val="en-US" w:eastAsia="zh-CN"/>
              </w:rPr>
              <w:t>装卸平台旁</w:t>
            </w:r>
            <w:r>
              <w:rPr>
                <w:rFonts w:hint="eastAsia" w:ascii="Times New Roman" w:hAnsi="Times New Roman" w:eastAsiaTheme="minorEastAsia"/>
                <w:color w:val="FF0000"/>
                <w:kern w:val="0"/>
                <w:u w:val="single"/>
              </w:rPr>
              <w:t>监控点浓度限值</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3、噪声</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营运期项目靠近长江侧边界噪声排放标准执行《工业企业厂界环境噪声排放标准》（GB12348-2008）4类标准，其他厂界执行2类标准，具体见表2.6-12；施工期执行《建筑施工场界环境噪声排放标准》（GB12523-2011）的标准，具体见表2.6-13。</w:t>
      </w: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表2.6-12  工业企业厂界环境噪声排放标准         </w:t>
      </w:r>
      <w:r>
        <w:rPr>
          <w:rFonts w:ascii="Times New Roman" w:hAnsi="Times New Roman" w:eastAsiaTheme="minorEastAsia"/>
          <w:color w:val="000000"/>
          <w:sz w:val="24"/>
          <w:szCs w:val="24"/>
        </w:rPr>
        <w:t>单位dB(A)</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038"/>
        <w:gridCol w:w="3034"/>
        <w:gridCol w:w="30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6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昼间</w:t>
            </w:r>
          </w:p>
        </w:tc>
        <w:tc>
          <w:tcPr>
            <w:tcW w:w="166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60</w:t>
            </w:r>
          </w:p>
        </w:tc>
        <w:tc>
          <w:tcPr>
            <w:tcW w:w="16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16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51</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表2.6-13  建筑施工场界噪声限值标准            </w:t>
      </w:r>
      <w:r>
        <w:rPr>
          <w:rFonts w:ascii="Times New Roman" w:hAnsi="Times New Roman" w:eastAsiaTheme="minorEastAsia"/>
          <w:color w:val="000000"/>
          <w:sz w:val="24"/>
          <w:szCs w:val="24"/>
        </w:rPr>
        <w:t>单位dB(A)</w:t>
      </w:r>
    </w:p>
    <w:tbl>
      <w:tblPr>
        <w:tblStyle w:val="7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52"/>
        <w:gridCol w:w="4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2"/>
            <w:vAlign w:val="center"/>
          </w:tcPr>
          <w:p>
            <w:pPr>
              <w:autoSpaceDE w:val="0"/>
              <w:autoSpaceDN w:val="0"/>
              <w:adjustRightInd w:val="0"/>
              <w:snapToGrid w:val="0"/>
              <w:jc w:val="center"/>
              <w:rPr>
                <w:rFonts w:ascii="Times New Roman" w:hAnsi="Times New Roman" w:eastAsiaTheme="minorEastAsia"/>
                <w:b/>
                <w:kern w:val="0"/>
                <w:sz w:val="24"/>
                <w:szCs w:val="24"/>
              </w:rPr>
            </w:pPr>
            <w:r>
              <w:rPr>
                <w:rFonts w:ascii="Times New Roman" w:hAnsi="Times New Roman" w:eastAsiaTheme="minorEastAsia"/>
                <w:b/>
                <w:color w:val="000000"/>
                <w:kern w:val="0"/>
              </w:rPr>
              <w:t>噪声限值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1"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昼间</w:t>
            </w:r>
          </w:p>
        </w:tc>
        <w:tc>
          <w:tcPr>
            <w:tcW w:w="2499"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1"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70</w:t>
            </w:r>
          </w:p>
        </w:tc>
        <w:tc>
          <w:tcPr>
            <w:tcW w:w="2499"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55</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4、固体废物</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船舶垃圾：执行《船舶水污染物排放标准》（GB3552-2018），具体见表2.6-14。</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表2.6-14  船舶水污染物排放标准</w:t>
      </w:r>
    </w:p>
    <w:tbl>
      <w:tblPr>
        <w:tblStyle w:val="7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50"/>
        <w:gridCol w:w="4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排放物</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内河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塑料制品</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禁止投入水域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飘浮物</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禁止投入水域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食品废物及其他垃圾</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禁止投入水域</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陆域一般固体废物：执行《一般工业固体废物贮存、处置场污染控制标准》（GB18599-2001）及修改单。</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陆域危险废物：执行《危险废物贮存污染控制标准》（GB18597-2001）及修改单。</w:t>
      </w:r>
    </w:p>
    <w:p>
      <w:pPr>
        <w:pStyle w:val="3"/>
        <w:rPr>
          <w:rFonts w:ascii="Times New Roman" w:hAnsi="Times New Roman" w:eastAsiaTheme="minorEastAsia"/>
          <w:b/>
        </w:rPr>
      </w:pPr>
      <w:bookmarkStart w:id="27" w:name="_Toc18815"/>
      <w:r>
        <w:rPr>
          <w:rFonts w:ascii="Times New Roman" w:hAnsi="Times New Roman" w:eastAsiaTheme="minorEastAsia"/>
          <w:b/>
        </w:rPr>
        <w:t>主要环境保护目标调查</w:t>
      </w:r>
      <w:bookmarkEnd w:id="27"/>
    </w:p>
    <w:p>
      <w:pPr>
        <w:pStyle w:val="4"/>
        <w:rPr>
          <w:rFonts w:eastAsiaTheme="minorEastAsia"/>
        </w:rPr>
      </w:pPr>
      <w:r>
        <w:rPr>
          <w:rFonts w:eastAsiaTheme="minorEastAsia"/>
        </w:rPr>
        <w:t>地表水保护目标</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本项目地表水保护目标为评价江段的</w:t>
      </w:r>
      <w:r>
        <w:rPr>
          <w:rFonts w:hint="eastAsia" w:ascii="宋体" w:hAnsi="宋体" w:cs="宋体"/>
          <w:color w:val="000000"/>
          <w:sz w:val="24"/>
          <w:szCs w:val="24"/>
          <w:lang w:eastAsia="ja-JP"/>
        </w:rPr>
        <w:t>Ⅲ</w:t>
      </w:r>
      <w:r>
        <w:rPr>
          <w:rFonts w:ascii="Times New Roman" w:hAnsi="Times New Roman" w:eastAsiaTheme="minorEastAsia"/>
          <w:color w:val="000000"/>
          <w:sz w:val="24"/>
          <w:szCs w:val="24"/>
        </w:rPr>
        <w:t>类渔业用水区水体以及周边的农灌沟渠。另外，项目码头上游约10km至下</w:t>
      </w:r>
      <w:r>
        <w:rPr>
          <w:rFonts w:ascii="Times New Roman" w:hAnsi="Times New Roman" w:eastAsiaTheme="minorEastAsia"/>
          <w:color w:val="000000" w:themeColor="text1"/>
          <w:sz w:val="24"/>
          <w:szCs w:val="24"/>
          <w14:textFill>
            <w14:solidFill>
              <w14:schemeClr w14:val="tx1"/>
            </w14:solidFill>
          </w14:textFill>
        </w:rPr>
        <w:t>游约30km范围内水源地有</w:t>
      </w:r>
      <w:r>
        <w:rPr>
          <w:rFonts w:ascii="Times New Roman" w:hAnsi="Times New Roman" w:eastAsiaTheme="minorEastAsia"/>
          <w:bCs/>
          <w:color w:val="000000" w:themeColor="text1"/>
          <w:sz w:val="24"/>
          <w14:textFill>
            <w14:solidFill>
              <w14:schemeClr w14:val="tx1"/>
            </w14:solidFill>
          </w14:textFill>
        </w:rPr>
        <w:t>岳阳市云溪区陆城镇水厂文桥镇水厂长江取水口饮用水源保护区、岳阳市云溪区道仁矶水厂长江取水口饮用水水源保护区和</w:t>
      </w:r>
      <w:r>
        <w:rPr>
          <w:rFonts w:ascii="Times New Roman" w:hAnsi="Times New Roman" w:eastAsiaTheme="minorEastAsia"/>
          <w:color w:val="000000" w:themeColor="text1"/>
          <w:kern w:val="0"/>
          <w:sz w:val="24"/>
          <w:szCs w:val="24"/>
          <w14:textFill>
            <w14:solidFill>
              <w14:schemeClr w14:val="tx1"/>
            </w14:solidFill>
          </w14:textFill>
        </w:rPr>
        <w:t>儒溪工业园工业取水口</w:t>
      </w:r>
      <w:r>
        <w:rPr>
          <w:rFonts w:ascii="Times New Roman" w:hAnsi="Times New Roman" w:eastAsiaTheme="minorEastAsia"/>
          <w:color w:val="000000"/>
          <w:sz w:val="24"/>
          <w:szCs w:val="24"/>
        </w:rPr>
        <w:t>。项目地表水保护目标见表2.7-1，项目码头与饮用水水源保护区位置关系见表2.7-2。</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表2.7-1  本项目地表水保护目标</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25"/>
        <w:gridCol w:w="1216"/>
        <w:gridCol w:w="1111"/>
        <w:gridCol w:w="788"/>
        <w:gridCol w:w="3349"/>
        <w:gridCol w:w="787"/>
        <w:gridCol w:w="9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保护目标名称</w:t>
            </w:r>
          </w:p>
        </w:tc>
        <w:tc>
          <w:tcPr>
            <w:tcW w:w="1095" w:type="pct"/>
            <w:gridSpan w:val="2"/>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坐标</w:t>
            </w:r>
          </w:p>
        </w:tc>
        <w:tc>
          <w:tcPr>
            <w:tcW w:w="470"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保护</w:t>
            </w:r>
          </w:p>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内容</w:t>
            </w:r>
          </w:p>
        </w:tc>
        <w:tc>
          <w:tcPr>
            <w:tcW w:w="1877"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环境功能区</w:t>
            </w:r>
          </w:p>
        </w:tc>
        <w:tc>
          <w:tcPr>
            <w:tcW w:w="469"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相对厂址方位</w:t>
            </w:r>
          </w:p>
        </w:tc>
        <w:tc>
          <w:tcPr>
            <w:tcW w:w="544"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相对厂界最近距离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4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东经</w:t>
            </w:r>
          </w:p>
        </w:tc>
        <w:tc>
          <w:tcPr>
            <w:tcW w:w="547" w:type="pc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北纬</w:t>
            </w:r>
          </w:p>
        </w:tc>
        <w:tc>
          <w:tcPr>
            <w:tcW w:w="470"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1877"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469"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544" w:type="pct"/>
            <w:vMerge w:val="continue"/>
            <w:vAlign w:val="center"/>
          </w:tcPr>
          <w:p>
            <w:pPr>
              <w:autoSpaceDE w:val="0"/>
              <w:autoSpaceDN w:val="0"/>
              <w:adjustRightInd w:val="0"/>
              <w:snapToGrid w:val="0"/>
              <w:jc w:val="center"/>
              <w:rPr>
                <w:rFonts w:ascii="Times New Roman" w:hAnsi="Times New Roman" w:eastAsiaTheme="minorEastAsia"/>
                <w:b/>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长江（岳阳段）</w:t>
            </w:r>
          </w:p>
        </w:tc>
        <w:tc>
          <w:tcPr>
            <w:tcW w:w="5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113°17'00.89"</w:t>
            </w:r>
          </w:p>
        </w:tc>
        <w:tc>
          <w:tcPr>
            <w:tcW w:w="5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29°35'39.58"</w:t>
            </w:r>
          </w:p>
        </w:tc>
        <w:tc>
          <w:tcPr>
            <w:tcW w:w="4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水体</w:t>
            </w:r>
          </w:p>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水质</w:t>
            </w:r>
          </w:p>
        </w:tc>
        <w:tc>
          <w:tcPr>
            <w:tcW w:w="1877"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《地表水环境质量标准》（GB3838-2002）</w:t>
            </w:r>
            <w:r>
              <w:rPr>
                <w:rFonts w:hint="eastAsia" w:ascii="宋体" w:hAnsi="宋体" w:cs="宋体"/>
                <w:color w:val="000000"/>
                <w:kern w:val="0"/>
              </w:rPr>
              <w:t>Ⅲ</w:t>
            </w:r>
            <w:r>
              <w:rPr>
                <w:rFonts w:ascii="Times New Roman" w:hAnsi="Times New Roman" w:eastAsiaTheme="minorEastAsia"/>
                <w:color w:val="000000"/>
                <w:kern w:val="0"/>
              </w:rPr>
              <w:t>类，渔业用水区</w:t>
            </w:r>
          </w:p>
        </w:tc>
        <w:tc>
          <w:tcPr>
            <w:tcW w:w="469"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北侧</w:t>
            </w:r>
          </w:p>
        </w:tc>
        <w:tc>
          <w:tcPr>
            <w:tcW w:w="5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紧邻</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表2.7-2  本项目与水源地保护区的位置关系</w:t>
      </w:r>
    </w:p>
    <w:tbl>
      <w:tblPr>
        <w:tblStyle w:val="71"/>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1713"/>
        <w:gridCol w:w="3145"/>
        <w:gridCol w:w="35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1722"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相对位置</w:t>
            </w:r>
          </w:p>
        </w:tc>
        <w:tc>
          <w:tcPr>
            <w:tcW w:w="1950"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规模与环境特征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岳阳市云溪区陆城镇水厂文桥镇水厂长江取水口饮用水源保护区</w:t>
            </w:r>
          </w:p>
        </w:tc>
        <w:tc>
          <w:tcPr>
            <w:tcW w:w="1722"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根据</w:t>
            </w:r>
            <w:r>
              <w:rPr>
                <w:rFonts w:ascii="Times New Roman" w:hAnsi="Times New Roman" w:eastAsiaTheme="minorEastAsia"/>
                <w:color w:val="000000" w:themeColor="text1"/>
                <w:kern w:val="0"/>
                <w14:textFill>
                  <w14:solidFill>
                    <w14:schemeClr w14:val="tx1"/>
                  </w14:solidFill>
                </w14:textFill>
              </w:rPr>
              <w:t>岳</w:t>
            </w:r>
            <w:r>
              <w:rPr>
                <w:rFonts w:hint="eastAsia" w:ascii="Times New Roman" w:hAnsi="Times New Roman" w:eastAsiaTheme="minorEastAsia"/>
                <w:color w:val="000000" w:themeColor="text1"/>
                <w:kern w:val="0"/>
                <w14:textFill>
                  <w14:solidFill>
                    <w14:schemeClr w14:val="tx1"/>
                  </w14:solidFill>
                </w14:textFill>
              </w:rPr>
              <w:t>云政函</w:t>
            </w:r>
            <w:r>
              <w:rPr>
                <w:rFonts w:ascii="Times New Roman" w:hAnsi="Times New Roman" w:eastAsiaTheme="minorEastAsia"/>
                <w:color w:val="000000" w:themeColor="text1"/>
                <w:kern w:val="0"/>
                <w14:textFill>
                  <w14:solidFill>
                    <w14:schemeClr w14:val="tx1"/>
                  </w14:solidFill>
                </w14:textFill>
              </w:rPr>
              <w:t>〔</w:t>
            </w:r>
            <w:r>
              <w:rPr>
                <w:rFonts w:hint="eastAsia" w:ascii="Times New Roman" w:hAnsi="Times New Roman" w:eastAsiaTheme="minorEastAsia"/>
                <w:color w:val="000000" w:themeColor="text1"/>
                <w:kern w:val="0"/>
                <w14:textFill>
                  <w14:solidFill>
                    <w14:schemeClr w14:val="tx1"/>
                  </w14:solidFill>
                </w14:textFill>
              </w:rPr>
              <w:t>2020〕32号</w:t>
            </w:r>
            <w:r>
              <w:rPr>
                <w:rFonts w:ascii="Times New Roman" w:hAnsi="Times New Roman" w:eastAsiaTheme="minorEastAsia"/>
                <w:color w:val="000000" w:themeColor="text1"/>
                <w:kern w:val="0"/>
                <w14:textFill>
                  <w14:solidFill>
                    <w14:schemeClr w14:val="tx1"/>
                  </w14:solidFill>
                </w14:textFill>
              </w:rPr>
              <w:t>文，该取水口</w:t>
            </w:r>
            <w:r>
              <w:rPr>
                <w:rFonts w:hint="eastAsia" w:ascii="Times New Roman" w:hAnsi="Times New Roman" w:eastAsiaTheme="minorEastAsia"/>
                <w:color w:val="000000" w:themeColor="text1"/>
                <w:kern w:val="0"/>
                <w14:textFill>
                  <w14:solidFill>
                    <w14:schemeClr w14:val="tx1"/>
                  </w14:solidFill>
                </w14:textFill>
              </w:rPr>
              <w:t>实际</w:t>
            </w:r>
            <w:r>
              <w:rPr>
                <w:rFonts w:ascii="Times New Roman" w:hAnsi="Times New Roman" w:eastAsiaTheme="minorEastAsia"/>
                <w:color w:val="000000" w:themeColor="text1"/>
                <w:kern w:val="0"/>
                <w14:textFill>
                  <w14:solidFill>
                    <w14:schemeClr w14:val="tx1"/>
                  </w14:solidFill>
                </w14:textFill>
              </w:rPr>
              <w:t>坐标为E：113°16'19.47"，N：29°35'24.357"。</w:t>
            </w:r>
            <w:r>
              <w:rPr>
                <w:rFonts w:hint="eastAsia" w:ascii="Times New Roman" w:hAnsi="Times New Roman" w:eastAsiaTheme="minorEastAsia"/>
                <w:color w:val="000000" w:themeColor="text1"/>
                <w:kern w:val="0"/>
                <w14:textFill>
                  <w14:solidFill>
                    <w14:schemeClr w14:val="tx1"/>
                  </w14:solidFill>
                </w14:textFill>
              </w:rPr>
              <w:t>根据</w:t>
            </w:r>
            <w:r>
              <w:rPr>
                <w:rFonts w:ascii="Times New Roman" w:hAnsi="Times New Roman" w:eastAsiaTheme="minorEastAsia"/>
                <w:color w:val="000000" w:themeColor="text1"/>
                <w:kern w:val="0"/>
                <w14:textFill>
                  <w14:solidFill>
                    <w14:schemeClr w14:val="tx1"/>
                  </w14:solidFill>
                </w14:textFill>
              </w:rPr>
              <w:t>实际坐标位置，按照《岳阳市云溪区陆城镇水厂文桥镇水厂长江取水口饮用水源保护区划分技术报告》</w:t>
            </w:r>
            <w:r>
              <w:rPr>
                <w:rFonts w:hint="eastAsia" w:ascii="Times New Roman" w:hAnsi="Times New Roman" w:eastAsiaTheme="minorEastAsia"/>
                <w:color w:val="000000" w:themeColor="text1"/>
                <w:kern w:val="0"/>
                <w14:textFill>
                  <w14:solidFill>
                    <w14:schemeClr w14:val="tx1"/>
                  </w14:solidFill>
                </w14:textFill>
              </w:rPr>
              <w:t>的</w:t>
            </w:r>
            <w:r>
              <w:rPr>
                <w:rFonts w:ascii="Times New Roman" w:hAnsi="Times New Roman" w:eastAsiaTheme="minorEastAsia"/>
                <w:color w:val="000000" w:themeColor="text1"/>
                <w:kern w:val="0"/>
                <w14:textFill>
                  <w14:solidFill>
                    <w14:schemeClr w14:val="tx1"/>
                  </w14:solidFill>
                </w14:textFill>
              </w:rPr>
              <w:t>划分方案，该水源地二级保护区下边界与本项目的上边界最近直线距离约370m，</w:t>
            </w:r>
            <w:r>
              <w:rPr>
                <w:rFonts w:hint="eastAsia" w:ascii="Times New Roman" w:hAnsi="Times New Roman" w:eastAsiaTheme="minorEastAsia"/>
                <w:color w:val="000000" w:themeColor="text1"/>
                <w:kern w:val="0"/>
                <w14:textFill>
                  <w14:solidFill>
                    <w14:schemeClr w14:val="tx1"/>
                  </w14:solidFill>
                </w14:textFill>
              </w:rPr>
              <w:t>本项目</w:t>
            </w:r>
            <w:r>
              <w:rPr>
                <w:rFonts w:ascii="Times New Roman" w:hAnsi="Times New Roman" w:eastAsiaTheme="minorEastAsia"/>
                <w:color w:val="000000" w:themeColor="text1"/>
                <w:kern w:val="0"/>
                <w14:textFill>
                  <w14:solidFill>
                    <w14:schemeClr w14:val="tx1"/>
                  </w14:solidFill>
                </w14:textFill>
              </w:rPr>
              <w:t>不涉及</w:t>
            </w:r>
            <w:r>
              <w:rPr>
                <w:rFonts w:hint="eastAsia" w:ascii="Times New Roman" w:hAnsi="Times New Roman" w:eastAsiaTheme="minorEastAsia"/>
                <w:color w:val="000000" w:themeColor="text1"/>
                <w:kern w:val="0"/>
                <w14:textFill>
                  <w14:solidFill>
                    <w14:schemeClr w14:val="tx1"/>
                  </w14:solidFill>
                </w14:textFill>
              </w:rPr>
              <w:t>水源地</w:t>
            </w:r>
            <w:r>
              <w:rPr>
                <w:rFonts w:ascii="Times New Roman" w:hAnsi="Times New Roman" w:eastAsiaTheme="minorEastAsia"/>
                <w:color w:val="000000" w:themeColor="text1"/>
                <w:kern w:val="0"/>
                <w14:textFill>
                  <w14:solidFill>
                    <w14:schemeClr w14:val="tx1"/>
                  </w14:solidFill>
                </w14:textFill>
              </w:rPr>
              <w:t>保护区</w:t>
            </w:r>
            <w:r>
              <w:rPr>
                <w:rFonts w:hint="eastAsia" w:ascii="Times New Roman" w:hAnsi="Times New Roman" w:eastAsiaTheme="minorEastAsia"/>
                <w:color w:val="000000" w:themeColor="text1"/>
                <w:kern w:val="0"/>
                <w14:textFill>
                  <w14:solidFill>
                    <w14:schemeClr w14:val="tx1"/>
                  </w14:solidFill>
                </w14:textFill>
              </w:rPr>
              <w:t>范围</w:t>
            </w:r>
            <w:r>
              <w:rPr>
                <w:rFonts w:ascii="Times New Roman" w:hAnsi="Times New Roman" w:eastAsiaTheme="minorEastAsia"/>
                <w:color w:val="000000" w:themeColor="text1"/>
                <w:kern w:val="0"/>
                <w14:textFill>
                  <w14:solidFill>
                    <w14:schemeClr w14:val="tx1"/>
                  </w14:solidFill>
                </w14:textFill>
              </w:rPr>
              <w:t>，见</w:t>
            </w:r>
            <w:r>
              <w:rPr>
                <w:rFonts w:hint="eastAsia" w:ascii="Times New Roman" w:hAnsi="Times New Roman" w:eastAsiaTheme="minorEastAsia"/>
                <w:color w:val="000000" w:themeColor="text1"/>
                <w:kern w:val="0"/>
                <w14:textFill>
                  <w14:solidFill>
                    <w14:schemeClr w14:val="tx1"/>
                  </w14:solidFill>
                </w14:textFill>
              </w:rPr>
              <w:t>附件</w:t>
            </w:r>
            <w:r>
              <w:rPr>
                <w:rFonts w:hint="eastAsia" w:ascii="Times New Roman" w:hAnsi="Times New Roman" w:eastAsiaTheme="minorEastAsia"/>
                <w:color w:val="000000" w:themeColor="text1"/>
                <w:kern w:val="0"/>
                <w:lang w:val="en-US" w:eastAsia="zh-CN"/>
                <w14:textFill>
                  <w14:solidFill>
                    <w14:schemeClr w14:val="tx1"/>
                  </w14:solidFill>
                </w14:textFill>
              </w:rPr>
              <w:t>9</w:t>
            </w:r>
            <w:r>
              <w:rPr>
                <w:rFonts w:ascii="Times New Roman" w:hAnsi="Times New Roman" w:eastAsiaTheme="minorEastAsia"/>
                <w:color w:val="000000" w:themeColor="text1"/>
                <w:kern w:val="0"/>
                <w14:textFill>
                  <w14:solidFill>
                    <w14:schemeClr w14:val="tx1"/>
                  </w14:solidFill>
                </w14:textFill>
              </w:rPr>
              <w:t>、附图14</w:t>
            </w:r>
          </w:p>
        </w:tc>
        <w:tc>
          <w:tcPr>
            <w:tcW w:w="195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该取水口取水水量为1500万m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/a，其中80.3万m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/a用于文桥镇水厂和陆城镇水厂取水，其余为长岭炼油厂工业取水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岳阳市云溪区道仁矶水厂长江取水口饮用水水源保护区</w:t>
            </w:r>
          </w:p>
        </w:tc>
        <w:tc>
          <w:tcPr>
            <w:tcW w:w="172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取水口坐标为E：113°13'40.47"，N：29°32'23.90"。水源地二级保护区下边界与本项目的上边界最近直线距离约7.5km，见附图15</w:t>
            </w:r>
          </w:p>
        </w:tc>
        <w:tc>
          <w:tcPr>
            <w:tcW w:w="195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该取水口取水量为40.15万m³/a（1100m³/d），服务人口为9429人，服务范围为居委会、滨江村、泗泷村、丁山村、柳田村、基隆村等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临湘市工业园滨江产业示范区自来水厂（取水口）</w:t>
            </w:r>
          </w:p>
        </w:tc>
        <w:tc>
          <w:tcPr>
            <w:tcW w:w="172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取水口坐标为E：113°19'12.06"，N：29°37'42.95"，</w:t>
            </w:r>
            <w:r>
              <w:rPr>
                <w:rFonts w:ascii="Times New Roman" w:hAnsi="Times New Roman" w:eastAsiaTheme="minorEastAsia"/>
                <w:color w:val="000000" w:themeColor="text1"/>
                <w14:textFill>
                  <w14:solidFill>
                    <w14:schemeClr w14:val="tx1"/>
                  </w14:solidFill>
                </w14:textFill>
              </w:rPr>
              <w:t>该取水口位于</w:t>
            </w:r>
            <w:r>
              <w:rPr>
                <w:rFonts w:ascii="Times New Roman" w:hAnsi="Times New Roman" w:eastAsiaTheme="minorEastAsia"/>
                <w:color w:val="000000" w:themeColor="text1"/>
                <w:kern w:val="0"/>
                <w14:textFill>
                  <w14:solidFill>
                    <w14:schemeClr w14:val="tx1"/>
                  </w14:solidFill>
                </w14:textFill>
              </w:rPr>
              <w:t>本项目的下边界最近直线距离约4.8km，见附图16</w:t>
            </w:r>
          </w:p>
        </w:tc>
        <w:tc>
          <w:tcPr>
            <w:tcW w:w="195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该取水口取水主要作为临湘市儒溪工业区工业企业生产用水，兼顾规划区3万居民生活用水，并已建成北控水务集公司团自来水厂，该自来水公司设计供水量5万m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/d，供水范围为儒溪工业规划区约3万人</w:t>
            </w:r>
          </w:p>
        </w:tc>
      </w:tr>
    </w:tbl>
    <w:p>
      <w:pPr>
        <w:adjustRightInd w:val="0"/>
        <w:snapToGrid w:val="0"/>
        <w:spacing w:line="360" w:lineRule="auto"/>
        <w:rPr>
          <w:rFonts w:ascii="Times New Roman" w:hAnsi="Times New Roman" w:eastAsiaTheme="minorEastAsia"/>
          <w:color w:val="000000"/>
        </w:rPr>
      </w:pPr>
    </w:p>
    <w:p>
      <w:pPr>
        <w:pStyle w:val="4"/>
        <w:rPr>
          <w:rFonts w:eastAsiaTheme="minorEastAsia"/>
        </w:rPr>
      </w:pPr>
      <w:r>
        <w:rPr>
          <w:rFonts w:eastAsiaTheme="minorEastAsia"/>
        </w:rPr>
        <w:t>环境空气、声环境保护目标</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本项目环境空气、声环境评价范围内敏感点见下表。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表2.7-3  评价范围内环境空气保护目标</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13"/>
        <w:gridCol w:w="1225"/>
        <w:gridCol w:w="1120"/>
        <w:gridCol w:w="534"/>
        <w:gridCol w:w="1390"/>
        <w:gridCol w:w="2037"/>
        <w:gridCol w:w="976"/>
        <w:gridCol w:w="1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447"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保护目标名称</w:t>
            </w:r>
          </w:p>
        </w:tc>
        <w:tc>
          <w:tcPr>
            <w:tcW w:w="1288"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坐标</w:t>
            </w:r>
          </w:p>
        </w:tc>
        <w:tc>
          <w:tcPr>
            <w:tcW w:w="294"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保护</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对象</w:t>
            </w:r>
          </w:p>
        </w:tc>
        <w:tc>
          <w:tcPr>
            <w:tcW w:w="764"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保护内容</w:t>
            </w:r>
          </w:p>
        </w:tc>
        <w:tc>
          <w:tcPr>
            <w:tcW w:w="1119"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环境功能区</w:t>
            </w:r>
          </w:p>
        </w:tc>
        <w:tc>
          <w:tcPr>
            <w:tcW w:w="536"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相对厂址方位</w:t>
            </w:r>
          </w:p>
        </w:tc>
        <w:tc>
          <w:tcPr>
            <w:tcW w:w="552"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相对厂界最近距离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447"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67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东经</w:t>
            </w:r>
          </w:p>
        </w:tc>
        <w:tc>
          <w:tcPr>
            <w:tcW w:w="61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北纬</w:t>
            </w:r>
          </w:p>
        </w:tc>
        <w:tc>
          <w:tcPr>
            <w:tcW w:w="294"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764"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1119"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36"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52"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沙窝</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113°17'09.16"</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29°35'24.20"</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20户，约60人</w:t>
            </w:r>
          </w:p>
        </w:tc>
        <w:tc>
          <w:tcPr>
            <w:tcW w:w="111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《环境空气质量标准》（GB 3095-2012）二级标准，《声环境质量标准》（GB3096-2008）2类标准</w:t>
            </w: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管线</w:t>
            </w:r>
          </w:p>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冯家坡</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113°17'13.52"</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29°35'17.52"</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21户，约63人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管线</w:t>
            </w:r>
          </w:p>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东侧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李家门</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113°17′48.04″</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29°35′37.93″</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50户</w:t>
            </w:r>
            <w:r>
              <w:rPr>
                <w:rFonts w:ascii="Times New Roman" w:hAnsi="Times New Roman" w:eastAsiaTheme="minorEastAsia"/>
                <w:color w:val="000000"/>
                <w:kern w:val="0"/>
              </w:rPr>
              <w:t>，</w:t>
            </w:r>
            <w:r>
              <w:rPr>
                <w:rFonts w:hint="eastAsia" w:ascii="Times New Roman" w:hAnsi="Times New Roman" w:eastAsiaTheme="minorEastAsia"/>
                <w:color w:val="000000"/>
                <w:kern w:val="0"/>
              </w:rPr>
              <w:t>约1</w:t>
            </w:r>
            <w:r>
              <w:rPr>
                <w:rFonts w:ascii="Times New Roman" w:hAnsi="Times New Roman" w:eastAsiaTheme="minorEastAsia"/>
                <w:color w:val="000000"/>
                <w:kern w:val="0"/>
              </w:rPr>
              <w:t>80</w:t>
            </w:r>
            <w:r>
              <w:rPr>
                <w:rFonts w:hint="eastAsia" w:ascii="Times New Roman" w:hAnsi="Times New Roman" w:eastAsiaTheme="minorEastAsia"/>
                <w:color w:val="000000"/>
                <w:kern w:val="0"/>
              </w:rPr>
              <w:t>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东侧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1.1</w:t>
            </w:r>
            <w:r>
              <w:rPr>
                <w:rFonts w:ascii="Times New Roman" w:hAnsi="Times New Roman" w:eastAsiaTheme="minorEastAsia"/>
                <w:color w:val="000000"/>
                <w:kern w:val="0"/>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洋西</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113°18′13.53″</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29°35′55.26″</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75户</w:t>
            </w:r>
            <w:r>
              <w:rPr>
                <w:rFonts w:ascii="Times New Roman" w:hAnsi="Times New Roman" w:eastAsiaTheme="minorEastAsia"/>
                <w:color w:val="000000"/>
                <w:kern w:val="0"/>
              </w:rPr>
              <w:t>，约</w:t>
            </w:r>
            <w:r>
              <w:rPr>
                <w:rFonts w:hint="eastAsia" w:ascii="Times New Roman" w:hAnsi="Times New Roman" w:eastAsiaTheme="minorEastAsia"/>
                <w:color w:val="000000"/>
                <w:kern w:val="0"/>
              </w:rPr>
              <w:t>270人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东北侧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1.95</w:t>
            </w:r>
            <w:r>
              <w:rPr>
                <w:rFonts w:ascii="Times New Roman" w:hAnsi="Times New Roman" w:eastAsiaTheme="minorEastAsia"/>
                <w:color w:val="000000"/>
                <w:kern w:val="0"/>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周家</w:t>
            </w:r>
            <w:r>
              <w:rPr>
                <w:rFonts w:ascii="Times New Roman" w:hAnsi="Times New Roman" w:eastAsiaTheme="minorEastAsia"/>
                <w:color w:val="000000"/>
                <w:kern w:val="0"/>
              </w:rPr>
              <w:t>墩</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113°18′30.53″</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29°36′17.70″</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30户</w:t>
            </w:r>
            <w:r>
              <w:rPr>
                <w:rFonts w:ascii="Times New Roman" w:hAnsi="Times New Roman" w:eastAsiaTheme="minorEastAsia"/>
                <w:color w:val="000000"/>
                <w:kern w:val="0"/>
              </w:rPr>
              <w:t>，约</w:t>
            </w:r>
            <w:r>
              <w:rPr>
                <w:rFonts w:hint="eastAsia" w:ascii="Times New Roman" w:hAnsi="Times New Roman" w:eastAsiaTheme="minorEastAsia"/>
                <w:color w:val="000000"/>
                <w:kern w:val="0"/>
              </w:rPr>
              <w:t>110人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东北侧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2.6</w:t>
            </w:r>
            <w:r>
              <w:rPr>
                <w:rFonts w:ascii="Times New Roman" w:hAnsi="Times New Roman" w:eastAsiaTheme="minorEastAsia"/>
                <w:color w:val="000000"/>
                <w:kern w:val="0"/>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陆城</w:t>
            </w:r>
            <w:r>
              <w:rPr>
                <w:rFonts w:ascii="Times New Roman" w:hAnsi="Times New Roman" w:eastAsiaTheme="minorEastAsia"/>
                <w:color w:val="000000"/>
                <w:kern w:val="0"/>
              </w:rPr>
              <w:t>镇镇区</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113°17′54.69″</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29°35′12.41″</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240户</w:t>
            </w:r>
            <w:r>
              <w:rPr>
                <w:rFonts w:ascii="Times New Roman" w:hAnsi="Times New Roman" w:eastAsiaTheme="minorEastAsia"/>
                <w:color w:val="000000"/>
                <w:kern w:val="0"/>
              </w:rPr>
              <w:t>，约</w:t>
            </w:r>
            <w:r>
              <w:rPr>
                <w:rFonts w:hint="eastAsia" w:ascii="Times New Roman" w:hAnsi="Times New Roman" w:eastAsiaTheme="minorEastAsia"/>
                <w:color w:val="000000"/>
                <w:kern w:val="0"/>
              </w:rPr>
              <w:t>860人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东侧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1.</w:t>
            </w:r>
            <w:r>
              <w:rPr>
                <w:rFonts w:ascii="Times New Roman" w:hAnsi="Times New Roman" w:eastAsiaTheme="minorEastAsia"/>
                <w:color w:val="000000"/>
                <w:kern w:val="0"/>
              </w:rPr>
              <w:t>1km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楠竹冲</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113°18′29.76″</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29°35′17.91″</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20户</w:t>
            </w:r>
            <w:r>
              <w:rPr>
                <w:rFonts w:ascii="Times New Roman" w:hAnsi="Times New Roman" w:eastAsiaTheme="minorEastAsia"/>
                <w:color w:val="000000"/>
                <w:kern w:val="0"/>
              </w:rPr>
              <w:t>，约</w:t>
            </w:r>
            <w:r>
              <w:rPr>
                <w:rFonts w:hint="eastAsia" w:ascii="Times New Roman" w:hAnsi="Times New Roman" w:eastAsiaTheme="minorEastAsia"/>
                <w:color w:val="000000"/>
                <w:kern w:val="0"/>
              </w:rPr>
              <w:t>70人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东侧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r>
              <w:rPr>
                <w:rFonts w:hint="eastAsia" w:ascii="Times New Roman" w:hAnsi="Times New Roman" w:eastAsiaTheme="minorEastAsia"/>
                <w:color w:val="000000"/>
                <w:kern w:val="0"/>
              </w:rPr>
              <w:t>.</w:t>
            </w:r>
            <w:r>
              <w:rPr>
                <w:rFonts w:ascii="Times New Roman" w:hAnsi="Times New Roman" w:eastAsiaTheme="minorEastAsia"/>
                <w:color w:val="000000"/>
                <w:kern w:val="0"/>
              </w:rPr>
              <w:t>1km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陆城村</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113°17′55.61″</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29°34′44.60″</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55户</w:t>
            </w:r>
            <w:r>
              <w:rPr>
                <w:rFonts w:ascii="Times New Roman" w:hAnsi="Times New Roman" w:eastAsiaTheme="minorEastAsia"/>
                <w:color w:val="000000"/>
                <w:kern w:val="0"/>
              </w:rPr>
              <w:t>，</w:t>
            </w:r>
            <w:r>
              <w:rPr>
                <w:rFonts w:hint="eastAsia" w:ascii="Times New Roman" w:hAnsi="Times New Roman" w:eastAsiaTheme="minorEastAsia"/>
                <w:color w:val="000000"/>
                <w:kern w:val="0"/>
              </w:rPr>
              <w:t>约200人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东南侧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1.8</w:t>
            </w:r>
            <w:r>
              <w:rPr>
                <w:rFonts w:ascii="Times New Roman" w:hAnsi="Times New Roman" w:eastAsiaTheme="minorEastAsia"/>
                <w:color w:val="000000"/>
                <w:kern w:val="0"/>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唐家湾</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113°17′1.70″</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29°35′2.46″</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35户</w:t>
            </w:r>
            <w:r>
              <w:rPr>
                <w:rFonts w:ascii="Times New Roman" w:hAnsi="Times New Roman" w:eastAsiaTheme="minorEastAsia"/>
                <w:color w:val="000000"/>
                <w:kern w:val="0"/>
              </w:rPr>
              <w:t>，</w:t>
            </w:r>
            <w:r>
              <w:rPr>
                <w:rFonts w:hint="eastAsia" w:ascii="Times New Roman" w:hAnsi="Times New Roman" w:eastAsiaTheme="minorEastAsia"/>
                <w:color w:val="000000"/>
                <w:kern w:val="0"/>
              </w:rPr>
              <w:t>约100人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0.96</w:t>
            </w:r>
            <w:r>
              <w:rPr>
                <w:rFonts w:ascii="Times New Roman" w:hAnsi="Times New Roman" w:eastAsiaTheme="minorEastAsia"/>
                <w:color w:val="000000"/>
                <w:kern w:val="0"/>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肖家墩</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113°16′58.30″</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29°34′37.61″</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15户</w:t>
            </w:r>
            <w:r>
              <w:rPr>
                <w:rFonts w:ascii="Times New Roman" w:hAnsi="Times New Roman" w:eastAsiaTheme="minorEastAsia"/>
                <w:color w:val="000000"/>
                <w:kern w:val="0"/>
              </w:rPr>
              <w:t>，约</w:t>
            </w:r>
            <w:r>
              <w:rPr>
                <w:rFonts w:hint="eastAsia" w:ascii="Times New Roman" w:hAnsi="Times New Roman" w:eastAsiaTheme="minorEastAsia"/>
                <w:color w:val="000000"/>
                <w:kern w:val="0"/>
              </w:rPr>
              <w:t>50人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1.69km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杨林山</w:t>
            </w:r>
            <w:r>
              <w:rPr>
                <w:rFonts w:ascii="Times New Roman" w:hAnsi="Times New Roman" w:eastAsiaTheme="minorEastAsia"/>
                <w:color w:val="000000"/>
                <w:kern w:val="0"/>
              </w:rPr>
              <w:t>村</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113°16′4.22″</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29°35′48.68″</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60户</w:t>
            </w:r>
            <w:r>
              <w:rPr>
                <w:rFonts w:ascii="Times New Roman" w:hAnsi="Times New Roman" w:eastAsiaTheme="minorEastAsia"/>
                <w:color w:val="000000"/>
                <w:kern w:val="0"/>
              </w:rPr>
              <w:t>，约</w:t>
            </w:r>
            <w:r>
              <w:rPr>
                <w:rFonts w:hint="eastAsia" w:ascii="Times New Roman" w:hAnsi="Times New Roman" w:eastAsiaTheme="minorEastAsia"/>
                <w:color w:val="000000"/>
                <w:kern w:val="0"/>
              </w:rPr>
              <w:t>210人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西北侧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1.94</w:t>
            </w:r>
            <w:r>
              <w:rPr>
                <w:rFonts w:ascii="Times New Roman" w:hAnsi="Times New Roman" w:eastAsiaTheme="minorEastAsia"/>
                <w:color w:val="000000"/>
                <w:kern w:val="0"/>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联盟村</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113°16′4.69″</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29°36′16.49″</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55户</w:t>
            </w:r>
            <w:r>
              <w:rPr>
                <w:rFonts w:ascii="Times New Roman" w:hAnsi="Times New Roman" w:eastAsiaTheme="minorEastAsia"/>
                <w:color w:val="000000"/>
                <w:kern w:val="0"/>
              </w:rPr>
              <w:t>，</w:t>
            </w:r>
            <w:r>
              <w:rPr>
                <w:rFonts w:hint="eastAsia" w:ascii="Times New Roman" w:hAnsi="Times New Roman" w:eastAsiaTheme="minorEastAsia"/>
                <w:color w:val="000000"/>
                <w:kern w:val="0"/>
              </w:rPr>
              <w:t>约200人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西北侧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2.29km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邹</w:t>
            </w:r>
            <w:r>
              <w:rPr>
                <w:rFonts w:ascii="Times New Roman" w:hAnsi="Times New Roman" w:eastAsiaTheme="minorEastAsia"/>
                <w:color w:val="000000"/>
                <w:kern w:val="0"/>
              </w:rPr>
              <w:t>码头</w:t>
            </w:r>
            <w:r>
              <w:rPr>
                <w:rFonts w:hint="eastAsia" w:ascii="Times New Roman" w:hAnsi="Times New Roman" w:eastAsiaTheme="minorEastAsia"/>
                <w:color w:val="000000"/>
                <w:kern w:val="0"/>
              </w:rPr>
              <w:t>村</w:t>
            </w:r>
          </w:p>
        </w:tc>
        <w:tc>
          <w:tcPr>
            <w:tcW w:w="67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113°16′25.08″</w:t>
            </w:r>
          </w:p>
        </w:tc>
        <w:tc>
          <w:tcPr>
            <w:tcW w:w="6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29°36′45.77″</w:t>
            </w:r>
          </w:p>
        </w:tc>
        <w:tc>
          <w:tcPr>
            <w:tcW w:w="29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居住</w:t>
            </w:r>
          </w:p>
        </w:tc>
        <w:tc>
          <w:tcPr>
            <w:tcW w:w="7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90户</w:t>
            </w:r>
            <w:r>
              <w:rPr>
                <w:rFonts w:ascii="Times New Roman" w:hAnsi="Times New Roman" w:eastAsiaTheme="minorEastAsia"/>
                <w:color w:val="000000"/>
                <w:kern w:val="0"/>
              </w:rPr>
              <w:t>，约</w:t>
            </w:r>
            <w:r>
              <w:rPr>
                <w:rFonts w:hint="eastAsia" w:ascii="Times New Roman" w:hAnsi="Times New Roman" w:eastAsiaTheme="minorEastAsia"/>
                <w:color w:val="000000"/>
                <w:kern w:val="0"/>
              </w:rPr>
              <w:t>270人</w:t>
            </w:r>
          </w:p>
        </w:tc>
        <w:tc>
          <w:tcPr>
            <w:tcW w:w="111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536" w:type="pct"/>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项目</w:t>
            </w:r>
            <w:r>
              <w:rPr>
                <w:rFonts w:ascii="Times New Roman" w:hAnsi="Times New Roman" w:eastAsiaTheme="minorEastAsia"/>
                <w:color w:val="000000"/>
                <w:kern w:val="0"/>
              </w:rPr>
              <w:t>西北侧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2.6km</w:t>
            </w:r>
          </w:p>
        </w:tc>
      </w:tr>
    </w:tbl>
    <w:p>
      <w:pPr>
        <w:adjustRightInd w:val="0"/>
        <w:snapToGrid w:val="0"/>
        <w:rPr>
          <w:rFonts w:ascii="Times New Roman" w:hAnsi="Times New Roman" w:eastAsiaTheme="minorEastAsia"/>
          <w:color w:val="000000"/>
          <w:kern w:val="0"/>
          <w:sz w:val="24"/>
          <w:szCs w:val="24"/>
          <w:lang w:bidi="ar"/>
        </w:rPr>
      </w:pPr>
    </w:p>
    <w:p>
      <w:pPr>
        <w:adjustRightInd w:val="0"/>
        <w:snapToGrid w:val="0"/>
        <w:spacing w:line="360" w:lineRule="auto"/>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rPr>
        <w:drawing>
          <wp:inline distT="0" distB="0" distL="0" distR="0">
            <wp:extent cx="5759450" cy="5786755"/>
            <wp:effectExtent l="0" t="0" r="0" b="4445"/>
            <wp:docPr id="31" name="图片 31" descr="C:\Users\Administrator\Desktop\评价范围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评价范围图.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9450" cy="5787140"/>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Theme="minorEastAsia"/>
          <w:color w:val="000000"/>
          <w:kern w:val="0"/>
          <w:sz w:val="24"/>
          <w:szCs w:val="24"/>
          <w:lang w:bidi="ar"/>
        </w:rPr>
      </w:pPr>
      <w:r>
        <w:rPr>
          <w:rFonts w:ascii="Times New Roman" w:hAnsi="Times New Roman" w:eastAsiaTheme="minorEastAsia"/>
          <w:b/>
          <w:color w:val="000000"/>
          <w:sz w:val="24"/>
          <w:szCs w:val="24"/>
        </w:rPr>
        <w:t>表2.7-1  本项目</w:t>
      </w:r>
      <w:r>
        <w:rPr>
          <w:rFonts w:hint="eastAsia" w:ascii="Times New Roman" w:hAnsi="Times New Roman" w:eastAsiaTheme="minorEastAsia"/>
          <w:b/>
          <w:color w:val="000000"/>
          <w:sz w:val="24"/>
          <w:szCs w:val="24"/>
        </w:rPr>
        <w:t>4</w:t>
      </w:r>
      <w:r>
        <w:rPr>
          <w:rFonts w:ascii="Times New Roman" w:hAnsi="Times New Roman" w:eastAsiaTheme="minorEastAsia"/>
          <w:b/>
          <w:color w:val="000000"/>
          <w:sz w:val="24"/>
          <w:szCs w:val="24"/>
        </w:rPr>
        <w:t>km×4km范围的</w:t>
      </w:r>
      <w:r>
        <w:rPr>
          <w:rFonts w:hint="eastAsia" w:ascii="Times New Roman" w:hAnsi="Times New Roman" w:eastAsiaTheme="minorEastAsia"/>
          <w:b/>
          <w:color w:val="000000"/>
          <w:sz w:val="24"/>
          <w:szCs w:val="24"/>
        </w:rPr>
        <w:t>大气</w:t>
      </w:r>
      <w:r>
        <w:rPr>
          <w:rFonts w:ascii="Times New Roman" w:hAnsi="Times New Roman" w:eastAsiaTheme="minorEastAsia"/>
          <w:b/>
          <w:color w:val="000000"/>
          <w:sz w:val="24"/>
          <w:szCs w:val="24"/>
        </w:rPr>
        <w:t>保护目标</w:t>
      </w:r>
      <w:r>
        <w:rPr>
          <w:rFonts w:hint="eastAsia" w:ascii="Times New Roman" w:hAnsi="Times New Roman" w:eastAsiaTheme="minorEastAsia"/>
          <w:b/>
          <w:color w:val="000000"/>
          <w:sz w:val="24"/>
          <w:szCs w:val="24"/>
        </w:rPr>
        <w:t>分布</w:t>
      </w:r>
      <w:r>
        <w:rPr>
          <w:rFonts w:ascii="Times New Roman" w:hAnsi="Times New Roman" w:eastAsiaTheme="minorEastAsia"/>
          <w:b/>
          <w:color w:val="000000"/>
          <w:sz w:val="24"/>
          <w:szCs w:val="24"/>
        </w:rPr>
        <w:t>图</w:t>
      </w:r>
    </w:p>
    <w:p>
      <w:pPr>
        <w:pStyle w:val="4"/>
        <w:rPr>
          <w:rFonts w:eastAsiaTheme="minorEastAsia"/>
        </w:rPr>
      </w:pPr>
      <w:r>
        <w:rPr>
          <w:rFonts w:eastAsiaTheme="minorEastAsia"/>
        </w:rPr>
        <w:t>生态环境保护目标</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根据现场调查，本项目陆域评价范围内未发现国家级和地方重点保护野生动植物和名木古树分布。</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kern w:val="0"/>
          <w:sz w:val="24"/>
          <w:szCs w:val="24"/>
          <w:lang w:bidi="ar"/>
        </w:rPr>
        <w:t>本项目生态影响保护目标为</w:t>
      </w:r>
      <w:r>
        <w:rPr>
          <w:rFonts w:ascii="Times New Roman" w:hAnsi="Times New Roman" w:eastAsiaTheme="minorEastAsia"/>
          <w:color w:val="000000" w:themeColor="text1"/>
          <w:kern w:val="0"/>
          <w:sz w:val="24"/>
          <w:szCs w:val="24"/>
          <w14:textFill>
            <w14:solidFill>
              <w14:schemeClr w14:val="tx1"/>
            </w14:solidFill>
          </w14:textFill>
        </w:rPr>
        <w:t>长江监利四大家鱼国家级水产种质资源保护区，</w:t>
      </w:r>
      <w:r>
        <w:rPr>
          <w:rFonts w:ascii="Times New Roman" w:hAnsi="Times New Roman" w:eastAsiaTheme="minorEastAsia"/>
          <w:color w:val="000000"/>
          <w:kern w:val="0"/>
          <w:sz w:val="24"/>
          <w:szCs w:val="24"/>
          <w:lang w:bidi="ar"/>
        </w:rPr>
        <w:t>本项目不在产卵场、索饵场、越冬场范围内，产漂流性卵鱼类产卵场距本项目最近的产卵场在白螺镇下游4km洲滩，位于工程下游约5.3km。此外，在项目南侧约2.4km处为</w:t>
      </w:r>
      <w:r>
        <w:rPr>
          <w:rFonts w:ascii="Times New Roman" w:hAnsi="Times New Roman" w:eastAsiaTheme="minorEastAsia"/>
          <w:color w:val="000000" w:themeColor="text1"/>
          <w:kern w:val="0"/>
          <w:sz w:val="24"/>
          <w:szCs w:val="24"/>
          <w14:textFill>
            <w14:solidFill>
              <w14:schemeClr w14:val="tx1"/>
            </w14:solidFill>
          </w14:textFill>
        </w:rPr>
        <w:t>湖南云溪白泥湖国家湿地公园，项目位于湿地公园范围外。</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表2.7-4  评价范围内生态环境保护目标</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67"/>
        <w:gridCol w:w="2237"/>
        <w:gridCol w:w="5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06" w:type="pct"/>
            <w:vAlign w:val="center"/>
          </w:tcPr>
          <w:p>
            <w:pPr>
              <w:pStyle w:val="157"/>
              <w:adjustRightInd w:val="0"/>
              <w:snapToGrid w:val="0"/>
              <w:spacing w:line="240" w:lineRule="auto"/>
              <w:rPr>
                <w:rFonts w:eastAsiaTheme="minorEastAsia"/>
                <w:b/>
                <w:color w:val="000000"/>
                <w:sz w:val="21"/>
                <w:szCs w:val="21"/>
              </w:rPr>
            </w:pPr>
            <w:r>
              <w:rPr>
                <w:rFonts w:eastAsiaTheme="minorEastAsia"/>
                <w:b/>
                <w:color w:val="000000"/>
                <w:sz w:val="21"/>
                <w:szCs w:val="21"/>
              </w:rPr>
              <w:t>敏感点</w:t>
            </w:r>
          </w:p>
        </w:tc>
        <w:tc>
          <w:tcPr>
            <w:tcW w:w="1229" w:type="pct"/>
            <w:vAlign w:val="center"/>
          </w:tcPr>
          <w:p>
            <w:pPr>
              <w:pStyle w:val="157"/>
              <w:adjustRightInd w:val="0"/>
              <w:snapToGrid w:val="0"/>
              <w:spacing w:line="240" w:lineRule="auto"/>
              <w:rPr>
                <w:rFonts w:eastAsiaTheme="minorEastAsia"/>
                <w:b/>
                <w:color w:val="000000"/>
                <w:sz w:val="21"/>
                <w:szCs w:val="21"/>
              </w:rPr>
            </w:pPr>
            <w:r>
              <w:rPr>
                <w:rFonts w:eastAsiaTheme="minorEastAsia"/>
                <w:b/>
                <w:color w:val="000000"/>
                <w:sz w:val="21"/>
                <w:szCs w:val="21"/>
              </w:rPr>
              <w:t>与工程相对位置</w:t>
            </w:r>
          </w:p>
        </w:tc>
        <w:tc>
          <w:tcPr>
            <w:tcW w:w="2965" w:type="pct"/>
            <w:vAlign w:val="center"/>
          </w:tcPr>
          <w:p>
            <w:pPr>
              <w:pStyle w:val="157"/>
              <w:adjustRightInd w:val="0"/>
              <w:snapToGrid w:val="0"/>
              <w:spacing w:line="240" w:lineRule="auto"/>
              <w:rPr>
                <w:rFonts w:eastAsiaTheme="minorEastAsia"/>
                <w:b/>
                <w:color w:val="000000"/>
                <w:sz w:val="21"/>
                <w:szCs w:val="21"/>
              </w:rPr>
            </w:pPr>
            <w:r>
              <w:rPr>
                <w:rFonts w:eastAsiaTheme="minorEastAsia"/>
                <w:b/>
                <w:color w:val="000000"/>
                <w:sz w:val="21"/>
                <w:szCs w:val="21"/>
              </w:rPr>
              <w:t>规模与环境特征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57"/>
              <w:adjustRightInd w:val="0"/>
              <w:snapToGrid w:val="0"/>
              <w:spacing w:line="240" w:lineRule="auto"/>
              <w:rPr>
                <w:rFonts w:eastAsiaTheme="minorEastAsia"/>
                <w:color w:val="000000"/>
                <w:sz w:val="21"/>
                <w:szCs w:val="21"/>
              </w:rPr>
            </w:pPr>
            <w:r>
              <w:rPr>
                <w:rFonts w:eastAsiaTheme="minorEastAsia"/>
                <w:color w:val="000000"/>
                <w:sz w:val="21"/>
                <w:szCs w:val="21"/>
              </w:rPr>
              <w:t>野生动植物资源</w:t>
            </w:r>
          </w:p>
        </w:tc>
        <w:tc>
          <w:tcPr>
            <w:tcW w:w="1229" w:type="pct"/>
            <w:vAlign w:val="center"/>
          </w:tcPr>
          <w:p>
            <w:pPr>
              <w:pStyle w:val="157"/>
              <w:adjustRightInd w:val="0"/>
              <w:snapToGrid w:val="0"/>
              <w:spacing w:line="240" w:lineRule="auto"/>
              <w:jc w:val="both"/>
              <w:rPr>
                <w:rFonts w:eastAsiaTheme="minorEastAsia"/>
                <w:color w:val="000000"/>
                <w:sz w:val="21"/>
                <w:szCs w:val="21"/>
              </w:rPr>
            </w:pPr>
            <w:r>
              <w:rPr>
                <w:rFonts w:eastAsiaTheme="minorEastAsia"/>
                <w:color w:val="000000"/>
                <w:sz w:val="21"/>
                <w:szCs w:val="21"/>
              </w:rPr>
              <w:t>分布于码头作业区边缘影响区域内</w:t>
            </w:r>
          </w:p>
        </w:tc>
        <w:tc>
          <w:tcPr>
            <w:tcW w:w="2965"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植被类型单一，主要是常见的人工植被为主，另外还有大量的灌草丛；野生动物较少，多为鸟类、蛇类、青蛙、鼠类等常见物种，无珍稀濒危物种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06" w:type="pct"/>
            <w:vAlign w:val="center"/>
          </w:tcPr>
          <w:p>
            <w:pPr>
              <w:pStyle w:val="157"/>
              <w:adjustRightInd w:val="0"/>
              <w:snapToGrid w:val="0"/>
              <w:spacing w:line="240" w:lineRule="auto"/>
              <w:rPr>
                <w:rFonts w:eastAsiaTheme="minorEastAsia"/>
                <w:color w:val="000000"/>
                <w:sz w:val="21"/>
                <w:szCs w:val="21"/>
              </w:rPr>
            </w:pPr>
            <w:r>
              <w:rPr>
                <w:rFonts w:eastAsiaTheme="minorEastAsia"/>
                <w:color w:val="000000"/>
                <w:sz w:val="21"/>
                <w:szCs w:val="21"/>
              </w:rPr>
              <w:t>水生生物资源</w:t>
            </w:r>
          </w:p>
        </w:tc>
        <w:tc>
          <w:tcPr>
            <w:tcW w:w="1229"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评价长江江段</w:t>
            </w:r>
          </w:p>
        </w:tc>
        <w:tc>
          <w:tcPr>
            <w:tcW w:w="2965"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水生生物丰富，浮游植物有64种，浮游动物有58种，底栖动物约有20种。有鱼类115种，以鲤科为大宗，是淡水鱼类主要集散地，且洄游性鱼类较多，其他水生动物有软体类、甲壳类、爬行类等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57"/>
              <w:adjustRightInd w:val="0"/>
              <w:snapToGrid w:val="0"/>
              <w:spacing w:line="240" w:lineRule="auto"/>
              <w:rPr>
                <w:rFonts w:eastAsiaTheme="minorEastAsia"/>
                <w:color w:val="000000"/>
                <w:sz w:val="21"/>
                <w:szCs w:val="21"/>
              </w:rPr>
            </w:pPr>
            <w:r>
              <w:rPr>
                <w:rFonts w:eastAsiaTheme="minorEastAsia"/>
                <w:color w:val="000000"/>
                <w:sz w:val="21"/>
                <w:szCs w:val="21"/>
              </w:rPr>
              <w:t>农田</w:t>
            </w:r>
          </w:p>
        </w:tc>
        <w:tc>
          <w:tcPr>
            <w:tcW w:w="1229" w:type="pct"/>
            <w:vAlign w:val="center"/>
          </w:tcPr>
          <w:p>
            <w:pPr>
              <w:pStyle w:val="157"/>
              <w:adjustRightInd w:val="0"/>
              <w:snapToGrid w:val="0"/>
              <w:spacing w:line="240" w:lineRule="auto"/>
              <w:jc w:val="both"/>
              <w:rPr>
                <w:rFonts w:eastAsiaTheme="minorEastAsia"/>
                <w:color w:val="000000"/>
                <w:sz w:val="21"/>
                <w:szCs w:val="21"/>
              </w:rPr>
            </w:pPr>
            <w:r>
              <w:rPr>
                <w:rFonts w:eastAsiaTheme="minorEastAsia"/>
                <w:color w:val="000000"/>
                <w:sz w:val="21"/>
                <w:szCs w:val="21"/>
              </w:rPr>
              <w:t>分布于码头作业区外</w:t>
            </w:r>
          </w:p>
        </w:tc>
        <w:tc>
          <w:tcPr>
            <w:tcW w:w="2965"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主要作物为水稻、玉米、棉花等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57"/>
              <w:adjustRightInd w:val="0"/>
              <w:snapToGrid w:val="0"/>
              <w:spacing w:line="240" w:lineRule="auto"/>
              <w:rPr>
                <w:rFonts w:eastAsiaTheme="minorEastAsia"/>
                <w:sz w:val="21"/>
                <w:szCs w:val="21"/>
              </w:rPr>
            </w:pPr>
            <w:r>
              <w:rPr>
                <w:rFonts w:eastAsiaTheme="minorEastAsia"/>
                <w:sz w:val="21"/>
                <w:szCs w:val="21"/>
              </w:rPr>
              <w:t>长江监利段四大家鱼国家级水产种质资源保护区</w:t>
            </w:r>
          </w:p>
        </w:tc>
        <w:tc>
          <w:tcPr>
            <w:tcW w:w="1229" w:type="pct"/>
            <w:vAlign w:val="center"/>
          </w:tcPr>
          <w:p>
            <w:pPr>
              <w:pStyle w:val="157"/>
              <w:adjustRightInd w:val="0"/>
              <w:snapToGrid w:val="0"/>
              <w:spacing w:line="240" w:lineRule="auto"/>
              <w:jc w:val="both"/>
              <w:rPr>
                <w:rFonts w:eastAsiaTheme="minorEastAsia"/>
                <w:sz w:val="21"/>
                <w:szCs w:val="21"/>
              </w:rPr>
            </w:pPr>
            <w:r>
              <w:rPr>
                <w:rFonts w:eastAsiaTheme="minorEastAsia"/>
                <w:sz w:val="21"/>
                <w:szCs w:val="21"/>
              </w:rPr>
              <w:t>本项目位于该水产种质自然保护区的实验区内，见附图10</w:t>
            </w:r>
          </w:p>
        </w:tc>
        <w:tc>
          <w:tcPr>
            <w:tcW w:w="2965"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主要保护对象为青鱼、草鱼、鲢、鳙四大家鱼，其他保护对象为保护区内的其它水生生物。距离工程最近的成规模的鱼类产卵场位于白螺镇下游4km洲滩，距离工程上游约5.3km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57"/>
              <w:adjustRightInd w:val="0"/>
              <w:snapToGrid w:val="0"/>
              <w:spacing w:line="240" w:lineRule="auto"/>
              <w:rPr>
                <w:rFonts w:eastAsiaTheme="minorEastAsia"/>
                <w:sz w:val="21"/>
                <w:szCs w:val="21"/>
              </w:rPr>
            </w:pPr>
            <w:r>
              <w:rPr>
                <w:rFonts w:eastAsiaTheme="minorEastAsia"/>
                <w:color w:val="000000" w:themeColor="text1"/>
                <w:kern w:val="0"/>
                <w:sz w:val="21"/>
                <w:szCs w:val="21"/>
                <w14:textFill>
                  <w14:solidFill>
                    <w14:schemeClr w14:val="tx1"/>
                  </w14:solidFill>
                </w14:textFill>
              </w:rPr>
              <w:t>湖南云溪白泥湖国家湿地公园</w:t>
            </w:r>
          </w:p>
        </w:tc>
        <w:tc>
          <w:tcPr>
            <w:tcW w:w="1229" w:type="pct"/>
            <w:vAlign w:val="center"/>
          </w:tcPr>
          <w:p>
            <w:pPr>
              <w:pStyle w:val="157"/>
              <w:adjustRightInd w:val="0"/>
              <w:snapToGrid w:val="0"/>
              <w:spacing w:line="240" w:lineRule="auto"/>
              <w:jc w:val="both"/>
              <w:rPr>
                <w:rFonts w:eastAsiaTheme="minorEastAsia"/>
                <w:sz w:val="21"/>
                <w:szCs w:val="21"/>
              </w:rPr>
            </w:pPr>
            <w:r>
              <w:rPr>
                <w:rFonts w:eastAsiaTheme="minorEastAsia"/>
                <w:bCs/>
                <w:sz w:val="21"/>
                <w:szCs w:val="21"/>
              </w:rPr>
              <w:t>本项目位于白泥湖湿地公园范围外，项目与湿地公园边界最近直线距离约</w:t>
            </w:r>
            <w:r>
              <w:rPr>
                <w:rFonts w:eastAsiaTheme="minorEastAsia"/>
                <w:bCs/>
                <w:kern w:val="2"/>
                <w:sz w:val="21"/>
                <w:szCs w:val="21"/>
              </w:rPr>
              <w:t>2.4km</w:t>
            </w:r>
            <w:r>
              <w:rPr>
                <w:rFonts w:eastAsiaTheme="minorEastAsia"/>
                <w:bCs/>
                <w:sz w:val="21"/>
                <w:szCs w:val="21"/>
              </w:rPr>
              <w:t>，见附图11</w:t>
            </w:r>
          </w:p>
        </w:tc>
        <w:tc>
          <w:tcPr>
            <w:tcW w:w="2965"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shd w:val="clear" w:color="auto" w:fill="FFFFFF"/>
                <w14:textFill>
                  <w14:solidFill>
                    <w14:schemeClr w14:val="tx1"/>
                  </w14:solidFill>
                </w14:textFill>
              </w:rPr>
              <w:t>白泥湖国家湿地公园总面积1195.2hm</w:t>
            </w:r>
            <w:r>
              <w:rPr>
                <w:rFonts w:eastAsiaTheme="minorEastAsia"/>
                <w:color w:val="000000" w:themeColor="text1"/>
                <w:sz w:val="21"/>
                <w:szCs w:val="21"/>
                <w:shd w:val="clear" w:color="auto" w:fill="FFFFFF"/>
                <w:vertAlign w:val="superscript"/>
                <w14:textFill>
                  <w14:solidFill>
                    <w14:schemeClr w14:val="tx1"/>
                  </w14:solidFill>
                </w14:textFill>
              </w:rPr>
              <w:t>2</w:t>
            </w:r>
            <w:r>
              <w:rPr>
                <w:rFonts w:eastAsiaTheme="minorEastAsia"/>
                <w:color w:val="000000" w:themeColor="text1"/>
                <w:sz w:val="21"/>
                <w:szCs w:val="21"/>
                <w:shd w:val="clear" w:color="auto" w:fill="FFFFFF"/>
                <w14:textFill>
                  <w14:solidFill>
                    <w14:schemeClr w14:val="tx1"/>
                  </w14:solidFill>
                </w14:textFill>
              </w:rPr>
              <w:t>，湿地率达89.95%。园内湿地类型多样，有湖泊湿地、沼泽湿地和人工湿地3大湿地类，永久性淡水湖、草本沼泽等6种湿地型，有国家</w:t>
            </w:r>
            <w:r>
              <w:rPr>
                <w:rFonts w:hint="eastAsia" w:ascii="宋体" w:hAnsi="宋体" w:cs="宋体"/>
                <w:color w:val="000000" w:themeColor="text1"/>
                <w:sz w:val="21"/>
                <w:szCs w:val="21"/>
                <w:shd w:val="clear" w:color="auto" w:fill="FFFFFF"/>
                <w14:textFill>
                  <w14:solidFill>
                    <w14:schemeClr w14:val="tx1"/>
                  </w14:solidFill>
                </w14:textFill>
              </w:rPr>
              <w:t>Ⅱ</w:t>
            </w:r>
            <w:r>
              <w:rPr>
                <w:rFonts w:eastAsiaTheme="minorEastAsia"/>
                <w:color w:val="000000" w:themeColor="text1"/>
                <w:sz w:val="21"/>
                <w:szCs w:val="21"/>
                <w:shd w:val="clear" w:color="auto" w:fill="FFFFFF"/>
                <w14:textFill>
                  <w14:solidFill>
                    <w14:schemeClr w14:val="tx1"/>
                  </w14:solidFill>
                </w14:textFill>
              </w:rPr>
              <w:t>级重点保护野生植物4种，国家</w:t>
            </w:r>
            <w:r>
              <w:rPr>
                <w:rFonts w:hint="eastAsia" w:ascii="宋体" w:hAnsi="宋体" w:cs="宋体"/>
                <w:color w:val="000000" w:themeColor="text1"/>
                <w:sz w:val="21"/>
                <w:szCs w:val="21"/>
                <w:shd w:val="clear" w:color="auto" w:fill="FFFFFF"/>
                <w14:textFill>
                  <w14:solidFill>
                    <w14:schemeClr w14:val="tx1"/>
                  </w14:solidFill>
                </w14:textFill>
              </w:rPr>
              <w:t>Ⅱ</w:t>
            </w:r>
            <w:r>
              <w:rPr>
                <w:rFonts w:eastAsiaTheme="minorEastAsia"/>
                <w:color w:val="000000" w:themeColor="text1"/>
                <w:sz w:val="21"/>
                <w:szCs w:val="21"/>
                <w:shd w:val="clear" w:color="auto" w:fill="FFFFFF"/>
                <w14:textFill>
                  <w14:solidFill>
                    <w14:schemeClr w14:val="tx1"/>
                  </w14:solidFill>
                </w14:textFill>
              </w:rPr>
              <w:t>级重点保护野生动物7种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57"/>
              <w:adjustRightInd w:val="0"/>
              <w:snapToGrid w:val="0"/>
              <w:spacing w:line="240" w:lineRule="auto"/>
              <w:rPr>
                <w:rFonts w:eastAsiaTheme="minorEastAsia"/>
                <w:sz w:val="21"/>
                <w:szCs w:val="21"/>
              </w:rPr>
            </w:pPr>
            <w:r>
              <w:rPr>
                <w:rFonts w:eastAsiaTheme="minorEastAsia"/>
                <w:color w:val="000000" w:themeColor="text1"/>
                <w:kern w:val="0"/>
                <w:sz w:val="21"/>
                <w:szCs w:val="21"/>
                <w14:textFill>
                  <w14:solidFill>
                    <w14:schemeClr w14:val="tx1"/>
                  </w14:solidFill>
                </w14:textFill>
              </w:rPr>
              <w:t>湖北长江新螺段白鱀豚国家级自然保护区</w:t>
            </w:r>
          </w:p>
        </w:tc>
        <w:tc>
          <w:tcPr>
            <w:tcW w:w="1229" w:type="pct"/>
            <w:vAlign w:val="center"/>
          </w:tcPr>
          <w:p>
            <w:pPr>
              <w:pStyle w:val="157"/>
              <w:adjustRightInd w:val="0"/>
              <w:snapToGrid w:val="0"/>
              <w:spacing w:line="240" w:lineRule="auto"/>
              <w:jc w:val="both"/>
              <w:rPr>
                <w:rFonts w:eastAsiaTheme="minorEastAsia"/>
                <w:sz w:val="21"/>
                <w:szCs w:val="21"/>
              </w:rPr>
            </w:pPr>
            <w:r>
              <w:rPr>
                <w:rFonts w:eastAsiaTheme="minorEastAsia"/>
                <w:sz w:val="21"/>
                <w:szCs w:val="21"/>
              </w:rPr>
              <w:t>本项目位于白鱀豚国家级自然保护区上游，自然保护区的范围外，项目与自然保护区最近的为实验区，与实验区上边界最近距离约4.0km，见附图12</w:t>
            </w:r>
          </w:p>
        </w:tc>
        <w:tc>
          <w:tcPr>
            <w:tcW w:w="2965"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shd w:val="clear" w:color="auto" w:fill="FFFFFF"/>
                <w14:textFill>
                  <w14:solidFill>
                    <w14:schemeClr w14:val="tx1"/>
                  </w14:solidFill>
                </w14:textFill>
              </w:rPr>
              <w:t>湖北长江新螺段白鱀豚国家级自然保护区位于湖北省洪湖市、赤壁市、嘉鱼县和湖南省临湘市4市县的交界处。地理位置为东经113°07ˊ19″~114°05ˊ12″，北纬29°38ˊ39″~30°05ˊ12″，国土面积41607hm</w:t>
            </w:r>
            <w:r>
              <w:rPr>
                <w:rFonts w:eastAsiaTheme="minorEastAsia"/>
                <w:color w:val="000000" w:themeColor="text1"/>
                <w:sz w:val="21"/>
                <w:szCs w:val="21"/>
                <w:shd w:val="clear" w:color="auto" w:fill="FFFFFF"/>
                <w:vertAlign w:val="superscript"/>
                <w14:textFill>
                  <w14:solidFill>
                    <w14:schemeClr w14:val="tx1"/>
                  </w14:solidFill>
                </w14:textFill>
              </w:rPr>
              <w:t>2</w:t>
            </w:r>
            <w:r>
              <w:rPr>
                <w:rFonts w:eastAsiaTheme="minorEastAsia"/>
                <w:color w:val="000000" w:themeColor="text1"/>
                <w:sz w:val="21"/>
                <w:szCs w:val="21"/>
                <w:shd w:val="clear" w:color="auto" w:fill="FFFFFF"/>
                <w14:textFill>
                  <w14:solidFill>
                    <w14:schemeClr w14:val="tx1"/>
                  </w14:solidFill>
                </w14:textFill>
              </w:rPr>
              <w:t>。该区范围长135.5km，宽1000~2500m。1987年湖北省人民政府就批准筹建保护区，1992年10月27日晋升为国家级自然保护区。保护区主要保护对象是国家一级保护野生水生动物白鱀豚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57"/>
              <w:adjustRightInd w:val="0"/>
              <w:snapToGrid w:val="0"/>
              <w:spacing w:line="240" w:lineRule="auto"/>
              <w:rPr>
                <w:rFonts w:eastAsiaTheme="minorEastAsia"/>
                <w:sz w:val="21"/>
                <w:szCs w:val="21"/>
              </w:rPr>
            </w:pPr>
            <w:r>
              <w:rPr>
                <w:rFonts w:eastAsiaTheme="minorEastAsia"/>
                <w:sz w:val="21"/>
                <w:szCs w:val="21"/>
              </w:rPr>
              <w:t>湖南东洞庭湖国家级自然保护区</w:t>
            </w:r>
          </w:p>
        </w:tc>
        <w:tc>
          <w:tcPr>
            <w:tcW w:w="1229" w:type="pct"/>
            <w:vAlign w:val="center"/>
          </w:tcPr>
          <w:p>
            <w:pPr>
              <w:pStyle w:val="157"/>
              <w:adjustRightInd w:val="0"/>
              <w:snapToGrid w:val="0"/>
              <w:spacing w:line="240" w:lineRule="auto"/>
              <w:jc w:val="both"/>
              <w:rPr>
                <w:rFonts w:eastAsiaTheme="minorEastAsia"/>
                <w:sz w:val="21"/>
                <w:szCs w:val="21"/>
              </w:rPr>
            </w:pPr>
            <w:r>
              <w:rPr>
                <w:rFonts w:eastAsiaTheme="minorEastAsia"/>
                <w:sz w:val="21"/>
                <w:szCs w:val="21"/>
              </w:rPr>
              <w:t>本项目位于东洞庭国家级自然保护区下游，自然保护区的范围外，项目与自然保护区最近的为实验区，与实验区下边界最近距离约8.4km，见附图13</w:t>
            </w:r>
          </w:p>
        </w:tc>
        <w:tc>
          <w:tcPr>
            <w:tcW w:w="2965" w:type="pct"/>
            <w:vAlign w:val="center"/>
          </w:tcPr>
          <w:p>
            <w:pPr>
              <w:pStyle w:val="157"/>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kern w:val="2"/>
                <w:sz w:val="21"/>
                <w:szCs w:val="21"/>
                <w:shd w:val="clear" w:color="auto" w:fill="FFFFFF"/>
                <w14:textFill>
                  <w14:solidFill>
                    <w14:schemeClr w14:val="tx1"/>
                  </w14:solidFill>
                </w14:textFill>
              </w:rPr>
              <w:t>东洞庭湖国家级自然保护区位于</w:t>
            </w:r>
            <w:r>
              <w:fldChar w:fldCharType="begin"/>
            </w:r>
            <w:r>
              <w:instrText xml:space="preserve"> HYPERLINK "https://baike.so.com/doc/899615-950884.html" \t "_blank" </w:instrText>
            </w:r>
            <w:r>
              <w:fldChar w:fldCharType="separate"/>
            </w:r>
            <w:r>
              <w:rPr>
                <w:rFonts w:eastAsiaTheme="minorEastAsia"/>
                <w:color w:val="000000" w:themeColor="text1"/>
                <w:kern w:val="2"/>
                <w:sz w:val="21"/>
                <w:szCs w:val="21"/>
                <w:shd w:val="clear" w:color="auto" w:fill="FFFFFF"/>
                <w14:textFill>
                  <w14:solidFill>
                    <w14:schemeClr w14:val="tx1"/>
                  </w14:solidFill>
                </w14:textFill>
              </w:rPr>
              <w:t>洞庭湖</w:t>
            </w:r>
            <w:r>
              <w:rPr>
                <w:rFonts w:eastAsiaTheme="minorEastAsia"/>
                <w:color w:val="000000" w:themeColor="text1"/>
                <w:kern w:val="2"/>
                <w:sz w:val="21"/>
                <w:szCs w:val="21"/>
                <w:shd w:val="clear" w:color="auto" w:fill="FFFFFF"/>
                <w14:textFill>
                  <w14:solidFill>
                    <w14:schemeClr w14:val="tx1"/>
                  </w14:solidFill>
                </w14:textFill>
              </w:rPr>
              <w:fldChar w:fldCharType="end"/>
            </w:r>
            <w:r>
              <w:rPr>
                <w:rFonts w:eastAsiaTheme="minorEastAsia"/>
                <w:color w:val="000000" w:themeColor="text1"/>
                <w:kern w:val="2"/>
                <w:sz w:val="21"/>
                <w:szCs w:val="21"/>
                <w:shd w:val="clear" w:color="auto" w:fill="FFFFFF"/>
                <w14:textFill>
                  <w14:solidFill>
                    <w14:schemeClr w14:val="tx1"/>
                  </w14:solidFill>
                </w14:textFill>
              </w:rPr>
              <w:t>东部，处于长江中下游、湖南省北部，是生物多样性极为丰富的国际重要湿地。总面积19万hm</w:t>
            </w:r>
            <w:r>
              <w:rPr>
                <w:rFonts w:eastAsiaTheme="minorEastAsia"/>
                <w:color w:val="000000" w:themeColor="text1"/>
                <w:kern w:val="2"/>
                <w:sz w:val="21"/>
                <w:szCs w:val="21"/>
                <w:shd w:val="clear" w:color="auto" w:fill="FFFFFF"/>
                <w:vertAlign w:val="superscript"/>
                <w14:textFill>
                  <w14:solidFill>
                    <w14:schemeClr w14:val="tx1"/>
                  </w14:solidFill>
                </w14:textFill>
              </w:rPr>
              <w:t>2</w:t>
            </w:r>
            <w:r>
              <w:rPr>
                <w:rFonts w:eastAsiaTheme="minorEastAsia"/>
                <w:color w:val="000000" w:themeColor="text1"/>
                <w:kern w:val="2"/>
                <w:sz w:val="21"/>
                <w:szCs w:val="21"/>
                <w:shd w:val="clear" w:color="auto" w:fill="FFFFFF"/>
                <w14:textFill>
                  <w14:solidFill>
                    <w14:schemeClr w14:val="tx1"/>
                  </w14:solidFill>
                </w14:textFill>
              </w:rPr>
              <w:t>，其中水域面积6.54万hm</w:t>
            </w:r>
            <w:r>
              <w:rPr>
                <w:rFonts w:eastAsiaTheme="minorEastAsia"/>
                <w:color w:val="000000" w:themeColor="text1"/>
                <w:kern w:val="2"/>
                <w:sz w:val="21"/>
                <w:szCs w:val="21"/>
                <w:shd w:val="clear" w:color="auto" w:fill="FFFFFF"/>
                <w:vertAlign w:val="superscript"/>
                <w14:textFill>
                  <w14:solidFill>
                    <w14:schemeClr w14:val="tx1"/>
                  </w14:solidFill>
                </w14:textFill>
              </w:rPr>
              <w:t>2</w:t>
            </w:r>
            <w:r>
              <w:rPr>
                <w:rFonts w:eastAsiaTheme="minorEastAsia"/>
                <w:color w:val="000000" w:themeColor="text1"/>
                <w:kern w:val="2"/>
                <w:sz w:val="21"/>
                <w:szCs w:val="21"/>
                <w:shd w:val="clear" w:color="auto" w:fill="FFFFFF"/>
                <w14:textFill>
                  <w14:solidFill>
                    <w14:schemeClr w14:val="tx1"/>
                  </w14:solidFill>
                </w14:textFill>
              </w:rPr>
              <w:t>，核心区面积2.9万hm</w:t>
            </w:r>
            <w:r>
              <w:rPr>
                <w:rFonts w:eastAsiaTheme="minorEastAsia"/>
                <w:color w:val="000000" w:themeColor="text1"/>
                <w:kern w:val="2"/>
                <w:sz w:val="21"/>
                <w:szCs w:val="21"/>
                <w:shd w:val="clear" w:color="auto" w:fill="FFFFFF"/>
                <w:vertAlign w:val="superscript"/>
                <w14:textFill>
                  <w14:solidFill>
                    <w14:schemeClr w14:val="tx1"/>
                  </w14:solidFill>
                </w14:textFill>
              </w:rPr>
              <w:t>2</w:t>
            </w:r>
            <w:r>
              <w:rPr>
                <w:rFonts w:eastAsiaTheme="minorEastAsia"/>
                <w:color w:val="000000" w:themeColor="text1"/>
                <w:kern w:val="2"/>
                <w:sz w:val="21"/>
                <w:szCs w:val="21"/>
                <w:shd w:val="clear" w:color="auto" w:fill="FFFFFF"/>
                <w14:textFill>
                  <w14:solidFill>
                    <w14:schemeClr w14:val="tx1"/>
                  </w14:solidFill>
                </w14:textFill>
              </w:rPr>
              <w:t>。</w:t>
            </w:r>
            <w:r>
              <w:rPr>
                <w:rFonts w:eastAsiaTheme="minorEastAsia"/>
                <w:color w:val="000000" w:themeColor="text1"/>
                <w:sz w:val="21"/>
                <w:szCs w:val="21"/>
                <w14:textFill>
                  <w14:solidFill>
                    <w14:schemeClr w14:val="tx1"/>
                  </w14:solidFill>
                </w14:textFill>
              </w:rPr>
              <w:t>保护区内有鸟类303种，鱼类114种，水生动物68种，水生植物近400种，国家重点保护的水生哺乳动物江豚和白豚2种，其中国家一级保护鸟类7种、鱼类2种、水生哺乳动物1种、保护植物3种。国家二级保护鸟类37种、鱼类3种、水生哺乳动物1种</w:t>
            </w:r>
          </w:p>
        </w:tc>
      </w:tr>
    </w:tbl>
    <w:p>
      <w:pPr>
        <w:adjustRightInd w:val="0"/>
        <w:snapToGrid w:val="0"/>
        <w:spacing w:line="360" w:lineRule="auto"/>
        <w:rPr>
          <w:rFonts w:ascii="Times New Roman" w:hAnsi="Times New Roman" w:eastAsiaTheme="minorEastAsia"/>
          <w:color w:val="000000"/>
          <w:kern w:val="0"/>
          <w:lang w:bidi="ar"/>
        </w:rPr>
      </w:pPr>
      <w:r>
        <w:rPr>
          <w:rFonts w:ascii="Times New Roman" w:hAnsi="Times New Roman" w:eastAsiaTheme="minorEastAsia"/>
          <w:color w:val="000000"/>
          <w:kern w:val="0"/>
          <w:lang w:bidi="ar"/>
        </w:rPr>
        <w:t>注：本项目不涉及生态保护红线范围。</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p>
    <w:p>
      <w:pPr>
        <w:pStyle w:val="4"/>
        <w:rPr>
          <w:rFonts w:eastAsiaTheme="minorEastAsia"/>
        </w:rPr>
      </w:pPr>
      <w:r>
        <w:rPr>
          <w:rFonts w:eastAsiaTheme="minorEastAsia"/>
        </w:rPr>
        <w:t>风险环境保护目标</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本项目风险环境保护目标即为地表水保护目标和生态环境保护目标，详见下表。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表2.7-5  评价范围内风险环境保护目标</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54"/>
        <w:gridCol w:w="1571"/>
        <w:gridCol w:w="3140"/>
        <w:gridCol w:w="38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blHeader/>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相对位置</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规模与环境特征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长江（岳阳段）</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北侧紧邻</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FF0000"/>
                <w:kern w:val="0"/>
              </w:rPr>
            </w:pPr>
            <w:r>
              <w:rPr>
                <w:rFonts w:ascii="Times New Roman" w:hAnsi="Times New Roman" w:eastAsiaTheme="minorEastAsia"/>
                <w:color w:val="000000"/>
              </w:rPr>
              <w:t>长江属大型河流，多年平均流量为20400m</w:t>
            </w:r>
            <w:r>
              <w:rPr>
                <w:rFonts w:ascii="Times New Roman" w:hAnsi="Times New Roman" w:eastAsiaTheme="minorEastAsia"/>
                <w:color w:val="000000"/>
                <w:vertAlign w:val="superscript"/>
              </w:rPr>
              <w:t>3</w:t>
            </w:r>
            <w:r>
              <w:rPr>
                <w:rFonts w:ascii="Times New Roman" w:hAnsi="Times New Roman" w:eastAsiaTheme="minorEastAsia"/>
                <w:color w:val="000000"/>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岳阳市云溪区陆城镇水厂文桥镇水厂长江取水口饮用水源保护区</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取水口坐标为E：113°16'19.47"，N：29°35'24.357"。水源地二级保护区下边界与本项目的上边界最近直线距离约370m，见附图14</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该取水口取水水量为1500万m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/a，其中80.3万m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/a用于文桥镇水厂和陆城镇水厂取水，其余为长岭炼油厂工业取水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岳阳市云溪区道仁矶水厂长江取水口饮用水水源保护区</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取水口坐标为E：113°13'40.47"，N：29°32'23.90"。水源地二级保护区下边界与本项目的上边界最近直线距离约7.5km，见附图15</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该取水口取水量为40.15万m³/a（1100m³/d），服务人口为9429人，服务范围为居委会、滨江村、泗泷村、丁山村、柳田村、基隆村等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4</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临湘市工业园滨江产业示范区自来水厂（取水口）</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取水口坐标为E：113°19'12.06"，N：29°37'42.95"，</w:t>
            </w:r>
            <w:r>
              <w:rPr>
                <w:rFonts w:ascii="Times New Roman" w:hAnsi="Times New Roman" w:eastAsiaTheme="minorEastAsia"/>
                <w:color w:val="000000" w:themeColor="text1"/>
                <w14:textFill>
                  <w14:solidFill>
                    <w14:schemeClr w14:val="tx1"/>
                  </w14:solidFill>
                </w14:textFill>
              </w:rPr>
              <w:t>该取水口位于</w:t>
            </w:r>
            <w:r>
              <w:rPr>
                <w:rFonts w:ascii="Times New Roman" w:hAnsi="Times New Roman" w:eastAsiaTheme="minorEastAsia"/>
                <w:color w:val="000000" w:themeColor="text1"/>
                <w:kern w:val="0"/>
                <w14:textFill>
                  <w14:solidFill>
                    <w14:schemeClr w14:val="tx1"/>
                  </w14:solidFill>
                </w14:textFill>
              </w:rPr>
              <w:t>本项目的下边界最近直线距离约4.8km，见附图16</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该取水口取水主要作为临湘市儒溪工业区工业企业生产用水，兼顾规划区3万居民生活用水，并已建成北控水务集公司团自来水厂，该自来水公司设计供水量5万m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/d，供水范围为儒溪工业规划区约3万人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863" w:type="pct"/>
            <w:tcMar>
              <w:left w:w="0" w:type="dxa"/>
              <w:right w:w="0" w:type="dxa"/>
            </w:tcMar>
            <w:vAlign w:val="center"/>
          </w:tcPr>
          <w:p>
            <w:pPr>
              <w:pStyle w:val="157"/>
              <w:snapToGrid w:val="0"/>
              <w:spacing w:line="240" w:lineRule="auto"/>
              <w:rPr>
                <w:rFonts w:eastAsiaTheme="minorEastAsia"/>
                <w:sz w:val="21"/>
                <w:szCs w:val="21"/>
              </w:rPr>
            </w:pPr>
            <w:r>
              <w:rPr>
                <w:rFonts w:eastAsiaTheme="minorEastAsia"/>
                <w:sz w:val="21"/>
                <w:szCs w:val="21"/>
              </w:rPr>
              <w:t>长江监利段四大家鱼国家级水产种质资源保护区</w:t>
            </w:r>
          </w:p>
        </w:tc>
        <w:tc>
          <w:tcPr>
            <w:tcW w:w="1725" w:type="pct"/>
            <w:tcMar>
              <w:left w:w="0" w:type="dxa"/>
              <w:right w:w="0" w:type="dxa"/>
            </w:tcMar>
            <w:vAlign w:val="center"/>
          </w:tcPr>
          <w:p>
            <w:pPr>
              <w:pStyle w:val="157"/>
              <w:snapToGrid w:val="0"/>
              <w:spacing w:line="228" w:lineRule="auto"/>
              <w:jc w:val="both"/>
              <w:rPr>
                <w:rFonts w:eastAsiaTheme="minorEastAsia"/>
                <w:sz w:val="21"/>
                <w:szCs w:val="21"/>
              </w:rPr>
            </w:pPr>
            <w:r>
              <w:rPr>
                <w:rFonts w:eastAsiaTheme="minorEastAsia"/>
                <w:sz w:val="21"/>
                <w:szCs w:val="21"/>
              </w:rPr>
              <w:t>本项目位于该水产种质自然保护区的实验区内，见附图10</w:t>
            </w:r>
          </w:p>
        </w:tc>
        <w:tc>
          <w:tcPr>
            <w:tcW w:w="2107" w:type="pct"/>
            <w:tcMar>
              <w:left w:w="0" w:type="dxa"/>
              <w:right w:w="0" w:type="dxa"/>
            </w:tcMar>
            <w:vAlign w:val="center"/>
          </w:tcPr>
          <w:p>
            <w:pPr>
              <w:pStyle w:val="157"/>
              <w:snapToGrid w:val="0"/>
              <w:spacing w:line="228"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主要保护对象为青鱼、草鱼、鲢、鳙四大家鱼，其他保护对象为保护区内的其它水生生物。距离工程最近的成规模的鱼类产卵场位于白螺镇下游4km洲滩，距离工程上游约5.3km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863" w:type="pct"/>
            <w:tcMar>
              <w:left w:w="0" w:type="dxa"/>
              <w:right w:w="0" w:type="dxa"/>
            </w:tcMar>
            <w:vAlign w:val="center"/>
          </w:tcPr>
          <w:p>
            <w:pPr>
              <w:pStyle w:val="157"/>
              <w:snapToGrid w:val="0"/>
              <w:spacing w:line="240" w:lineRule="auto"/>
              <w:rPr>
                <w:rFonts w:eastAsiaTheme="minorEastAsia"/>
                <w:sz w:val="21"/>
                <w:szCs w:val="21"/>
              </w:rPr>
            </w:pPr>
            <w:r>
              <w:rPr>
                <w:rFonts w:eastAsiaTheme="minorEastAsia"/>
                <w:color w:val="000000" w:themeColor="text1"/>
                <w:kern w:val="0"/>
                <w:sz w:val="21"/>
                <w:szCs w:val="21"/>
                <w14:textFill>
                  <w14:solidFill>
                    <w14:schemeClr w14:val="tx1"/>
                  </w14:solidFill>
                </w14:textFill>
              </w:rPr>
              <w:t>湖南云溪白泥湖国家湿地公园</w:t>
            </w:r>
          </w:p>
        </w:tc>
        <w:tc>
          <w:tcPr>
            <w:tcW w:w="1725" w:type="pct"/>
            <w:tcMar>
              <w:left w:w="0" w:type="dxa"/>
              <w:right w:w="0" w:type="dxa"/>
            </w:tcMar>
            <w:vAlign w:val="center"/>
          </w:tcPr>
          <w:p>
            <w:pPr>
              <w:pStyle w:val="157"/>
              <w:snapToGrid w:val="0"/>
              <w:spacing w:line="228" w:lineRule="auto"/>
              <w:jc w:val="both"/>
              <w:rPr>
                <w:rFonts w:eastAsiaTheme="minorEastAsia"/>
                <w:sz w:val="21"/>
                <w:szCs w:val="21"/>
              </w:rPr>
            </w:pPr>
            <w:r>
              <w:rPr>
                <w:rFonts w:eastAsiaTheme="minorEastAsia"/>
                <w:bCs/>
                <w:sz w:val="21"/>
                <w:szCs w:val="21"/>
              </w:rPr>
              <w:t>本项目位于白泥湖湿地公园范围外，项目与湿地公园边界最近直线距离约</w:t>
            </w:r>
            <w:r>
              <w:rPr>
                <w:rFonts w:eastAsiaTheme="minorEastAsia"/>
                <w:bCs/>
                <w:kern w:val="2"/>
                <w:sz w:val="21"/>
                <w:szCs w:val="21"/>
              </w:rPr>
              <w:t>2.4km</w:t>
            </w:r>
            <w:r>
              <w:rPr>
                <w:rFonts w:eastAsiaTheme="minorEastAsia"/>
                <w:bCs/>
                <w:sz w:val="21"/>
                <w:szCs w:val="21"/>
              </w:rPr>
              <w:t>，见附图11</w:t>
            </w:r>
          </w:p>
        </w:tc>
        <w:tc>
          <w:tcPr>
            <w:tcW w:w="2107" w:type="pct"/>
            <w:tcMar>
              <w:left w:w="0" w:type="dxa"/>
              <w:right w:w="0" w:type="dxa"/>
            </w:tcMar>
            <w:vAlign w:val="center"/>
          </w:tcPr>
          <w:p>
            <w:pPr>
              <w:pStyle w:val="157"/>
              <w:snapToGrid w:val="0"/>
              <w:spacing w:line="228"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shd w:val="clear" w:color="auto" w:fill="FFFFFF"/>
                <w14:textFill>
                  <w14:solidFill>
                    <w14:schemeClr w14:val="tx1"/>
                  </w14:solidFill>
                </w14:textFill>
              </w:rPr>
              <w:t>白泥湖国家湿地公园总面积1195.2hm</w:t>
            </w:r>
            <w:r>
              <w:rPr>
                <w:rFonts w:eastAsiaTheme="minorEastAsia"/>
                <w:color w:val="000000" w:themeColor="text1"/>
                <w:sz w:val="21"/>
                <w:szCs w:val="21"/>
                <w:shd w:val="clear" w:color="auto" w:fill="FFFFFF"/>
                <w:vertAlign w:val="superscript"/>
                <w14:textFill>
                  <w14:solidFill>
                    <w14:schemeClr w14:val="tx1"/>
                  </w14:solidFill>
                </w14:textFill>
              </w:rPr>
              <w:t>2</w:t>
            </w:r>
            <w:r>
              <w:rPr>
                <w:rFonts w:eastAsiaTheme="minorEastAsia"/>
                <w:color w:val="000000" w:themeColor="text1"/>
                <w:sz w:val="21"/>
                <w:szCs w:val="21"/>
                <w:shd w:val="clear" w:color="auto" w:fill="FFFFFF"/>
                <w14:textFill>
                  <w14:solidFill>
                    <w14:schemeClr w14:val="tx1"/>
                  </w14:solidFill>
                </w14:textFill>
              </w:rPr>
              <w:t>，湿地率达89.95%。园内湿地类型多样，有国家</w:t>
            </w:r>
            <w:r>
              <w:rPr>
                <w:rFonts w:hint="eastAsia" w:ascii="宋体" w:hAnsi="宋体" w:cs="宋体"/>
                <w:color w:val="000000" w:themeColor="text1"/>
                <w:sz w:val="21"/>
                <w:szCs w:val="21"/>
                <w:shd w:val="clear" w:color="auto" w:fill="FFFFFF"/>
                <w14:textFill>
                  <w14:solidFill>
                    <w14:schemeClr w14:val="tx1"/>
                  </w14:solidFill>
                </w14:textFill>
              </w:rPr>
              <w:t>Ⅱ</w:t>
            </w:r>
            <w:r>
              <w:rPr>
                <w:rFonts w:eastAsiaTheme="minorEastAsia"/>
                <w:color w:val="000000" w:themeColor="text1"/>
                <w:sz w:val="21"/>
                <w:szCs w:val="21"/>
                <w:shd w:val="clear" w:color="auto" w:fill="FFFFFF"/>
                <w14:textFill>
                  <w14:solidFill>
                    <w14:schemeClr w14:val="tx1"/>
                  </w14:solidFill>
                </w14:textFill>
              </w:rPr>
              <w:t>级重点保护野生植物4种，国家</w:t>
            </w:r>
            <w:r>
              <w:rPr>
                <w:rFonts w:hint="eastAsia" w:ascii="宋体" w:hAnsi="宋体" w:cs="宋体"/>
                <w:color w:val="000000" w:themeColor="text1"/>
                <w:sz w:val="21"/>
                <w:szCs w:val="21"/>
                <w:shd w:val="clear" w:color="auto" w:fill="FFFFFF"/>
                <w14:textFill>
                  <w14:solidFill>
                    <w14:schemeClr w14:val="tx1"/>
                  </w14:solidFill>
                </w14:textFill>
              </w:rPr>
              <w:t>Ⅱ</w:t>
            </w:r>
            <w:r>
              <w:rPr>
                <w:rFonts w:eastAsiaTheme="minorEastAsia"/>
                <w:color w:val="000000" w:themeColor="text1"/>
                <w:sz w:val="21"/>
                <w:szCs w:val="21"/>
                <w:shd w:val="clear" w:color="auto" w:fill="FFFFFF"/>
                <w14:textFill>
                  <w14:solidFill>
                    <w14:schemeClr w14:val="tx1"/>
                  </w14:solidFill>
                </w14:textFill>
              </w:rPr>
              <w:t>级重点保护野生动物7种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863" w:type="pct"/>
            <w:tcMar>
              <w:left w:w="0" w:type="dxa"/>
              <w:right w:w="0" w:type="dxa"/>
            </w:tcMar>
            <w:vAlign w:val="center"/>
          </w:tcPr>
          <w:p>
            <w:pPr>
              <w:pStyle w:val="157"/>
              <w:snapToGrid w:val="0"/>
              <w:spacing w:line="240" w:lineRule="auto"/>
              <w:rPr>
                <w:rFonts w:eastAsiaTheme="minorEastAsia"/>
                <w:sz w:val="21"/>
                <w:szCs w:val="21"/>
              </w:rPr>
            </w:pPr>
            <w:r>
              <w:rPr>
                <w:rFonts w:eastAsiaTheme="minorEastAsia"/>
                <w:color w:val="000000" w:themeColor="text1"/>
                <w:kern w:val="0"/>
                <w:sz w:val="21"/>
                <w:szCs w:val="21"/>
                <w14:textFill>
                  <w14:solidFill>
                    <w14:schemeClr w14:val="tx1"/>
                  </w14:solidFill>
                </w14:textFill>
              </w:rPr>
              <w:t>湖北长江新螺段白鱀豚国家级自然保护区</w:t>
            </w:r>
          </w:p>
        </w:tc>
        <w:tc>
          <w:tcPr>
            <w:tcW w:w="1725" w:type="pct"/>
            <w:tcMar>
              <w:left w:w="0" w:type="dxa"/>
              <w:right w:w="0" w:type="dxa"/>
            </w:tcMar>
            <w:vAlign w:val="center"/>
          </w:tcPr>
          <w:p>
            <w:pPr>
              <w:pStyle w:val="157"/>
              <w:snapToGrid w:val="0"/>
              <w:spacing w:line="228" w:lineRule="auto"/>
              <w:jc w:val="both"/>
              <w:rPr>
                <w:rFonts w:eastAsiaTheme="minorEastAsia"/>
                <w:sz w:val="21"/>
                <w:szCs w:val="21"/>
              </w:rPr>
            </w:pPr>
            <w:r>
              <w:rPr>
                <w:rFonts w:eastAsiaTheme="minorEastAsia"/>
                <w:sz w:val="21"/>
                <w:szCs w:val="21"/>
              </w:rPr>
              <w:t>本项目位于白鱀豚国家级自然保护区上游，自然保护区的范围外，项目与自然保护区最近的为实验区，与实验区上边界最近距离约4.0km，见附图12</w:t>
            </w:r>
          </w:p>
        </w:tc>
        <w:tc>
          <w:tcPr>
            <w:tcW w:w="2107" w:type="pct"/>
            <w:tcMar>
              <w:left w:w="0" w:type="dxa"/>
              <w:right w:w="0" w:type="dxa"/>
            </w:tcMar>
            <w:vAlign w:val="center"/>
          </w:tcPr>
          <w:p>
            <w:pPr>
              <w:pStyle w:val="157"/>
              <w:snapToGrid w:val="0"/>
              <w:spacing w:line="228"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shd w:val="clear" w:color="auto" w:fill="FFFFFF"/>
                <w14:textFill>
                  <w14:solidFill>
                    <w14:schemeClr w14:val="tx1"/>
                  </w14:solidFill>
                </w14:textFill>
              </w:rPr>
              <w:t>地理位置为东经113°07ˊ19″~114°05ˊ12″，北纬29°38ˊ39″~30°05ˊ12″，国土面积41607hm</w:t>
            </w:r>
            <w:r>
              <w:rPr>
                <w:rFonts w:eastAsiaTheme="minorEastAsia"/>
                <w:color w:val="000000" w:themeColor="text1"/>
                <w:sz w:val="21"/>
                <w:szCs w:val="21"/>
                <w:shd w:val="clear" w:color="auto" w:fill="FFFFFF"/>
                <w:vertAlign w:val="superscript"/>
                <w14:textFill>
                  <w14:solidFill>
                    <w14:schemeClr w14:val="tx1"/>
                  </w14:solidFill>
                </w14:textFill>
              </w:rPr>
              <w:t>2</w:t>
            </w:r>
            <w:r>
              <w:rPr>
                <w:rFonts w:eastAsiaTheme="minorEastAsia"/>
                <w:color w:val="000000" w:themeColor="text1"/>
                <w:sz w:val="21"/>
                <w:szCs w:val="21"/>
                <w:shd w:val="clear" w:color="auto" w:fill="FFFFFF"/>
                <w14:textFill>
                  <w14:solidFill>
                    <w14:schemeClr w14:val="tx1"/>
                  </w14:solidFill>
                </w14:textFill>
              </w:rPr>
              <w:t>。保护区主要保护对象是国家一级保护野生水生动物白鱀豚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863" w:type="pct"/>
            <w:tcMar>
              <w:left w:w="0" w:type="dxa"/>
              <w:right w:w="0" w:type="dxa"/>
            </w:tcMar>
            <w:vAlign w:val="center"/>
          </w:tcPr>
          <w:p>
            <w:pPr>
              <w:pStyle w:val="157"/>
              <w:snapToGrid w:val="0"/>
              <w:spacing w:line="240" w:lineRule="auto"/>
              <w:jc w:val="both"/>
              <w:rPr>
                <w:rFonts w:eastAsiaTheme="minorEastAsia"/>
                <w:sz w:val="21"/>
                <w:szCs w:val="21"/>
              </w:rPr>
            </w:pPr>
            <w:r>
              <w:rPr>
                <w:rFonts w:eastAsiaTheme="minorEastAsia"/>
                <w:sz w:val="21"/>
                <w:szCs w:val="21"/>
              </w:rPr>
              <w:t>湖南东洞庭湖国家级自然保护区</w:t>
            </w:r>
          </w:p>
        </w:tc>
        <w:tc>
          <w:tcPr>
            <w:tcW w:w="1725" w:type="pct"/>
            <w:tcMar>
              <w:left w:w="0" w:type="dxa"/>
              <w:right w:w="0" w:type="dxa"/>
            </w:tcMar>
            <w:vAlign w:val="center"/>
          </w:tcPr>
          <w:p>
            <w:pPr>
              <w:pStyle w:val="157"/>
              <w:snapToGrid w:val="0"/>
              <w:spacing w:line="228" w:lineRule="auto"/>
              <w:jc w:val="both"/>
              <w:rPr>
                <w:rFonts w:eastAsiaTheme="minorEastAsia"/>
                <w:sz w:val="21"/>
                <w:szCs w:val="21"/>
              </w:rPr>
            </w:pPr>
            <w:r>
              <w:rPr>
                <w:rFonts w:eastAsiaTheme="minorEastAsia"/>
                <w:sz w:val="21"/>
                <w:szCs w:val="21"/>
              </w:rPr>
              <w:t>本项目位于东洞庭国家级自然保护区下游，自然保护区的范围外，项目与自然保护区最近的为实验区，与实验区下边界最近距离约8.4km，见附图13</w:t>
            </w:r>
          </w:p>
        </w:tc>
        <w:tc>
          <w:tcPr>
            <w:tcW w:w="2107" w:type="pct"/>
            <w:tcMar>
              <w:left w:w="0" w:type="dxa"/>
              <w:right w:w="0" w:type="dxa"/>
            </w:tcMar>
            <w:vAlign w:val="center"/>
          </w:tcPr>
          <w:p>
            <w:pPr>
              <w:pStyle w:val="157"/>
              <w:snapToGrid w:val="0"/>
              <w:spacing w:line="228"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kern w:val="2"/>
                <w:sz w:val="21"/>
                <w:szCs w:val="21"/>
                <w:shd w:val="clear" w:color="auto" w:fill="FFFFFF"/>
                <w14:textFill>
                  <w14:solidFill>
                    <w14:schemeClr w14:val="tx1"/>
                  </w14:solidFill>
                </w14:textFill>
              </w:rPr>
              <w:t>东洞庭湖国家级自然保护区总面积19万hm</w:t>
            </w:r>
            <w:r>
              <w:rPr>
                <w:rFonts w:eastAsiaTheme="minorEastAsia"/>
                <w:color w:val="000000" w:themeColor="text1"/>
                <w:kern w:val="2"/>
                <w:sz w:val="21"/>
                <w:szCs w:val="21"/>
                <w:shd w:val="clear" w:color="auto" w:fill="FFFFFF"/>
                <w:vertAlign w:val="superscript"/>
                <w14:textFill>
                  <w14:solidFill>
                    <w14:schemeClr w14:val="tx1"/>
                  </w14:solidFill>
                </w14:textFill>
              </w:rPr>
              <w:t>2</w:t>
            </w:r>
            <w:r>
              <w:rPr>
                <w:rFonts w:eastAsiaTheme="minorEastAsia"/>
                <w:color w:val="000000" w:themeColor="text1"/>
                <w:kern w:val="2"/>
                <w:sz w:val="21"/>
                <w:szCs w:val="21"/>
                <w:shd w:val="clear" w:color="auto" w:fill="FFFFFF"/>
                <w14:textFill>
                  <w14:solidFill>
                    <w14:schemeClr w14:val="tx1"/>
                  </w14:solidFill>
                </w14:textFill>
              </w:rPr>
              <w:t>，其中水域面积6.54万hm</w:t>
            </w:r>
            <w:r>
              <w:rPr>
                <w:rFonts w:eastAsiaTheme="minorEastAsia"/>
                <w:color w:val="000000" w:themeColor="text1"/>
                <w:kern w:val="2"/>
                <w:sz w:val="21"/>
                <w:szCs w:val="21"/>
                <w:shd w:val="clear" w:color="auto" w:fill="FFFFFF"/>
                <w:vertAlign w:val="superscript"/>
                <w14:textFill>
                  <w14:solidFill>
                    <w14:schemeClr w14:val="tx1"/>
                  </w14:solidFill>
                </w14:textFill>
              </w:rPr>
              <w:t>2</w:t>
            </w:r>
            <w:r>
              <w:rPr>
                <w:rFonts w:eastAsiaTheme="minorEastAsia"/>
                <w:color w:val="000000" w:themeColor="text1"/>
                <w:kern w:val="2"/>
                <w:sz w:val="21"/>
                <w:szCs w:val="21"/>
                <w:shd w:val="clear" w:color="auto" w:fill="FFFFFF"/>
                <w14:textFill>
                  <w14:solidFill>
                    <w14:schemeClr w14:val="tx1"/>
                  </w14:solidFill>
                </w14:textFill>
              </w:rPr>
              <w:t>，核心区面积2.9万hm</w:t>
            </w:r>
            <w:r>
              <w:rPr>
                <w:rFonts w:eastAsiaTheme="minorEastAsia"/>
                <w:color w:val="000000" w:themeColor="text1"/>
                <w:kern w:val="2"/>
                <w:sz w:val="21"/>
                <w:szCs w:val="21"/>
                <w:shd w:val="clear" w:color="auto" w:fill="FFFFFF"/>
                <w:vertAlign w:val="superscript"/>
                <w14:textFill>
                  <w14:solidFill>
                    <w14:schemeClr w14:val="tx1"/>
                  </w14:solidFill>
                </w14:textFill>
              </w:rPr>
              <w:t>2</w:t>
            </w:r>
            <w:r>
              <w:rPr>
                <w:rFonts w:eastAsiaTheme="minorEastAsia"/>
                <w:color w:val="000000" w:themeColor="text1"/>
                <w:kern w:val="2"/>
                <w:sz w:val="21"/>
                <w:szCs w:val="21"/>
                <w:shd w:val="clear" w:color="auto" w:fill="FFFFFF"/>
                <w14:textFill>
                  <w14:solidFill>
                    <w14:schemeClr w14:val="tx1"/>
                  </w14:solidFill>
                </w14:textFill>
              </w:rPr>
              <w:t>。</w:t>
            </w:r>
            <w:r>
              <w:rPr>
                <w:rFonts w:eastAsiaTheme="minorEastAsia"/>
                <w:color w:val="000000" w:themeColor="text1"/>
                <w:sz w:val="21"/>
                <w:szCs w:val="21"/>
                <w14:textFill>
                  <w14:solidFill>
                    <w14:schemeClr w14:val="tx1"/>
                  </w14:solidFill>
                </w14:textFill>
              </w:rPr>
              <w:t>保护区内有鸟类303种，鱼类114种，水生动物68种，水生植物近400种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pStyle w:val="157"/>
              <w:snapToGrid w:val="0"/>
              <w:spacing w:line="240" w:lineRule="auto"/>
              <w:rPr>
                <w:rFonts w:eastAsiaTheme="minorEastAsia"/>
                <w:color w:val="000000" w:themeColor="text1"/>
                <w:kern w:val="0"/>
                <w:sz w:val="21"/>
                <w:szCs w:val="21"/>
                <w14:textFill>
                  <w14:solidFill>
                    <w14:schemeClr w14:val="tx1"/>
                  </w14:solidFill>
                </w14:textFill>
              </w:rPr>
            </w:pPr>
            <w:r>
              <w:rPr>
                <w:rFonts w:eastAsiaTheme="minorEastAsia"/>
                <w:color w:val="000000" w:themeColor="text1"/>
                <w:kern w:val="0"/>
                <w:sz w:val="21"/>
                <w:szCs w:val="21"/>
                <w14:textFill>
                  <w14:solidFill>
                    <w14:schemeClr w14:val="tx1"/>
                  </w14:solidFill>
                </w14:textFill>
              </w:rPr>
              <w:t>9</w:t>
            </w:r>
          </w:p>
        </w:tc>
        <w:tc>
          <w:tcPr>
            <w:tcW w:w="863" w:type="pct"/>
            <w:tcMar>
              <w:left w:w="0" w:type="dxa"/>
              <w:right w:w="0" w:type="dxa"/>
            </w:tcMar>
            <w:vAlign w:val="center"/>
          </w:tcPr>
          <w:p>
            <w:pPr>
              <w:pStyle w:val="157"/>
              <w:snapToGrid w:val="0"/>
              <w:spacing w:line="240" w:lineRule="auto"/>
              <w:rPr>
                <w:rFonts w:eastAsiaTheme="minorEastAsia"/>
                <w:color w:val="000000" w:themeColor="text1"/>
                <w:kern w:val="0"/>
                <w:sz w:val="21"/>
                <w:szCs w:val="21"/>
                <w14:textFill>
                  <w14:solidFill>
                    <w14:schemeClr w14:val="tx1"/>
                  </w14:solidFill>
                </w14:textFill>
              </w:rPr>
            </w:pPr>
            <w:r>
              <w:rPr>
                <w:rFonts w:eastAsiaTheme="minorEastAsia"/>
                <w:color w:val="000000" w:themeColor="text1"/>
                <w:kern w:val="0"/>
                <w:sz w:val="21"/>
                <w:szCs w:val="21"/>
                <w14:textFill>
                  <w14:solidFill>
                    <w14:schemeClr w14:val="tx1"/>
                  </w14:solidFill>
                </w14:textFill>
              </w:rPr>
              <w:t>沙窝居民点</w:t>
            </w:r>
          </w:p>
        </w:tc>
        <w:tc>
          <w:tcPr>
            <w:tcW w:w="1725" w:type="pct"/>
            <w:tcMar>
              <w:left w:w="0" w:type="dxa"/>
              <w:right w:w="0" w:type="dxa"/>
            </w:tcMar>
            <w:vAlign w:val="center"/>
          </w:tcPr>
          <w:p>
            <w:pPr>
              <w:pStyle w:val="157"/>
              <w:snapToGrid w:val="0"/>
              <w:spacing w:line="228" w:lineRule="auto"/>
              <w:rPr>
                <w:rFonts w:eastAsiaTheme="minorEastAsia"/>
                <w:sz w:val="21"/>
                <w:szCs w:val="21"/>
              </w:rPr>
            </w:pPr>
            <w:r>
              <w:rPr>
                <w:rFonts w:eastAsiaTheme="minorEastAsia"/>
                <w:sz w:val="21"/>
                <w:szCs w:val="21"/>
              </w:rPr>
              <w:t>管线北侧18m处，</w:t>
            </w:r>
            <w:r>
              <w:rPr>
                <w:rFonts w:hint="eastAsia" w:eastAsiaTheme="minorEastAsia"/>
                <w:sz w:val="21"/>
                <w:szCs w:val="21"/>
              </w:rPr>
              <w:t>E：</w:t>
            </w:r>
            <w:r>
              <w:rPr>
                <w:rFonts w:eastAsiaTheme="minorEastAsia"/>
                <w:sz w:val="21"/>
                <w:szCs w:val="21"/>
              </w:rPr>
              <w:t>113°17'09.16"，</w:t>
            </w:r>
            <w:r>
              <w:rPr>
                <w:rFonts w:hint="eastAsia" w:eastAsiaTheme="minorEastAsia"/>
                <w:sz w:val="21"/>
                <w:szCs w:val="21"/>
              </w:rPr>
              <w:t>N：</w:t>
            </w:r>
            <w:r>
              <w:rPr>
                <w:rFonts w:eastAsiaTheme="minorEastAsia"/>
                <w:sz w:val="21"/>
                <w:szCs w:val="21"/>
              </w:rPr>
              <w:t>29°35'24.20"</w:t>
            </w:r>
          </w:p>
        </w:tc>
        <w:tc>
          <w:tcPr>
            <w:tcW w:w="2107" w:type="pct"/>
            <w:tcMar>
              <w:left w:w="0" w:type="dxa"/>
              <w:right w:w="0" w:type="dxa"/>
            </w:tcMar>
            <w:vAlign w:val="center"/>
          </w:tcPr>
          <w:p>
            <w:pPr>
              <w:pStyle w:val="157"/>
              <w:snapToGrid w:val="0"/>
              <w:spacing w:line="228" w:lineRule="auto"/>
              <w:rPr>
                <w:rFonts w:eastAsiaTheme="minorEastAsia"/>
                <w:sz w:val="21"/>
                <w:szCs w:val="21"/>
              </w:rPr>
            </w:pPr>
            <w:r>
              <w:rPr>
                <w:rFonts w:eastAsiaTheme="minorEastAsia"/>
                <w:sz w:val="21"/>
                <w:szCs w:val="21"/>
              </w:rPr>
              <w:t>20户，约60人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pStyle w:val="157"/>
              <w:snapToGrid w:val="0"/>
              <w:spacing w:line="240" w:lineRule="auto"/>
              <w:rPr>
                <w:rFonts w:eastAsiaTheme="minorEastAsia"/>
                <w:color w:val="000000" w:themeColor="text1"/>
                <w:kern w:val="0"/>
                <w:sz w:val="21"/>
                <w:szCs w:val="21"/>
                <w14:textFill>
                  <w14:solidFill>
                    <w14:schemeClr w14:val="tx1"/>
                  </w14:solidFill>
                </w14:textFill>
              </w:rPr>
            </w:pPr>
            <w:r>
              <w:rPr>
                <w:rFonts w:eastAsiaTheme="minorEastAsia"/>
                <w:color w:val="000000" w:themeColor="text1"/>
                <w:kern w:val="0"/>
                <w:sz w:val="21"/>
                <w:szCs w:val="21"/>
                <w14:textFill>
                  <w14:solidFill>
                    <w14:schemeClr w14:val="tx1"/>
                  </w14:solidFill>
                </w14:textFill>
              </w:rPr>
              <w:t>10</w:t>
            </w:r>
          </w:p>
        </w:tc>
        <w:tc>
          <w:tcPr>
            <w:tcW w:w="863" w:type="pct"/>
            <w:tcMar>
              <w:left w:w="0" w:type="dxa"/>
              <w:right w:w="0" w:type="dxa"/>
            </w:tcMar>
            <w:vAlign w:val="center"/>
          </w:tcPr>
          <w:p>
            <w:pPr>
              <w:pStyle w:val="157"/>
              <w:snapToGrid w:val="0"/>
              <w:spacing w:line="240" w:lineRule="auto"/>
              <w:rPr>
                <w:rFonts w:eastAsiaTheme="minorEastAsia"/>
                <w:color w:val="000000" w:themeColor="text1"/>
                <w:kern w:val="0"/>
                <w:sz w:val="21"/>
                <w:szCs w:val="21"/>
                <w14:textFill>
                  <w14:solidFill>
                    <w14:schemeClr w14:val="tx1"/>
                  </w14:solidFill>
                </w14:textFill>
              </w:rPr>
            </w:pPr>
            <w:r>
              <w:rPr>
                <w:rFonts w:eastAsiaTheme="minorEastAsia"/>
                <w:color w:val="000000" w:themeColor="text1"/>
                <w:kern w:val="0"/>
                <w:sz w:val="21"/>
                <w:szCs w:val="21"/>
                <w14:textFill>
                  <w14:solidFill>
                    <w14:schemeClr w14:val="tx1"/>
                  </w14:solidFill>
                </w14:textFill>
              </w:rPr>
              <w:t>冯家坡居民点</w:t>
            </w:r>
          </w:p>
        </w:tc>
        <w:tc>
          <w:tcPr>
            <w:tcW w:w="1725" w:type="pct"/>
            <w:tcMar>
              <w:left w:w="0" w:type="dxa"/>
              <w:right w:w="0" w:type="dxa"/>
            </w:tcMar>
            <w:vAlign w:val="center"/>
          </w:tcPr>
          <w:p>
            <w:pPr>
              <w:pStyle w:val="157"/>
              <w:snapToGrid w:val="0"/>
              <w:spacing w:line="228" w:lineRule="auto"/>
              <w:rPr>
                <w:rFonts w:eastAsiaTheme="minorEastAsia"/>
                <w:sz w:val="21"/>
                <w:szCs w:val="21"/>
              </w:rPr>
            </w:pPr>
            <w:r>
              <w:rPr>
                <w:rFonts w:eastAsiaTheme="minorEastAsia"/>
                <w:sz w:val="21"/>
                <w:szCs w:val="21"/>
              </w:rPr>
              <w:t>管线东侧125m处，</w:t>
            </w:r>
            <w:r>
              <w:rPr>
                <w:rFonts w:hint="eastAsia" w:eastAsiaTheme="minorEastAsia"/>
                <w:sz w:val="21"/>
                <w:szCs w:val="21"/>
              </w:rPr>
              <w:t>E：</w:t>
            </w:r>
            <w:r>
              <w:rPr>
                <w:rFonts w:eastAsiaTheme="minorEastAsia"/>
                <w:sz w:val="21"/>
                <w:szCs w:val="21"/>
              </w:rPr>
              <w:t>113°17'13.52"，</w:t>
            </w:r>
            <w:r>
              <w:rPr>
                <w:rFonts w:hint="eastAsia" w:eastAsiaTheme="minorEastAsia"/>
                <w:sz w:val="21"/>
                <w:szCs w:val="21"/>
              </w:rPr>
              <w:t>N：</w:t>
            </w:r>
            <w:r>
              <w:rPr>
                <w:rFonts w:eastAsiaTheme="minorEastAsia"/>
                <w:sz w:val="21"/>
                <w:szCs w:val="21"/>
              </w:rPr>
              <w:t>29°35'17.52"</w:t>
            </w:r>
          </w:p>
        </w:tc>
        <w:tc>
          <w:tcPr>
            <w:tcW w:w="2107" w:type="pct"/>
            <w:tcMar>
              <w:left w:w="0" w:type="dxa"/>
              <w:right w:w="0" w:type="dxa"/>
            </w:tcMar>
            <w:vAlign w:val="center"/>
          </w:tcPr>
          <w:p>
            <w:pPr>
              <w:pStyle w:val="157"/>
              <w:snapToGrid w:val="0"/>
              <w:spacing w:line="228" w:lineRule="auto"/>
              <w:rPr>
                <w:rFonts w:eastAsiaTheme="minorEastAsia"/>
                <w:sz w:val="21"/>
                <w:szCs w:val="21"/>
              </w:rPr>
            </w:pPr>
            <w:r>
              <w:rPr>
                <w:rFonts w:eastAsiaTheme="minorEastAsia"/>
                <w:sz w:val="21"/>
                <w:szCs w:val="21"/>
              </w:rPr>
              <w:t>21户，约63人</w:t>
            </w:r>
          </w:p>
        </w:tc>
      </w:tr>
    </w:tbl>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p>
    <w:p>
      <w:pPr>
        <w:pStyle w:val="3"/>
        <w:rPr>
          <w:rFonts w:ascii="Times New Roman" w:hAnsi="Times New Roman" w:eastAsiaTheme="minorEastAsia"/>
          <w:b/>
        </w:rPr>
      </w:pPr>
      <w:bookmarkStart w:id="28" w:name="_Toc5234"/>
      <w:r>
        <w:rPr>
          <w:rFonts w:ascii="Times New Roman" w:hAnsi="Times New Roman" w:eastAsiaTheme="minorEastAsia"/>
          <w:b/>
        </w:rPr>
        <w:t>评价工作程序</w:t>
      </w:r>
      <w:bookmarkEnd w:id="28"/>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按照《建设项目环境保护管理条例》和《环境影响评价技术导则》的要求，本项目环境影响评价工作分以下三个阶段。</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本项目环境影响评价程序框图如下：</w:t>
      </w:r>
    </w:p>
    <w:p>
      <w:pPr>
        <w:adjustRightInd w:val="0"/>
        <w:snapToGrid w:val="0"/>
        <w:spacing w:line="360" w:lineRule="auto"/>
        <w:rPr>
          <w:rFonts w:ascii="Times New Roman" w:hAnsi="Times New Roman" w:eastAsiaTheme="minorEastAsia"/>
          <w:color w:val="000000"/>
          <w:sz w:val="24"/>
        </w:rPr>
      </w:pPr>
      <w:r>
        <w:rPr>
          <w:rFonts w:ascii="Times New Roman" w:hAnsi="Times New Roman" w:eastAsiaTheme="minorEastAsia"/>
        </w:rPr>
        <w:drawing>
          <wp:inline distT="0" distB="0" distL="0" distR="0">
            <wp:extent cx="5537200" cy="5768340"/>
            <wp:effectExtent l="0" t="127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rot="16200000">
                      <a:off x="0" y="0"/>
                      <a:ext cx="5541929" cy="5772893"/>
                    </a:xfrm>
                    <a:prstGeom prst="rect">
                      <a:avLst/>
                    </a:prstGeom>
                  </pic:spPr>
                </pic:pic>
              </a:graphicData>
            </a:graphic>
          </wp:inline>
        </w:drawing>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图2.8-1  评价工作程序图</w:t>
      </w:r>
    </w:p>
    <w:p>
      <w:pPr>
        <w:pStyle w:val="69"/>
        <w:ind w:firstLine="0" w:firstLineChars="0"/>
        <w:rPr>
          <w:rFonts w:cs="Times New Roman" w:eastAsiaTheme="minorEastAsia"/>
        </w:rPr>
      </w:pPr>
    </w:p>
    <w:p>
      <w:pPr>
        <w:pStyle w:val="69"/>
        <w:ind w:firstLine="480"/>
        <w:rPr>
          <w:rFonts w:cs="Times New Roman" w:eastAsiaTheme="minorEastAsia"/>
        </w:rPr>
        <w:sectPr>
          <w:headerReference r:id="rId10"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29" w:name="_Toc30088"/>
      <w:r>
        <w:rPr>
          <w:rFonts w:eastAsiaTheme="minorEastAsia"/>
          <w:b/>
          <w:sz w:val="32"/>
          <w:szCs w:val="32"/>
        </w:rPr>
        <w:t>工程概况及工程环境影响分析</w:t>
      </w:r>
      <w:bookmarkEnd w:id="29"/>
    </w:p>
    <w:p>
      <w:pPr>
        <w:pStyle w:val="3"/>
        <w:rPr>
          <w:rFonts w:ascii="Times New Roman" w:hAnsi="Times New Roman" w:eastAsiaTheme="minorEastAsia"/>
          <w:b/>
        </w:rPr>
      </w:pPr>
      <w:bookmarkStart w:id="30" w:name="_Toc23590"/>
      <w:r>
        <w:rPr>
          <w:rFonts w:ascii="Times New Roman" w:hAnsi="Times New Roman" w:eastAsiaTheme="minorEastAsia"/>
          <w:b/>
        </w:rPr>
        <w:t>现有工程概况</w:t>
      </w:r>
      <w:bookmarkEnd w:id="30"/>
    </w:p>
    <w:p>
      <w:pPr>
        <w:pStyle w:val="4"/>
        <w:rPr>
          <w:rFonts w:eastAsiaTheme="minorEastAsia"/>
        </w:rPr>
      </w:pPr>
      <w:r>
        <w:fldChar w:fldCharType="begin"/>
      </w:r>
      <w:r>
        <w:instrText xml:space="preserve"> HYPERLINK \l "_Toc25016_WPSOffice_Level1" </w:instrText>
      </w:r>
      <w:r>
        <w:fldChar w:fldCharType="separate"/>
      </w:r>
      <w:r>
        <w:rPr>
          <w:rFonts w:hint="eastAsia" w:eastAsiaTheme="minorEastAsia"/>
        </w:rPr>
        <w:t>现</w:t>
      </w:r>
      <w:r>
        <w:rPr>
          <w:rFonts w:eastAsiaTheme="minorEastAsia"/>
        </w:rPr>
        <w:t>有</w:t>
      </w:r>
      <w:r>
        <w:rPr>
          <w:rFonts w:hint="eastAsia" w:eastAsiaTheme="minorEastAsia"/>
        </w:rPr>
        <w:t>工程</w:t>
      </w:r>
      <w:r>
        <w:rPr>
          <w:rFonts w:eastAsiaTheme="minorEastAsia"/>
        </w:rPr>
        <w:t>基本情况</w:t>
      </w:r>
      <w:r>
        <w:rPr>
          <w:rFonts w:eastAsiaTheme="minorEastAsia"/>
        </w:rPr>
        <w:fldChar w:fldCharType="end"/>
      </w:r>
    </w:p>
    <w:p>
      <w:pPr>
        <w:tabs>
          <w:tab w:val="left" w:pos="900"/>
        </w:tabs>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本</w:t>
      </w:r>
      <w:r>
        <w:rPr>
          <w:rFonts w:ascii="Times New Roman" w:hAnsi="Times New Roman" w:eastAsiaTheme="minorEastAsia"/>
          <w:sz w:val="24"/>
          <w:szCs w:val="24"/>
        </w:rPr>
        <w:t>工程位于岳阳港陆城港区长炼油品作业区、长江中游杨林岩水道与螺山水道衔接段右岸。</w:t>
      </w:r>
      <w:r>
        <w:rPr>
          <w:rFonts w:hint="eastAsia" w:ascii="Times New Roman" w:hAnsi="Times New Roman" w:eastAsiaTheme="minorEastAsia"/>
          <w:sz w:val="24"/>
          <w:szCs w:val="24"/>
        </w:rPr>
        <w:t>工程上游为砂窝白云石码头（已拆除）、城港工作船码头、长炼取水码头，下游无其它码头。上游港城工作船码头距离本工程约580m。已建储罐区位于长江大堤以内、沿马鞍山建设。</w:t>
      </w:r>
    </w:p>
    <w:p>
      <w:pPr>
        <w:tabs>
          <w:tab w:val="left" w:pos="900"/>
        </w:tabs>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长岭分公司港口部码头占用岸线总长度为1350m，自上游向下游依次布置1#工作船码头、2#~5#码头（8个危化品泊位），其中1#工作船码头占用岸线约150</w:t>
      </w:r>
      <w:r>
        <w:rPr>
          <w:rFonts w:hint="eastAsia" w:ascii="Times New Roman" w:hAnsi="Times New Roman" w:eastAsiaTheme="minorEastAsia"/>
          <w:sz w:val="24"/>
          <w:szCs w:val="24"/>
        </w:rPr>
        <w:t>m</w:t>
      </w:r>
      <w:r>
        <w:rPr>
          <w:rFonts w:ascii="Times New Roman" w:hAnsi="Times New Roman" w:eastAsiaTheme="minorEastAsia"/>
          <w:sz w:val="24"/>
          <w:szCs w:val="24"/>
        </w:rPr>
        <w:t>，2#～5#危化品码头实际使用岸线约1200</w:t>
      </w:r>
      <w:r>
        <w:rPr>
          <w:rFonts w:hint="eastAsia" w:ascii="Times New Roman" w:hAnsi="Times New Roman" w:eastAsiaTheme="minorEastAsia"/>
          <w:sz w:val="24"/>
          <w:szCs w:val="24"/>
        </w:rPr>
        <w:t>m</w:t>
      </w:r>
      <w:r>
        <w:rPr>
          <w:rFonts w:ascii="Times New Roman" w:hAnsi="Times New Roman" w:eastAsiaTheme="minorEastAsia"/>
          <w:sz w:val="24"/>
          <w:szCs w:val="24"/>
        </w:rPr>
        <w:t>。岸线范围原设计5个码头和9个泊位，即1#工作船码头、2#~5#码头（8个危化品泊位），各码头情况如下：</w:t>
      </w:r>
    </w:p>
    <w:p>
      <w:pPr>
        <w:tabs>
          <w:tab w:val="left" w:pos="900"/>
        </w:tabs>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1、1#码头为工作船码头，用于停靠工作拖轮和消防船，并且岳阳海事和航道管理部门也利用该码头进行海事航道管理，实际上1#码头为长岭分公司与地方海事及航道管理部门共同使用的工作码头。1#码头目前已经拆除，但未来依然会恢复为共同使用的工作船码头，并作为未来码头LNG业务的工作船码头。</w:t>
      </w:r>
    </w:p>
    <w:p>
      <w:pPr>
        <w:tabs>
          <w:tab w:val="left" w:pos="900"/>
        </w:tabs>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2、2#码头设置一条趸船（2#趸船），长度为120</w:t>
      </w:r>
      <w:r>
        <w:rPr>
          <w:rFonts w:hint="eastAsia" w:ascii="Times New Roman" w:hAnsi="Times New Roman" w:eastAsiaTheme="minorEastAsia"/>
          <w:sz w:val="24"/>
          <w:szCs w:val="24"/>
        </w:rPr>
        <w:t>m</w:t>
      </w:r>
      <w:r>
        <w:rPr>
          <w:rFonts w:ascii="Times New Roman" w:hAnsi="Times New Roman" w:eastAsiaTheme="minorEastAsia"/>
          <w:sz w:val="24"/>
          <w:szCs w:val="24"/>
        </w:rPr>
        <w:t>，原设计2个专用于接卸3000吨原油分节驳的接卸泊位。原油江运停止后，2#码头改为接卸3000吨级油品化工品船舶。因安全运行要求，一次只能接卸一条3000吨级油品化工品船舶，实际相当于1个泊位。</w:t>
      </w:r>
    </w:p>
    <w:p>
      <w:pPr>
        <w:tabs>
          <w:tab w:val="left" w:pos="900"/>
        </w:tabs>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3、3#～5#码头均分别设有2条独立的3000吨级趸船，均包括2个危化品泊位。</w:t>
      </w:r>
    </w:p>
    <w:p>
      <w:pPr>
        <w:tabs>
          <w:tab w:val="left" w:pos="900"/>
        </w:tabs>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因此，在停止江运原油接卸后，长岭分公司港口部码头目前实际上只有7个危化品接卸泊位。</w:t>
      </w:r>
    </w:p>
    <w:p>
      <w:pPr>
        <w:tabs>
          <w:tab w:val="left" w:pos="900"/>
        </w:tabs>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现共有8个危化品装卸泊位和1个工作泊位，装卸及中转品种15个左右。</w:t>
      </w:r>
    </w:p>
    <w:p>
      <w:pPr>
        <w:jc w:val="center"/>
        <w:rPr>
          <w:rFonts w:ascii="Times New Roman" w:hAnsi="Times New Roman" w:eastAsiaTheme="minorEastAsia"/>
          <w:spacing w:val="4"/>
          <w:kern w:val="0"/>
          <w:sz w:val="28"/>
          <w:szCs w:val="28"/>
        </w:rPr>
      </w:pPr>
      <w:r>
        <w:rPr>
          <w:rFonts w:ascii="Times New Roman" w:hAnsi="Times New Roman" w:eastAsiaTheme="minorEastAsia"/>
          <w:spacing w:val="4"/>
          <w:kern w:val="0"/>
          <w:sz w:val="28"/>
          <w:szCs w:val="28"/>
        </w:rPr>
        <mc:AlternateContent>
          <mc:Choice Requires="wps">
            <w:drawing>
              <wp:anchor distT="0" distB="0" distL="114300" distR="114300" simplePos="0" relativeHeight="251668480" behindDoc="0" locked="0" layoutInCell="1" allowOverlap="1">
                <wp:simplePos x="0" y="0"/>
                <wp:positionH relativeFrom="column">
                  <wp:posOffset>1042670</wp:posOffset>
                </wp:positionH>
                <wp:positionV relativeFrom="paragraph">
                  <wp:posOffset>109220</wp:posOffset>
                </wp:positionV>
                <wp:extent cx="2348865" cy="2228850"/>
                <wp:effectExtent l="38100" t="38100" r="70485" b="57150"/>
                <wp:wrapNone/>
                <wp:docPr id="25" name="直接箭头连接符 25"/>
                <wp:cNvGraphicFramePr/>
                <a:graphic xmlns:a="http://schemas.openxmlformats.org/drawingml/2006/main">
                  <a:graphicData uri="http://schemas.microsoft.com/office/word/2010/wordprocessingShape">
                    <wps:wsp>
                      <wps:cNvCnPr>
                        <a:cxnSpLocks noChangeShapeType="1"/>
                      </wps:cNvCnPr>
                      <wps:spPr bwMode="auto">
                        <a:xfrm flipV="1">
                          <a:off x="0" y="0"/>
                          <a:ext cx="2348865" cy="2228850"/>
                        </a:xfrm>
                        <a:prstGeom prst="straightConnector1">
                          <a:avLst/>
                        </a:prstGeom>
                        <a:noFill/>
                        <a:ln w="15875">
                          <a:solidFill>
                            <a:srgbClr val="FF0000"/>
                          </a:solidFill>
                          <a:prstDash val="dash"/>
                          <a:round/>
                          <a:headEnd type="arrow" w="med" len="med"/>
                          <a:tailEnd type="arrow" w="med" len="med"/>
                        </a:ln>
                      </wps:spPr>
                      <wps:bodyPr/>
                    </wps:wsp>
                  </a:graphicData>
                </a:graphic>
              </wp:anchor>
            </w:drawing>
          </mc:Choice>
          <mc:Fallback>
            <w:pict>
              <v:shape id="_x0000_s1026" o:spid="_x0000_s1026" o:spt="32" type="#_x0000_t32" style="position:absolute;left:0pt;flip:y;margin-left:82.1pt;margin-top:8.6pt;height:175.5pt;width:184.95pt;z-index:251668480;mso-width-relative:page;mso-height-relative:page;" filled="f" stroked="t" coordsize="21600,21600" o:gfxdata="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KgJPfYAAAACgEAAA8AAAAAAAAAAQAgAAAAIgAAAGRycy9kb3ducmV2LnhtbFBL&#10;AQIUABQAAAAIAIdO4kAI0cKhLwIAAD8EAAAOAAAAAAAAAAEAIAAAACcBAABkcnMvZTJvRG9jLnht&#10;bFBLBQYAAAAABgAGAFkBAADIBQAAAAA=&#10;">
                <v:fill on="f" focussize="0,0"/>
                <v:stroke weight="1.25pt" color="#FF0000" joinstyle="round" dashstyle="dash" startarrow="open" endarrow="open"/>
                <v:imagedata o:title=""/>
                <o:lock v:ext="edit" aspectratio="f"/>
              </v:shape>
            </w:pict>
          </mc:Fallback>
        </mc:AlternateContent>
      </w:r>
      <w:r>
        <w:rPr>
          <w:rFonts w:ascii="Times New Roman" w:hAnsi="Times New Roman" w:eastAsiaTheme="minorEastAsia"/>
          <w:spacing w:val="4"/>
          <w:kern w:val="0"/>
          <w:sz w:val="28"/>
          <w:szCs w:val="28"/>
        </w:rPr>
        <mc:AlternateContent>
          <mc:Choice Requires="wps">
            <w:drawing>
              <wp:anchor distT="0" distB="0" distL="114300" distR="114300" simplePos="0" relativeHeight="251673600" behindDoc="0" locked="0" layoutInCell="1" allowOverlap="1">
                <wp:simplePos x="0" y="0"/>
                <wp:positionH relativeFrom="column">
                  <wp:posOffset>2922270</wp:posOffset>
                </wp:positionH>
                <wp:positionV relativeFrom="paragraph">
                  <wp:posOffset>3401060</wp:posOffset>
                </wp:positionV>
                <wp:extent cx="730250" cy="293370"/>
                <wp:effectExtent l="0" t="0" r="12700" b="11430"/>
                <wp:wrapNone/>
                <wp:docPr id="19" name="矩形 19"/>
                <wp:cNvGraphicFramePr/>
                <a:graphic xmlns:a="http://schemas.openxmlformats.org/drawingml/2006/main">
                  <a:graphicData uri="http://schemas.microsoft.com/office/word/2010/wordprocessingShape">
                    <wps:wsp>
                      <wps:cNvSpPr>
                        <a:spLocks noChangeArrowheads="1"/>
                      </wps:cNvSpPr>
                      <wps:spPr bwMode="auto">
                        <a:xfrm>
                          <a:off x="0" y="0"/>
                          <a:ext cx="730250" cy="293370"/>
                        </a:xfrm>
                        <a:prstGeom prst="rect">
                          <a:avLst/>
                        </a:prstGeom>
                        <a:solidFill>
                          <a:srgbClr val="FFFFFF"/>
                        </a:solidFill>
                        <a:ln w="9525">
                          <a:solidFill>
                            <a:srgbClr val="FF0000"/>
                          </a:solidFill>
                          <a:miter lim="800000"/>
                        </a:ln>
                      </wps:spPr>
                      <wps:txbx>
                        <w:txbxContent>
                          <w:p>
                            <w:pPr>
                              <w:adjustRightInd w:val="0"/>
                              <w:snapToGrid w:val="0"/>
                            </w:pPr>
                            <w:r>
                              <w:rPr>
                                <w:rFonts w:hint="eastAsia"/>
                              </w:rPr>
                              <w:t>已建罐区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0.1pt;margin-top:267.8pt;height:23.1pt;width:57.5pt;z-index:251673600;mso-width-relative:page;mso-height-relative:page;" fillcolor="#FFFFFF" filled="t" stroked="t" coordsize="21600,21600" o:gfxdata="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WYaX2AAAAAsBAAAPAAAAAAAAAAEAIAAAACIAAABkcnMv&#10;ZG93bnJldi54bWxQSwECFAAUAAAACACHTuJArCIEdTwCAAB7BAAADgAAAAAAAAABACAAAAAnAQAA&#10;ZHJzL2Uyb0RvYy54bWxQSwUGAAAAAAYABgBZAQAA1QUAAAAA&#10;">
                <v:fill on="t" focussize="0,0"/>
                <v:stroke color="#FF0000" miterlimit="8" joinstyle="miter"/>
                <v:imagedata o:title=""/>
                <o:lock v:ext="edit" aspectratio="f"/>
                <v:textbox>
                  <w:txbxContent>
                    <w:p>
                      <w:pPr>
                        <w:adjustRightInd w:val="0"/>
                        <w:snapToGrid w:val="0"/>
                      </w:pPr>
                      <w:r>
                        <w:rPr>
                          <w:rFonts w:hint="eastAsia"/>
                        </w:rPr>
                        <w:t>已建罐区</w:t>
                      </w:r>
                    </w:p>
                  </w:txbxContent>
                </v:textbox>
              </v:rect>
            </w:pict>
          </mc:Fallback>
        </mc:AlternateContent>
      </w:r>
      <w:r>
        <w:rPr>
          <w:rFonts w:ascii="Times New Roman" w:hAnsi="Times New Roman" w:eastAsiaTheme="minorEastAsia"/>
          <w:spacing w:val="4"/>
          <w:kern w:val="0"/>
          <w:sz w:val="28"/>
          <w:szCs w:val="28"/>
        </w:rPr>
        <mc:AlternateContent>
          <mc:Choice Requires="wps">
            <w:drawing>
              <wp:anchor distT="0" distB="0" distL="114300" distR="114300" simplePos="0" relativeHeight="251669504" behindDoc="0" locked="0" layoutInCell="1" allowOverlap="1">
                <wp:simplePos x="0" y="0"/>
                <wp:positionH relativeFrom="column">
                  <wp:posOffset>1636395</wp:posOffset>
                </wp:positionH>
                <wp:positionV relativeFrom="paragraph">
                  <wp:posOffset>4231640</wp:posOffset>
                </wp:positionV>
                <wp:extent cx="1068705" cy="249555"/>
                <wp:effectExtent l="323850" t="495300" r="17145" b="17145"/>
                <wp:wrapNone/>
                <wp:docPr id="28" name="线形标注 2 28"/>
                <wp:cNvGraphicFramePr/>
                <a:graphic xmlns:a="http://schemas.openxmlformats.org/drawingml/2006/main">
                  <a:graphicData uri="http://schemas.microsoft.com/office/word/2010/wordprocessingShape">
                    <wps:wsp>
                      <wps:cNvSpPr/>
                      <wps:spPr bwMode="auto">
                        <a:xfrm>
                          <a:off x="0" y="0"/>
                          <a:ext cx="1068705" cy="249555"/>
                        </a:xfrm>
                        <a:prstGeom prst="borderCallout2">
                          <a:avLst>
                            <a:gd name="adj1" fmla="val 45801"/>
                            <a:gd name="adj2" fmla="val -7130"/>
                            <a:gd name="adj3" fmla="val 45801"/>
                            <a:gd name="adj4" fmla="val -18597"/>
                            <a:gd name="adj5" fmla="val -196440"/>
                            <a:gd name="adj6" fmla="val -30185"/>
                          </a:avLst>
                        </a:prstGeom>
                        <a:solidFill>
                          <a:srgbClr val="FFFFFF"/>
                        </a:solidFill>
                        <a:ln w="9525">
                          <a:solidFill>
                            <a:srgbClr val="FF0000"/>
                          </a:solidFill>
                          <a:miter lim="800000"/>
                        </a:ln>
                      </wps:spPr>
                      <wps:txbx>
                        <w:txbxContent>
                          <w:p>
                            <w:pPr>
                              <w:adjustRightInd w:val="0"/>
                              <w:snapToGrid w:val="0"/>
                            </w:pPr>
                            <w:r>
                              <w:rPr>
                                <w:rFonts w:hint="eastAsia"/>
                              </w:rPr>
                              <w:t>长炼取水码头</w:t>
                            </w:r>
                          </w:p>
                        </w:txbxContent>
                      </wps:txbx>
                      <wps:bodyPr rot="0" vert="horz" wrap="square" lIns="91440" tIns="45720" rIns="91440" bIns="45720" anchor="t" anchorCtr="0" upright="1">
                        <a:noAutofit/>
                      </wps:bodyPr>
                    </wps:wsp>
                  </a:graphicData>
                </a:graphic>
              </wp:anchor>
            </w:drawing>
          </mc:Choice>
          <mc:Fallback>
            <w:pict>
              <v:shape id="_x0000_s1026" o:spid="_x0000_s1026" o:spt="48" type="#_x0000_t48" style="position:absolute;left:0pt;margin-left:128.85pt;margin-top:333.2pt;height:19.65pt;width:84.15pt;z-index:251669504;mso-width-relative:page;mso-height-relative:page;" fillcolor="#FFFFFF" filled="t" stroked="t" coordsize="21600,21600" o:gfxdata="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vE4QtsAAAALAQAADwAAAAAAAAAB&#10;ACAAAAAiAAAAZHJzL2Rvd25yZXYueG1sUEsBAhQAFAAAAAgAh07iQO0LFbt/AgAAQwUAAA4AAAAA&#10;AAAAAQAgAAAAKgEAAGRycy9lMm9Eb2MueG1sUEsFBgAAAAAGAAYAWQEAABsGAAAAAA==&#10;" adj="-6520,-42431,-4017,9893,-1540,9893">
                <v:fill on="t" focussize="0,0"/>
                <v:stroke color="#FF0000" miterlimit="8" joinstyle="miter"/>
                <v:imagedata o:title=""/>
                <o:lock v:ext="edit" aspectratio="f"/>
                <v:textbox>
                  <w:txbxContent>
                    <w:p>
                      <w:pPr>
                        <w:adjustRightInd w:val="0"/>
                        <w:snapToGrid w:val="0"/>
                      </w:pPr>
                      <w:r>
                        <w:rPr>
                          <w:rFonts w:hint="eastAsia"/>
                        </w:rPr>
                        <w:t>长炼取水码头</w:t>
                      </w:r>
                    </w:p>
                  </w:txbxContent>
                </v:textbox>
              </v:shape>
            </w:pict>
          </mc:Fallback>
        </mc:AlternateContent>
      </w:r>
      <w:r>
        <w:rPr>
          <w:rFonts w:ascii="Times New Roman" w:hAnsi="Times New Roman" w:eastAsiaTheme="minorEastAsia"/>
          <w:spacing w:val="4"/>
          <w:kern w:val="0"/>
          <w:sz w:val="28"/>
          <w:szCs w:val="28"/>
        </w:rPr>
        <mc:AlternateContent>
          <mc:Choice Requires="wps">
            <w:drawing>
              <wp:anchor distT="0" distB="0" distL="114300" distR="114300" simplePos="0" relativeHeight="251670528" behindDoc="0" locked="0" layoutInCell="1" allowOverlap="1">
                <wp:simplePos x="0" y="0"/>
                <wp:positionH relativeFrom="column">
                  <wp:posOffset>1924050</wp:posOffset>
                </wp:positionH>
                <wp:positionV relativeFrom="paragraph">
                  <wp:posOffset>3805555</wp:posOffset>
                </wp:positionV>
                <wp:extent cx="1130935" cy="249555"/>
                <wp:effectExtent l="438150" t="266700" r="12065" b="17145"/>
                <wp:wrapNone/>
                <wp:docPr id="15" name="线形标注 2 15"/>
                <wp:cNvGraphicFramePr/>
                <a:graphic xmlns:a="http://schemas.openxmlformats.org/drawingml/2006/main">
                  <a:graphicData uri="http://schemas.microsoft.com/office/word/2010/wordprocessingShape">
                    <wps:wsp>
                      <wps:cNvSpPr/>
                      <wps:spPr bwMode="auto">
                        <a:xfrm>
                          <a:off x="0" y="0"/>
                          <a:ext cx="1130935" cy="249555"/>
                        </a:xfrm>
                        <a:prstGeom prst="borderCallout2">
                          <a:avLst>
                            <a:gd name="adj1" fmla="val 45801"/>
                            <a:gd name="adj2" fmla="val -6736"/>
                            <a:gd name="adj3" fmla="val 45801"/>
                            <a:gd name="adj4" fmla="val -22120"/>
                            <a:gd name="adj5" fmla="val -104069"/>
                            <a:gd name="adj6" fmla="val -37676"/>
                          </a:avLst>
                        </a:prstGeom>
                        <a:solidFill>
                          <a:srgbClr val="FFFFFF"/>
                        </a:solidFill>
                        <a:ln w="9525">
                          <a:solidFill>
                            <a:srgbClr val="FF0000"/>
                          </a:solidFill>
                          <a:miter lim="800000"/>
                        </a:ln>
                      </wps:spPr>
                      <wps:txbx>
                        <w:txbxContent>
                          <w:p>
                            <w:pPr>
                              <w:adjustRightInd w:val="0"/>
                              <w:snapToGrid w:val="0"/>
                            </w:pPr>
                            <w:r>
                              <w:rPr>
                                <w:rFonts w:hint="eastAsia"/>
                              </w:rPr>
                              <w:t>城港工作船码头头</w:t>
                            </w:r>
                          </w:p>
                        </w:txbxContent>
                      </wps:txbx>
                      <wps:bodyPr rot="0" vert="horz" wrap="square" lIns="91440" tIns="45720" rIns="91440" bIns="45720" anchor="t" anchorCtr="0" upright="1">
                        <a:noAutofit/>
                      </wps:bodyPr>
                    </wps:wsp>
                  </a:graphicData>
                </a:graphic>
              </wp:anchor>
            </w:drawing>
          </mc:Choice>
          <mc:Fallback>
            <w:pict>
              <v:shape id="_x0000_s1026" o:spid="_x0000_s1026" o:spt="48" type="#_x0000_t48" style="position:absolute;left:0pt;margin-left:151.5pt;margin-top:299.65pt;height:19.65pt;width:89.05pt;z-index:251670528;mso-width-relative:page;mso-height-relative:page;" fillcolor="#FFFFFF" filled="t" stroked="t" coordsize="21600,21600" o:gfxdata="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NRsOB1wAAAAsBAAAPAAAAAAAAAAEA&#10;IAAAACIAAABkcnMvZG93bnJldi54bWxQSwECFAAUAAAACACHTuJAG9GZCIICAABDBQAADgAAAAAA&#10;AAABACAAAAAmAQAAZHJzL2Uyb0RvYy54bWxQSwUGAAAAAAYABgBZAQAAGgYAAAAA&#10;" adj="-8138,-22479,-4778,9893,-1455,9893">
                <v:fill on="t" focussize="0,0"/>
                <v:stroke color="#FF0000" miterlimit="8" joinstyle="miter"/>
                <v:imagedata o:title=""/>
                <o:lock v:ext="edit" aspectratio="f"/>
                <v:textbox>
                  <w:txbxContent>
                    <w:p>
                      <w:pPr>
                        <w:adjustRightInd w:val="0"/>
                        <w:snapToGrid w:val="0"/>
                      </w:pPr>
                      <w:r>
                        <w:rPr>
                          <w:rFonts w:hint="eastAsia"/>
                        </w:rPr>
                        <w:t>城港工作船码头头</w:t>
                      </w:r>
                    </w:p>
                  </w:txbxContent>
                </v:textbox>
              </v:shape>
            </w:pict>
          </mc:Fallback>
        </mc:AlternateContent>
      </w:r>
      <w:r>
        <w:rPr>
          <w:rFonts w:ascii="Times New Roman" w:hAnsi="Times New Roman" w:eastAsiaTheme="minorEastAsia"/>
          <w:spacing w:val="4"/>
          <w:kern w:val="0"/>
          <w:sz w:val="28"/>
          <w:szCs w:val="28"/>
        </w:rPr>
        <mc:AlternateContent>
          <mc:Choice Requires="wps">
            <w:drawing>
              <wp:anchor distT="0" distB="0" distL="114300" distR="114300" simplePos="0" relativeHeight="251672576" behindDoc="0" locked="0" layoutInCell="1" allowOverlap="1">
                <wp:simplePos x="0" y="0"/>
                <wp:positionH relativeFrom="column">
                  <wp:posOffset>669925</wp:posOffset>
                </wp:positionH>
                <wp:positionV relativeFrom="paragraph">
                  <wp:posOffset>879475</wp:posOffset>
                </wp:positionV>
                <wp:extent cx="2188210" cy="238760"/>
                <wp:effectExtent l="0" t="0" r="21590" b="27940"/>
                <wp:wrapNone/>
                <wp:docPr id="24" name="矩形 24"/>
                <wp:cNvGraphicFramePr/>
                <a:graphic xmlns:a="http://schemas.openxmlformats.org/drawingml/2006/main">
                  <a:graphicData uri="http://schemas.microsoft.com/office/word/2010/wordprocessingShape">
                    <wps:wsp>
                      <wps:cNvSpPr>
                        <a:spLocks noChangeArrowheads="1"/>
                      </wps:cNvSpPr>
                      <wps:spPr bwMode="auto">
                        <a:xfrm>
                          <a:off x="0" y="0"/>
                          <a:ext cx="2188210" cy="238760"/>
                        </a:xfrm>
                        <a:prstGeom prst="rect">
                          <a:avLst/>
                        </a:prstGeom>
                        <a:solidFill>
                          <a:srgbClr val="FFFFFF"/>
                        </a:solidFill>
                        <a:ln w="9525">
                          <a:solidFill>
                            <a:srgbClr val="FF0000"/>
                          </a:solidFill>
                          <a:miter lim="800000"/>
                        </a:ln>
                      </wps:spPr>
                      <wps:txbx>
                        <w:txbxContent>
                          <w:p>
                            <w:pPr>
                              <w:adjustRightInd w:val="0"/>
                              <w:snapToGrid w:val="0"/>
                            </w:pPr>
                            <w:r>
                              <w:rPr>
                                <w:rFonts w:hint="eastAsia"/>
                              </w:rPr>
                              <w:t>长岭炼化港口部码头岸线</w:t>
                            </w:r>
                            <w:r>
                              <w:t>135</w:t>
                            </w:r>
                            <w:r>
                              <w:rPr>
                                <w:rFonts w:hint="eastAsia"/>
                              </w:rPr>
                              <w:t>0m</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2.75pt;margin-top:69.25pt;height:18.8pt;width:172.3pt;z-index:251672576;mso-width-relative:page;mso-height-relative:page;" fillcolor="#FFFFFF" filled="t" stroked="t" coordsize="21600,21600" o:gfxdata="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ffPy1wAAAAsBAAAPAAAAAAAAAAEAIAAAACIAAABkcnMv&#10;ZG93bnJldi54bWxQSwECFAAUAAAACACHTuJAPWU7zz0CAAB8BAAADgAAAAAAAAABACAAAAAmAQAA&#10;ZHJzL2Uyb0RvYy54bWxQSwUGAAAAAAYABgBZAQAA1QUAAAAA&#10;">
                <v:fill on="t" focussize="0,0"/>
                <v:stroke color="#FF0000" miterlimit="8" joinstyle="miter"/>
                <v:imagedata o:title=""/>
                <o:lock v:ext="edit" aspectratio="f"/>
                <v:textbox>
                  <w:txbxContent>
                    <w:p>
                      <w:pPr>
                        <w:adjustRightInd w:val="0"/>
                        <w:snapToGrid w:val="0"/>
                      </w:pPr>
                      <w:r>
                        <w:rPr>
                          <w:rFonts w:hint="eastAsia"/>
                        </w:rPr>
                        <w:t>长岭炼化港口部码头岸线</w:t>
                      </w:r>
                      <w:r>
                        <w:t>135</w:t>
                      </w:r>
                      <w:r>
                        <w:rPr>
                          <w:rFonts w:hint="eastAsia"/>
                        </w:rPr>
                        <w:t>0m</w:t>
                      </w:r>
                    </w:p>
                  </w:txbxContent>
                </v:textbox>
              </v:rect>
            </w:pict>
          </mc:Fallback>
        </mc:AlternateContent>
      </w:r>
      <w:r>
        <w:rPr>
          <w:rFonts w:ascii="Times New Roman" w:hAnsi="Times New Roman" w:eastAsiaTheme="minorEastAsia"/>
          <w:spacing w:val="4"/>
          <w:kern w:val="0"/>
          <w:sz w:val="28"/>
          <w:szCs w:val="28"/>
        </w:rPr>
        <mc:AlternateContent>
          <mc:Choice Requires="wps">
            <w:drawing>
              <wp:anchor distT="0" distB="0" distL="114300" distR="114300" simplePos="0" relativeHeight="251671552" behindDoc="0" locked="0" layoutInCell="1" allowOverlap="1">
                <wp:simplePos x="0" y="0"/>
                <wp:positionH relativeFrom="column">
                  <wp:posOffset>483870</wp:posOffset>
                </wp:positionH>
                <wp:positionV relativeFrom="paragraph">
                  <wp:posOffset>1985010</wp:posOffset>
                </wp:positionV>
                <wp:extent cx="1130935" cy="249555"/>
                <wp:effectExtent l="0" t="0" r="393065" b="264795"/>
                <wp:wrapNone/>
                <wp:docPr id="26" name="线形标注 2 26"/>
                <wp:cNvGraphicFramePr/>
                <a:graphic xmlns:a="http://schemas.openxmlformats.org/drawingml/2006/main">
                  <a:graphicData uri="http://schemas.microsoft.com/office/word/2010/wordprocessingShape">
                    <wps:wsp>
                      <wps:cNvSpPr/>
                      <wps:spPr bwMode="auto">
                        <a:xfrm>
                          <a:off x="0" y="0"/>
                          <a:ext cx="1130935" cy="249555"/>
                        </a:xfrm>
                        <a:prstGeom prst="borderCallout2">
                          <a:avLst>
                            <a:gd name="adj1" fmla="val 45801"/>
                            <a:gd name="adj2" fmla="val 106736"/>
                            <a:gd name="adj3" fmla="val 45801"/>
                            <a:gd name="adj4" fmla="val 120046"/>
                            <a:gd name="adj5" fmla="val 201782"/>
                            <a:gd name="adj6" fmla="val 133463"/>
                          </a:avLst>
                        </a:prstGeom>
                        <a:solidFill>
                          <a:srgbClr val="FFFFFF"/>
                        </a:solidFill>
                        <a:ln w="9525">
                          <a:solidFill>
                            <a:srgbClr val="FF0000"/>
                          </a:solidFill>
                          <a:miter lim="800000"/>
                        </a:ln>
                      </wps:spPr>
                      <wps:txbx>
                        <w:txbxContent>
                          <w:p>
                            <w:pPr>
                              <w:adjustRightInd w:val="0"/>
                              <w:snapToGrid w:val="0"/>
                            </w:pPr>
                            <w:r>
                              <w:rPr>
                                <w:rFonts w:hint="eastAsia"/>
                              </w:rPr>
                              <w:t>砂窝白云石码头头</w:t>
                            </w:r>
                          </w:p>
                        </w:txbxContent>
                      </wps:txbx>
                      <wps:bodyPr rot="0" vert="horz" wrap="square" lIns="91440" tIns="45720" rIns="91440" bIns="45720" anchor="t" anchorCtr="0" upright="1">
                        <a:noAutofit/>
                      </wps:bodyPr>
                    </wps:wsp>
                  </a:graphicData>
                </a:graphic>
              </wp:anchor>
            </w:drawing>
          </mc:Choice>
          <mc:Fallback>
            <w:pict>
              <v:shape id="_x0000_s1026" o:spid="_x0000_s1026" o:spt="48" type="#_x0000_t48" style="position:absolute;left:0pt;margin-left:38.1pt;margin-top:156.3pt;height:19.65pt;width:89.05pt;z-index:251671552;mso-width-relative:page;mso-height-relative:page;" fillcolor="#FFFFFF" filled="t" stroked="t" coordsize="21600,21600" o:gfxdata="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7aQGNkAAAAKAQAADwAAAAAAAAAB&#10;ACAAAAAiAAAAZHJzL2Rvd25yZXYueG1sUEsBAhQAFAAAAAgAh07iQL0iPO6BAgAAQwUAAA4AAAAA&#10;AAAAAQAgAAAAKAEAAGRycy9lMm9Eb2MueG1sUEsFBgAAAAAGAAYAWQEAABsGAAAAAA==&#10;" adj="28828,43585,25930,9893,23055,9893">
                <v:fill on="t" focussize="0,0"/>
                <v:stroke color="#FF0000" miterlimit="8" joinstyle="miter"/>
                <v:imagedata o:title=""/>
                <o:lock v:ext="edit" aspectratio="f"/>
                <v:textbox>
                  <w:txbxContent>
                    <w:p>
                      <w:pPr>
                        <w:adjustRightInd w:val="0"/>
                        <w:snapToGrid w:val="0"/>
                      </w:pPr>
                      <w:r>
                        <w:rPr>
                          <w:rFonts w:hint="eastAsia"/>
                        </w:rPr>
                        <w:t>砂窝白云石码头头</w:t>
                      </w:r>
                    </w:p>
                  </w:txbxContent>
                </v:textbox>
              </v:shape>
            </w:pict>
          </mc:Fallback>
        </mc:AlternateContent>
      </w:r>
      <w:r>
        <w:rPr>
          <w:rFonts w:ascii="Times New Roman" w:hAnsi="Times New Roman" w:eastAsiaTheme="minorEastAsia"/>
          <w:spacing w:val="4"/>
          <w:kern w:val="0"/>
          <w:sz w:val="28"/>
          <w:szCs w:val="28"/>
        </w:rPr>
        <w:drawing>
          <wp:inline distT="0" distB="0" distL="0" distR="0">
            <wp:extent cx="5153025" cy="4505325"/>
            <wp:effectExtent l="0" t="0" r="9525" b="9525"/>
            <wp:docPr id="14" name="图片 14" descr="D:\2018\长岭炼化\C-报告汇编\20180726 实施方案\图纸\码头现状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18\长岭炼化\C-报告汇编\20180726 实施方案\图纸\码头现状图1.jpg"/>
                    <pic:cNvPicPr>
                      <a:picLocks noChangeAspect="1" noChangeArrowheads="1"/>
                    </pic:cNvPicPr>
                  </pic:nvPicPr>
                  <pic:blipFill>
                    <a:blip r:embed="rId24">
                      <a:extLst>
                        <a:ext uri="{28A0092B-C50C-407E-A947-70E740481C1C}">
                          <a14:useLocalDpi xmlns:a14="http://schemas.microsoft.com/office/drawing/2010/main" val="0"/>
                        </a:ext>
                      </a:extLst>
                    </a:blip>
                    <a:srcRect l="-2" r="30351" b="4974"/>
                    <a:stretch>
                      <a:fillRect/>
                    </a:stretch>
                  </pic:blipFill>
                  <pic:spPr>
                    <a:xfrm>
                      <a:off x="0" y="0"/>
                      <a:ext cx="5153025" cy="4505325"/>
                    </a:xfrm>
                    <a:prstGeom prst="rect">
                      <a:avLst/>
                    </a:prstGeom>
                    <a:noFill/>
                    <a:ln>
                      <a:noFill/>
                    </a:ln>
                  </pic:spPr>
                </pic:pic>
              </a:graphicData>
            </a:graphic>
          </wp:inline>
        </w:drawing>
      </w:r>
    </w:p>
    <w:p>
      <w:pPr>
        <w:adjustRightInd w:val="0"/>
        <w:snapToGrid w:val="0"/>
        <w:ind w:firstLine="482" w:firstLineChars="200"/>
        <w:jc w:val="center"/>
        <w:rPr>
          <w:rFonts w:ascii="Times New Roman" w:hAnsi="Times New Roman" w:eastAsiaTheme="minorEastAsia"/>
          <w:b/>
          <w:kern w:val="0"/>
          <w:sz w:val="24"/>
          <w:szCs w:val="22"/>
          <w:lang w:val="zh-CN"/>
        </w:rPr>
      </w:pPr>
      <w:r>
        <w:rPr>
          <w:rFonts w:ascii="Times New Roman" w:hAnsi="Times New Roman" w:eastAsiaTheme="minorEastAsia"/>
          <w:b/>
          <w:kern w:val="0"/>
          <w:sz w:val="24"/>
          <w:szCs w:val="22"/>
          <w:lang w:val="zh-CN"/>
        </w:rPr>
        <w:t>图3.1-1  码头周边环境</w:t>
      </w:r>
    </w:p>
    <w:p>
      <w:pPr>
        <w:spacing w:line="240" w:lineRule="atLeast"/>
        <w:jc w:val="center"/>
        <w:rPr>
          <w:rFonts w:ascii="Times New Roman" w:hAnsi="Times New Roman" w:eastAsiaTheme="minorEastAsia"/>
          <w:spacing w:val="4"/>
          <w:kern w:val="0"/>
          <w:sz w:val="28"/>
          <w:szCs w:val="28"/>
        </w:rPr>
      </w:pPr>
      <w:r>
        <w:rPr>
          <w:rFonts w:ascii="Times New Roman" w:hAnsi="Times New Roman" w:eastAsiaTheme="minorEastAsia"/>
          <w:spacing w:val="4"/>
          <w:kern w:val="0"/>
          <w:sz w:val="28"/>
          <w:szCs w:val="28"/>
        </w:rPr>
        <w:drawing>
          <wp:inline distT="0" distB="0" distL="0" distR="0">
            <wp:extent cx="5267325" cy="2390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7325" cy="2390775"/>
                    </a:xfrm>
                    <a:prstGeom prst="rect">
                      <a:avLst/>
                    </a:prstGeom>
                    <a:noFill/>
                    <a:ln>
                      <a:noFill/>
                    </a:ln>
                  </pic:spPr>
                </pic:pic>
              </a:graphicData>
            </a:graphic>
          </wp:inline>
        </w:drawing>
      </w:r>
    </w:p>
    <w:p>
      <w:pPr>
        <w:adjustRightInd w:val="0"/>
        <w:snapToGrid w:val="0"/>
        <w:spacing w:line="360" w:lineRule="auto"/>
        <w:ind w:firstLine="482" w:firstLineChars="200"/>
        <w:jc w:val="center"/>
        <w:rPr>
          <w:rFonts w:ascii="Times New Roman" w:hAnsi="Times New Roman" w:eastAsiaTheme="minorEastAsia"/>
          <w:b/>
          <w:kern w:val="0"/>
          <w:sz w:val="24"/>
          <w:szCs w:val="22"/>
          <w:lang w:val="zh-CN"/>
        </w:rPr>
      </w:pPr>
      <w:r>
        <w:rPr>
          <w:rFonts w:ascii="Times New Roman" w:hAnsi="Times New Roman" w:eastAsiaTheme="minorEastAsia"/>
          <w:b/>
          <w:kern w:val="0"/>
          <w:sz w:val="24"/>
          <w:szCs w:val="22"/>
          <w:lang w:val="zh-CN"/>
        </w:rPr>
        <w:t>图3.1-2  码头区卫星图</w:t>
      </w:r>
    </w:p>
    <w:p>
      <w:pPr>
        <w:pStyle w:val="4"/>
        <w:rPr>
          <w:rFonts w:eastAsiaTheme="minorEastAsia"/>
        </w:rPr>
      </w:pPr>
      <w:r>
        <w:rPr>
          <w:rFonts w:eastAsiaTheme="minorEastAsia"/>
        </w:rPr>
        <w:t>现有工程组成及布置</w:t>
      </w:r>
    </w:p>
    <w:p>
      <w:pPr>
        <w:adjustRightInd w:val="0"/>
        <w:snapToGrid w:val="0"/>
        <w:spacing w:line="360" w:lineRule="auto"/>
        <w:ind w:firstLine="482" w:firstLineChars="200"/>
        <w:rPr>
          <w:rFonts w:ascii="Times New Roman" w:hAnsi="Times New Roman" w:eastAsiaTheme="minorEastAsia"/>
          <w:b/>
          <w:sz w:val="24"/>
          <w:szCs w:val="24"/>
        </w:rPr>
      </w:pPr>
      <w:r>
        <w:rPr>
          <w:rFonts w:hint="eastAsia" w:ascii="Times New Roman" w:hAnsi="Times New Roman" w:eastAsiaTheme="minorEastAsia"/>
          <w:b/>
          <w:sz w:val="24"/>
          <w:szCs w:val="24"/>
        </w:rPr>
        <w:t>1、</w:t>
      </w:r>
      <w:r>
        <w:rPr>
          <w:rFonts w:ascii="Times New Roman" w:hAnsi="Times New Roman" w:eastAsiaTheme="minorEastAsia"/>
          <w:b/>
          <w:sz w:val="24"/>
          <w:szCs w:val="24"/>
        </w:rPr>
        <w:t>工程建设情况</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原</w:t>
      </w:r>
      <w:r>
        <w:rPr>
          <w:rFonts w:ascii="Times New Roman" w:hAnsi="Times New Roman" w:eastAsiaTheme="minorEastAsia"/>
          <w:sz w:val="24"/>
          <w:szCs w:val="24"/>
        </w:rPr>
        <w:t>岸线总长度为1350m，自上游向下游依次布置1#工作船码头、2#~5#码头（8个危化品泊位），其中1#工作船码头占用岸线约150</w:t>
      </w:r>
      <w:r>
        <w:rPr>
          <w:rFonts w:hint="eastAsia" w:ascii="Times New Roman" w:hAnsi="Times New Roman" w:eastAsiaTheme="minorEastAsia"/>
          <w:sz w:val="24"/>
          <w:szCs w:val="24"/>
        </w:rPr>
        <w:t>m</w:t>
      </w:r>
      <w:r>
        <w:rPr>
          <w:rFonts w:ascii="Times New Roman" w:hAnsi="Times New Roman" w:eastAsiaTheme="minorEastAsia"/>
          <w:sz w:val="24"/>
          <w:szCs w:val="24"/>
        </w:rPr>
        <w:t>，2#</w:t>
      </w:r>
      <w:r>
        <w:rPr>
          <w:rFonts w:hint="eastAsia" w:ascii="Times New Roman" w:hAnsi="Times New Roman" w:eastAsiaTheme="minorEastAsia"/>
          <w:sz w:val="24"/>
          <w:szCs w:val="24"/>
        </w:rPr>
        <w:t>~</w:t>
      </w:r>
      <w:r>
        <w:rPr>
          <w:rFonts w:ascii="Times New Roman" w:hAnsi="Times New Roman" w:eastAsiaTheme="minorEastAsia"/>
          <w:sz w:val="24"/>
          <w:szCs w:val="24"/>
        </w:rPr>
        <w:t>5#危化品码头实际使用岸线约1200</w:t>
      </w:r>
      <w:r>
        <w:rPr>
          <w:rFonts w:hint="eastAsia" w:ascii="Times New Roman" w:hAnsi="Times New Roman" w:eastAsiaTheme="minorEastAsia"/>
          <w:sz w:val="24"/>
          <w:szCs w:val="24"/>
        </w:rPr>
        <w:t>m</w:t>
      </w:r>
      <w:r>
        <w:rPr>
          <w:rFonts w:ascii="Times New Roman" w:hAnsi="Times New Roman" w:eastAsiaTheme="minorEastAsia"/>
          <w:sz w:val="24"/>
          <w:szCs w:val="24"/>
        </w:rPr>
        <w:t>。岸线范围原设计5个码头和9个泊位，即1#工作船码头、2#~5#码头（8个危化品泊位）。经营范围为原油及成品油装卸，作业危险货物品名为液化石油气、乙酸甲酯、二甲苯、沥青、乙酸、乙酸仲丁酯、柴油、石脑油、甲基叔丁基醚、原油、甲基乙基酮。</w:t>
      </w:r>
      <w:r>
        <w:rPr>
          <w:rFonts w:hint="eastAsia" w:ascii="Times New Roman" w:hAnsi="Times New Roman" w:eastAsiaTheme="minorEastAsia"/>
          <w:sz w:val="24"/>
          <w:szCs w:val="24"/>
        </w:rPr>
        <w:t>2018年吞吐量</w:t>
      </w:r>
      <w:r>
        <w:rPr>
          <w:rFonts w:ascii="Times New Roman" w:hAnsi="Times New Roman" w:eastAsiaTheme="minorEastAsia"/>
          <w:sz w:val="24"/>
          <w:szCs w:val="24"/>
        </w:rPr>
        <w:t>约</w:t>
      </w:r>
      <w:r>
        <w:rPr>
          <w:rFonts w:hint="eastAsia" w:ascii="Times New Roman" w:hAnsi="Times New Roman" w:eastAsiaTheme="minorEastAsia"/>
          <w:sz w:val="24"/>
          <w:szCs w:val="24"/>
        </w:rPr>
        <w:t>211万</w:t>
      </w:r>
      <w:r>
        <w:rPr>
          <w:rFonts w:ascii="Times New Roman" w:hAnsi="Times New Roman" w:eastAsiaTheme="minorEastAsia"/>
          <w:sz w:val="24"/>
          <w:szCs w:val="24"/>
        </w:rPr>
        <w:t>吨</w:t>
      </w:r>
      <w:r>
        <w:rPr>
          <w:rFonts w:hint="eastAsia" w:ascii="Times New Roman" w:hAnsi="Times New Roman" w:eastAsiaTheme="minorEastAsia"/>
          <w:sz w:val="24"/>
          <w:szCs w:val="24"/>
        </w:rPr>
        <w:t>，</w:t>
      </w:r>
      <w:r>
        <w:rPr>
          <w:rFonts w:ascii="Times New Roman" w:hAnsi="Times New Roman" w:eastAsiaTheme="minorEastAsia"/>
          <w:sz w:val="24"/>
          <w:szCs w:val="24"/>
        </w:rPr>
        <w:t>船舶周转</w:t>
      </w:r>
      <w:r>
        <w:rPr>
          <w:rFonts w:hint="eastAsia" w:ascii="Times New Roman" w:hAnsi="Times New Roman" w:eastAsiaTheme="minorEastAsia"/>
          <w:sz w:val="24"/>
          <w:szCs w:val="24"/>
        </w:rPr>
        <w:t>792次</w:t>
      </w:r>
      <w:r>
        <w:rPr>
          <w:rFonts w:ascii="Times New Roman" w:hAnsi="Times New Roman" w:eastAsiaTheme="minorEastAsia"/>
          <w:sz w:val="24"/>
          <w:szCs w:val="24"/>
        </w:rPr>
        <w:t>。</w:t>
      </w:r>
    </w:p>
    <w:p>
      <w:pPr>
        <w:adjustRightInd w:val="0"/>
        <w:snapToGrid w:val="0"/>
        <w:spacing w:line="360" w:lineRule="auto"/>
        <w:ind w:firstLine="482" w:firstLineChars="200"/>
        <w:rPr>
          <w:rFonts w:ascii="Times New Roman" w:hAnsi="Times New Roman" w:eastAsiaTheme="minorEastAsia"/>
          <w:b/>
          <w:sz w:val="24"/>
          <w:szCs w:val="24"/>
        </w:rPr>
      </w:pPr>
      <w:r>
        <w:rPr>
          <w:rFonts w:hint="eastAsia" w:ascii="Times New Roman" w:hAnsi="Times New Roman" w:eastAsiaTheme="minorEastAsia"/>
          <w:b/>
          <w:sz w:val="24"/>
          <w:szCs w:val="24"/>
        </w:rPr>
        <w:t>2、</w:t>
      </w:r>
      <w:r>
        <w:rPr>
          <w:rFonts w:ascii="Times New Roman" w:hAnsi="Times New Roman" w:eastAsiaTheme="minorEastAsia"/>
          <w:b/>
          <w:sz w:val="24"/>
          <w:szCs w:val="24"/>
        </w:rPr>
        <w:t>环保设施</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主要环保设施有码头输油管线设置了紧急切断阀，废油收集装置</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通过专用管道输送到库区隔油池</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每座</w:t>
      </w:r>
      <w:r>
        <w:rPr>
          <w:rFonts w:ascii="Times New Roman" w:hAnsi="Times New Roman" w:eastAsiaTheme="minorEastAsia"/>
          <w:color w:val="000000" w:themeColor="text1"/>
          <w:sz w:val="24"/>
          <w:szCs w:val="24"/>
          <w14:textFill>
            <w14:solidFill>
              <w14:schemeClr w14:val="tx1"/>
            </w14:solidFill>
          </w14:textFill>
        </w:rPr>
        <w:t>趸船上设有生活污水处理器1台，处理能力5m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/天，专用污水泵1台；配备280m</w:t>
      </w:r>
      <w:r>
        <w:rPr>
          <w:rFonts w:hint="eastAsia" w:ascii="Times New Roman" w:hAnsi="Times New Roman" w:eastAsiaTheme="minorEastAsia"/>
          <w:color w:val="000000" w:themeColor="text1"/>
          <w:sz w:val="24"/>
          <w:szCs w:val="24"/>
          <w14:textFill>
            <w14:solidFill>
              <w14:schemeClr w14:val="tx1"/>
            </w14:solidFill>
          </w14:textFill>
        </w:rPr>
        <w:t>围</w:t>
      </w:r>
      <w:r>
        <w:rPr>
          <w:rFonts w:ascii="Times New Roman" w:hAnsi="Times New Roman" w:eastAsiaTheme="minorEastAsia"/>
          <w:color w:val="000000" w:themeColor="text1"/>
          <w:sz w:val="24"/>
          <w:szCs w:val="24"/>
          <w14:textFill>
            <w14:solidFill>
              <w14:schemeClr w14:val="tx1"/>
            </w14:solidFill>
          </w14:textFill>
        </w:rPr>
        <w:t>油栏，趸船上设有生活污水处理器收油机、吸油毡以及生活垃圾桶等设备。</w:t>
      </w:r>
    </w:p>
    <w:p>
      <w:pPr>
        <w:adjustRightInd w:val="0"/>
        <w:snapToGrid w:val="0"/>
        <w:spacing w:line="360" w:lineRule="auto"/>
        <w:ind w:firstLine="482" w:firstLineChars="200"/>
        <w:rPr>
          <w:rFonts w:ascii="Times New Roman" w:hAnsi="Times New Roman" w:eastAsiaTheme="minorEastAsia"/>
          <w:b/>
          <w:sz w:val="24"/>
          <w:szCs w:val="24"/>
        </w:rPr>
      </w:pPr>
      <w:r>
        <w:rPr>
          <w:rFonts w:hint="eastAsia" w:ascii="Times New Roman" w:hAnsi="Times New Roman" w:eastAsiaTheme="minorEastAsia"/>
          <w:b/>
          <w:sz w:val="24"/>
          <w:szCs w:val="24"/>
        </w:rPr>
        <w:t>3、</w:t>
      </w:r>
      <w:r>
        <w:rPr>
          <w:rFonts w:ascii="Times New Roman" w:hAnsi="Times New Roman" w:eastAsiaTheme="minorEastAsia"/>
          <w:b/>
          <w:sz w:val="24"/>
          <w:szCs w:val="24"/>
        </w:rPr>
        <w:t>消防设施</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长岭分公司港口部消防泵站现有消防泵2台，流量1180m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/h、扬程112m，消防泵从一级泵站出水管吸水。一级泵站4台供水泵参数：P-606、P-607流量1080m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/h、扬程58m；P-404流量1116 m</w:t>
      </w:r>
      <w:r>
        <w:rPr>
          <w:rFonts w:ascii="Times New Roman" w:hAnsi="Times New Roman" w:eastAsiaTheme="minorEastAsia"/>
          <w:sz w:val="24"/>
          <w:szCs w:val="24"/>
          <w:vertAlign w:val="superscript"/>
        </w:rPr>
        <w:t>3</w:t>
      </w:r>
      <w:r>
        <w:rPr>
          <w:rFonts w:ascii="Times New Roman" w:hAnsi="Times New Roman" w:eastAsiaTheme="minorEastAsia"/>
          <w:sz w:val="24"/>
          <w:szCs w:val="24"/>
        </w:rPr>
        <w:t>/h、扬程36m；P-405流量900m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/h、扬程36m。一级泵站出口干管为DN700。</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长岭分公司港口部已建有码头泡沫站，站内有平衡式泡沫比例混合装置2套，泡沫液罐20m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，混合液供给能力100L/s。油罐区泡沫站为平衡式泡沫比例混合装置，泡沫液罐20m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，混合液供给能力150L/s。</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消防泵站至码头已铺有1条DN250消防水线，该线可向码头输送高压消防冷却水，也可向码头泡沫站输送泡沫混合液配制用水，还可与油罐区泡沫站混合液出口管跨接直接向码头输送泡沫混合液。</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w:t>
      </w:r>
      <w:r>
        <w:rPr>
          <w:rFonts w:hint="eastAsia" w:ascii="Times New Roman" w:hAnsi="Times New Roman" w:eastAsiaTheme="minorEastAsia"/>
          <w:b/>
          <w:sz w:val="24"/>
          <w:szCs w:val="24"/>
        </w:rPr>
        <w:t>、</w:t>
      </w:r>
      <w:r>
        <w:rPr>
          <w:rFonts w:ascii="Times New Roman" w:hAnsi="Times New Roman" w:eastAsiaTheme="minorEastAsia"/>
          <w:b/>
          <w:sz w:val="24"/>
          <w:szCs w:val="24"/>
        </w:rPr>
        <w:t>供水</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码头区</w:t>
      </w:r>
      <w:r>
        <w:rPr>
          <w:rFonts w:hint="eastAsia" w:ascii="Times New Roman" w:hAnsi="Times New Roman" w:eastAsiaTheme="minorEastAsia"/>
          <w:sz w:val="24"/>
          <w:szCs w:val="24"/>
        </w:rPr>
        <w:t>定员70人</w:t>
      </w:r>
      <w:r>
        <w:rPr>
          <w:rFonts w:ascii="Times New Roman" w:hAnsi="Times New Roman" w:eastAsiaTheme="minorEastAsia"/>
          <w:sz w:val="24"/>
          <w:szCs w:val="24"/>
        </w:rPr>
        <w:t>，生活用水量为7m</w:t>
      </w:r>
      <w:r>
        <w:rPr>
          <w:rFonts w:ascii="Times New Roman" w:hAnsi="Times New Roman" w:eastAsiaTheme="minorEastAsia"/>
          <w:sz w:val="24"/>
          <w:szCs w:val="24"/>
          <w:vertAlign w:val="superscript"/>
        </w:rPr>
        <w:t>3</w:t>
      </w:r>
      <w:r>
        <w:rPr>
          <w:rFonts w:ascii="Times New Roman" w:hAnsi="Times New Roman" w:eastAsiaTheme="minorEastAsia"/>
          <w:sz w:val="24"/>
          <w:szCs w:val="24"/>
        </w:rPr>
        <w:t>/d</w:t>
      </w:r>
      <w:r>
        <w:rPr>
          <w:rFonts w:hint="eastAsia" w:ascii="Times New Roman" w:hAnsi="Times New Roman" w:eastAsiaTheme="minorEastAsia"/>
          <w:sz w:val="24"/>
          <w:szCs w:val="24"/>
        </w:rPr>
        <w:t>，</w:t>
      </w:r>
      <w:r>
        <w:rPr>
          <w:rFonts w:ascii="Times New Roman" w:hAnsi="Times New Roman" w:eastAsiaTheme="minorEastAsia"/>
          <w:sz w:val="24"/>
          <w:szCs w:val="24"/>
        </w:rPr>
        <w:t>给水由后方已建罐区提供</w:t>
      </w:r>
      <w:r>
        <w:rPr>
          <w:rFonts w:hint="eastAsia" w:ascii="Times New Roman" w:hAnsi="Times New Roman" w:eastAsiaTheme="minorEastAsia"/>
          <w:sz w:val="24"/>
          <w:szCs w:val="24"/>
        </w:rPr>
        <w:t>，</w:t>
      </w:r>
      <w:r>
        <w:rPr>
          <w:rFonts w:ascii="Times New Roman" w:hAnsi="Times New Roman" w:eastAsiaTheme="minorEastAsia"/>
          <w:sz w:val="24"/>
          <w:szCs w:val="24"/>
        </w:rPr>
        <w:t>现有1根DN150新鲜水管道从一级泵站走管架敷设至2#码头，供水压力0.35Mpa。</w:t>
      </w:r>
    </w:p>
    <w:p>
      <w:pPr>
        <w:adjustRightInd w:val="0"/>
        <w:snapToGrid w:val="0"/>
        <w:spacing w:line="360" w:lineRule="auto"/>
        <w:ind w:firstLine="482" w:firstLineChars="200"/>
        <w:rPr>
          <w:rFonts w:ascii="Times New Roman" w:hAnsi="Times New Roman" w:eastAsiaTheme="minorEastAsia"/>
          <w:b/>
          <w:sz w:val="24"/>
          <w:szCs w:val="24"/>
        </w:rPr>
      </w:pPr>
      <w:r>
        <w:rPr>
          <w:rFonts w:hint="eastAsia" w:ascii="Times New Roman" w:hAnsi="Times New Roman" w:eastAsiaTheme="minorEastAsia"/>
          <w:b/>
          <w:sz w:val="24"/>
          <w:szCs w:val="24"/>
        </w:rPr>
        <w:t>5、</w:t>
      </w:r>
      <w:r>
        <w:rPr>
          <w:rFonts w:ascii="Times New Roman" w:hAnsi="Times New Roman" w:eastAsiaTheme="minorEastAsia"/>
          <w:b/>
          <w:sz w:val="24"/>
          <w:szCs w:val="24"/>
        </w:rPr>
        <w:t>工艺设备</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主要的设备有：趸船、输油管线、油泵、计量系统、污油舱等。环保、劳动安全卫生、消防和档案。</w:t>
      </w:r>
    </w:p>
    <w:p>
      <w:pPr>
        <w:adjustRightInd w:val="0"/>
        <w:snapToGrid w:val="0"/>
        <w:spacing w:line="360" w:lineRule="auto"/>
        <w:ind w:firstLine="482" w:firstLineChars="200"/>
        <w:rPr>
          <w:rFonts w:ascii="Times New Roman" w:hAnsi="Times New Roman" w:eastAsiaTheme="minorEastAsia"/>
          <w:b/>
          <w:sz w:val="24"/>
          <w:szCs w:val="24"/>
        </w:rPr>
      </w:pPr>
      <w:r>
        <w:rPr>
          <w:rFonts w:hint="eastAsia" w:ascii="Times New Roman" w:hAnsi="Times New Roman" w:eastAsiaTheme="minorEastAsia"/>
          <w:b/>
          <w:sz w:val="24"/>
          <w:szCs w:val="24"/>
        </w:rPr>
        <w:t>6、</w:t>
      </w:r>
      <w:r>
        <w:rPr>
          <w:rFonts w:ascii="Times New Roman" w:hAnsi="Times New Roman" w:eastAsiaTheme="minorEastAsia"/>
          <w:b/>
          <w:sz w:val="24"/>
          <w:szCs w:val="24"/>
        </w:rPr>
        <w:t>工艺流程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主要工艺流程有：油品装船流程；油品卸船流程；吹扫及放空流程。以下是几种主</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要的装卸船流程：</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 xml:space="preserve">⑴ </w:t>
      </w:r>
      <w:r>
        <w:rPr>
          <w:rFonts w:ascii="Times New Roman" w:hAnsi="Times New Roman" w:eastAsiaTheme="minorEastAsia"/>
          <w:sz w:val="24"/>
          <w:szCs w:val="24"/>
        </w:rPr>
        <w:t>油品装船流程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库区储罐、管线→</w:t>
      </w:r>
      <w:r>
        <w:rPr>
          <w:rFonts w:hint="eastAsia" w:ascii="Times New Roman" w:hAnsi="Times New Roman" w:eastAsiaTheme="minorEastAsia"/>
          <w:sz w:val="24"/>
          <w:szCs w:val="24"/>
        </w:rPr>
        <w:t>（</w:t>
      </w:r>
      <w:r>
        <w:rPr>
          <w:rFonts w:ascii="Times New Roman" w:hAnsi="Times New Roman" w:eastAsiaTheme="minorEastAsia"/>
          <w:sz w:val="24"/>
          <w:szCs w:val="24"/>
        </w:rPr>
        <w:t>库区装船泵</w:t>
      </w:r>
      <w:r>
        <w:rPr>
          <w:rFonts w:hint="eastAsia" w:ascii="Times New Roman" w:hAnsi="Times New Roman" w:eastAsiaTheme="minorEastAsia"/>
          <w:sz w:val="24"/>
          <w:szCs w:val="24"/>
        </w:rPr>
        <w:t>）</w:t>
      </w:r>
      <w:r>
        <w:rPr>
          <w:rFonts w:ascii="Times New Roman" w:hAnsi="Times New Roman" w:eastAsiaTheme="minorEastAsia"/>
          <w:sz w:val="24"/>
          <w:szCs w:val="24"/>
        </w:rPr>
        <w:t>→码头工艺管线→码头计量系统→金属软管→油船</w:t>
      </w:r>
      <w:r>
        <w:rPr>
          <w:rFonts w:hint="eastAsia"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 xml:space="preserve">⑵ </w:t>
      </w:r>
      <w:r>
        <w:rPr>
          <w:rFonts w:ascii="Times New Roman" w:hAnsi="Times New Roman" w:eastAsiaTheme="minorEastAsia"/>
          <w:sz w:val="24"/>
          <w:szCs w:val="24"/>
        </w:rPr>
        <w:t>油品卸船流程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油船→金属软管→码头卸船泵→码头计量系统→码头工艺管线→库区管线、储罐</w:t>
      </w:r>
      <w:r>
        <w:rPr>
          <w:rFonts w:hint="eastAsia"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 xml:space="preserve">⑶ </w:t>
      </w:r>
      <w:r>
        <w:rPr>
          <w:rFonts w:ascii="Times New Roman" w:hAnsi="Times New Roman" w:eastAsiaTheme="minorEastAsia"/>
          <w:sz w:val="24"/>
          <w:szCs w:val="24"/>
        </w:rPr>
        <w:t>扫线流程</w:t>
      </w:r>
    </w:p>
    <w:p>
      <w:pPr>
        <w:adjustRightInd w:val="0"/>
        <w:snapToGrid w:val="0"/>
        <w:spacing w:line="360" w:lineRule="auto"/>
        <w:ind w:firstLine="480" w:firstLineChars="200"/>
        <w:rPr>
          <w:rFonts w:ascii="Times New Roman" w:hAnsi="Times New Roman" w:eastAsiaTheme="minorEastAsia"/>
          <w:color w:val="auto"/>
          <w:sz w:val="24"/>
          <w:szCs w:val="24"/>
        </w:rPr>
      </w:pPr>
      <w:r>
        <w:rPr>
          <w:rFonts w:ascii="Times New Roman" w:hAnsi="Times New Roman" w:eastAsiaTheme="minorEastAsia"/>
          <w:color w:val="auto"/>
          <w:sz w:val="24"/>
          <w:szCs w:val="24"/>
        </w:rPr>
        <w:t>每次装卸完毕，用水将金属软管中的残液扫入趸船污油舱后，方可拆卸金属软管。</w:t>
      </w:r>
    </w:p>
    <w:p>
      <w:pPr>
        <w:pStyle w:val="4"/>
        <w:rPr>
          <w:rFonts w:hint="default" w:eastAsiaTheme="minorEastAsia"/>
          <w:color w:val="auto"/>
          <w:lang w:val="en-US" w:eastAsia="zh-CN"/>
        </w:rPr>
      </w:pPr>
      <w:r>
        <w:rPr>
          <w:rFonts w:hint="eastAsia" w:eastAsiaTheme="minorEastAsia"/>
          <w:color w:val="auto"/>
          <w:lang w:val="en-US" w:eastAsia="zh-CN"/>
        </w:rPr>
        <w:t>现有罐区概况</w:t>
      </w:r>
    </w:p>
    <w:p>
      <w:pPr>
        <w:pStyle w:val="105"/>
        <w:tabs>
          <w:tab w:val="left" w:pos="900"/>
        </w:tabs>
        <w:adjustRightInd w:val="0"/>
        <w:snapToGrid w:val="0"/>
        <w:spacing w:line="360" w:lineRule="auto"/>
        <w:ind w:firstLine="480"/>
        <w:rPr>
          <w:rFonts w:hint="default" w:eastAsiaTheme="minorEastAsia"/>
          <w:color w:val="FF0000"/>
          <w:u w:val="single"/>
          <w:lang w:val="en-US" w:eastAsia="zh-CN"/>
        </w:rPr>
      </w:pPr>
      <w:r>
        <w:rPr>
          <w:rFonts w:hint="eastAsia" w:eastAsiaTheme="minorEastAsia"/>
          <w:color w:val="FF0000"/>
          <w:u w:val="single"/>
          <w:lang w:val="en-US" w:eastAsia="zh-CN"/>
        </w:rPr>
        <w:t>现有</w:t>
      </w:r>
      <w:r>
        <w:rPr>
          <w:rFonts w:eastAsiaTheme="minorEastAsia"/>
          <w:color w:val="FF0000"/>
          <w:u w:val="single"/>
        </w:rPr>
        <w:t>储罐区位于本码头的南侧，距离本码头约450m。罐区主要储存长岭分公司的原料及产品，对剩余的储罐能力进行出租，罐区所有储罐由长岭分公司经营并统一管理。</w:t>
      </w:r>
      <w:r>
        <w:rPr>
          <w:rFonts w:hint="eastAsia" w:eastAsiaTheme="minorEastAsia"/>
          <w:color w:val="FF0000"/>
          <w:u w:val="single"/>
          <w:lang w:val="en-US" w:eastAsia="zh-CN"/>
        </w:rPr>
        <w:t>现有罐区设置有油气回收装置，目前运行正常。</w:t>
      </w:r>
    </w:p>
    <w:p>
      <w:pPr>
        <w:pStyle w:val="105"/>
        <w:tabs>
          <w:tab w:val="left" w:pos="900"/>
        </w:tabs>
        <w:adjustRightInd w:val="0"/>
        <w:snapToGrid w:val="0"/>
        <w:spacing w:line="360" w:lineRule="auto"/>
        <w:ind w:firstLine="480"/>
        <w:rPr>
          <w:rFonts w:eastAsiaTheme="minorEastAsia"/>
          <w:color w:val="FF0000"/>
          <w:u w:val="single"/>
        </w:rPr>
      </w:pPr>
      <w:r>
        <w:rPr>
          <w:rFonts w:eastAsiaTheme="minorEastAsia"/>
          <w:color w:val="FF0000"/>
          <w:u w:val="single"/>
        </w:rPr>
        <w:t>罐区基本情况见下表。</w:t>
      </w:r>
    </w:p>
    <w:p>
      <w:pPr>
        <w:pStyle w:val="105"/>
        <w:tabs>
          <w:tab w:val="left" w:pos="900"/>
        </w:tabs>
        <w:adjustRightInd w:val="0"/>
        <w:snapToGrid w:val="0"/>
        <w:spacing w:line="276" w:lineRule="auto"/>
        <w:ind w:firstLine="0" w:firstLineChars="0"/>
        <w:jc w:val="center"/>
        <w:rPr>
          <w:rFonts w:eastAsiaTheme="minorEastAsia"/>
          <w:b/>
          <w:color w:val="FF0000"/>
        </w:rPr>
      </w:pPr>
      <w:r>
        <w:rPr>
          <w:rFonts w:eastAsiaTheme="minorEastAsia"/>
          <w:b/>
          <w:color w:val="FF0000"/>
        </w:rPr>
        <w:t>表3.</w:t>
      </w:r>
      <w:r>
        <w:rPr>
          <w:rFonts w:hint="eastAsia" w:eastAsiaTheme="minorEastAsia"/>
          <w:b/>
          <w:color w:val="FF0000"/>
          <w:lang w:val="en-US" w:eastAsia="zh-CN"/>
        </w:rPr>
        <w:t>1</w:t>
      </w:r>
      <w:r>
        <w:rPr>
          <w:rFonts w:eastAsiaTheme="minorEastAsia"/>
          <w:b/>
          <w:color w:val="FF0000"/>
        </w:rPr>
        <w:t>-</w:t>
      </w:r>
      <w:r>
        <w:rPr>
          <w:rFonts w:hint="eastAsia" w:eastAsiaTheme="minorEastAsia"/>
          <w:b/>
          <w:color w:val="FF0000"/>
          <w:lang w:val="en-US" w:eastAsia="zh-CN"/>
        </w:rPr>
        <w:t>1</w:t>
      </w:r>
      <w:r>
        <w:rPr>
          <w:rFonts w:eastAsiaTheme="minorEastAsia"/>
          <w:b/>
          <w:color w:val="FF0000"/>
        </w:rPr>
        <w:t xml:space="preserve">  储罐配置情况表</w:t>
      </w:r>
    </w:p>
    <w:tbl>
      <w:tblPr>
        <w:tblStyle w:val="71"/>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44"/>
        <w:gridCol w:w="1720"/>
        <w:gridCol w:w="1720"/>
        <w:gridCol w:w="2151"/>
        <w:gridCol w:w="2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544" w:type="dxa"/>
            <w:vAlign w:val="center"/>
          </w:tcPr>
          <w:p>
            <w:pPr>
              <w:adjustRightInd w:val="0"/>
              <w:snapToGrid w:val="0"/>
              <w:jc w:val="center"/>
              <w:rPr>
                <w:rFonts w:ascii="Times New Roman" w:hAnsi="Times New Roman" w:eastAsiaTheme="minorEastAsia"/>
                <w:b/>
                <w:color w:val="FF0000"/>
              </w:rPr>
            </w:pPr>
            <w:r>
              <w:rPr>
                <w:rFonts w:ascii="Times New Roman" w:hAnsi="Times New Roman" w:eastAsiaTheme="minorEastAsia"/>
                <w:b/>
                <w:color w:val="FF0000"/>
              </w:rPr>
              <w:t>罐号</w:t>
            </w:r>
          </w:p>
        </w:tc>
        <w:tc>
          <w:tcPr>
            <w:tcW w:w="1720" w:type="dxa"/>
            <w:vAlign w:val="center"/>
          </w:tcPr>
          <w:p>
            <w:pPr>
              <w:adjustRightInd w:val="0"/>
              <w:snapToGrid w:val="0"/>
              <w:jc w:val="center"/>
              <w:rPr>
                <w:rFonts w:ascii="Times New Roman" w:hAnsi="Times New Roman" w:eastAsiaTheme="minorEastAsia"/>
                <w:b/>
                <w:color w:val="FF0000"/>
              </w:rPr>
            </w:pPr>
            <w:r>
              <w:rPr>
                <w:rFonts w:ascii="Times New Roman" w:hAnsi="Times New Roman" w:eastAsiaTheme="minorEastAsia"/>
                <w:b/>
                <w:color w:val="FF0000"/>
              </w:rPr>
              <w:t>容量（m</w:t>
            </w:r>
            <w:r>
              <w:rPr>
                <w:rFonts w:ascii="Times New Roman" w:hAnsi="Times New Roman" w:eastAsiaTheme="minorEastAsia"/>
                <w:b/>
                <w:color w:val="FF0000"/>
                <w:vertAlign w:val="superscript"/>
              </w:rPr>
              <w:t>3</w:t>
            </w:r>
            <w:r>
              <w:rPr>
                <w:rFonts w:ascii="Times New Roman" w:hAnsi="Times New Roman" w:eastAsiaTheme="minorEastAsia"/>
                <w:b/>
                <w:color w:val="FF0000"/>
              </w:rPr>
              <w:t>）</w:t>
            </w:r>
          </w:p>
        </w:tc>
        <w:tc>
          <w:tcPr>
            <w:tcW w:w="1720" w:type="dxa"/>
            <w:vAlign w:val="center"/>
          </w:tcPr>
          <w:p>
            <w:pPr>
              <w:adjustRightInd w:val="0"/>
              <w:snapToGrid w:val="0"/>
              <w:jc w:val="center"/>
              <w:rPr>
                <w:rFonts w:ascii="Times New Roman" w:hAnsi="Times New Roman" w:eastAsiaTheme="minorEastAsia"/>
                <w:b/>
                <w:color w:val="FF0000"/>
              </w:rPr>
            </w:pPr>
            <w:r>
              <w:rPr>
                <w:rFonts w:ascii="Times New Roman" w:hAnsi="Times New Roman" w:eastAsiaTheme="minorEastAsia"/>
                <w:b/>
                <w:color w:val="FF0000"/>
              </w:rPr>
              <w:t>类型</w:t>
            </w:r>
          </w:p>
        </w:tc>
        <w:tc>
          <w:tcPr>
            <w:tcW w:w="2151" w:type="dxa"/>
            <w:vAlign w:val="center"/>
          </w:tcPr>
          <w:p>
            <w:pPr>
              <w:adjustRightInd w:val="0"/>
              <w:snapToGrid w:val="0"/>
              <w:jc w:val="center"/>
              <w:rPr>
                <w:rFonts w:ascii="Times New Roman" w:hAnsi="Times New Roman" w:eastAsiaTheme="minorEastAsia"/>
                <w:b/>
                <w:color w:val="FF0000"/>
              </w:rPr>
            </w:pPr>
            <w:r>
              <w:rPr>
                <w:rFonts w:ascii="Times New Roman" w:hAnsi="Times New Roman" w:eastAsiaTheme="minorEastAsia"/>
                <w:b/>
                <w:color w:val="FF0000"/>
              </w:rPr>
              <w:t>品种</w:t>
            </w:r>
          </w:p>
        </w:tc>
        <w:tc>
          <w:tcPr>
            <w:tcW w:w="2151" w:type="dxa"/>
            <w:vAlign w:val="center"/>
          </w:tcPr>
          <w:p>
            <w:pPr>
              <w:adjustRightInd w:val="0"/>
              <w:snapToGrid w:val="0"/>
              <w:jc w:val="center"/>
              <w:rPr>
                <w:rFonts w:ascii="Times New Roman" w:hAnsi="Times New Roman" w:eastAsiaTheme="minorEastAsia"/>
                <w:b/>
                <w:color w:val="FF0000"/>
              </w:rPr>
            </w:pPr>
            <w:r>
              <w:rPr>
                <w:rFonts w:ascii="Times New Roman" w:hAnsi="Times New Roman" w:eastAsiaTheme="minorEastAsia"/>
                <w:b/>
                <w:color w:val="FF000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701</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内浮顶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石脑油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702</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内浮顶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乙酸甲酯</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703</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内浮顶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乙酸仲丁酯</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704</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拱  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柴油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705</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拱  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柴油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hint="eastAsia" w:ascii="Times New Roman" w:hAnsi="Times New Roman" w:eastAsiaTheme="minorEastAsia"/>
                <w:color w:val="FF0000"/>
              </w:rPr>
              <w:t>706</w:t>
            </w:r>
          </w:p>
        </w:tc>
        <w:tc>
          <w:tcPr>
            <w:tcW w:w="1720" w:type="dxa"/>
            <w:vAlign w:val="center"/>
          </w:tcPr>
          <w:p>
            <w:pPr>
              <w:adjustRightInd w:val="0"/>
              <w:snapToGrid w:val="0"/>
              <w:jc w:val="center"/>
              <w:rPr>
                <w:rFonts w:ascii="Times New Roman" w:hAnsi="Times New Roman" w:eastAsiaTheme="minorEastAsia"/>
                <w:color w:val="FF0000"/>
              </w:rPr>
            </w:pPr>
            <w:r>
              <w:rPr>
                <w:rFonts w:hint="eastAsia" w:ascii="Times New Roman" w:hAnsi="Times New Roman" w:eastAsiaTheme="minorEastAsia"/>
                <w:color w:val="FF0000"/>
              </w:rPr>
              <w:t>3000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内浮顶</w:t>
            </w:r>
          </w:p>
        </w:tc>
        <w:tc>
          <w:tcPr>
            <w:tcW w:w="2151" w:type="dxa"/>
            <w:vAlign w:val="center"/>
          </w:tcPr>
          <w:p>
            <w:pPr>
              <w:adjustRightInd w:val="0"/>
              <w:snapToGrid w:val="0"/>
              <w:jc w:val="center"/>
              <w:rPr>
                <w:rFonts w:ascii="Times New Roman" w:hAnsi="Times New Roman" w:eastAsiaTheme="minorEastAsia"/>
                <w:color w:val="FF0000"/>
              </w:rPr>
            </w:pPr>
            <w:r>
              <w:rPr>
                <w:rFonts w:hint="eastAsia" w:ascii="Times New Roman" w:hAnsi="Times New Roman" w:eastAsiaTheme="minorEastAsia"/>
                <w:color w:val="FF0000"/>
              </w:rPr>
              <w:t>二甲苯</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707</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5000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内浮顶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92#汽油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708</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10000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外浮顶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绥中油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709</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10000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外浮顶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渣油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710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2000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内浮顶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醋酸</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711</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1500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内浮顶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乙酸仲丁酯</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716</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外浮顶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原油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717</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外浮顶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蜡油</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301</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6000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拱  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沥青</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302</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6000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拱  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沥青</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303</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2000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拱  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沥青</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304</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2000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拱  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沥青</w:t>
            </w:r>
          </w:p>
        </w:tc>
        <w:tc>
          <w:tcPr>
            <w:tcW w:w="2151" w:type="dxa"/>
            <w:vAlign w:val="center"/>
          </w:tcPr>
          <w:p>
            <w:pPr>
              <w:adjustRightInd w:val="0"/>
              <w:snapToGrid w:val="0"/>
              <w:jc w:val="center"/>
              <w:rPr>
                <w:rFonts w:ascii="Times New Roman" w:hAnsi="Times New Roman" w:eastAsiaTheme="minorEastAsia"/>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44"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330、331</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2*10000</w:t>
            </w:r>
          </w:p>
        </w:tc>
        <w:tc>
          <w:tcPr>
            <w:tcW w:w="1720"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拱  顶</w:t>
            </w:r>
          </w:p>
        </w:tc>
        <w:tc>
          <w:tcPr>
            <w:tcW w:w="2151" w:type="dxa"/>
            <w:vAlign w:val="center"/>
          </w:tcPr>
          <w:p>
            <w:pPr>
              <w:adjustRightInd w:val="0"/>
              <w:snapToGrid w:val="0"/>
              <w:jc w:val="center"/>
              <w:rPr>
                <w:rFonts w:ascii="Times New Roman" w:hAnsi="Times New Roman" w:eastAsiaTheme="minorEastAsia"/>
                <w:color w:val="FF0000"/>
              </w:rPr>
            </w:pPr>
            <w:r>
              <w:rPr>
                <w:rFonts w:ascii="Times New Roman" w:hAnsi="Times New Roman" w:eastAsiaTheme="minorEastAsia"/>
                <w:color w:val="FF0000"/>
              </w:rPr>
              <w:t>沥青</w:t>
            </w:r>
          </w:p>
        </w:tc>
        <w:tc>
          <w:tcPr>
            <w:tcW w:w="2151" w:type="dxa"/>
            <w:vAlign w:val="center"/>
          </w:tcPr>
          <w:p>
            <w:pPr>
              <w:adjustRightInd w:val="0"/>
              <w:snapToGrid w:val="0"/>
              <w:jc w:val="center"/>
              <w:rPr>
                <w:rFonts w:ascii="Times New Roman" w:hAnsi="Times New Roman" w:eastAsiaTheme="minorEastAsia"/>
                <w:color w:val="FF0000"/>
              </w:rPr>
            </w:pPr>
          </w:p>
        </w:tc>
      </w:tr>
    </w:tbl>
    <w:p>
      <w:pPr>
        <w:adjustRightInd w:val="0"/>
        <w:snapToGrid w:val="0"/>
        <w:spacing w:line="360" w:lineRule="auto"/>
        <w:ind w:firstLine="480" w:firstLineChars="200"/>
        <w:rPr>
          <w:rFonts w:ascii="Times New Roman" w:hAnsi="Times New Roman" w:eastAsiaTheme="minorEastAsia"/>
          <w:sz w:val="24"/>
          <w:szCs w:val="24"/>
        </w:rPr>
      </w:pPr>
    </w:p>
    <w:p>
      <w:pPr>
        <w:pStyle w:val="4"/>
        <w:rPr>
          <w:rFonts w:eastAsiaTheme="minorEastAsia"/>
        </w:rPr>
      </w:pPr>
      <w:r>
        <w:rPr>
          <w:rFonts w:hint="eastAsia" w:eastAsiaTheme="minorEastAsia"/>
        </w:rPr>
        <w:t>现有</w:t>
      </w:r>
      <w:r>
        <w:rPr>
          <w:rFonts w:eastAsiaTheme="minorEastAsia"/>
        </w:rPr>
        <w:t>工程存在的主要环境问题及“</w:t>
      </w:r>
      <w:r>
        <w:rPr>
          <w:rFonts w:hint="eastAsia" w:eastAsiaTheme="minorEastAsia"/>
        </w:rPr>
        <w:t>以新带老</w:t>
      </w:r>
      <w:r>
        <w:rPr>
          <w:rFonts w:eastAsiaTheme="minorEastAsia"/>
        </w:rPr>
        <w:t>”</w:t>
      </w:r>
      <w:r>
        <w:rPr>
          <w:rFonts w:hint="eastAsia" w:eastAsiaTheme="minorEastAsia"/>
        </w:rPr>
        <w:t>整改</w:t>
      </w:r>
      <w:r>
        <w:rPr>
          <w:rFonts w:eastAsiaTheme="minorEastAsia"/>
        </w:rPr>
        <w:t>措施</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1、现有工程存在的环保问题</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趸船缺乏初期雨水及作业废水收集设施；泵船生活污水直接排江，不符合实施指南要求；装卸区域、阀室平台等地点无冲洗水收集围堰及设施。</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根据现行环保要求，码头区域需配备油气回收设施。</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⑶</w:t>
      </w:r>
      <w:r>
        <w:rPr>
          <w:rFonts w:ascii="Times New Roman" w:hAnsi="Times New Roman"/>
          <w:sz w:val="24"/>
          <w:szCs w:val="24"/>
        </w:rPr>
        <w:t xml:space="preserve"> 码头增加不锈钢垃圾桶收集危险废物。</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2、以新带老及整改措施</w:t>
      </w:r>
    </w:p>
    <w:p>
      <w:pPr>
        <w:adjustRightInd w:val="0"/>
        <w:snapToGrid w:val="0"/>
        <w:spacing w:line="360" w:lineRule="auto"/>
        <w:ind w:firstLine="480" w:firstLineChars="200"/>
        <w:rPr>
          <w:rFonts w:ascii="Times New Roman" w:hAnsi="Times New Roman"/>
          <w:b/>
          <w:sz w:val="24"/>
          <w:szCs w:val="24"/>
        </w:rPr>
      </w:pPr>
      <w:r>
        <w:rPr>
          <w:rFonts w:hint="eastAsia" w:ascii="Times New Roman" w:hAnsi="Times New Roman"/>
          <w:sz w:val="24"/>
          <w:szCs w:val="24"/>
        </w:rPr>
        <w:t>⑴ 在</w:t>
      </w:r>
      <w:r>
        <w:rPr>
          <w:rFonts w:ascii="Times New Roman" w:hAnsi="Times New Roman"/>
          <w:sz w:val="24"/>
          <w:szCs w:val="24"/>
        </w:rPr>
        <w:t>码头</w:t>
      </w:r>
      <w:r>
        <w:rPr>
          <w:rFonts w:ascii="Times New Roman" w:hAnsi="Times New Roman" w:eastAsiaTheme="minorEastAsia"/>
          <w:color w:val="000000"/>
          <w:sz w:val="24"/>
          <w:szCs w:val="24"/>
        </w:rPr>
        <w:t>作业平台</w:t>
      </w:r>
      <w:r>
        <w:rPr>
          <w:rFonts w:hint="eastAsia" w:ascii="Times New Roman" w:hAnsi="Times New Roman" w:eastAsiaTheme="minorEastAsia"/>
          <w:color w:val="000000"/>
          <w:sz w:val="24"/>
          <w:szCs w:val="24"/>
        </w:rPr>
        <w:t>设置</w:t>
      </w:r>
      <w:r>
        <w:rPr>
          <w:rFonts w:ascii="Times New Roman" w:hAnsi="Times New Roman" w:eastAsiaTheme="minorEastAsia"/>
          <w:color w:val="000000"/>
          <w:sz w:val="24"/>
          <w:szCs w:val="24"/>
        </w:rPr>
        <w:t>收集坎</w:t>
      </w:r>
      <w:r>
        <w:rPr>
          <w:rFonts w:hint="eastAsia" w:ascii="Times New Roman" w:hAnsi="Times New Roman" w:eastAsiaTheme="minorEastAsia"/>
          <w:color w:val="000000"/>
          <w:sz w:val="24"/>
          <w:szCs w:val="24"/>
        </w:rPr>
        <w:t>，</w:t>
      </w:r>
      <w:r>
        <w:rPr>
          <w:rFonts w:ascii="Times New Roman" w:hAnsi="Times New Roman" w:eastAsiaTheme="minorEastAsia"/>
          <w:color w:val="000000"/>
          <w:sz w:val="24"/>
          <w:szCs w:val="24"/>
        </w:rPr>
        <w:t>将初期雨水、冲洗水收集至污水箱</w:t>
      </w:r>
      <w:r>
        <w:rPr>
          <w:rFonts w:hint="eastAsia" w:ascii="Times New Roman" w:hAnsi="Times New Roman" w:eastAsiaTheme="minorEastAsia"/>
          <w:color w:val="000000"/>
          <w:sz w:val="24"/>
          <w:szCs w:val="24"/>
        </w:rPr>
        <w:t>，</w:t>
      </w:r>
      <w:r>
        <w:rPr>
          <w:rFonts w:ascii="Times New Roman" w:hAnsi="Times New Roman" w:eastAsiaTheme="minorEastAsia"/>
          <w:color w:val="000000"/>
          <w:sz w:val="24"/>
          <w:szCs w:val="24"/>
        </w:rPr>
        <w:t>然后由防爆污水泵通过管道输送到后方港口部污水处理站，再通过污水管网进入长岭分公司第二污水处理厂</w:t>
      </w:r>
      <w:r>
        <w:rPr>
          <w:rFonts w:hint="eastAsia" w:ascii="Times New Roman" w:hAnsi="Times New Roman" w:eastAsiaTheme="minorEastAsia"/>
          <w:color w:val="000000"/>
          <w:sz w:val="24"/>
          <w:szCs w:val="24"/>
        </w:rPr>
        <w:t>；</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⑵ 本次</w:t>
      </w:r>
      <w:r>
        <w:rPr>
          <w:rFonts w:ascii="宋体" w:hAnsi="宋体" w:cs="宋体"/>
          <w:sz w:val="24"/>
          <w:szCs w:val="24"/>
        </w:rPr>
        <w:t>提质改造配备了</w:t>
      </w:r>
      <w:r>
        <w:rPr>
          <w:rFonts w:ascii="Times New Roman" w:hAnsi="Times New Roman"/>
          <w:sz w:val="24"/>
          <w:szCs w:val="24"/>
        </w:rPr>
        <w:t>油气回收设施</w:t>
      </w:r>
      <w:r>
        <w:rPr>
          <w:rFonts w:hint="eastAsia" w:ascii="Times New Roman" w:hAnsi="Times New Roman"/>
          <w:sz w:val="24"/>
          <w:szCs w:val="24"/>
        </w:rPr>
        <w:t>和</w:t>
      </w:r>
      <w:r>
        <w:rPr>
          <w:rFonts w:ascii="Times New Roman" w:hAnsi="Times New Roman"/>
          <w:sz w:val="24"/>
          <w:szCs w:val="24"/>
        </w:rPr>
        <w:t>氮气吹扫系统</w:t>
      </w:r>
      <w:r>
        <w:rPr>
          <w:rFonts w:hint="eastAsia" w:ascii="Times New Roman" w:hAnsi="Times New Roman"/>
          <w:sz w:val="24"/>
          <w:szCs w:val="24"/>
        </w:rPr>
        <w:t>；</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⑶ 在</w:t>
      </w:r>
      <w:r>
        <w:rPr>
          <w:rFonts w:ascii="宋体" w:hAnsi="宋体" w:cs="宋体"/>
          <w:sz w:val="24"/>
          <w:szCs w:val="24"/>
        </w:rPr>
        <w:t>陆域工程范围内</w:t>
      </w:r>
      <w:r>
        <w:rPr>
          <w:rFonts w:hint="eastAsia" w:ascii="宋体" w:hAnsi="宋体" w:cs="宋体"/>
          <w:sz w:val="24"/>
          <w:szCs w:val="24"/>
        </w:rPr>
        <w:t>增加了</w:t>
      </w:r>
      <w:r>
        <w:rPr>
          <w:rFonts w:ascii="Times New Roman" w:hAnsi="Times New Roman"/>
          <w:sz w:val="24"/>
          <w:szCs w:val="24"/>
        </w:rPr>
        <w:t>不锈钢垃圾桶</w:t>
      </w:r>
      <w:r>
        <w:rPr>
          <w:rFonts w:hint="eastAsia" w:ascii="Times New Roman" w:hAnsi="Times New Roman"/>
          <w:sz w:val="24"/>
          <w:szCs w:val="24"/>
        </w:rPr>
        <w:t>，分类收集固体废物</w:t>
      </w:r>
      <w:r>
        <w:rPr>
          <w:rFonts w:ascii="Times New Roman" w:hAnsi="Times New Roman"/>
          <w:sz w:val="24"/>
          <w:szCs w:val="24"/>
        </w:rPr>
        <w:t>，定期将收集的</w:t>
      </w:r>
      <w:r>
        <w:rPr>
          <w:rFonts w:hint="eastAsia" w:ascii="Times New Roman" w:hAnsi="Times New Roman"/>
          <w:sz w:val="24"/>
          <w:szCs w:val="24"/>
        </w:rPr>
        <w:t>危险</w:t>
      </w:r>
      <w:r>
        <w:rPr>
          <w:rFonts w:ascii="Times New Roman" w:hAnsi="Times New Roman"/>
          <w:sz w:val="24"/>
          <w:szCs w:val="24"/>
        </w:rPr>
        <w:t>固体废物交由有资质的单位处理</w:t>
      </w:r>
      <w:r>
        <w:rPr>
          <w:rFonts w:hint="eastAsia" w:ascii="Times New Roman" w:hAnsi="Times New Roman"/>
          <w:sz w:val="24"/>
          <w:szCs w:val="24"/>
        </w:rPr>
        <w:t>；</w:t>
      </w:r>
    </w:p>
    <w:p>
      <w:pPr>
        <w:pStyle w:val="3"/>
        <w:rPr>
          <w:rFonts w:ascii="Times New Roman" w:hAnsi="Times New Roman" w:eastAsiaTheme="minorEastAsia"/>
          <w:b/>
        </w:rPr>
      </w:pPr>
      <w:bookmarkStart w:id="31" w:name="_Toc23452"/>
      <w:r>
        <w:rPr>
          <w:rFonts w:ascii="Times New Roman" w:hAnsi="Times New Roman" w:eastAsiaTheme="minorEastAsia"/>
          <w:b/>
        </w:rPr>
        <w:t>提质改造工程概况</w:t>
      </w:r>
      <w:bookmarkEnd w:id="31"/>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⑴</w:t>
      </w:r>
      <w:r>
        <w:rPr>
          <w:rFonts w:ascii="Times New Roman" w:hAnsi="Times New Roman" w:eastAsiaTheme="minorEastAsia"/>
          <w:color w:val="000000"/>
          <w:kern w:val="0"/>
          <w:sz w:val="24"/>
          <w:szCs w:val="24"/>
          <w:lang w:bidi="ar"/>
        </w:rPr>
        <w:t xml:space="preserve"> 项目性质：改扩建项目。</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⑵</w:t>
      </w:r>
      <w:r>
        <w:rPr>
          <w:rFonts w:ascii="Times New Roman" w:hAnsi="Times New Roman" w:eastAsiaTheme="minorEastAsia"/>
          <w:color w:val="000000"/>
          <w:kern w:val="0"/>
          <w:sz w:val="24"/>
          <w:szCs w:val="24"/>
          <w:lang w:bidi="ar"/>
        </w:rPr>
        <w:t xml:space="preserve"> 建设地点：本项目位于岳阳港云溪港区陆城作业区、长江中游杨林岩水道与螺山水道衔接段右岸。工程码头岸线位于长岭分公司港口部现有码头使用岸线内，码头占用岸线长度768m。</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⑶</w:t>
      </w:r>
      <w:r>
        <w:rPr>
          <w:rFonts w:ascii="Times New Roman" w:hAnsi="Times New Roman" w:eastAsiaTheme="minorEastAsia"/>
          <w:color w:val="000000"/>
          <w:kern w:val="0"/>
          <w:sz w:val="24"/>
          <w:szCs w:val="24"/>
          <w:lang w:bidi="ar"/>
        </w:rPr>
        <w:t xml:space="preserve"> 建设内容及建设规模：本项目分为水域和陆域两个部分。水域工程：拟对2#~4#码头（6个危化品泊位）拆除重建，从上游到下游建设3个5000吨级液体化工泊位和2个3000吨级油品化工泊位，</w:t>
      </w:r>
      <w:r>
        <w:rPr>
          <w:rFonts w:hint="eastAsia" w:ascii="Times New Roman" w:hAnsi="Times New Roman" w:eastAsiaTheme="minorEastAsia"/>
          <w:color w:val="000000"/>
          <w:kern w:val="0"/>
          <w:sz w:val="24"/>
          <w:szCs w:val="24"/>
          <w:lang w:bidi="ar"/>
        </w:rPr>
        <w:t>泊位编号自上至下依次为2#泊位~6#泊位。2#泊位、3#泊位趸船新建，4#泊位、5#泊位、6#泊位趸船利旧，</w:t>
      </w:r>
      <w:r>
        <w:rPr>
          <w:rFonts w:ascii="Times New Roman" w:hAnsi="Times New Roman" w:eastAsiaTheme="minorEastAsia"/>
          <w:color w:val="000000"/>
          <w:kern w:val="0"/>
          <w:sz w:val="24"/>
          <w:szCs w:val="24"/>
          <w:lang w:bidi="ar"/>
        </w:rPr>
        <w:t>原5#码头（2个危化品泊位）</w:t>
      </w:r>
      <w:r>
        <w:rPr>
          <w:rFonts w:hint="eastAsia" w:ascii="Times New Roman" w:hAnsi="Times New Roman" w:eastAsiaTheme="minorEastAsia"/>
          <w:color w:val="000000"/>
          <w:kern w:val="0"/>
          <w:sz w:val="24"/>
          <w:szCs w:val="24"/>
          <w:lang w:bidi="ar"/>
        </w:rPr>
        <w:t>岸线将改建为岳阳LNG储配基地项目配套LNG码头，另行立项建设，不属于本次工程范围。本项目</w:t>
      </w:r>
      <w:r>
        <w:rPr>
          <w:rFonts w:ascii="Times New Roman" w:hAnsi="Times New Roman" w:eastAsiaTheme="minorEastAsia"/>
          <w:color w:val="000000"/>
          <w:kern w:val="0"/>
          <w:sz w:val="24"/>
          <w:szCs w:val="24"/>
          <w:lang w:bidi="ar"/>
        </w:rPr>
        <w:t>主要施工项目有水工建筑物、工艺设备及土建工程、水、电、信配套设施安装等；陆域工程：依托现有设施，不涉及储罐区，增加安全环保设施（主要为油气回收及氮气系统）、增加部分转输泵、系统管线、生活污水处理设施及其配套电气、自控、电信设施，罐区至码头管廊利旧，厂际管线不在本项目范围内，厂外增加1根管线，拆除原有老化不利用5根管线。</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⑷</w:t>
      </w:r>
      <w:r>
        <w:rPr>
          <w:rFonts w:ascii="Times New Roman" w:hAnsi="Times New Roman" w:eastAsiaTheme="minorEastAsia"/>
          <w:color w:val="000000"/>
          <w:kern w:val="0"/>
          <w:sz w:val="24"/>
          <w:szCs w:val="24"/>
          <w:lang w:bidi="ar"/>
        </w:rPr>
        <w:t xml:space="preserve"> 服务对象：本项目建成后服务对象主要为长岭炼化，业务范围还大量覆盖湖南省及岳阳市、中国石化、湖南绿色化工产业园、长江航道运行管理等诸多方面，功能齐全、作用突出。</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⑸</w:t>
      </w:r>
      <w:r>
        <w:rPr>
          <w:rFonts w:ascii="Times New Roman" w:hAnsi="Times New Roman" w:eastAsiaTheme="minorEastAsia"/>
          <w:color w:val="000000"/>
          <w:kern w:val="0"/>
          <w:sz w:val="24"/>
          <w:szCs w:val="24"/>
          <w:lang w:bidi="ar"/>
        </w:rPr>
        <w:t xml:space="preserve"> 主要货种及预测吞吐量：货种主要为：绥中油、0#柴油、汽油、乙烯石脑油、二甲苯、丁酮、乙酸仲丁酯、沥青、重整石脑油、乙酸甲酯、醋酸和蜡油/渣油等。本项目的2025年设计吞吐量为402万t，其中进口231万t，出口171万t。</w:t>
      </w:r>
    </w:p>
    <w:p>
      <w:pPr>
        <w:adjustRightInd w:val="0"/>
        <w:snapToGrid w:val="0"/>
        <w:spacing w:line="360" w:lineRule="auto"/>
        <w:ind w:firstLine="480" w:firstLineChars="200"/>
        <w:rPr>
          <w:rFonts w:ascii="Times New Roman" w:hAnsi="Times New Roman"/>
          <w:color w:val="000000"/>
          <w:kern w:val="0"/>
          <w:sz w:val="24"/>
          <w:szCs w:val="24"/>
          <w:lang w:bidi="ar"/>
        </w:rPr>
      </w:pPr>
      <w:r>
        <w:rPr>
          <w:rFonts w:hint="eastAsia" w:ascii="宋体" w:hAnsi="宋体" w:cs="宋体"/>
          <w:color w:val="000000"/>
          <w:kern w:val="0"/>
          <w:sz w:val="24"/>
          <w:szCs w:val="24"/>
          <w:lang w:bidi="ar"/>
        </w:rPr>
        <w:t>⑹</w:t>
      </w:r>
      <w:r>
        <w:rPr>
          <w:rFonts w:ascii="Times New Roman" w:hAnsi="Times New Roman"/>
          <w:color w:val="000000"/>
          <w:kern w:val="0"/>
          <w:sz w:val="24"/>
          <w:szCs w:val="24"/>
          <w:lang w:bidi="ar"/>
        </w:rPr>
        <w:t xml:space="preserve"> 工程投资：本项目总投资约29398.67万元，其中水域工程建设投资26274.58万元，陆域工程建设投资3124.09万元。</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sectPr>
          <w:headerReference r:id="rId11"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000000"/>
          <w:kern w:val="0"/>
          <w:sz w:val="24"/>
          <w:szCs w:val="24"/>
          <w:lang w:bidi="ar"/>
        </w:rPr>
        <w:t>⑺</w:t>
      </w:r>
      <w:r>
        <w:rPr>
          <w:rFonts w:ascii="Times New Roman" w:hAnsi="Times New Roman" w:eastAsiaTheme="minorEastAsia"/>
          <w:color w:val="000000"/>
          <w:kern w:val="0"/>
          <w:sz w:val="24"/>
          <w:szCs w:val="24"/>
          <w:lang w:bidi="ar"/>
        </w:rPr>
        <w:t xml:space="preserve"> 建设期限：建设工期12个月，工程施工拟于202</w:t>
      </w:r>
      <w:r>
        <w:rPr>
          <w:rFonts w:hint="eastAsia" w:ascii="Times New Roman" w:hAnsi="Times New Roman" w:eastAsiaTheme="minorEastAsia"/>
          <w:color w:val="000000"/>
          <w:kern w:val="0"/>
          <w:sz w:val="24"/>
          <w:szCs w:val="24"/>
          <w:lang w:val="en-US" w:eastAsia="zh-CN" w:bidi="ar"/>
        </w:rPr>
        <w:t>1</w:t>
      </w:r>
      <w:r>
        <w:rPr>
          <w:rFonts w:ascii="Times New Roman" w:hAnsi="Times New Roman" w:eastAsiaTheme="minorEastAsia"/>
          <w:color w:val="000000"/>
          <w:kern w:val="0"/>
          <w:sz w:val="24"/>
          <w:szCs w:val="24"/>
          <w:lang w:bidi="ar"/>
        </w:rPr>
        <w:t>年</w:t>
      </w:r>
      <w:r>
        <w:rPr>
          <w:rFonts w:hint="eastAsia" w:ascii="Times New Roman" w:hAnsi="Times New Roman" w:eastAsiaTheme="minorEastAsia"/>
          <w:color w:val="000000"/>
          <w:kern w:val="0"/>
          <w:sz w:val="24"/>
          <w:szCs w:val="24"/>
          <w:lang w:val="en-US" w:eastAsia="zh-CN" w:bidi="ar"/>
        </w:rPr>
        <w:t>5</w:t>
      </w:r>
      <w:r>
        <w:rPr>
          <w:rFonts w:ascii="Times New Roman" w:hAnsi="Times New Roman" w:eastAsiaTheme="minorEastAsia"/>
          <w:color w:val="000000"/>
          <w:kern w:val="0"/>
          <w:sz w:val="24"/>
          <w:szCs w:val="24"/>
          <w:lang w:bidi="ar"/>
        </w:rPr>
        <w:t>月</w:t>
      </w:r>
      <w:r>
        <w:rPr>
          <w:rFonts w:hint="eastAsia" w:ascii="Times New Roman" w:hAnsi="Times New Roman" w:eastAsiaTheme="minorEastAsia"/>
          <w:color w:val="000000"/>
          <w:kern w:val="0"/>
          <w:sz w:val="24"/>
          <w:szCs w:val="24"/>
          <w:lang w:bidi="ar"/>
        </w:rPr>
        <w:t>底</w:t>
      </w:r>
      <w:r>
        <w:rPr>
          <w:rFonts w:ascii="Times New Roman" w:hAnsi="Times New Roman" w:eastAsiaTheme="minorEastAsia"/>
          <w:color w:val="000000"/>
          <w:kern w:val="0"/>
          <w:sz w:val="24"/>
          <w:szCs w:val="24"/>
          <w:lang w:bidi="ar"/>
        </w:rPr>
        <w:t>开工，202</w:t>
      </w:r>
      <w:r>
        <w:rPr>
          <w:rFonts w:hint="eastAsia" w:ascii="Times New Roman" w:hAnsi="Times New Roman" w:eastAsiaTheme="minorEastAsia"/>
          <w:color w:val="000000"/>
          <w:kern w:val="0"/>
          <w:sz w:val="24"/>
          <w:szCs w:val="24"/>
          <w:lang w:val="en-US" w:eastAsia="zh-CN" w:bidi="ar"/>
        </w:rPr>
        <w:t>2</w:t>
      </w:r>
      <w:r>
        <w:rPr>
          <w:rFonts w:ascii="Times New Roman" w:hAnsi="Times New Roman" w:eastAsiaTheme="minorEastAsia"/>
          <w:color w:val="000000"/>
          <w:kern w:val="0"/>
          <w:sz w:val="24"/>
          <w:szCs w:val="24"/>
          <w:lang w:bidi="ar"/>
        </w:rPr>
        <w:t>年</w:t>
      </w:r>
      <w:r>
        <w:rPr>
          <w:rFonts w:hint="eastAsia" w:ascii="Times New Roman" w:hAnsi="Times New Roman" w:eastAsiaTheme="minorEastAsia"/>
          <w:color w:val="000000"/>
          <w:kern w:val="0"/>
          <w:sz w:val="24"/>
          <w:szCs w:val="24"/>
          <w:lang w:val="en-US" w:eastAsia="zh-CN" w:bidi="ar"/>
        </w:rPr>
        <w:t>6</w:t>
      </w:r>
      <w:r>
        <w:rPr>
          <w:rFonts w:ascii="Times New Roman" w:hAnsi="Times New Roman" w:eastAsiaTheme="minorEastAsia"/>
          <w:color w:val="000000"/>
          <w:kern w:val="0"/>
          <w:sz w:val="24"/>
          <w:szCs w:val="24"/>
          <w:lang w:bidi="ar"/>
        </w:rPr>
        <w:t>月</w:t>
      </w:r>
      <w:r>
        <w:rPr>
          <w:rFonts w:hint="eastAsia" w:ascii="Times New Roman" w:hAnsi="Times New Roman" w:eastAsiaTheme="minorEastAsia"/>
          <w:color w:val="000000"/>
          <w:kern w:val="0"/>
          <w:sz w:val="24"/>
          <w:szCs w:val="24"/>
          <w:lang w:bidi="ar"/>
        </w:rPr>
        <w:t>初</w:t>
      </w:r>
      <w:r>
        <w:rPr>
          <w:rFonts w:ascii="Times New Roman" w:hAnsi="Times New Roman" w:eastAsiaTheme="minorEastAsia"/>
          <w:color w:val="000000"/>
          <w:kern w:val="0"/>
          <w:sz w:val="24"/>
          <w:szCs w:val="24"/>
          <w:lang w:bidi="ar"/>
        </w:rPr>
        <w:t>竣工投产。</w:t>
      </w:r>
    </w:p>
    <w:p>
      <w:pPr>
        <w:adjustRightInd w:val="0"/>
        <w:snapToGrid w:val="0"/>
        <w:spacing w:line="360" w:lineRule="auto"/>
        <w:rPr>
          <w:rFonts w:ascii="Times New Roman" w:hAnsi="Times New Roman" w:eastAsiaTheme="minorEastAsia"/>
          <w:color w:val="000000"/>
          <w:kern w:val="0"/>
          <w:sz w:val="24"/>
          <w:szCs w:val="24"/>
          <w:lang w:bidi="ar"/>
        </w:rPr>
      </w:pPr>
      <w:r>
        <w:rPr>
          <w:bdr w:val="single" w:color="auto" w:sz="4" w:space="0"/>
        </w:rPr>
        <w:drawing>
          <wp:inline distT="0" distB="0" distL="0" distR="0">
            <wp:extent cx="8778240" cy="529780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8787038" cy="5303224"/>
                    </a:xfrm>
                    <a:prstGeom prst="rect">
                      <a:avLst/>
                    </a:prstGeom>
                  </pic:spPr>
                </pic:pic>
              </a:graphicData>
            </a:graphic>
          </wp:inline>
        </w:drawing>
      </w:r>
    </w:p>
    <w:p>
      <w:pPr>
        <w:adjustRightInd w:val="0"/>
        <w:snapToGrid w:val="0"/>
        <w:spacing w:line="360" w:lineRule="auto"/>
        <w:jc w:val="center"/>
        <w:rPr>
          <w:rFonts w:ascii="Times New Roman" w:hAnsi="Times New Roman" w:eastAsiaTheme="minorEastAsia"/>
          <w:color w:val="000000"/>
          <w:kern w:val="0"/>
          <w:sz w:val="24"/>
          <w:szCs w:val="24"/>
          <w:lang w:bidi="ar"/>
        </w:rPr>
      </w:pPr>
      <w:r>
        <w:rPr>
          <w:rFonts w:hint="eastAsia" w:ascii="Times New Roman" w:hAnsi="Times New Roman" w:eastAsiaTheme="minorEastAsia"/>
          <w:b/>
          <w:color w:val="000000"/>
          <w:kern w:val="0"/>
          <w:sz w:val="24"/>
          <w:szCs w:val="24"/>
          <w:lang w:bidi="ar"/>
        </w:rPr>
        <w:t>图3.1</w:t>
      </w:r>
      <w:r>
        <w:rPr>
          <w:rFonts w:ascii="Times New Roman" w:hAnsi="Times New Roman" w:eastAsiaTheme="minorEastAsia"/>
          <w:b/>
          <w:color w:val="000000"/>
          <w:kern w:val="0"/>
          <w:sz w:val="24"/>
          <w:szCs w:val="24"/>
          <w:lang w:bidi="ar"/>
        </w:rPr>
        <w:t>-1</w:t>
      </w:r>
      <w:r>
        <w:rPr>
          <w:rFonts w:hint="eastAsia" w:ascii="Times New Roman" w:hAnsi="Times New Roman" w:eastAsiaTheme="minorEastAsia"/>
          <w:b/>
          <w:color w:val="000000"/>
          <w:kern w:val="0"/>
          <w:sz w:val="24"/>
          <w:szCs w:val="24"/>
          <w:lang w:bidi="ar"/>
        </w:rPr>
        <w:t xml:space="preserve">  本项目平面布置图</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eastAsiaTheme="minorEastAsia"/>
        </w:rPr>
      </w:pPr>
      <w:r>
        <w:rPr>
          <w:rFonts w:eastAsiaTheme="minorEastAsia"/>
        </w:rPr>
        <w:t>建设内容及技术经济指标</w:t>
      </w:r>
    </w:p>
    <w:p>
      <w:pPr>
        <w:pStyle w:val="105"/>
        <w:tabs>
          <w:tab w:val="left" w:pos="900"/>
        </w:tabs>
        <w:adjustRightInd w:val="0"/>
        <w:snapToGrid w:val="0"/>
        <w:spacing w:line="360" w:lineRule="auto"/>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本项目由主体工程、配套工程和环保工程组成，项目建设工程主要内容见表3.2-1。</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表3.2-1  本项目主要建设内容一览表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17"/>
        <w:gridCol w:w="937"/>
        <w:gridCol w:w="75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3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工程类别</w:t>
            </w:r>
          </w:p>
        </w:tc>
        <w:tc>
          <w:tcPr>
            <w:tcW w:w="51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414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工程内容、规模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主体工程</w:t>
            </w: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码头</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本次提质改造拟对2#~4#码头（6个危化品泊位）拆除重建。从上游往下游依次建设3个5000吨油品化工泊位、2个3000吨油品化工泊位</w:t>
            </w:r>
            <w:r>
              <w:rPr>
                <w:rFonts w:hint="eastAsia" w:ascii="Times New Roman" w:hAnsi="Times New Roman" w:eastAsiaTheme="minorEastAsia"/>
                <w:color w:val="000000"/>
                <w:kern w:val="0"/>
              </w:rPr>
              <w:t>，</w:t>
            </w:r>
            <w:r>
              <w:rPr>
                <w:rFonts w:ascii="Times New Roman" w:hAnsi="Times New Roman" w:eastAsiaTheme="minorEastAsia"/>
                <w:color w:val="000000"/>
                <w:kern w:val="0"/>
              </w:rPr>
              <w:t>均采用浮码头结构，港池开挖</w:t>
            </w:r>
            <w:r>
              <w:rPr>
                <w:rFonts w:hint="eastAsia" w:ascii="Times New Roman" w:hAnsi="Times New Roman" w:eastAsiaTheme="minorEastAsia"/>
                <w:color w:val="000000"/>
                <w:kern w:val="0"/>
              </w:rPr>
              <w:t>4.7万m</w:t>
            </w:r>
            <w:r>
              <w:rPr>
                <w:rFonts w:ascii="Times New Roman" w:hAnsi="Times New Roman" w:eastAsiaTheme="minorEastAsia"/>
                <w:color w:val="000000"/>
                <w:kern w:val="0"/>
                <w:vertAlign w:val="superscript"/>
              </w:rPr>
              <w:t>3</w:t>
            </w:r>
            <w:r>
              <w:rPr>
                <w:rFonts w:ascii="Times New Roman" w:hAnsi="Times New Roman" w:eastAsiaTheme="minorEastAsia"/>
                <w:color w:val="000000"/>
                <w:kern w:val="0"/>
              </w:rPr>
              <w:t>。</w:t>
            </w:r>
          </w:p>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泊位编号自上至下依次为2#泊位~6#泊位。2#泊位、3#泊位趸船新建，4#泊位、5#泊位、6#泊位趸船利旧，尺寸（长×宽×型深为：90×16×3.3m）。其中4#泊位利旧趸船为120m，泊位长度按原同时靠泊2个长57.5m分节油驳考虑。</w:t>
            </w:r>
          </w:p>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码头采用浮码头形式。码头主要由趸船、活动钢引桥、阀室平台、钢筋混凝土联桥、定位墩、补偿平台、固定引桥、综合用房平台等组成。2#~6#泊位共用一座固定引桥与后方管架相接，固定引桥宽度为9m。引桥与防洪大堤平顺相接，引桥上布置有4.5m宽的管廊带（三层），其位置位于引桥的上游侧，其余为检修通道。为了满足生产及消防的需要，在1#阀室平台下游侧布置综合用房平台。</w:t>
            </w:r>
          </w:p>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2#、3#、4#泊位靠泊5000吨级船舶，艏艉缆采用跳趸系缆。趸船间通过跳趸搭接钢联桥联通，便于趸船间的人员通行。趸船系留采用定位墩的结构形式。5#、6#泊位趸船利旧采用地牛系留，泊位间通过原钢联桥连接。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15"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管线</w:t>
            </w:r>
          </w:p>
        </w:tc>
        <w:tc>
          <w:tcPr>
            <w:tcW w:w="4146" w:type="pct"/>
            <w:vAlign w:val="center"/>
          </w:tcPr>
          <w:p>
            <w:pPr>
              <w:ind w:firstLine="420" w:firstLineChars="200"/>
              <w:rPr>
                <w:rFonts w:hint="default" w:ascii="Times New Roman" w:hAnsi="Times New Roman" w:eastAsiaTheme="minorEastAsia"/>
                <w:color w:val="FF0000"/>
                <w:kern w:val="0"/>
                <w:u w:val="single"/>
                <w:lang w:val="en-US" w:eastAsia="zh-CN"/>
              </w:rPr>
            </w:pPr>
            <w:r>
              <w:rPr>
                <w:rFonts w:ascii="Times New Roman" w:hAnsi="Times New Roman" w:eastAsiaTheme="minorEastAsia"/>
                <w:color w:val="FF0000"/>
                <w:kern w:val="0"/>
                <w:u w:val="single"/>
              </w:rPr>
              <w:t>罐区至码头现有联系管线原则上尽量利用，合理调配后需增加1根管线，分别为200#道路石油沥青线。拆除5根管线，分别为仪表风线（DN50）、烯裂解料线（DN150）、乙酸仲丁酯线（DN100）、5#码头原油线（DN400）、闲置线（DN150）。厂际管线不在本项目范围内。</w:t>
            </w:r>
            <w:r>
              <w:rPr>
                <w:rFonts w:hint="eastAsia" w:ascii="Times New Roman" w:hAnsi="Times New Roman" w:eastAsiaTheme="minorEastAsia"/>
                <w:color w:val="FF0000"/>
                <w:kern w:val="0"/>
                <w:u w:val="single"/>
                <w:lang w:val="en-US" w:eastAsia="zh-CN"/>
              </w:rPr>
              <w:t>废管线拆除前已经吹扫、蒸汽处置，废管线托运至长炼总厂区与其他废旧机械设备一同处置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公辅工程</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供电照明系统</w:t>
            </w:r>
          </w:p>
        </w:tc>
        <w:tc>
          <w:tcPr>
            <w:tcW w:w="4146" w:type="pct"/>
            <w:vAlign w:val="center"/>
          </w:tcPr>
          <w:p>
            <w:pPr>
              <w:autoSpaceDE w:val="0"/>
              <w:autoSpaceDN w:val="0"/>
              <w:adjustRightInd w:val="0"/>
              <w:snapToGrid w:val="0"/>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本项目不设总降压站。本项目拟设变电所一座，位于2#、3#泊位间的混凝土联桥侧综合用房一层。拟从后方罐区变电所分别引二回路6kV供电电源至码头综合用房变电所。</w:t>
            </w:r>
          </w:p>
          <w:p>
            <w:pPr>
              <w:autoSpaceDE w:val="0"/>
              <w:autoSpaceDN w:val="0"/>
              <w:adjustRightInd w:val="0"/>
              <w:snapToGrid w:val="0"/>
              <w:ind w:firstLine="315" w:firstLineChars="150"/>
              <w:rPr>
                <w:rFonts w:ascii="Times New Roman" w:hAnsi="Times New Roman" w:eastAsiaTheme="minorEastAsia"/>
                <w:color w:val="000000"/>
                <w:kern w:val="0"/>
              </w:rPr>
            </w:pPr>
            <w:r>
              <w:rPr>
                <w:rFonts w:ascii="Times New Roman" w:hAnsi="Times New Roman" w:eastAsiaTheme="minorEastAsia"/>
                <w:color w:val="000000"/>
                <w:kern w:val="0"/>
              </w:rPr>
              <w:t>本项目趸船平台采用防爆投光灯来照明，引桥采用钢杆防爆路灯照明。室内、外照明均采用LED灯。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给排水系统</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本项目给水由后方厂区供水管线供给，管径为DN150，压力0.4Mpa；排水采用雨污分流、污废分流</w:t>
            </w:r>
            <w:r>
              <w:rPr>
                <w:rFonts w:hint="eastAsia" w:ascii="Times New Roman" w:hAnsi="Times New Roman" w:eastAsiaTheme="minorEastAsia"/>
                <w:color w:val="000000"/>
                <w:kern w:val="0"/>
              </w:rPr>
              <w:t>至</w:t>
            </w:r>
            <w:r>
              <w:rPr>
                <w:rFonts w:ascii="Times New Roman" w:hAnsi="Times New Roman" w:eastAsiaTheme="minorEastAsia"/>
                <w:color w:val="000000"/>
                <w:kern w:val="0"/>
              </w:rPr>
              <w:t>排水体系。</w:t>
            </w:r>
          </w:p>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趸船污水由管道输送至后方罐区污水处理设施处理。趸船装卸区四周设收集坎，在趸船内设污水箱，收集坎内初期雨水和冲洗废水经收集流入污水箱中，由防爆污水泵通过管道输送至岸侧，初期雨水和冲洗废水通过污水池收集后，经污水输送泵至港口部污水处理站通过调节、隔油池、除油、气浮处理达到《污水综合排放标准》（GB8978-1996）三级标准水质要求后，再与码头部生产废水一同通过污水管网进入长岭分公司第二污水处理厂，长岭分公司第二污水处理厂污水处理达到《石油炼制工业污染物排放标准》（GB31570-2015）表1中直接排放限值后排入长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消防系统</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港口部设立有长炼消防支队四中队，由本企业专职消防队长炼消防支队管理，负责港口部消防应急救援工作，四中队消防应急救援人员29人，配备有3台消防车、1台气防车，防火防护服和灭火救援工具若干。</w:t>
            </w:r>
          </w:p>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港口部配备消拖两用轮一艘。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通信系统</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码头区内不设程控用户交换机，其自动电话和调度电话由后方罐区统一考虑。根据工程建设规模和使用需求，2#~6#泊位（油品及化工泊位）的综合用房内设置15部自动电话和2部调度电话。</w:t>
            </w:r>
          </w:p>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码头区内生产调度人员之间以及调度人员与移动机械操作人员之间的通信联系采用UHF无线对讲方式。本项目在码头综合用房设置1部后方罐区消防通信系统的专用电话。另外，码头作业人员还配有无线对讲机，发生火灾时也能作为应急通信工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控制系统</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本项目码头控制系统主要包括仪表控制系统、可燃气体检测系统以及火灾报警及消防控制系统。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rPr>
              <w:t>生产及辅助建筑物</w:t>
            </w:r>
          </w:p>
        </w:tc>
        <w:tc>
          <w:tcPr>
            <w:tcW w:w="4146" w:type="pct"/>
            <w:vAlign w:val="center"/>
          </w:tcPr>
          <w:p>
            <w:pPr>
              <w:pStyle w:val="313"/>
              <w:tabs>
                <w:tab w:val="right" w:leader="dot" w:pos="9070"/>
              </w:tabs>
              <w:adjustRightInd w:val="0"/>
              <w:snapToGrid w:val="0"/>
              <w:ind w:firstLine="420" w:firstLineChars="200"/>
              <w:jc w:val="both"/>
              <w:rPr>
                <w:rFonts w:eastAsiaTheme="minorEastAsia"/>
                <w:color w:val="000000"/>
              </w:rPr>
            </w:pPr>
            <w:r>
              <w:rPr>
                <w:rFonts w:eastAsiaTheme="minorEastAsia"/>
                <w:sz w:val="21"/>
                <w:szCs w:val="21"/>
              </w:rPr>
              <w:t>生产和辅助生产建筑物包含综合用房，建筑单体1个；总建筑面积594m</w:t>
            </w:r>
            <w:r>
              <w:rPr>
                <w:rFonts w:eastAsiaTheme="minorEastAsia"/>
                <w:sz w:val="21"/>
                <w:szCs w:val="21"/>
                <w:vertAlign w:val="superscript"/>
              </w:rPr>
              <w:t>2</w:t>
            </w:r>
            <w:r>
              <w:rPr>
                <w:rFonts w:eastAsiaTheme="minorEastAsia"/>
                <w:sz w:val="21"/>
                <w:szCs w:val="21"/>
              </w:rPr>
              <w:t>。综合用房为2层建筑，层高均为4.5m，建筑高度为9m，建筑面积594 m</w:t>
            </w:r>
            <w:r>
              <w:rPr>
                <w:rFonts w:eastAsiaTheme="minorEastAsia"/>
                <w:sz w:val="21"/>
                <w:szCs w:val="21"/>
                <w:vertAlign w:val="superscript"/>
              </w:rPr>
              <w:t>2</w:t>
            </w:r>
            <w:r>
              <w:rPr>
                <w:rFonts w:eastAsiaTheme="minorEastAsia"/>
                <w:sz w:val="21"/>
                <w:szCs w:val="21"/>
              </w:rPr>
              <w:t>，占地面积297 m</w:t>
            </w:r>
            <w:r>
              <w:rPr>
                <w:rFonts w:eastAsiaTheme="minorEastAsia"/>
                <w:sz w:val="21"/>
                <w:szCs w:val="21"/>
                <w:vertAlign w:val="superscript"/>
              </w:rPr>
              <w:t>2</w:t>
            </w:r>
            <w:r>
              <w:rPr>
                <w:rFonts w:eastAsiaTheme="minorEastAsia"/>
                <w:sz w:val="21"/>
                <w:szCs w:val="21"/>
              </w:rPr>
              <w:t>。功能包含有办公室、配电间、消防控制室、通信控制室、消防设备用房等功能。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环保工程</w:t>
            </w: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废水</w:t>
            </w:r>
          </w:p>
        </w:tc>
        <w:tc>
          <w:tcPr>
            <w:tcW w:w="4146" w:type="pct"/>
            <w:vAlign w:val="center"/>
          </w:tcPr>
          <w:p>
            <w:pPr>
              <w:autoSpaceDE w:val="0"/>
              <w:autoSpaceDN w:val="0"/>
              <w:adjustRightInd w:val="0"/>
              <w:snapToGrid w:val="0"/>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初期雨水和冲洗废水经后方港口部污水处理站调节、隔油池、除油、气浮处理达到《污水综合排放标准》（GB8978-1996）三级标准水质要求后，再与经一体化模压式净化槽处理后的码头部生活污水一同通过污水管网进入长岭分公司第二污水处理厂，长岭分公司第二污水处理厂污水处理达到《石油炼制工业污染物排放标准》（GB31570-2015）表1中直接排放限值后排入长江；船舶污水（包括船舶含油污水、生活污水）由海事部门回收船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4146" w:type="pct"/>
            <w:vAlign w:val="center"/>
          </w:tcPr>
          <w:p>
            <w:pPr>
              <w:autoSpaceDE w:val="0"/>
              <w:autoSpaceDN w:val="0"/>
              <w:adjustRightInd w:val="0"/>
              <w:snapToGrid w:val="0"/>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新建油气回收装置1套，油气回收装置处理量为1×1500Nm</w:t>
            </w:r>
            <w:r>
              <w:rPr>
                <w:rFonts w:ascii="Times New Roman" w:hAnsi="Times New Roman" w:eastAsiaTheme="minorEastAsia"/>
                <w:color w:val="000000"/>
                <w:kern w:val="0"/>
                <w:vertAlign w:val="superscript"/>
              </w:rPr>
              <w:t>3</w:t>
            </w:r>
            <w:r>
              <w:rPr>
                <w:rFonts w:ascii="Times New Roman" w:hAnsi="Times New Roman" w:eastAsiaTheme="minorEastAsia"/>
                <w:color w:val="000000"/>
                <w:kern w:val="0"/>
              </w:rPr>
              <w:t>/h，采用“压缩+冷凝吸收+膜分离+吸附”工艺技术路线，液环式压缩机液环液及吸收部分吸收液采用成品柴油及回收液浅冷循环使用。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固废</w:t>
            </w:r>
          </w:p>
        </w:tc>
        <w:tc>
          <w:tcPr>
            <w:tcW w:w="4146" w:type="pct"/>
            <w:vAlign w:val="center"/>
          </w:tcPr>
          <w:p>
            <w:pPr>
              <w:autoSpaceDE w:val="0"/>
              <w:autoSpaceDN w:val="0"/>
              <w:adjustRightInd w:val="0"/>
              <w:snapToGrid w:val="0"/>
              <w:ind w:firstLine="420" w:firstLineChars="200"/>
              <w:jc w:val="left"/>
              <w:rPr>
                <w:rFonts w:hint="default" w:ascii="Times New Roman" w:hAnsi="Times New Roman" w:eastAsiaTheme="minorEastAsia"/>
                <w:color w:val="000000"/>
                <w:kern w:val="0"/>
                <w:lang w:val="en-US"/>
              </w:rPr>
            </w:pPr>
            <w:r>
              <w:rPr>
                <w:rFonts w:ascii="Times New Roman" w:hAnsi="Times New Roman" w:eastAsiaTheme="minorEastAsia"/>
                <w:color w:val="000000"/>
                <w:kern w:val="0"/>
              </w:rPr>
              <w:t>设置危险废物暂存间、生活垃圾箱。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噪声</w:t>
            </w:r>
          </w:p>
        </w:tc>
        <w:tc>
          <w:tcPr>
            <w:tcW w:w="4146" w:type="pct"/>
            <w:vAlign w:val="center"/>
          </w:tcPr>
          <w:p>
            <w:pPr>
              <w:autoSpaceDE w:val="0"/>
              <w:autoSpaceDN w:val="0"/>
              <w:adjustRightInd w:val="0"/>
              <w:snapToGrid w:val="0"/>
              <w:ind w:firstLine="420" w:firstLineChars="200"/>
              <w:jc w:val="left"/>
              <w:rPr>
                <w:rFonts w:ascii="Times New Roman" w:hAnsi="Times New Roman" w:eastAsiaTheme="minorEastAsia"/>
                <w:color w:val="000000"/>
                <w:kern w:val="0"/>
              </w:rPr>
            </w:pPr>
            <w:r>
              <w:rPr>
                <w:rFonts w:ascii="Times New Roman" w:hAnsi="Times New Roman" w:eastAsiaTheme="minorEastAsia"/>
                <w:color w:val="000000"/>
                <w:kern w:val="0"/>
              </w:rPr>
              <w:t>选用低噪声设备，对高噪声设备采用基础减振、隔音、消声等降噪措。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依托工程</w:t>
            </w: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废水处理设施</w:t>
            </w:r>
          </w:p>
        </w:tc>
        <w:tc>
          <w:tcPr>
            <w:tcW w:w="4146" w:type="pct"/>
            <w:vAlign w:val="center"/>
          </w:tcPr>
          <w:p>
            <w:pPr>
              <w:autoSpaceDE w:val="0"/>
              <w:autoSpaceDN w:val="0"/>
              <w:adjustRightInd w:val="0"/>
              <w:snapToGrid w:val="0"/>
              <w:ind w:firstLine="420" w:firstLineChars="200"/>
              <w:jc w:val="left"/>
              <w:rPr>
                <w:rFonts w:ascii="Times New Roman" w:hAnsi="Times New Roman" w:eastAsiaTheme="minorEastAsia"/>
                <w:color w:val="000000"/>
                <w:kern w:val="0"/>
              </w:rPr>
            </w:pPr>
            <w:r>
              <w:rPr>
                <w:rFonts w:ascii="Times New Roman" w:hAnsi="Times New Roman" w:eastAsiaTheme="minorEastAsia"/>
                <w:color w:val="000000"/>
                <w:kern w:val="0"/>
              </w:rPr>
              <w:t>初期雨水和冲洗废水预处理依托后方港口部的污水处理站，可达到长岭分公司第二污水处理厂污水管网的接管要求。</w:t>
            </w:r>
          </w:p>
        </w:tc>
      </w:tr>
    </w:tbl>
    <w:p>
      <w:pPr>
        <w:pStyle w:val="105"/>
        <w:tabs>
          <w:tab w:val="left" w:pos="900"/>
        </w:tabs>
        <w:adjustRightInd w:val="0"/>
        <w:snapToGrid w:val="0"/>
        <w:spacing w:line="360" w:lineRule="auto"/>
        <w:ind w:firstLine="480"/>
        <w:rPr>
          <w:rFonts w:eastAsiaTheme="minorEastAsia"/>
          <w:color w:val="000000" w:themeColor="text1"/>
          <w14:textFill>
            <w14:solidFill>
              <w14:schemeClr w14:val="tx1"/>
            </w14:solidFill>
          </w14:textFill>
        </w:rPr>
      </w:pPr>
    </w:p>
    <w:p>
      <w:pPr>
        <w:pStyle w:val="105"/>
        <w:tabs>
          <w:tab w:val="left" w:pos="900"/>
        </w:tabs>
        <w:adjustRightInd w:val="0"/>
        <w:snapToGrid w:val="0"/>
        <w:spacing w:line="360" w:lineRule="auto"/>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本项目主要经济技术指标见下表。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表3.2-2  本项目主要技术经济指标</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0"/>
        <w:gridCol w:w="1249"/>
        <w:gridCol w:w="2108"/>
        <w:gridCol w:w="2568"/>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pct"/>
            <w:tcBorders>
              <w:top w:val="single" w:color="auto" w:sz="12" w:space="0"/>
              <w:left w:val="single" w:color="auto" w:sz="12" w:space="0"/>
            </w:tcBorders>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编号</w:t>
            </w:r>
          </w:p>
        </w:tc>
        <w:tc>
          <w:tcPr>
            <w:tcW w:w="1844" w:type="pct"/>
            <w:gridSpan w:val="2"/>
            <w:tcBorders>
              <w:top w:val="single" w:color="auto" w:sz="12" w:space="0"/>
            </w:tcBorders>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项目</w:t>
            </w:r>
          </w:p>
        </w:tc>
        <w:tc>
          <w:tcPr>
            <w:tcW w:w="1411" w:type="pct"/>
            <w:tcBorders>
              <w:top w:val="single" w:color="auto" w:sz="12" w:space="0"/>
            </w:tcBorders>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单位</w:t>
            </w:r>
          </w:p>
        </w:tc>
        <w:tc>
          <w:tcPr>
            <w:tcW w:w="1251" w:type="pct"/>
            <w:tcBorders>
              <w:top w:val="single" w:color="auto" w:sz="12" w:space="0"/>
              <w:right w:val="single" w:color="auto" w:sz="12" w:space="0"/>
            </w:tcBorders>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5"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844"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泊位吨级</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吨级</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5000兼3000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1844"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泊位数</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个</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5"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1844"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占用岸线长度</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m</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1844"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泊位年运营天数</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天</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5"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844"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作业班数</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班</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5" w:type="pct"/>
            <w:vMerge w:val="restar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686"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年吞吐量</w:t>
            </w:r>
          </w:p>
        </w:tc>
        <w:tc>
          <w:tcPr>
            <w:tcW w:w="115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进口</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万吨/年</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pct"/>
            <w:vMerge w:val="continue"/>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p>
        </w:tc>
        <w:tc>
          <w:tcPr>
            <w:tcW w:w="686"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15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出口</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万吨/年</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1844"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通过能力</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万吨/年</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5"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1844"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定员</w:t>
            </w:r>
          </w:p>
        </w:tc>
        <w:tc>
          <w:tcPr>
            <w:tcW w:w="14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人</w:t>
            </w:r>
          </w:p>
        </w:tc>
        <w:tc>
          <w:tcPr>
            <w:tcW w:w="1251"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pct"/>
            <w:tcBorders>
              <w:left w:val="single" w:color="auto" w:sz="12" w:space="0"/>
              <w:bottom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1844" w:type="pct"/>
            <w:gridSpan w:val="2"/>
            <w:tcBorders>
              <w:bottom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投资估算</w:t>
            </w:r>
          </w:p>
        </w:tc>
        <w:tc>
          <w:tcPr>
            <w:tcW w:w="1411" w:type="pct"/>
            <w:tcBorders>
              <w:bottom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万元</w:t>
            </w:r>
          </w:p>
        </w:tc>
        <w:tc>
          <w:tcPr>
            <w:tcW w:w="1251" w:type="pct"/>
            <w:tcBorders>
              <w:bottom w:val="single" w:color="auto" w:sz="12" w:space="0"/>
              <w:right w:val="single" w:color="auto"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lang w:bidi="ar"/>
              </w:rPr>
              <w:t>29398.67</w:t>
            </w:r>
          </w:p>
        </w:tc>
      </w:tr>
    </w:tbl>
    <w:p>
      <w:pPr>
        <w:pStyle w:val="313"/>
        <w:tabs>
          <w:tab w:val="right" w:leader="dot" w:pos="9070"/>
        </w:tabs>
        <w:adjustRightInd w:val="0"/>
        <w:snapToGrid w:val="0"/>
        <w:spacing w:line="360" w:lineRule="auto"/>
        <w:ind w:firstLine="480" w:firstLineChars="200"/>
        <w:rPr>
          <w:rFonts w:eastAsiaTheme="minorEastAsia"/>
          <w:sz w:val="24"/>
          <w:szCs w:val="24"/>
          <w:highlight w:val="yellow"/>
        </w:rPr>
      </w:pPr>
    </w:p>
    <w:p>
      <w:pPr>
        <w:pStyle w:val="4"/>
        <w:rPr>
          <w:rFonts w:eastAsiaTheme="minorEastAsia"/>
        </w:rPr>
      </w:pPr>
      <w:r>
        <w:rPr>
          <w:rFonts w:eastAsiaTheme="minorEastAsia"/>
        </w:rPr>
        <w:t>主要货种及吞吐量预测</w:t>
      </w:r>
    </w:p>
    <w:p>
      <w:pPr>
        <w:pStyle w:val="313"/>
        <w:tabs>
          <w:tab w:val="right" w:leader="dot" w:pos="9070"/>
        </w:tabs>
        <w:adjustRightInd w:val="0"/>
        <w:snapToGrid w:val="0"/>
        <w:spacing w:line="360" w:lineRule="auto"/>
        <w:ind w:firstLine="480" w:firstLineChars="200"/>
        <w:rPr>
          <w:rFonts w:eastAsiaTheme="minorEastAsia"/>
          <w:sz w:val="24"/>
          <w:szCs w:val="24"/>
          <w:lang w:val="en-GB"/>
        </w:rPr>
      </w:pPr>
      <w:r>
        <w:rPr>
          <w:rFonts w:eastAsiaTheme="minorEastAsia"/>
          <w:color w:val="000000"/>
          <w:sz w:val="24"/>
          <w:szCs w:val="24"/>
          <w:lang w:bidi="ar"/>
        </w:rPr>
        <w:t>本项目运输货种共有绥中油、0#柴油、汽油、乙烯石脑油、二甲苯、丁酮、乙酸仲丁酯、沥青、重整石脑油、乙酸甲酯、醋酸和蜡油/渣油等12种。</w:t>
      </w:r>
      <w:r>
        <w:rPr>
          <w:rFonts w:eastAsiaTheme="minorEastAsia"/>
          <w:sz w:val="24"/>
          <w:szCs w:val="24"/>
          <w:lang w:val="en-GB"/>
        </w:rPr>
        <w:t>本项目吞吐量安排、集疏运量、货物流量流向详见表3.2-3、表3.2-</w:t>
      </w:r>
      <w:r>
        <w:rPr>
          <w:rFonts w:eastAsiaTheme="minorEastAsia"/>
          <w:sz w:val="24"/>
          <w:szCs w:val="24"/>
        </w:rPr>
        <w:t>4</w:t>
      </w:r>
      <w:r>
        <w:rPr>
          <w:rFonts w:eastAsiaTheme="minorEastAsia"/>
          <w:sz w:val="24"/>
          <w:szCs w:val="24"/>
          <w:lang w:val="en-GB"/>
        </w:rPr>
        <w:t>。</w:t>
      </w: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表3.2-3  2025年本项目吞吐量安排           </w:t>
      </w:r>
      <w:r>
        <w:rPr>
          <w:rFonts w:ascii="Times New Roman" w:hAnsi="Times New Roman" w:eastAsiaTheme="minorEastAsia"/>
          <w:color w:val="000000"/>
          <w:sz w:val="24"/>
          <w:szCs w:val="24"/>
        </w:rPr>
        <w:t>单位：万吨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3618"/>
        <w:gridCol w:w="2739"/>
        <w:gridCol w:w="274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货种</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进口</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出口</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绥中油</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55</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0#柴油</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汽油</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乙烯石脑油</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二甲苯</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丁酮</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乙酸仲丁酯</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沥青</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重整石脑油</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乙酸甲酯</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醋酸</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蜡油/渣油</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jc w:val="center"/>
        </w:trPr>
        <w:tc>
          <w:tcPr>
            <w:tcW w:w="1988"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合计</w:t>
            </w:r>
          </w:p>
        </w:tc>
        <w:tc>
          <w:tcPr>
            <w:tcW w:w="1505"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231</w:t>
            </w:r>
          </w:p>
        </w:tc>
        <w:tc>
          <w:tcPr>
            <w:tcW w:w="1507" w:type="pct"/>
            <w:shd w:val="clear" w:color="auto" w:fill="auto"/>
            <w:noWrap/>
            <w:tcMar>
              <w:top w:w="12" w:type="dxa"/>
              <w:left w:w="12" w:type="dxa"/>
              <w:right w:w="12"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171</w:t>
            </w:r>
          </w:p>
        </w:tc>
      </w:tr>
    </w:tbl>
    <w:p>
      <w:pPr>
        <w:pStyle w:val="313"/>
        <w:tabs>
          <w:tab w:val="right" w:leader="dot" w:pos="9070"/>
        </w:tabs>
        <w:adjustRightInd w:val="0"/>
        <w:snapToGrid w:val="0"/>
        <w:spacing w:line="360" w:lineRule="auto"/>
        <w:ind w:firstLine="480" w:firstLineChars="200"/>
        <w:rPr>
          <w:rFonts w:eastAsiaTheme="minorEastAsia"/>
          <w:color w:val="000000"/>
          <w:sz w:val="24"/>
          <w:szCs w:val="24"/>
          <w:lang w:bidi="ar"/>
        </w:rPr>
      </w:pP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表3.2-4  2025年本项目集疏运量与集疏运方式       </w:t>
      </w:r>
      <w:r>
        <w:rPr>
          <w:rFonts w:ascii="Times New Roman" w:hAnsi="Times New Roman" w:eastAsiaTheme="minorEastAsia"/>
          <w:color w:val="000000"/>
          <w:sz w:val="24"/>
          <w:szCs w:val="24"/>
        </w:rPr>
        <w:t>单位：万吨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048"/>
        <w:gridCol w:w="742"/>
        <w:gridCol w:w="743"/>
        <w:gridCol w:w="759"/>
        <w:gridCol w:w="777"/>
        <w:gridCol w:w="784"/>
        <w:gridCol w:w="743"/>
        <w:gridCol w:w="743"/>
        <w:gridCol w:w="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vMerge w:val="restart"/>
            <w:noWrap/>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货种</w:t>
            </w:r>
          </w:p>
        </w:tc>
        <w:tc>
          <w:tcPr>
            <w:tcW w:w="1660" w:type="pct"/>
            <w:gridSpan w:val="4"/>
            <w:noWrap/>
            <w:vAlign w:val="center"/>
          </w:tcPr>
          <w:p>
            <w:pPr>
              <w:pStyle w:val="347"/>
              <w:adjustRightInd w:val="0"/>
              <w:snapToGrid w:val="0"/>
              <w:rPr>
                <w:rFonts w:eastAsiaTheme="minorEastAsia"/>
                <w:b/>
                <w:sz w:val="21"/>
                <w:szCs w:val="21"/>
              </w:rPr>
            </w:pPr>
            <w:r>
              <w:rPr>
                <w:rFonts w:eastAsiaTheme="minorEastAsia"/>
                <w:b/>
                <w:sz w:val="21"/>
                <w:szCs w:val="21"/>
              </w:rPr>
              <w:t>集运</w:t>
            </w:r>
          </w:p>
        </w:tc>
        <w:tc>
          <w:tcPr>
            <w:tcW w:w="1666" w:type="pct"/>
            <w:gridSpan w:val="4"/>
            <w:noWrap/>
            <w:vAlign w:val="center"/>
          </w:tcPr>
          <w:p>
            <w:pPr>
              <w:pStyle w:val="347"/>
              <w:adjustRightInd w:val="0"/>
              <w:snapToGrid w:val="0"/>
              <w:rPr>
                <w:rFonts w:eastAsiaTheme="minorEastAsia"/>
                <w:b/>
                <w:sz w:val="21"/>
                <w:szCs w:val="21"/>
              </w:rPr>
            </w:pPr>
            <w:r>
              <w:rPr>
                <w:rFonts w:eastAsiaTheme="minorEastAsia"/>
                <w:b/>
                <w:sz w:val="21"/>
                <w:szCs w:val="21"/>
              </w:rPr>
              <w:t>输运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vMerge w:val="continue"/>
            <w:vAlign w:val="center"/>
          </w:tcPr>
          <w:p>
            <w:pPr>
              <w:adjustRightInd w:val="0"/>
              <w:snapToGrid w:val="0"/>
              <w:rPr>
                <w:rFonts w:ascii="Times New Roman" w:hAnsi="Times New Roman" w:eastAsiaTheme="minorEastAsia"/>
                <w:b/>
              </w:rPr>
            </w:pPr>
          </w:p>
        </w:tc>
        <w:tc>
          <w:tcPr>
            <w:tcW w:w="408" w:type="pct"/>
            <w:noWrap/>
            <w:vAlign w:val="center"/>
          </w:tcPr>
          <w:p>
            <w:pPr>
              <w:pStyle w:val="347"/>
              <w:adjustRightInd w:val="0"/>
              <w:snapToGrid w:val="0"/>
              <w:rPr>
                <w:rFonts w:eastAsiaTheme="minorEastAsia"/>
                <w:b/>
                <w:sz w:val="21"/>
                <w:szCs w:val="21"/>
              </w:rPr>
            </w:pPr>
            <w:r>
              <w:rPr>
                <w:rFonts w:eastAsiaTheme="minorEastAsia"/>
                <w:b/>
                <w:sz w:val="21"/>
                <w:szCs w:val="21"/>
              </w:rPr>
              <w:t>公路</w:t>
            </w:r>
          </w:p>
        </w:tc>
        <w:tc>
          <w:tcPr>
            <w:tcW w:w="408" w:type="pct"/>
            <w:noWrap/>
            <w:vAlign w:val="center"/>
          </w:tcPr>
          <w:p>
            <w:pPr>
              <w:pStyle w:val="347"/>
              <w:adjustRightInd w:val="0"/>
              <w:snapToGrid w:val="0"/>
              <w:rPr>
                <w:rFonts w:eastAsiaTheme="minorEastAsia"/>
                <w:b/>
                <w:sz w:val="21"/>
                <w:szCs w:val="21"/>
              </w:rPr>
            </w:pPr>
            <w:r>
              <w:rPr>
                <w:rFonts w:eastAsiaTheme="minorEastAsia"/>
                <w:b/>
                <w:sz w:val="21"/>
                <w:szCs w:val="21"/>
              </w:rPr>
              <w:t>管道</w:t>
            </w:r>
          </w:p>
        </w:tc>
        <w:tc>
          <w:tcPr>
            <w:tcW w:w="417" w:type="pct"/>
            <w:noWrap/>
            <w:vAlign w:val="center"/>
          </w:tcPr>
          <w:p>
            <w:pPr>
              <w:pStyle w:val="347"/>
              <w:adjustRightInd w:val="0"/>
              <w:snapToGrid w:val="0"/>
              <w:rPr>
                <w:rFonts w:eastAsiaTheme="minorEastAsia"/>
                <w:b/>
                <w:sz w:val="21"/>
                <w:szCs w:val="21"/>
              </w:rPr>
            </w:pPr>
            <w:r>
              <w:rPr>
                <w:rFonts w:eastAsiaTheme="minorEastAsia"/>
                <w:b/>
                <w:sz w:val="21"/>
                <w:szCs w:val="21"/>
              </w:rPr>
              <w:t>水路</w:t>
            </w:r>
          </w:p>
        </w:tc>
        <w:tc>
          <w:tcPr>
            <w:tcW w:w="427" w:type="pct"/>
            <w:vAlign w:val="center"/>
          </w:tcPr>
          <w:p>
            <w:pPr>
              <w:pStyle w:val="347"/>
              <w:adjustRightInd w:val="0"/>
              <w:snapToGrid w:val="0"/>
              <w:rPr>
                <w:rFonts w:eastAsiaTheme="minorEastAsia"/>
                <w:b/>
                <w:sz w:val="21"/>
                <w:szCs w:val="21"/>
              </w:rPr>
            </w:pPr>
            <w:r>
              <w:rPr>
                <w:rFonts w:eastAsiaTheme="minorEastAsia"/>
                <w:b/>
                <w:sz w:val="21"/>
                <w:szCs w:val="21"/>
              </w:rPr>
              <w:t>合计</w:t>
            </w:r>
          </w:p>
        </w:tc>
        <w:tc>
          <w:tcPr>
            <w:tcW w:w="431" w:type="pct"/>
            <w:noWrap/>
            <w:vAlign w:val="center"/>
          </w:tcPr>
          <w:p>
            <w:pPr>
              <w:pStyle w:val="347"/>
              <w:adjustRightInd w:val="0"/>
              <w:snapToGrid w:val="0"/>
              <w:rPr>
                <w:rFonts w:eastAsiaTheme="minorEastAsia"/>
                <w:b/>
                <w:sz w:val="21"/>
                <w:szCs w:val="21"/>
              </w:rPr>
            </w:pPr>
            <w:r>
              <w:rPr>
                <w:rFonts w:eastAsiaTheme="minorEastAsia"/>
                <w:b/>
                <w:sz w:val="21"/>
                <w:szCs w:val="21"/>
              </w:rPr>
              <w:t>公路</w:t>
            </w:r>
          </w:p>
        </w:tc>
        <w:tc>
          <w:tcPr>
            <w:tcW w:w="408" w:type="pct"/>
            <w:noWrap/>
            <w:vAlign w:val="center"/>
          </w:tcPr>
          <w:p>
            <w:pPr>
              <w:pStyle w:val="347"/>
              <w:adjustRightInd w:val="0"/>
              <w:snapToGrid w:val="0"/>
              <w:rPr>
                <w:rFonts w:eastAsiaTheme="minorEastAsia"/>
                <w:b/>
                <w:sz w:val="21"/>
                <w:szCs w:val="21"/>
              </w:rPr>
            </w:pPr>
            <w:r>
              <w:rPr>
                <w:rFonts w:eastAsiaTheme="minorEastAsia"/>
                <w:b/>
                <w:sz w:val="21"/>
                <w:szCs w:val="21"/>
              </w:rPr>
              <w:t>管道</w:t>
            </w:r>
          </w:p>
        </w:tc>
        <w:tc>
          <w:tcPr>
            <w:tcW w:w="408" w:type="pct"/>
            <w:noWrap/>
            <w:vAlign w:val="center"/>
          </w:tcPr>
          <w:p>
            <w:pPr>
              <w:pStyle w:val="347"/>
              <w:adjustRightInd w:val="0"/>
              <w:snapToGrid w:val="0"/>
              <w:rPr>
                <w:rFonts w:eastAsiaTheme="minorEastAsia"/>
                <w:b/>
                <w:sz w:val="21"/>
                <w:szCs w:val="21"/>
              </w:rPr>
            </w:pPr>
            <w:r>
              <w:rPr>
                <w:rFonts w:eastAsiaTheme="minorEastAsia"/>
                <w:b/>
                <w:sz w:val="21"/>
                <w:szCs w:val="21"/>
              </w:rPr>
              <w:t>水路</w:t>
            </w:r>
          </w:p>
        </w:tc>
        <w:tc>
          <w:tcPr>
            <w:tcW w:w="418" w:type="pct"/>
            <w:vAlign w:val="center"/>
          </w:tcPr>
          <w:p>
            <w:pPr>
              <w:pStyle w:val="347"/>
              <w:adjustRightInd w:val="0"/>
              <w:snapToGrid w:val="0"/>
              <w:rPr>
                <w:rFonts w:eastAsiaTheme="minorEastAsia"/>
                <w:b/>
                <w:sz w:val="21"/>
                <w:szCs w:val="21"/>
              </w:rPr>
            </w:pPr>
            <w:r>
              <w:rPr>
                <w:rFonts w:eastAsiaTheme="minorEastAsia"/>
                <w:b/>
                <w:sz w:val="21"/>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绥中油</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55</w:t>
            </w: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55</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110</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55</w:t>
            </w: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55</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0#柴油</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70</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70</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70</w:t>
            </w:r>
          </w:p>
        </w:tc>
        <w:tc>
          <w:tcPr>
            <w:tcW w:w="408" w:type="pct"/>
            <w:noWrap/>
            <w:vAlign w:val="center"/>
          </w:tcPr>
          <w:p>
            <w:pPr>
              <w:adjustRightInd w:val="0"/>
              <w:snapToGrid w:val="0"/>
              <w:jc w:val="center"/>
              <w:rPr>
                <w:rFonts w:ascii="Times New Roman" w:hAnsi="Times New Roman" w:eastAsiaTheme="minorEastAsia"/>
                <w:kern w:val="0"/>
              </w:rPr>
            </w:pP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汽油</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25</w:t>
            </w: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60</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85</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60</w:t>
            </w: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25</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乙烯石脑油</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45</w:t>
            </w:r>
          </w:p>
        </w:tc>
        <w:tc>
          <w:tcPr>
            <w:tcW w:w="417" w:type="pct"/>
            <w:noWrap/>
            <w:vAlign w:val="center"/>
          </w:tcPr>
          <w:p>
            <w:pPr>
              <w:adjustRightInd w:val="0"/>
              <w:snapToGrid w:val="0"/>
              <w:jc w:val="center"/>
              <w:rPr>
                <w:rFonts w:ascii="Times New Roman" w:hAnsi="Times New Roman" w:eastAsiaTheme="minorEastAsia"/>
                <w:kern w:val="0"/>
              </w:rPr>
            </w:pP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45</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45</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二甲苯</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25</w:t>
            </w:r>
          </w:p>
        </w:tc>
        <w:tc>
          <w:tcPr>
            <w:tcW w:w="417" w:type="pct"/>
            <w:noWrap/>
            <w:vAlign w:val="center"/>
          </w:tcPr>
          <w:p>
            <w:pPr>
              <w:adjustRightInd w:val="0"/>
              <w:snapToGrid w:val="0"/>
              <w:jc w:val="center"/>
              <w:rPr>
                <w:rFonts w:ascii="Times New Roman" w:hAnsi="Times New Roman" w:eastAsiaTheme="minorEastAsia"/>
                <w:kern w:val="0"/>
              </w:rPr>
            </w:pP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25</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25</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丁酮</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6</w:t>
            </w:r>
          </w:p>
        </w:tc>
        <w:tc>
          <w:tcPr>
            <w:tcW w:w="417" w:type="pct"/>
            <w:noWrap/>
            <w:vAlign w:val="center"/>
          </w:tcPr>
          <w:p>
            <w:pPr>
              <w:adjustRightInd w:val="0"/>
              <w:snapToGrid w:val="0"/>
              <w:jc w:val="center"/>
              <w:rPr>
                <w:rFonts w:ascii="Times New Roman" w:hAnsi="Times New Roman" w:eastAsiaTheme="minorEastAsia"/>
                <w:kern w:val="0"/>
              </w:rPr>
            </w:pP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6</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6</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乙酸仲丁酯</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c>
          <w:tcPr>
            <w:tcW w:w="417" w:type="pct"/>
            <w:noWrap/>
            <w:vAlign w:val="center"/>
          </w:tcPr>
          <w:p>
            <w:pPr>
              <w:adjustRightInd w:val="0"/>
              <w:snapToGrid w:val="0"/>
              <w:jc w:val="center"/>
              <w:rPr>
                <w:rFonts w:ascii="Times New Roman" w:hAnsi="Times New Roman" w:eastAsiaTheme="minorEastAsia"/>
                <w:kern w:val="0"/>
              </w:rPr>
            </w:pP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沥青</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15</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20</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15</w:t>
            </w: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重整石脑油</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c>
          <w:tcPr>
            <w:tcW w:w="408" w:type="pct"/>
            <w:noWrap/>
            <w:vAlign w:val="center"/>
          </w:tcPr>
          <w:p>
            <w:pPr>
              <w:adjustRightInd w:val="0"/>
              <w:snapToGrid w:val="0"/>
              <w:jc w:val="center"/>
              <w:rPr>
                <w:rFonts w:ascii="Times New Roman" w:hAnsi="Times New Roman" w:eastAsiaTheme="minorEastAsia"/>
                <w:kern w:val="0"/>
              </w:rPr>
            </w:pP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乙酸甲酯</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08" w:type="pct"/>
            <w:noWrap/>
            <w:vAlign w:val="center"/>
          </w:tcPr>
          <w:p>
            <w:pPr>
              <w:adjustRightInd w:val="0"/>
              <w:snapToGrid w:val="0"/>
              <w:jc w:val="center"/>
              <w:rPr>
                <w:rFonts w:ascii="Times New Roman" w:hAnsi="Times New Roman" w:eastAsiaTheme="minorEastAsia"/>
                <w:kern w:val="0"/>
              </w:rPr>
            </w:pP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醋酸</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c>
          <w:tcPr>
            <w:tcW w:w="408" w:type="pct"/>
            <w:noWrap/>
            <w:vAlign w:val="center"/>
          </w:tcPr>
          <w:p>
            <w:pPr>
              <w:adjustRightInd w:val="0"/>
              <w:snapToGrid w:val="0"/>
              <w:jc w:val="center"/>
              <w:rPr>
                <w:rFonts w:ascii="Times New Roman" w:hAnsi="Times New Roman" w:eastAsiaTheme="minorEastAsia"/>
                <w:kern w:val="0"/>
              </w:rPr>
            </w:pP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蜡油/渣油</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adjustRightInd w:val="0"/>
              <w:snapToGrid w:val="0"/>
              <w:jc w:val="center"/>
              <w:rPr>
                <w:rFonts w:ascii="Times New Roman" w:hAnsi="Times New Roman" w:eastAsiaTheme="minorEastAsia"/>
                <w:kern w:val="0"/>
              </w:rPr>
            </w:pPr>
          </w:p>
        </w:tc>
        <w:tc>
          <w:tcPr>
            <w:tcW w:w="417"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11</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11</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11</w:t>
            </w:r>
          </w:p>
        </w:tc>
        <w:tc>
          <w:tcPr>
            <w:tcW w:w="408" w:type="pct"/>
            <w:noWrap/>
            <w:vAlign w:val="center"/>
          </w:tcPr>
          <w:p>
            <w:pPr>
              <w:adjustRightInd w:val="0"/>
              <w:snapToGrid w:val="0"/>
              <w:jc w:val="center"/>
              <w:rPr>
                <w:rFonts w:ascii="Times New Roman" w:hAnsi="Times New Roman" w:eastAsiaTheme="minorEastAsia"/>
                <w:kern w:val="0"/>
              </w:rPr>
            </w:pP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75" w:type="pct"/>
            <w:noWrap/>
            <w:vAlign w:val="center"/>
          </w:tcPr>
          <w:p>
            <w:pPr>
              <w:pStyle w:val="347"/>
              <w:adjustRightInd w:val="0"/>
              <w:snapToGrid w:val="0"/>
              <w:rPr>
                <w:rFonts w:eastAsiaTheme="minorEastAsia"/>
                <w:sz w:val="21"/>
                <w:szCs w:val="21"/>
              </w:rPr>
            </w:pPr>
            <w:r>
              <w:rPr>
                <w:rFonts w:eastAsiaTheme="minorEastAsia"/>
                <w:sz w:val="21"/>
                <w:szCs w:val="21"/>
              </w:rPr>
              <w:t>合计</w:t>
            </w:r>
          </w:p>
        </w:tc>
        <w:tc>
          <w:tcPr>
            <w:tcW w:w="408"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rPr>
            </w:pPr>
            <w:r>
              <w:rPr>
                <w:rFonts w:ascii="Times New Roman" w:hAnsi="Times New Roman" w:eastAsiaTheme="minorEastAsia"/>
                <w:color w:val="000000"/>
                <w:kern w:val="0"/>
              </w:rPr>
              <w:t>171</w:t>
            </w:r>
          </w:p>
        </w:tc>
        <w:tc>
          <w:tcPr>
            <w:tcW w:w="417" w:type="pct"/>
            <w:noWrap/>
            <w:vAlign w:val="center"/>
          </w:tcPr>
          <w:p>
            <w:pPr>
              <w:widowControl/>
              <w:adjustRightInd w:val="0"/>
              <w:snapToGrid w:val="0"/>
              <w:jc w:val="center"/>
              <w:textAlignment w:val="bottom"/>
              <w:rPr>
                <w:rFonts w:ascii="Times New Roman" w:hAnsi="Times New Roman" w:eastAsiaTheme="minorEastAsia"/>
              </w:rPr>
            </w:pPr>
            <w:r>
              <w:rPr>
                <w:rFonts w:ascii="Times New Roman" w:hAnsi="Times New Roman" w:eastAsiaTheme="minorEastAsia"/>
                <w:color w:val="000000"/>
                <w:kern w:val="0"/>
              </w:rPr>
              <w:t>231</w:t>
            </w:r>
          </w:p>
        </w:tc>
        <w:tc>
          <w:tcPr>
            <w:tcW w:w="427"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402</w:t>
            </w:r>
          </w:p>
        </w:tc>
        <w:tc>
          <w:tcPr>
            <w:tcW w:w="431" w:type="pct"/>
            <w:noWrap/>
            <w:vAlign w:val="center"/>
          </w:tcPr>
          <w:p>
            <w:pPr>
              <w:adjustRightInd w:val="0"/>
              <w:snapToGrid w:val="0"/>
              <w:jc w:val="center"/>
              <w:rPr>
                <w:rFonts w:ascii="Times New Roman" w:hAnsi="Times New Roman" w:eastAsiaTheme="minorEastAsia"/>
              </w:rPr>
            </w:pPr>
          </w:p>
        </w:tc>
        <w:tc>
          <w:tcPr>
            <w:tcW w:w="408" w:type="pct"/>
            <w:noWrap/>
            <w:vAlign w:val="center"/>
          </w:tcPr>
          <w:p>
            <w:pPr>
              <w:widowControl/>
              <w:adjustRightInd w:val="0"/>
              <w:snapToGrid w:val="0"/>
              <w:jc w:val="center"/>
              <w:textAlignment w:val="bottom"/>
              <w:rPr>
                <w:rFonts w:ascii="Times New Roman" w:hAnsi="Times New Roman" w:eastAsiaTheme="minorEastAsia"/>
              </w:rPr>
            </w:pPr>
            <w:r>
              <w:rPr>
                <w:rFonts w:ascii="Times New Roman" w:hAnsi="Times New Roman" w:eastAsiaTheme="minorEastAsia"/>
                <w:color w:val="000000"/>
                <w:kern w:val="0"/>
              </w:rPr>
              <w:t>231</w:t>
            </w:r>
          </w:p>
        </w:tc>
        <w:tc>
          <w:tcPr>
            <w:tcW w:w="408" w:type="pct"/>
            <w:noWrap/>
            <w:vAlign w:val="center"/>
          </w:tcPr>
          <w:p>
            <w:pPr>
              <w:widowControl/>
              <w:adjustRightInd w:val="0"/>
              <w:snapToGrid w:val="0"/>
              <w:jc w:val="center"/>
              <w:textAlignment w:val="bottom"/>
              <w:rPr>
                <w:rFonts w:ascii="Times New Roman" w:hAnsi="Times New Roman" w:eastAsiaTheme="minorEastAsia"/>
              </w:rPr>
            </w:pPr>
            <w:r>
              <w:rPr>
                <w:rFonts w:ascii="Times New Roman" w:hAnsi="Times New Roman" w:eastAsiaTheme="minorEastAsia"/>
                <w:color w:val="000000"/>
                <w:kern w:val="0"/>
              </w:rPr>
              <w:t>171</w:t>
            </w:r>
          </w:p>
        </w:tc>
        <w:tc>
          <w:tcPr>
            <w:tcW w:w="418" w:type="pct"/>
            <w:vAlign w:val="center"/>
          </w:tcPr>
          <w:p>
            <w:pPr>
              <w:widowControl/>
              <w:adjustRightInd w:val="0"/>
              <w:snapToGrid w:val="0"/>
              <w:jc w:val="center"/>
              <w:textAlignment w:val="bottom"/>
              <w:rPr>
                <w:rFonts w:ascii="Times New Roman" w:hAnsi="Times New Roman" w:eastAsiaTheme="minorEastAsia"/>
                <w:kern w:val="0"/>
              </w:rPr>
            </w:pPr>
            <w:r>
              <w:rPr>
                <w:rFonts w:ascii="Times New Roman" w:hAnsi="Times New Roman" w:eastAsiaTheme="minorEastAsia"/>
                <w:color w:val="000000"/>
                <w:kern w:val="0"/>
              </w:rPr>
              <w:t>402</w:t>
            </w:r>
          </w:p>
        </w:tc>
      </w:tr>
    </w:tbl>
    <w:p>
      <w:pPr>
        <w:pStyle w:val="313"/>
        <w:tabs>
          <w:tab w:val="right" w:leader="dot" w:pos="9070"/>
        </w:tabs>
        <w:adjustRightInd w:val="0"/>
        <w:snapToGrid w:val="0"/>
        <w:spacing w:line="360" w:lineRule="auto"/>
        <w:ind w:firstLine="480" w:firstLineChars="200"/>
        <w:rPr>
          <w:rFonts w:eastAsiaTheme="minorEastAsia"/>
          <w:color w:val="000000"/>
          <w:sz w:val="24"/>
          <w:szCs w:val="24"/>
          <w:lang w:bidi="ar"/>
        </w:rPr>
      </w:pPr>
    </w:p>
    <w:p>
      <w:pPr>
        <w:pStyle w:val="313"/>
        <w:tabs>
          <w:tab w:val="right" w:leader="dot" w:pos="9070"/>
        </w:tabs>
        <w:adjustRightInd w:val="0"/>
        <w:snapToGrid w:val="0"/>
        <w:spacing w:line="360" w:lineRule="auto"/>
        <w:ind w:firstLine="480" w:firstLineChars="200"/>
        <w:rPr>
          <w:rFonts w:eastAsiaTheme="minorEastAsia"/>
          <w:color w:val="000000"/>
          <w:sz w:val="24"/>
          <w:szCs w:val="24"/>
          <w:lang w:bidi="ar"/>
        </w:rPr>
      </w:pPr>
      <w:r>
        <w:rPr>
          <w:rFonts w:eastAsiaTheme="minorEastAsia"/>
          <w:color w:val="000000"/>
          <w:sz w:val="24"/>
          <w:szCs w:val="24"/>
          <w:lang w:bidi="ar"/>
        </w:rPr>
        <w:t>本项目涉及的危险化学品性质及用途见下表3.2-5。</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表3.2-5  危险化学品种类及用途</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30"/>
        <w:gridCol w:w="1093"/>
        <w:gridCol w:w="1000"/>
        <w:gridCol w:w="856"/>
        <w:gridCol w:w="714"/>
        <w:gridCol w:w="936"/>
        <w:gridCol w:w="765"/>
        <w:gridCol w:w="725"/>
        <w:gridCol w:w="1000"/>
        <w:gridCol w:w="9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566"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物料名称</w:t>
            </w:r>
          </w:p>
        </w:tc>
        <w:tc>
          <w:tcPr>
            <w:tcW w:w="601"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危险化学品分类</w:t>
            </w:r>
          </w:p>
        </w:tc>
        <w:tc>
          <w:tcPr>
            <w:tcW w:w="549"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密度</w:t>
            </w:r>
          </w:p>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themeColor="text1"/>
                <w14:textFill>
                  <w14:solidFill>
                    <w14:schemeClr w14:val="tx1"/>
                  </w14:solidFill>
                </w14:textFill>
              </w:rPr>
              <w:t>kg/</w:t>
            </w:r>
            <w:r>
              <w:rPr>
                <w:rFonts w:ascii="Times New Roman" w:hAnsi="Times New Roman" w:eastAsiaTheme="minorEastAsia"/>
                <w:b/>
                <w:color w:val="000000"/>
              </w:rPr>
              <w:t>m</w:t>
            </w:r>
            <w:r>
              <w:rPr>
                <w:rFonts w:ascii="Times New Roman" w:hAnsi="Times New Roman" w:eastAsiaTheme="minorEastAsia"/>
                <w:b/>
                <w:color w:val="000000"/>
                <w:vertAlign w:val="superscript"/>
              </w:rPr>
              <w:t>3</w:t>
            </w:r>
          </w:p>
        </w:tc>
        <w:tc>
          <w:tcPr>
            <w:tcW w:w="470"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沸点</w:t>
            </w:r>
          </w:p>
          <w:p>
            <w:pPr>
              <w:adjustRightInd w:val="0"/>
              <w:snapToGrid w:val="0"/>
              <w:jc w:val="center"/>
              <w:rPr>
                <w:rFonts w:ascii="Times New Roman" w:hAnsi="Times New Roman" w:eastAsiaTheme="minorEastAsia"/>
                <w:b/>
                <w:color w:val="000000"/>
              </w:rPr>
            </w:pPr>
            <w:r>
              <w:rPr>
                <w:rFonts w:hint="eastAsia" w:ascii="宋体" w:hAnsi="宋体" w:cs="宋体"/>
                <w:b/>
                <w:color w:val="000000"/>
              </w:rPr>
              <w:t>℃</w:t>
            </w:r>
          </w:p>
        </w:tc>
        <w:tc>
          <w:tcPr>
            <w:tcW w:w="392"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凝点</w:t>
            </w:r>
          </w:p>
          <w:p>
            <w:pPr>
              <w:adjustRightInd w:val="0"/>
              <w:snapToGrid w:val="0"/>
              <w:jc w:val="center"/>
              <w:rPr>
                <w:rFonts w:ascii="Times New Roman" w:hAnsi="Times New Roman" w:eastAsiaTheme="minorEastAsia"/>
                <w:b/>
                <w:color w:val="000000"/>
              </w:rPr>
            </w:pPr>
            <w:r>
              <w:rPr>
                <w:rFonts w:hint="eastAsia" w:ascii="宋体" w:hAnsi="宋体" w:cs="宋体"/>
                <w:b/>
                <w:color w:val="000000"/>
              </w:rPr>
              <w:t>℃</w:t>
            </w:r>
          </w:p>
        </w:tc>
        <w:tc>
          <w:tcPr>
            <w:tcW w:w="514"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闪点</w:t>
            </w:r>
          </w:p>
          <w:p>
            <w:pPr>
              <w:adjustRightInd w:val="0"/>
              <w:snapToGrid w:val="0"/>
              <w:jc w:val="center"/>
              <w:rPr>
                <w:rFonts w:ascii="Times New Roman" w:hAnsi="Times New Roman" w:eastAsiaTheme="minorEastAsia"/>
                <w:b/>
                <w:color w:val="000000"/>
              </w:rPr>
            </w:pPr>
            <w:r>
              <w:rPr>
                <w:rFonts w:hint="eastAsia" w:ascii="宋体" w:hAnsi="宋体" w:cs="宋体"/>
                <w:b/>
                <w:color w:val="000000"/>
              </w:rPr>
              <w:t>℃</w:t>
            </w:r>
          </w:p>
        </w:tc>
        <w:tc>
          <w:tcPr>
            <w:tcW w:w="420"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自燃点</w:t>
            </w:r>
          </w:p>
          <w:p>
            <w:pPr>
              <w:adjustRightInd w:val="0"/>
              <w:snapToGrid w:val="0"/>
              <w:jc w:val="center"/>
              <w:rPr>
                <w:rFonts w:ascii="Times New Roman" w:hAnsi="Times New Roman" w:eastAsiaTheme="minorEastAsia"/>
                <w:b/>
                <w:color w:val="000000"/>
              </w:rPr>
            </w:pPr>
            <w:r>
              <w:rPr>
                <w:rFonts w:hint="eastAsia" w:ascii="宋体" w:hAnsi="宋体" w:cs="宋体"/>
                <w:b/>
                <w:color w:val="000000"/>
              </w:rPr>
              <w:t>℃</w:t>
            </w:r>
          </w:p>
        </w:tc>
        <w:tc>
          <w:tcPr>
            <w:tcW w:w="398"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毒性</w:t>
            </w:r>
          </w:p>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等级</w:t>
            </w:r>
          </w:p>
        </w:tc>
        <w:tc>
          <w:tcPr>
            <w:tcW w:w="549"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爆炸极限</w:t>
            </w:r>
          </w:p>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v%</w:t>
            </w:r>
          </w:p>
        </w:tc>
        <w:tc>
          <w:tcPr>
            <w:tcW w:w="539" w:type="pct"/>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火灾危险性分类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蜡油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921</w:t>
            </w:r>
          </w:p>
        </w:tc>
        <w:tc>
          <w:tcPr>
            <w:tcW w:w="470" w:type="pct"/>
            <w:vAlign w:val="center"/>
          </w:tcPr>
          <w:p>
            <w:pPr>
              <w:adjustRightInd w:val="0"/>
              <w:snapToGrid w:val="0"/>
              <w:jc w:val="center"/>
              <w:rPr>
                <w:rFonts w:ascii="Times New Roman" w:hAnsi="Times New Roman" w:eastAsiaTheme="minorEastAsia"/>
                <w:color w:val="000000"/>
              </w:rPr>
            </w:pP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16</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38</w:t>
            </w:r>
          </w:p>
        </w:tc>
        <w:tc>
          <w:tcPr>
            <w:tcW w:w="420" w:type="pct"/>
            <w:vAlign w:val="center"/>
          </w:tcPr>
          <w:p>
            <w:pPr>
              <w:adjustRightInd w:val="0"/>
              <w:snapToGrid w:val="0"/>
              <w:jc w:val="center"/>
              <w:rPr>
                <w:rFonts w:ascii="Times New Roman" w:hAnsi="Times New Roman" w:eastAsiaTheme="minorEastAsia"/>
                <w:color w:val="000000"/>
              </w:rPr>
            </w:pPr>
          </w:p>
        </w:tc>
        <w:tc>
          <w:tcPr>
            <w:tcW w:w="398" w:type="pct"/>
            <w:vAlign w:val="center"/>
          </w:tcPr>
          <w:p>
            <w:pPr>
              <w:adjustRightInd w:val="0"/>
              <w:snapToGrid w:val="0"/>
              <w:jc w:val="center"/>
              <w:rPr>
                <w:rFonts w:ascii="Times New Roman" w:hAnsi="Times New Roman" w:eastAsiaTheme="minorEastAsia"/>
                <w:color w:val="000000"/>
              </w:rPr>
            </w:pPr>
          </w:p>
        </w:tc>
        <w:tc>
          <w:tcPr>
            <w:tcW w:w="549" w:type="pct"/>
            <w:vAlign w:val="center"/>
          </w:tcPr>
          <w:p>
            <w:pPr>
              <w:adjustRightInd w:val="0"/>
              <w:snapToGrid w:val="0"/>
              <w:jc w:val="center"/>
              <w:rPr>
                <w:rFonts w:ascii="Times New Roman" w:hAnsi="Times New Roman" w:eastAsiaTheme="minorEastAsia"/>
                <w:color w:val="000000"/>
              </w:rPr>
            </w:pP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乙A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沥青</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第6类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毒害品</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1150~1250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＜470</w:t>
            </w:r>
          </w:p>
        </w:tc>
        <w:tc>
          <w:tcPr>
            <w:tcW w:w="392" w:type="pct"/>
            <w:vAlign w:val="center"/>
          </w:tcPr>
          <w:p>
            <w:pPr>
              <w:adjustRightInd w:val="0"/>
              <w:snapToGrid w:val="0"/>
              <w:jc w:val="center"/>
              <w:rPr>
                <w:rFonts w:ascii="Times New Roman" w:hAnsi="Times New Roman" w:eastAsiaTheme="minorEastAsia"/>
                <w:color w:val="000000"/>
              </w:rPr>
            </w:pP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204.4</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485</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10~30</w:t>
            </w:r>
          </w:p>
        </w:tc>
        <w:tc>
          <w:tcPr>
            <w:tcW w:w="539" w:type="pct"/>
            <w:vAlign w:val="center"/>
          </w:tcPr>
          <w:p>
            <w:pPr>
              <w:adjustRightInd w:val="0"/>
              <w:snapToGrid w:val="0"/>
              <w:jc w:val="center"/>
              <w:rPr>
                <w:rFonts w:ascii="Times New Roman" w:hAnsi="Times New Roman" w:eastAsiaTheme="minorEastAsia"/>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乙酸甲酯</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920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57.8</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-98.7</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-10</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454</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轻度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3.1~16.0</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重整石脑油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780~970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20~160</w:t>
            </w:r>
          </w:p>
        </w:tc>
        <w:tc>
          <w:tcPr>
            <w:tcW w:w="392" w:type="pct"/>
            <w:vAlign w:val="center"/>
          </w:tcPr>
          <w:p>
            <w:pPr>
              <w:adjustRightInd w:val="0"/>
              <w:snapToGrid w:val="0"/>
              <w:jc w:val="center"/>
              <w:rPr>
                <w:rFonts w:ascii="Times New Roman" w:hAnsi="Times New Roman" w:eastAsiaTheme="minorEastAsia"/>
                <w:color w:val="000000"/>
              </w:rPr>
            </w:pP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-2</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350</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1.1~8.7</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醋酸</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第8.类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酸性腐蚀品</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1050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118.1</w:t>
            </w:r>
          </w:p>
        </w:tc>
        <w:tc>
          <w:tcPr>
            <w:tcW w:w="39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16.7</w:t>
            </w:r>
          </w:p>
        </w:tc>
        <w:tc>
          <w:tcPr>
            <w:tcW w:w="51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39</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463</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4.0~17.0</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乙A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二甲苯</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860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137</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-95</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25</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525</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1.1~7.0</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丁酮</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810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79.6</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-85.9</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404</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1.7~11.4</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乙酸</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仲丁酯</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860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112.3</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-98.9</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19</w:t>
            </w:r>
          </w:p>
        </w:tc>
        <w:tc>
          <w:tcPr>
            <w:tcW w:w="420" w:type="pct"/>
            <w:vAlign w:val="center"/>
          </w:tcPr>
          <w:p>
            <w:pPr>
              <w:adjustRightInd w:val="0"/>
              <w:snapToGrid w:val="0"/>
              <w:jc w:val="center"/>
              <w:rPr>
                <w:rFonts w:ascii="Times New Roman" w:hAnsi="Times New Roman" w:eastAsiaTheme="minorEastAsia"/>
                <w:color w:val="000000"/>
              </w:rPr>
            </w:pP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轻度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1.5~15</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生物柴油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700~900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280~370</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-35~20</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43~87.7</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257</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轻度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2.8~17</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乙B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乙烯</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石脑油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780~970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20~160</w:t>
            </w:r>
          </w:p>
        </w:tc>
        <w:tc>
          <w:tcPr>
            <w:tcW w:w="392" w:type="pct"/>
            <w:vAlign w:val="center"/>
          </w:tcPr>
          <w:p>
            <w:pPr>
              <w:adjustRightInd w:val="0"/>
              <w:snapToGrid w:val="0"/>
              <w:jc w:val="center"/>
              <w:rPr>
                <w:rFonts w:ascii="Times New Roman" w:hAnsi="Times New Roman" w:eastAsiaTheme="minorEastAsia"/>
                <w:color w:val="000000"/>
              </w:rPr>
            </w:pPr>
          </w:p>
        </w:tc>
        <w:tc>
          <w:tcPr>
            <w:tcW w:w="51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w:t>
            </w:r>
          </w:p>
        </w:tc>
        <w:tc>
          <w:tcPr>
            <w:tcW w:w="42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350</w:t>
            </w:r>
          </w:p>
        </w:tc>
        <w:tc>
          <w:tcPr>
            <w:tcW w:w="39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1.1~8.7</w:t>
            </w:r>
          </w:p>
        </w:tc>
        <w:tc>
          <w:tcPr>
            <w:tcW w:w="53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0#柴油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700~900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280~370</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-35~20</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43~87.7</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257</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轻度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2.8~17</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乙B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92#汽油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700~790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40~200</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＜-60</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-50</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415~530</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1.3~6.0</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95#汽油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700~790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40~200</w:t>
            </w:r>
          </w:p>
        </w:tc>
        <w:tc>
          <w:tcPr>
            <w:tcW w:w="39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＜-50</w:t>
            </w: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-60</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415~530</w:t>
            </w:r>
          </w:p>
        </w:tc>
        <w:tc>
          <w:tcPr>
            <w:tcW w:w="39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中度</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1.3~6.0</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绥中油</w:t>
            </w:r>
          </w:p>
        </w:tc>
        <w:tc>
          <w:tcPr>
            <w:tcW w:w="60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第3类</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易燃液体</w:t>
            </w: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780~970</w:t>
            </w:r>
          </w:p>
        </w:tc>
        <w:tc>
          <w:tcPr>
            <w:tcW w:w="47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120~200</w:t>
            </w:r>
          </w:p>
        </w:tc>
        <w:tc>
          <w:tcPr>
            <w:tcW w:w="392" w:type="pct"/>
            <w:vAlign w:val="center"/>
          </w:tcPr>
          <w:p>
            <w:pPr>
              <w:adjustRightInd w:val="0"/>
              <w:snapToGrid w:val="0"/>
              <w:jc w:val="center"/>
              <w:rPr>
                <w:rFonts w:ascii="Times New Roman" w:hAnsi="Times New Roman" w:eastAsiaTheme="minorEastAsia"/>
                <w:color w:val="000000"/>
              </w:rPr>
            </w:pPr>
          </w:p>
        </w:tc>
        <w:tc>
          <w:tcPr>
            <w:tcW w:w="51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-6.7~32.2</w:t>
            </w:r>
          </w:p>
        </w:tc>
        <w:tc>
          <w:tcPr>
            <w:tcW w:w="42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350</w:t>
            </w:r>
          </w:p>
        </w:tc>
        <w:tc>
          <w:tcPr>
            <w:tcW w:w="398" w:type="pct"/>
            <w:vAlign w:val="center"/>
          </w:tcPr>
          <w:p>
            <w:pPr>
              <w:adjustRightInd w:val="0"/>
              <w:snapToGrid w:val="0"/>
              <w:jc w:val="center"/>
              <w:rPr>
                <w:rFonts w:ascii="Times New Roman" w:hAnsi="Times New Roman" w:eastAsiaTheme="minorEastAsia"/>
                <w:color w:val="000000"/>
              </w:rPr>
            </w:pPr>
          </w:p>
        </w:tc>
        <w:tc>
          <w:tcPr>
            <w:tcW w:w="54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1.1~8.7</w:t>
            </w: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6"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其他待定</w:t>
            </w:r>
          </w:p>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化工品</w:t>
            </w:r>
          </w:p>
        </w:tc>
        <w:tc>
          <w:tcPr>
            <w:tcW w:w="601" w:type="pct"/>
            <w:vAlign w:val="center"/>
          </w:tcPr>
          <w:p>
            <w:pPr>
              <w:adjustRightInd w:val="0"/>
              <w:snapToGrid w:val="0"/>
              <w:jc w:val="center"/>
              <w:rPr>
                <w:rFonts w:ascii="Times New Roman" w:hAnsi="Times New Roman" w:eastAsiaTheme="minorEastAsia"/>
                <w:color w:val="000000"/>
              </w:rPr>
            </w:pPr>
          </w:p>
        </w:tc>
        <w:tc>
          <w:tcPr>
            <w:tcW w:w="549" w:type="pct"/>
            <w:vAlign w:val="center"/>
          </w:tcPr>
          <w:p>
            <w:pPr>
              <w:adjustRightInd w:val="0"/>
              <w:snapToGrid w:val="0"/>
              <w:jc w:val="center"/>
              <w:rPr>
                <w:rFonts w:ascii="Times New Roman" w:hAnsi="Times New Roman" w:eastAsiaTheme="minorEastAsia"/>
                <w:color w:val="000000"/>
              </w:rPr>
            </w:pPr>
          </w:p>
        </w:tc>
        <w:tc>
          <w:tcPr>
            <w:tcW w:w="470" w:type="pct"/>
            <w:vAlign w:val="center"/>
          </w:tcPr>
          <w:p>
            <w:pPr>
              <w:adjustRightInd w:val="0"/>
              <w:snapToGrid w:val="0"/>
              <w:jc w:val="center"/>
              <w:rPr>
                <w:rFonts w:ascii="Times New Roman" w:hAnsi="Times New Roman" w:eastAsiaTheme="minorEastAsia"/>
                <w:color w:val="000000"/>
              </w:rPr>
            </w:pPr>
          </w:p>
        </w:tc>
        <w:tc>
          <w:tcPr>
            <w:tcW w:w="392" w:type="pct"/>
            <w:vAlign w:val="center"/>
          </w:tcPr>
          <w:p>
            <w:pPr>
              <w:adjustRightInd w:val="0"/>
              <w:snapToGrid w:val="0"/>
              <w:jc w:val="center"/>
              <w:rPr>
                <w:rFonts w:ascii="Times New Roman" w:hAnsi="Times New Roman" w:eastAsiaTheme="minorEastAsia"/>
                <w:color w:val="000000"/>
              </w:rPr>
            </w:pPr>
          </w:p>
        </w:tc>
        <w:tc>
          <w:tcPr>
            <w:tcW w:w="514" w:type="pct"/>
            <w:vAlign w:val="center"/>
          </w:tcPr>
          <w:p>
            <w:pPr>
              <w:adjustRightInd w:val="0"/>
              <w:snapToGrid w:val="0"/>
              <w:jc w:val="center"/>
              <w:rPr>
                <w:rFonts w:ascii="Times New Roman" w:hAnsi="Times New Roman" w:eastAsiaTheme="minorEastAsia"/>
                <w:color w:val="000000"/>
              </w:rPr>
            </w:pPr>
          </w:p>
        </w:tc>
        <w:tc>
          <w:tcPr>
            <w:tcW w:w="420" w:type="pct"/>
            <w:vAlign w:val="center"/>
          </w:tcPr>
          <w:p>
            <w:pPr>
              <w:adjustRightInd w:val="0"/>
              <w:snapToGrid w:val="0"/>
              <w:jc w:val="center"/>
              <w:rPr>
                <w:rFonts w:ascii="Times New Roman" w:hAnsi="Times New Roman" w:eastAsiaTheme="minorEastAsia"/>
                <w:color w:val="000000"/>
              </w:rPr>
            </w:pPr>
          </w:p>
        </w:tc>
        <w:tc>
          <w:tcPr>
            <w:tcW w:w="398" w:type="pct"/>
            <w:vAlign w:val="center"/>
          </w:tcPr>
          <w:p>
            <w:pPr>
              <w:adjustRightInd w:val="0"/>
              <w:snapToGrid w:val="0"/>
              <w:jc w:val="center"/>
              <w:rPr>
                <w:rFonts w:ascii="Times New Roman" w:hAnsi="Times New Roman" w:eastAsiaTheme="minorEastAsia"/>
                <w:color w:val="000000"/>
              </w:rPr>
            </w:pPr>
          </w:p>
        </w:tc>
        <w:tc>
          <w:tcPr>
            <w:tcW w:w="549" w:type="pct"/>
            <w:vAlign w:val="center"/>
          </w:tcPr>
          <w:p>
            <w:pPr>
              <w:adjustRightInd w:val="0"/>
              <w:snapToGrid w:val="0"/>
              <w:jc w:val="center"/>
              <w:rPr>
                <w:rFonts w:ascii="Times New Roman" w:hAnsi="Times New Roman" w:eastAsiaTheme="minorEastAsia"/>
                <w:color w:val="000000"/>
              </w:rPr>
            </w:pPr>
          </w:p>
        </w:tc>
        <w:tc>
          <w:tcPr>
            <w:tcW w:w="53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color w:val="000000"/>
              </w:rPr>
              <w:t>甲B</w:t>
            </w:r>
          </w:p>
        </w:tc>
      </w:tr>
    </w:tbl>
    <w:p>
      <w:pPr>
        <w:pStyle w:val="313"/>
        <w:tabs>
          <w:tab w:val="right" w:leader="dot" w:pos="9070"/>
        </w:tabs>
        <w:adjustRightInd w:val="0"/>
        <w:snapToGrid w:val="0"/>
        <w:spacing w:line="360" w:lineRule="auto"/>
        <w:ind w:firstLine="480" w:firstLineChars="200"/>
        <w:rPr>
          <w:rFonts w:eastAsiaTheme="minorEastAsia"/>
          <w:color w:val="000000"/>
          <w:sz w:val="24"/>
          <w:szCs w:val="24"/>
          <w:lang w:bidi="ar"/>
        </w:rPr>
      </w:pPr>
    </w:p>
    <w:p>
      <w:pPr>
        <w:pStyle w:val="4"/>
        <w:rPr>
          <w:rFonts w:eastAsiaTheme="minorEastAsia"/>
        </w:rPr>
      </w:pPr>
      <w:r>
        <w:rPr>
          <w:rFonts w:eastAsiaTheme="minorEastAsia"/>
        </w:rPr>
        <w:t>设计代表船型</w:t>
      </w:r>
    </w:p>
    <w:p>
      <w:pPr>
        <w:pStyle w:val="313"/>
        <w:tabs>
          <w:tab w:val="right" w:leader="dot" w:pos="9070"/>
        </w:tabs>
        <w:adjustRightInd w:val="0"/>
        <w:snapToGrid w:val="0"/>
        <w:spacing w:line="360" w:lineRule="auto"/>
        <w:ind w:firstLine="480" w:firstLineChars="200"/>
        <w:jc w:val="both"/>
        <w:rPr>
          <w:rFonts w:eastAsiaTheme="minorEastAsia"/>
          <w:color w:val="000000"/>
          <w:sz w:val="24"/>
          <w:szCs w:val="24"/>
          <w:lang w:bidi="ar"/>
        </w:rPr>
      </w:pPr>
      <w:r>
        <w:rPr>
          <w:rFonts w:eastAsiaTheme="minorEastAsia"/>
          <w:color w:val="000000"/>
          <w:sz w:val="24"/>
          <w:szCs w:val="24"/>
          <w:lang w:bidi="ar"/>
        </w:rPr>
        <w:t>通过对码头货物流量流向预测情况、长江LNG运输船舶、LNG燃料动力船舶现状和发展趋势的分析。以交通运输部颁布的船型标准化主尺度为标准，根据“中华人民共和国交通运输部公告2009年第36号”文的推荐船型情况，本项目的设计船型主尺度详见表3.2-6，其中2#、3#泊位设计代表船型为5000吨级油船，4#泊位靠泊同时靠泊2艘分节油驳，5#~6#泊位设计代表船型为3000吨级油品化工品船。</w:t>
      </w:r>
    </w:p>
    <w:p>
      <w:pPr>
        <w:pStyle w:val="313"/>
        <w:tabs>
          <w:tab w:val="right" w:leader="dot" w:pos="9070"/>
        </w:tabs>
        <w:adjustRightInd w:val="0"/>
        <w:snapToGrid w:val="0"/>
        <w:spacing w:line="360" w:lineRule="auto"/>
        <w:jc w:val="both"/>
        <w:rPr>
          <w:rFonts w:eastAsiaTheme="minorEastAsia"/>
          <w:color w:val="000000"/>
          <w:sz w:val="24"/>
          <w:szCs w:val="24"/>
          <w:lang w:bidi="ar"/>
        </w:rPr>
      </w:pPr>
    </w:p>
    <w:p>
      <w:pPr>
        <w:pStyle w:val="313"/>
        <w:tabs>
          <w:tab w:val="right" w:leader="dot" w:pos="9070"/>
        </w:tabs>
        <w:adjustRightInd w:val="0"/>
        <w:snapToGrid w:val="0"/>
        <w:spacing w:line="360" w:lineRule="auto"/>
        <w:jc w:val="both"/>
        <w:rPr>
          <w:rFonts w:eastAsiaTheme="minorEastAsia"/>
          <w:color w:val="000000"/>
          <w:sz w:val="24"/>
          <w:szCs w:val="24"/>
          <w:lang w:bidi="ar"/>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表3.2-6  本项目设计船型主尺度表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280"/>
        <w:gridCol w:w="1281"/>
        <w:gridCol w:w="1281"/>
        <w:gridCol w:w="1139"/>
        <w:gridCol w:w="1695"/>
        <w:gridCol w:w="14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253" w:type="pct"/>
            <w:tcBorders>
              <w:top w:val="single" w:color="auto" w:sz="12" w:space="0"/>
              <w:left w:val="single" w:color="auto" w:sz="12" w:space="0"/>
              <w:bottom w:val="single" w:color="auto" w:sz="6" w:space="0"/>
              <w:right w:val="single" w:color="auto" w:sz="6" w:space="0"/>
            </w:tcBorders>
            <w:vAlign w:val="center"/>
          </w:tcPr>
          <w:p>
            <w:pPr>
              <w:pStyle w:val="347"/>
              <w:adjustRightInd w:val="0"/>
              <w:snapToGrid w:val="0"/>
              <w:rPr>
                <w:rFonts w:eastAsiaTheme="minorEastAsia"/>
                <w:b/>
                <w:sz w:val="21"/>
                <w:szCs w:val="21"/>
              </w:rPr>
            </w:pPr>
            <w:r>
              <w:rPr>
                <w:rFonts w:eastAsiaTheme="minorEastAsia"/>
                <w:b/>
                <w:sz w:val="21"/>
                <w:szCs w:val="21"/>
              </w:rPr>
              <w:t>船型及吨级</w:t>
            </w:r>
          </w:p>
        </w:tc>
        <w:tc>
          <w:tcPr>
            <w:tcW w:w="704" w:type="pct"/>
            <w:tcBorders>
              <w:top w:val="single" w:color="auto" w:sz="12" w:space="0"/>
              <w:left w:val="single" w:color="auto" w:sz="6" w:space="0"/>
              <w:bottom w:val="single" w:color="auto" w:sz="6" w:space="0"/>
              <w:right w:val="single" w:color="auto" w:sz="6" w:space="0"/>
            </w:tcBorders>
            <w:vAlign w:val="center"/>
          </w:tcPr>
          <w:p>
            <w:pPr>
              <w:pStyle w:val="347"/>
              <w:adjustRightInd w:val="0"/>
              <w:snapToGrid w:val="0"/>
              <w:rPr>
                <w:rFonts w:eastAsiaTheme="minorEastAsia"/>
                <w:b/>
                <w:sz w:val="21"/>
                <w:szCs w:val="21"/>
              </w:rPr>
            </w:pPr>
            <w:r>
              <w:rPr>
                <w:rFonts w:eastAsiaTheme="minorEastAsia"/>
                <w:b/>
                <w:sz w:val="21"/>
                <w:szCs w:val="21"/>
              </w:rPr>
              <w:t>总长L（m）</w:t>
            </w:r>
          </w:p>
        </w:tc>
        <w:tc>
          <w:tcPr>
            <w:tcW w:w="704" w:type="pct"/>
            <w:tcBorders>
              <w:top w:val="single" w:color="auto" w:sz="12" w:space="0"/>
              <w:left w:val="single" w:color="auto" w:sz="6" w:space="0"/>
              <w:bottom w:val="single" w:color="auto" w:sz="6" w:space="0"/>
              <w:right w:val="single" w:color="auto" w:sz="6" w:space="0"/>
            </w:tcBorders>
            <w:vAlign w:val="center"/>
          </w:tcPr>
          <w:p>
            <w:pPr>
              <w:pStyle w:val="347"/>
              <w:adjustRightInd w:val="0"/>
              <w:snapToGrid w:val="0"/>
              <w:rPr>
                <w:rFonts w:eastAsiaTheme="minorEastAsia"/>
                <w:b/>
                <w:sz w:val="21"/>
                <w:szCs w:val="21"/>
              </w:rPr>
            </w:pPr>
            <w:r>
              <w:rPr>
                <w:rFonts w:eastAsiaTheme="minorEastAsia"/>
                <w:b/>
                <w:sz w:val="21"/>
                <w:szCs w:val="21"/>
              </w:rPr>
              <w:t>型宽B（m）</w:t>
            </w:r>
          </w:p>
        </w:tc>
        <w:tc>
          <w:tcPr>
            <w:tcW w:w="626" w:type="pct"/>
            <w:tcBorders>
              <w:top w:val="single" w:color="auto" w:sz="12" w:space="0"/>
              <w:left w:val="single" w:color="auto" w:sz="6" w:space="0"/>
              <w:bottom w:val="single" w:color="auto" w:sz="6" w:space="0"/>
              <w:right w:val="single" w:color="auto" w:sz="4" w:space="0"/>
            </w:tcBorders>
            <w:vAlign w:val="center"/>
          </w:tcPr>
          <w:p>
            <w:pPr>
              <w:pStyle w:val="347"/>
              <w:adjustRightInd w:val="0"/>
              <w:snapToGrid w:val="0"/>
              <w:rPr>
                <w:rFonts w:eastAsiaTheme="minorEastAsia"/>
                <w:b/>
                <w:sz w:val="21"/>
                <w:szCs w:val="21"/>
              </w:rPr>
            </w:pPr>
            <w:r>
              <w:rPr>
                <w:rFonts w:eastAsiaTheme="minorEastAsia"/>
                <w:b/>
                <w:sz w:val="21"/>
                <w:szCs w:val="21"/>
              </w:rPr>
              <w:t>型深（m）</w:t>
            </w:r>
          </w:p>
        </w:tc>
        <w:tc>
          <w:tcPr>
            <w:tcW w:w="931" w:type="pct"/>
            <w:tcBorders>
              <w:top w:val="single" w:color="auto" w:sz="12" w:space="0"/>
              <w:left w:val="single" w:color="auto" w:sz="4" w:space="0"/>
              <w:bottom w:val="single" w:color="auto" w:sz="6" w:space="0"/>
              <w:right w:val="single" w:color="auto" w:sz="6" w:space="0"/>
            </w:tcBorders>
            <w:vAlign w:val="center"/>
          </w:tcPr>
          <w:p>
            <w:pPr>
              <w:pStyle w:val="347"/>
              <w:adjustRightInd w:val="0"/>
              <w:snapToGrid w:val="0"/>
              <w:rPr>
                <w:rFonts w:eastAsiaTheme="minorEastAsia"/>
                <w:b/>
                <w:sz w:val="21"/>
                <w:szCs w:val="21"/>
              </w:rPr>
            </w:pPr>
            <w:r>
              <w:rPr>
                <w:rFonts w:eastAsiaTheme="minorEastAsia"/>
                <w:b/>
                <w:sz w:val="21"/>
                <w:szCs w:val="21"/>
              </w:rPr>
              <w:t>满载吃水T（m）</w:t>
            </w:r>
          </w:p>
        </w:tc>
        <w:tc>
          <w:tcPr>
            <w:tcW w:w="782" w:type="pct"/>
            <w:tcBorders>
              <w:top w:val="single" w:color="auto" w:sz="12" w:space="0"/>
              <w:left w:val="single" w:color="auto" w:sz="6" w:space="0"/>
              <w:bottom w:val="single" w:color="auto" w:sz="6" w:space="0"/>
              <w:right w:val="single" w:color="auto" w:sz="12" w:space="0"/>
            </w:tcBorders>
            <w:vAlign w:val="center"/>
          </w:tcPr>
          <w:p>
            <w:pPr>
              <w:pStyle w:val="347"/>
              <w:adjustRightInd w:val="0"/>
              <w:snapToGrid w:val="0"/>
              <w:rPr>
                <w:rFonts w:eastAsiaTheme="minorEastAsia"/>
                <w:b/>
                <w:sz w:val="21"/>
                <w:szCs w:val="21"/>
              </w:rPr>
            </w:pPr>
            <w:r>
              <w:rPr>
                <w:rFonts w:eastAsiaTheme="minorEastAsia"/>
                <w:b/>
                <w:sz w:val="21"/>
                <w:szCs w:val="21"/>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53" w:type="pct"/>
            <w:tcBorders>
              <w:top w:val="single" w:color="auto" w:sz="6" w:space="0"/>
              <w:left w:val="single" w:color="auto" w:sz="12" w:space="0"/>
              <w:bottom w:val="single" w:color="auto" w:sz="6" w:space="0"/>
              <w:right w:val="single" w:color="auto" w:sz="6" w:space="0"/>
            </w:tcBorders>
            <w:vAlign w:val="center"/>
          </w:tcPr>
          <w:p>
            <w:pPr>
              <w:pStyle w:val="347"/>
              <w:adjustRightInd w:val="0"/>
              <w:snapToGrid w:val="0"/>
              <w:rPr>
                <w:rFonts w:eastAsiaTheme="minorEastAsia"/>
                <w:sz w:val="21"/>
                <w:szCs w:val="21"/>
              </w:rPr>
            </w:pPr>
            <w:r>
              <w:rPr>
                <w:rFonts w:eastAsiaTheme="minorEastAsia"/>
                <w:sz w:val="21"/>
                <w:szCs w:val="21"/>
                <w:lang w:val="zh-CN"/>
              </w:rPr>
              <w:t>5000吨级油船</w:t>
            </w:r>
            <w:r>
              <w:rPr>
                <w:rFonts w:eastAsiaTheme="minorEastAsia"/>
                <w:sz w:val="21"/>
                <w:szCs w:val="21"/>
              </w:rPr>
              <w:t>/化工品船</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rPr>
            </w:pPr>
            <w:r>
              <w:rPr>
                <w:rFonts w:eastAsiaTheme="minorEastAsia"/>
                <w:sz w:val="21"/>
                <w:szCs w:val="21"/>
                <w:lang w:val="zh-CN"/>
              </w:rPr>
              <w:t>129</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rPr>
            </w:pPr>
            <w:r>
              <w:rPr>
                <w:rFonts w:eastAsiaTheme="minorEastAsia"/>
                <w:sz w:val="21"/>
                <w:szCs w:val="21"/>
                <w:lang w:val="zh-CN"/>
              </w:rPr>
              <w:t>18.2</w:t>
            </w:r>
          </w:p>
        </w:tc>
        <w:tc>
          <w:tcPr>
            <w:tcW w:w="626" w:type="pct"/>
            <w:tcBorders>
              <w:top w:val="single" w:color="auto" w:sz="6" w:space="0"/>
              <w:left w:val="single" w:color="auto" w:sz="6" w:space="0"/>
              <w:bottom w:val="single" w:color="auto" w:sz="6" w:space="0"/>
              <w:right w:val="single" w:color="auto" w:sz="4" w:space="0"/>
            </w:tcBorders>
            <w:vAlign w:val="center"/>
          </w:tcPr>
          <w:p>
            <w:pPr>
              <w:pStyle w:val="347"/>
              <w:adjustRightInd w:val="0"/>
              <w:snapToGrid w:val="0"/>
              <w:rPr>
                <w:rFonts w:eastAsiaTheme="minorEastAsia"/>
                <w:sz w:val="21"/>
                <w:szCs w:val="21"/>
              </w:rPr>
            </w:pPr>
            <w:r>
              <w:rPr>
                <w:rFonts w:eastAsiaTheme="minorEastAsia"/>
                <w:sz w:val="21"/>
                <w:szCs w:val="21"/>
              </w:rPr>
              <w:t>/</w:t>
            </w:r>
          </w:p>
        </w:tc>
        <w:tc>
          <w:tcPr>
            <w:tcW w:w="931" w:type="pct"/>
            <w:tcBorders>
              <w:top w:val="single" w:color="auto" w:sz="6" w:space="0"/>
              <w:left w:val="single" w:color="auto" w:sz="4" w:space="0"/>
              <w:bottom w:val="single" w:color="auto" w:sz="6" w:space="0"/>
              <w:right w:val="single" w:color="auto" w:sz="6" w:space="0"/>
            </w:tcBorders>
            <w:vAlign w:val="center"/>
          </w:tcPr>
          <w:p>
            <w:pPr>
              <w:pStyle w:val="347"/>
              <w:adjustRightInd w:val="0"/>
              <w:snapToGrid w:val="0"/>
              <w:rPr>
                <w:rFonts w:eastAsiaTheme="minorEastAsia"/>
                <w:sz w:val="21"/>
                <w:szCs w:val="21"/>
              </w:rPr>
            </w:pPr>
            <w:r>
              <w:rPr>
                <w:rFonts w:eastAsiaTheme="minorEastAsia"/>
                <w:sz w:val="21"/>
                <w:szCs w:val="21"/>
                <w:lang w:val="zh-CN"/>
              </w:rPr>
              <w:t>4.2</w:t>
            </w:r>
          </w:p>
        </w:tc>
        <w:tc>
          <w:tcPr>
            <w:tcW w:w="782" w:type="pct"/>
            <w:tcBorders>
              <w:top w:val="single" w:color="auto" w:sz="6" w:space="0"/>
              <w:left w:val="single" w:color="auto" w:sz="6" w:space="0"/>
              <w:bottom w:val="single" w:color="auto" w:sz="6" w:space="0"/>
              <w:right w:val="single" w:color="auto" w:sz="12" w:space="0"/>
            </w:tcBorders>
            <w:vAlign w:val="center"/>
          </w:tcPr>
          <w:p>
            <w:pPr>
              <w:pStyle w:val="347"/>
              <w:adjustRightInd w:val="0"/>
              <w:snapToGrid w:val="0"/>
              <w:rPr>
                <w:rFonts w:eastAsiaTheme="minorEastAsia"/>
                <w:sz w:val="21"/>
                <w:szCs w:val="21"/>
              </w:rPr>
            </w:pPr>
            <w:r>
              <w:rPr>
                <w:rFonts w:eastAsiaTheme="minorEastAsia"/>
                <w:sz w:val="21"/>
                <w:szCs w:val="21"/>
              </w:rPr>
              <w:t>设计代表船型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53" w:type="pct"/>
            <w:tcBorders>
              <w:top w:val="single" w:color="auto" w:sz="6" w:space="0"/>
              <w:left w:val="single" w:color="auto" w:sz="12"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3000吨级油品化工品船</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90</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16.2</w:t>
            </w:r>
          </w:p>
        </w:tc>
        <w:tc>
          <w:tcPr>
            <w:tcW w:w="626" w:type="pct"/>
            <w:tcBorders>
              <w:top w:val="single" w:color="auto" w:sz="6" w:space="0"/>
              <w:left w:val="single" w:color="auto" w:sz="6" w:space="0"/>
              <w:bottom w:val="single" w:color="auto" w:sz="6" w:space="0"/>
              <w:right w:val="single" w:color="auto" w:sz="4"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w:t>
            </w:r>
          </w:p>
        </w:tc>
        <w:tc>
          <w:tcPr>
            <w:tcW w:w="931" w:type="pct"/>
            <w:tcBorders>
              <w:top w:val="single" w:color="auto" w:sz="6" w:space="0"/>
              <w:left w:val="single" w:color="auto" w:sz="4"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3.6</w:t>
            </w:r>
          </w:p>
        </w:tc>
        <w:tc>
          <w:tcPr>
            <w:tcW w:w="782" w:type="pct"/>
            <w:tcBorders>
              <w:top w:val="single" w:color="auto" w:sz="6" w:space="0"/>
              <w:left w:val="single" w:color="auto" w:sz="6" w:space="0"/>
              <w:bottom w:val="single" w:color="auto" w:sz="6" w:space="0"/>
              <w:right w:val="single" w:color="auto" w:sz="12" w:space="0"/>
            </w:tcBorders>
            <w:vAlign w:val="center"/>
          </w:tcPr>
          <w:p>
            <w:pPr>
              <w:pStyle w:val="347"/>
              <w:adjustRightInd w:val="0"/>
              <w:snapToGrid w:val="0"/>
              <w:rPr>
                <w:rFonts w:eastAsiaTheme="minorEastAsia"/>
                <w:sz w:val="21"/>
                <w:szCs w:val="21"/>
              </w:rPr>
            </w:pPr>
            <w:r>
              <w:rPr>
                <w:rFonts w:eastAsiaTheme="minorEastAsia"/>
                <w:sz w:val="21"/>
                <w:szCs w:val="21"/>
              </w:rPr>
              <w:t>设计代表船型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53" w:type="pct"/>
            <w:tcBorders>
              <w:top w:val="single" w:color="auto" w:sz="6" w:space="0"/>
              <w:left w:val="single" w:color="auto" w:sz="12"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2000吨级油品化工品船</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82</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14.8</w:t>
            </w:r>
          </w:p>
        </w:tc>
        <w:tc>
          <w:tcPr>
            <w:tcW w:w="626" w:type="pct"/>
            <w:tcBorders>
              <w:top w:val="single" w:color="auto" w:sz="6" w:space="0"/>
              <w:left w:val="single" w:color="auto" w:sz="6" w:space="0"/>
              <w:bottom w:val="single" w:color="auto" w:sz="6" w:space="0"/>
              <w:right w:val="single" w:color="auto" w:sz="4"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w:t>
            </w:r>
          </w:p>
        </w:tc>
        <w:tc>
          <w:tcPr>
            <w:tcW w:w="931" w:type="pct"/>
            <w:tcBorders>
              <w:top w:val="single" w:color="auto" w:sz="6" w:space="0"/>
              <w:left w:val="single" w:color="auto" w:sz="4"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3.3</w:t>
            </w:r>
          </w:p>
        </w:tc>
        <w:tc>
          <w:tcPr>
            <w:tcW w:w="782" w:type="pct"/>
            <w:tcBorders>
              <w:top w:val="single" w:color="auto" w:sz="6" w:space="0"/>
              <w:left w:val="single" w:color="auto" w:sz="6" w:space="0"/>
              <w:bottom w:val="single" w:color="auto" w:sz="6" w:space="0"/>
              <w:right w:val="single" w:color="auto" w:sz="12" w:space="0"/>
            </w:tcBorders>
            <w:vAlign w:val="center"/>
          </w:tcPr>
          <w:p>
            <w:pPr>
              <w:pStyle w:val="347"/>
              <w:adjustRightInd w:val="0"/>
              <w:snapToGrid w:val="0"/>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53" w:type="pct"/>
            <w:tcBorders>
              <w:top w:val="single" w:color="auto" w:sz="6" w:space="0"/>
              <w:left w:val="single" w:color="auto" w:sz="12"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1000吨级油品化工品船</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72</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12.8</w:t>
            </w:r>
          </w:p>
        </w:tc>
        <w:tc>
          <w:tcPr>
            <w:tcW w:w="626" w:type="pct"/>
            <w:tcBorders>
              <w:top w:val="single" w:color="auto" w:sz="6" w:space="0"/>
              <w:left w:val="single" w:color="auto" w:sz="6" w:space="0"/>
              <w:bottom w:val="single" w:color="auto" w:sz="6" w:space="0"/>
              <w:right w:val="single" w:color="auto" w:sz="4"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w:t>
            </w:r>
          </w:p>
        </w:tc>
        <w:tc>
          <w:tcPr>
            <w:tcW w:w="931" w:type="pct"/>
            <w:tcBorders>
              <w:top w:val="single" w:color="auto" w:sz="6" w:space="0"/>
              <w:left w:val="single" w:color="auto" w:sz="4"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2.6</w:t>
            </w:r>
          </w:p>
        </w:tc>
        <w:tc>
          <w:tcPr>
            <w:tcW w:w="782" w:type="pct"/>
            <w:tcBorders>
              <w:top w:val="single" w:color="auto" w:sz="6" w:space="0"/>
              <w:left w:val="single" w:color="auto" w:sz="6" w:space="0"/>
              <w:bottom w:val="single" w:color="auto" w:sz="6" w:space="0"/>
              <w:right w:val="single" w:color="auto" w:sz="12" w:space="0"/>
            </w:tcBorders>
            <w:vAlign w:val="center"/>
          </w:tcPr>
          <w:p>
            <w:pPr>
              <w:pStyle w:val="347"/>
              <w:adjustRightInd w:val="0"/>
              <w:snapToGrid w:val="0"/>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53" w:type="pct"/>
            <w:tcBorders>
              <w:top w:val="single" w:color="auto" w:sz="6" w:space="0"/>
              <w:left w:val="single" w:color="auto" w:sz="12"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3000吨油驳</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86.5</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15.6</w:t>
            </w:r>
          </w:p>
        </w:tc>
        <w:tc>
          <w:tcPr>
            <w:tcW w:w="626" w:type="pct"/>
            <w:tcBorders>
              <w:top w:val="single" w:color="auto" w:sz="6" w:space="0"/>
              <w:left w:val="single" w:color="auto" w:sz="6" w:space="0"/>
              <w:bottom w:val="single" w:color="auto" w:sz="6" w:space="0"/>
              <w:right w:val="single" w:color="auto" w:sz="4" w:space="0"/>
            </w:tcBorders>
            <w:vAlign w:val="center"/>
          </w:tcPr>
          <w:p>
            <w:pPr>
              <w:pStyle w:val="347"/>
              <w:adjustRightInd w:val="0"/>
              <w:snapToGrid w:val="0"/>
              <w:rPr>
                <w:rFonts w:eastAsiaTheme="minorEastAsia"/>
                <w:sz w:val="21"/>
                <w:szCs w:val="21"/>
                <w:lang w:val="zh-CN"/>
              </w:rPr>
            </w:pPr>
            <w:r>
              <w:rPr>
                <w:rFonts w:eastAsiaTheme="minorEastAsia"/>
                <w:sz w:val="21"/>
                <w:szCs w:val="21"/>
              </w:rPr>
              <w:t>4</w:t>
            </w:r>
          </w:p>
        </w:tc>
        <w:tc>
          <w:tcPr>
            <w:tcW w:w="931" w:type="pct"/>
            <w:tcBorders>
              <w:top w:val="single" w:color="auto" w:sz="6" w:space="0"/>
              <w:left w:val="single" w:color="auto" w:sz="4"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3.3</w:t>
            </w:r>
          </w:p>
        </w:tc>
        <w:tc>
          <w:tcPr>
            <w:tcW w:w="782" w:type="pct"/>
            <w:tcBorders>
              <w:top w:val="single" w:color="auto" w:sz="6" w:space="0"/>
              <w:left w:val="single" w:color="auto" w:sz="6" w:space="0"/>
              <w:bottom w:val="single" w:color="auto" w:sz="6" w:space="0"/>
              <w:right w:val="single" w:color="auto" w:sz="12" w:space="0"/>
            </w:tcBorders>
            <w:vAlign w:val="center"/>
          </w:tcPr>
          <w:p>
            <w:pPr>
              <w:pStyle w:val="347"/>
              <w:adjustRightInd w:val="0"/>
              <w:snapToGrid w:val="0"/>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53" w:type="pct"/>
            <w:tcBorders>
              <w:top w:val="single" w:color="auto" w:sz="6" w:space="0"/>
              <w:left w:val="single" w:color="auto" w:sz="12"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3500吨分节油驳</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66.8</w:t>
            </w:r>
          </w:p>
        </w:tc>
        <w:tc>
          <w:tcPr>
            <w:tcW w:w="704" w:type="pct"/>
            <w:tcBorders>
              <w:top w:val="single" w:color="auto" w:sz="6" w:space="0"/>
              <w:left w:val="single" w:color="auto" w:sz="6"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20.8</w:t>
            </w:r>
          </w:p>
        </w:tc>
        <w:tc>
          <w:tcPr>
            <w:tcW w:w="626" w:type="pct"/>
            <w:tcBorders>
              <w:top w:val="single" w:color="auto" w:sz="6" w:space="0"/>
              <w:left w:val="single" w:color="auto" w:sz="6" w:space="0"/>
              <w:bottom w:val="single" w:color="auto" w:sz="6" w:space="0"/>
              <w:right w:val="single" w:color="auto" w:sz="4" w:space="0"/>
            </w:tcBorders>
            <w:vAlign w:val="center"/>
          </w:tcPr>
          <w:p>
            <w:pPr>
              <w:pStyle w:val="347"/>
              <w:adjustRightInd w:val="0"/>
              <w:snapToGrid w:val="0"/>
              <w:rPr>
                <w:rFonts w:eastAsiaTheme="minorEastAsia"/>
                <w:sz w:val="21"/>
                <w:szCs w:val="21"/>
                <w:lang w:val="zh-CN"/>
              </w:rPr>
            </w:pPr>
            <w:r>
              <w:rPr>
                <w:rFonts w:eastAsiaTheme="minorEastAsia"/>
                <w:sz w:val="21"/>
                <w:szCs w:val="21"/>
              </w:rPr>
              <w:t>4.5</w:t>
            </w:r>
          </w:p>
        </w:tc>
        <w:tc>
          <w:tcPr>
            <w:tcW w:w="931" w:type="pct"/>
            <w:tcBorders>
              <w:top w:val="single" w:color="auto" w:sz="6" w:space="0"/>
              <w:left w:val="single" w:color="auto" w:sz="4" w:space="0"/>
              <w:bottom w:val="single" w:color="auto" w:sz="6"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3.4</w:t>
            </w:r>
          </w:p>
        </w:tc>
        <w:tc>
          <w:tcPr>
            <w:tcW w:w="782" w:type="pct"/>
            <w:tcBorders>
              <w:top w:val="single" w:color="auto" w:sz="6" w:space="0"/>
              <w:left w:val="single" w:color="auto" w:sz="6" w:space="0"/>
              <w:bottom w:val="single" w:color="auto" w:sz="6" w:space="0"/>
              <w:right w:val="single" w:color="auto" w:sz="12" w:space="0"/>
            </w:tcBorders>
            <w:vAlign w:val="center"/>
          </w:tcPr>
          <w:p>
            <w:pPr>
              <w:pStyle w:val="347"/>
              <w:adjustRightInd w:val="0"/>
              <w:snapToGrid w:val="0"/>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53" w:type="pct"/>
            <w:tcBorders>
              <w:top w:val="single" w:color="auto" w:sz="6" w:space="0"/>
              <w:left w:val="single" w:color="auto" w:sz="12" w:space="0"/>
              <w:bottom w:val="single" w:color="auto" w:sz="12"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分节油驳</w:t>
            </w:r>
          </w:p>
        </w:tc>
        <w:tc>
          <w:tcPr>
            <w:tcW w:w="704" w:type="pct"/>
            <w:tcBorders>
              <w:top w:val="single" w:color="auto" w:sz="6" w:space="0"/>
              <w:left w:val="single" w:color="auto" w:sz="6" w:space="0"/>
              <w:bottom w:val="single" w:color="auto" w:sz="12"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57.5</w:t>
            </w:r>
          </w:p>
        </w:tc>
        <w:tc>
          <w:tcPr>
            <w:tcW w:w="704" w:type="pct"/>
            <w:tcBorders>
              <w:top w:val="single" w:color="auto" w:sz="6" w:space="0"/>
              <w:left w:val="single" w:color="auto" w:sz="6" w:space="0"/>
              <w:bottom w:val="single" w:color="auto" w:sz="12"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20.8</w:t>
            </w:r>
          </w:p>
        </w:tc>
        <w:tc>
          <w:tcPr>
            <w:tcW w:w="626" w:type="pct"/>
            <w:tcBorders>
              <w:top w:val="single" w:color="auto" w:sz="6" w:space="0"/>
              <w:left w:val="single" w:color="auto" w:sz="6" w:space="0"/>
              <w:bottom w:val="single" w:color="auto" w:sz="12" w:space="0"/>
              <w:right w:val="single" w:color="auto" w:sz="4" w:space="0"/>
            </w:tcBorders>
            <w:vAlign w:val="center"/>
          </w:tcPr>
          <w:p>
            <w:pPr>
              <w:pStyle w:val="347"/>
              <w:adjustRightInd w:val="0"/>
              <w:snapToGrid w:val="0"/>
              <w:rPr>
                <w:rFonts w:eastAsiaTheme="minorEastAsia"/>
                <w:sz w:val="21"/>
                <w:szCs w:val="21"/>
              </w:rPr>
            </w:pPr>
            <w:r>
              <w:rPr>
                <w:rFonts w:eastAsiaTheme="minorEastAsia"/>
                <w:sz w:val="21"/>
                <w:szCs w:val="21"/>
              </w:rPr>
              <w:t>/</w:t>
            </w:r>
          </w:p>
        </w:tc>
        <w:tc>
          <w:tcPr>
            <w:tcW w:w="931" w:type="pct"/>
            <w:tcBorders>
              <w:top w:val="single" w:color="auto" w:sz="6" w:space="0"/>
              <w:left w:val="single" w:color="auto" w:sz="4" w:space="0"/>
              <w:bottom w:val="single" w:color="auto" w:sz="12" w:space="0"/>
              <w:right w:val="single" w:color="auto" w:sz="6" w:space="0"/>
            </w:tcBorders>
            <w:vAlign w:val="center"/>
          </w:tcPr>
          <w:p>
            <w:pPr>
              <w:pStyle w:val="347"/>
              <w:adjustRightInd w:val="0"/>
              <w:snapToGrid w:val="0"/>
              <w:rPr>
                <w:rFonts w:eastAsiaTheme="minorEastAsia"/>
                <w:sz w:val="21"/>
                <w:szCs w:val="21"/>
                <w:lang w:val="zh-CN"/>
              </w:rPr>
            </w:pPr>
            <w:r>
              <w:rPr>
                <w:rFonts w:eastAsiaTheme="minorEastAsia"/>
                <w:sz w:val="21"/>
                <w:szCs w:val="21"/>
                <w:lang w:val="zh-CN"/>
              </w:rPr>
              <w:t>3.3</w:t>
            </w:r>
          </w:p>
        </w:tc>
        <w:tc>
          <w:tcPr>
            <w:tcW w:w="782" w:type="pct"/>
            <w:tcBorders>
              <w:top w:val="single" w:color="auto" w:sz="6" w:space="0"/>
              <w:left w:val="single" w:color="auto" w:sz="6" w:space="0"/>
              <w:bottom w:val="single" w:color="auto" w:sz="12" w:space="0"/>
              <w:right w:val="single" w:color="auto" w:sz="12" w:space="0"/>
            </w:tcBorders>
            <w:vAlign w:val="center"/>
          </w:tcPr>
          <w:p>
            <w:pPr>
              <w:pStyle w:val="347"/>
              <w:adjustRightInd w:val="0"/>
              <w:snapToGrid w:val="0"/>
              <w:rPr>
                <w:rFonts w:eastAsiaTheme="minorEastAsia"/>
                <w:sz w:val="21"/>
                <w:szCs w:val="21"/>
              </w:rPr>
            </w:pPr>
            <w:r>
              <w:rPr>
                <w:rFonts w:eastAsiaTheme="minorEastAsia"/>
                <w:sz w:val="21"/>
                <w:szCs w:val="21"/>
              </w:rPr>
              <w:t>兼顾船型</w:t>
            </w:r>
          </w:p>
        </w:tc>
      </w:tr>
    </w:tbl>
    <w:p>
      <w:pPr>
        <w:pStyle w:val="313"/>
        <w:tabs>
          <w:tab w:val="right" w:leader="dot" w:pos="9070"/>
        </w:tabs>
        <w:adjustRightInd w:val="0"/>
        <w:snapToGrid w:val="0"/>
        <w:spacing w:line="360" w:lineRule="auto"/>
        <w:ind w:firstLine="480" w:firstLineChars="200"/>
        <w:jc w:val="both"/>
        <w:rPr>
          <w:rFonts w:eastAsiaTheme="minorEastAsia"/>
          <w:color w:val="000000"/>
          <w:sz w:val="24"/>
          <w:szCs w:val="24"/>
          <w:lang w:bidi="ar"/>
        </w:rPr>
      </w:pPr>
    </w:p>
    <w:p>
      <w:pPr>
        <w:pStyle w:val="4"/>
        <w:rPr>
          <w:rFonts w:eastAsiaTheme="minorEastAsia"/>
        </w:rPr>
      </w:pPr>
      <w:r>
        <w:rPr>
          <w:rFonts w:eastAsiaTheme="minorEastAsia"/>
        </w:rPr>
        <w:t>总平面布置情况</w:t>
      </w:r>
    </w:p>
    <w:p>
      <w:pPr>
        <w:pStyle w:val="5"/>
        <w:rPr>
          <w:rFonts w:eastAsiaTheme="minorEastAsia"/>
        </w:rPr>
      </w:pPr>
      <w:r>
        <w:rPr>
          <w:rFonts w:eastAsiaTheme="minorEastAsia"/>
        </w:rPr>
        <w:t>水域平面布置</w:t>
      </w:r>
    </w:p>
    <w:p>
      <w:pPr>
        <w:pStyle w:val="313"/>
        <w:tabs>
          <w:tab w:val="right" w:leader="dot" w:pos="9070"/>
        </w:tabs>
        <w:adjustRightInd w:val="0"/>
        <w:snapToGrid w:val="0"/>
        <w:spacing w:line="360" w:lineRule="auto"/>
        <w:ind w:firstLine="480" w:firstLineChars="200"/>
        <w:jc w:val="both"/>
        <w:rPr>
          <w:rFonts w:eastAsiaTheme="minorEastAsia"/>
          <w:color w:val="000000"/>
          <w:sz w:val="24"/>
          <w:szCs w:val="24"/>
          <w:lang w:bidi="ar"/>
        </w:rPr>
      </w:pPr>
      <w:r>
        <w:rPr>
          <w:rFonts w:eastAsiaTheme="minorEastAsia"/>
          <w:color w:val="000000"/>
          <w:sz w:val="24"/>
          <w:szCs w:val="24"/>
          <w:lang w:bidi="ar"/>
        </w:rPr>
        <w:t>拟将本码头前沿线布置在原码头前沿线附近，方位角为42°35'33"~222°35'33"，设计水位高程34.9m。</w:t>
      </w:r>
      <w:r>
        <w:rPr>
          <w:rFonts w:hint="eastAsia"/>
          <w:sz w:val="24"/>
          <w:szCs w:val="24"/>
        </w:rPr>
        <w:t>码头前沿及趸船后沿局部需要疏浚，疏浚工程量约4.7万m</w:t>
      </w:r>
      <w:r>
        <w:rPr>
          <w:rFonts w:hint="eastAsia"/>
          <w:sz w:val="24"/>
          <w:szCs w:val="24"/>
          <w:vertAlign w:val="superscript"/>
        </w:rPr>
        <w:t>3</w:t>
      </w:r>
      <w:r>
        <w:rPr>
          <w:rFonts w:eastAsiaTheme="minorEastAsia"/>
          <w:color w:val="000000"/>
          <w:sz w:val="24"/>
          <w:szCs w:val="24"/>
          <w:lang w:bidi="ar"/>
        </w:rPr>
        <w:t>。</w:t>
      </w:r>
    </w:p>
    <w:p>
      <w:pPr>
        <w:pStyle w:val="313"/>
        <w:tabs>
          <w:tab w:val="right" w:leader="dot" w:pos="9070"/>
        </w:tabs>
        <w:adjustRightInd w:val="0"/>
        <w:snapToGrid w:val="0"/>
        <w:spacing w:line="360" w:lineRule="auto"/>
        <w:ind w:firstLine="480" w:firstLineChars="200"/>
        <w:jc w:val="both"/>
        <w:rPr>
          <w:rFonts w:eastAsiaTheme="minorEastAsia"/>
          <w:color w:val="000000"/>
          <w:sz w:val="24"/>
          <w:szCs w:val="24"/>
          <w:lang w:bidi="ar"/>
        </w:rPr>
      </w:pPr>
      <w:r>
        <w:rPr>
          <w:rFonts w:eastAsiaTheme="minorEastAsia"/>
          <w:color w:val="000000"/>
          <w:sz w:val="24"/>
          <w:szCs w:val="24"/>
          <w:lang w:bidi="ar"/>
        </w:rPr>
        <w:t>根据建设使用要求及趸船的系留形式，本次提质改造拟对2#~4#码头（6个危化品泊位）拆除重建。从上游往下游依次建设3个5000吨油品化工泊位、2个3000吨油品化工泊位。泊位编号自上至下依次为2#泊位</w:t>
      </w:r>
      <w:r>
        <w:rPr>
          <w:rFonts w:hint="eastAsia" w:eastAsiaTheme="minorEastAsia"/>
          <w:color w:val="000000"/>
          <w:sz w:val="24"/>
          <w:szCs w:val="24"/>
          <w:lang w:bidi="ar"/>
        </w:rPr>
        <w:t>~</w:t>
      </w:r>
      <w:r>
        <w:rPr>
          <w:rFonts w:eastAsiaTheme="minorEastAsia"/>
          <w:color w:val="000000"/>
          <w:sz w:val="24"/>
          <w:szCs w:val="24"/>
          <w:lang w:bidi="ar"/>
        </w:rPr>
        <w:t>6#泊位。2#泊位、3#泊位趸船新建，4#泊位、5#泊位、6#泊位趸船利旧。其中4#泊位利旧趸船为120m，泊位长度按原同时靠泊2个长57.5m分节油驳考虑。</w:t>
      </w:r>
    </w:p>
    <w:p>
      <w:pPr>
        <w:pStyle w:val="313"/>
        <w:tabs>
          <w:tab w:val="right" w:leader="dot" w:pos="9070"/>
        </w:tabs>
        <w:adjustRightInd w:val="0"/>
        <w:snapToGrid w:val="0"/>
        <w:spacing w:line="360" w:lineRule="auto"/>
        <w:ind w:firstLine="480" w:firstLineChars="200"/>
        <w:jc w:val="both"/>
        <w:rPr>
          <w:rFonts w:eastAsiaTheme="minorEastAsia"/>
          <w:color w:val="000000"/>
          <w:sz w:val="24"/>
          <w:szCs w:val="24"/>
          <w:lang w:bidi="ar"/>
        </w:rPr>
      </w:pPr>
      <w:r>
        <w:rPr>
          <w:rFonts w:eastAsiaTheme="minorEastAsia"/>
          <w:color w:val="000000"/>
          <w:sz w:val="24"/>
          <w:szCs w:val="24"/>
          <w:lang w:bidi="ar"/>
        </w:rPr>
        <w:t>码头采用浮码头形式。码头主要由趸船、活动钢引桥、阀室平台、钢筋混凝土联桥、定位墩、补偿平台、固定引桥、综合用房平台等组成。2#~6#泊位共用一座固定引桥与后方管架相接，固定引桥宽度为9m。引桥与防洪大堤平顺相接，引桥上布置有4.5m宽的管廊带（三层），其位置位于引桥的上游侧，其余为检修通道。为了满足生产及消防的需要，在1#阀室平台下游侧布置综合用房平台。</w:t>
      </w:r>
    </w:p>
    <w:p>
      <w:pPr>
        <w:pStyle w:val="313"/>
        <w:tabs>
          <w:tab w:val="right" w:leader="dot" w:pos="9070"/>
        </w:tabs>
        <w:adjustRightInd w:val="0"/>
        <w:snapToGrid w:val="0"/>
        <w:spacing w:line="360" w:lineRule="auto"/>
        <w:ind w:firstLine="480" w:firstLineChars="200"/>
        <w:jc w:val="both"/>
        <w:rPr>
          <w:rFonts w:eastAsiaTheme="minorEastAsia"/>
          <w:color w:val="000000"/>
          <w:sz w:val="24"/>
          <w:szCs w:val="24"/>
          <w:lang w:bidi="ar"/>
        </w:rPr>
      </w:pPr>
      <w:r>
        <w:rPr>
          <w:rFonts w:eastAsiaTheme="minorEastAsia"/>
          <w:color w:val="000000"/>
          <w:sz w:val="24"/>
          <w:szCs w:val="24"/>
          <w:lang w:bidi="ar"/>
        </w:rPr>
        <w:t>2#、3#、4#泊位靠泊5000吨级船舶，艏艉缆采用跳趸系缆。趸船间通过跳趸搭接钢联桥联通，便于趸船间的人员通行。趸船系留采用定位墩的结构形式。5#、6#泊位趸船利旧采用地牛系留，泊位间通过钢联桥连接。</w:t>
      </w:r>
    </w:p>
    <w:p>
      <w:pPr>
        <w:pStyle w:val="313"/>
        <w:tabs>
          <w:tab w:val="right" w:leader="dot" w:pos="9070"/>
        </w:tabs>
        <w:adjustRightInd w:val="0"/>
        <w:snapToGrid w:val="0"/>
        <w:spacing w:line="360" w:lineRule="auto"/>
        <w:ind w:firstLine="480" w:firstLineChars="200"/>
        <w:jc w:val="both"/>
        <w:rPr>
          <w:rFonts w:eastAsiaTheme="minorEastAsia"/>
          <w:color w:val="000000"/>
          <w:sz w:val="24"/>
          <w:szCs w:val="24"/>
          <w:lang w:bidi="ar"/>
        </w:rPr>
      </w:pPr>
      <w:r>
        <w:rPr>
          <w:rFonts w:eastAsiaTheme="minorEastAsia"/>
          <w:color w:val="000000"/>
          <w:sz w:val="24"/>
          <w:szCs w:val="24"/>
          <w:lang w:bidi="ar"/>
        </w:rPr>
        <w:t>码头主要尺度详见表3.2-7。</w:t>
      </w:r>
    </w:p>
    <w:p>
      <w:pPr>
        <w:pStyle w:val="313"/>
        <w:tabs>
          <w:tab w:val="right" w:leader="dot" w:pos="9070"/>
        </w:tabs>
        <w:wordWrap w:val="0"/>
        <w:adjustRightInd w:val="0"/>
        <w:snapToGrid w:val="0"/>
        <w:spacing w:line="276" w:lineRule="auto"/>
        <w:jc w:val="right"/>
        <w:rPr>
          <w:rFonts w:eastAsiaTheme="minorEastAsia"/>
          <w:color w:val="000000"/>
          <w:sz w:val="24"/>
          <w:szCs w:val="24"/>
          <w:lang w:bidi="ar"/>
        </w:rPr>
      </w:pPr>
      <w:r>
        <w:rPr>
          <w:rFonts w:eastAsiaTheme="minorEastAsia"/>
          <w:b/>
          <w:color w:val="000000"/>
          <w:sz w:val="24"/>
          <w:szCs w:val="24"/>
          <w:lang w:bidi="ar"/>
        </w:rPr>
        <w:t>表3.2-7  码头主尺度表</w:t>
      </w:r>
      <w:r>
        <w:rPr>
          <w:rFonts w:eastAsiaTheme="minorEastAsia"/>
          <w:color w:val="000000"/>
          <w:sz w:val="24"/>
          <w:szCs w:val="24"/>
          <w:lang w:bidi="ar"/>
        </w:rPr>
        <w:t xml:space="preserve">                     单位：m</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991"/>
        <w:gridCol w:w="5283"/>
        <w:gridCol w:w="18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094"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名称</w:t>
            </w:r>
          </w:p>
        </w:tc>
        <w:tc>
          <w:tcPr>
            <w:tcW w:w="2903"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尺度（m）</w:t>
            </w:r>
          </w:p>
        </w:tc>
        <w:tc>
          <w:tcPr>
            <w:tcW w:w="1003"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新增趸船</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90×16</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共2座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阀室平台</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15×17（2座）、20×22（1座）、19×15（1座）</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共4座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活动钢引桥</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60×6</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共4座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混凝土联桥</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146.5×9（1座）、142×9（1座）、141.5×9（1座）</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共3座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综合用房平台</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28×25</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固定引桥</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182.31×9</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管线计量平台</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20×15</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跳趸</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10×10</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共3座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4"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系船块体（地牛）</w:t>
            </w:r>
          </w:p>
        </w:tc>
        <w:tc>
          <w:tcPr>
            <w:tcW w:w="29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4×4</w:t>
            </w:r>
          </w:p>
        </w:tc>
        <w:tc>
          <w:tcPr>
            <w:tcW w:w="1003" w:type="pct"/>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共5座</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5"/>
        <w:rPr>
          <w:rFonts w:eastAsiaTheme="minorEastAsia"/>
        </w:rPr>
      </w:pPr>
      <w:r>
        <w:rPr>
          <w:rFonts w:eastAsiaTheme="minorEastAsia"/>
        </w:rPr>
        <w:t>陆域平面布置</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本项目陆域依托已建罐区。陆域部分改造包括设置液体氮气站、VOC处理装置、生活污水处理设施等。新增设施位于港口部污水处理厂东北侧，消防车库西北侧。</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ab/>
      </w:r>
      <w:r>
        <w:rPr>
          <w:rFonts w:eastAsiaTheme="minorEastAsia"/>
          <w:sz w:val="24"/>
          <w:szCs w:val="24"/>
        </w:rPr>
        <w:t>新增油气回收设备距离西南侧污水处理厂29.61m，距离东北侧配电室29.70m，距离西北侧厂区围墙15.33m，距离西南侧道路10.23m，符合《石油化工厂企业设计防火规范》（GB 50160-2008 2018版）防火间距要求。距离东南侧新增吸收液缓冲罐5m，符合《油品装载系统油气回收设施设计规范》（GB50759-2010）的距离要求。</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新增吸收液缓冲罐距离西北侧厂区围墙28.34m，距离东北侧配电室26.88m，距离南侧办公楼49.51m，距离西南侧道路10.23m，符合《石油化工厂企业设计防火规范》（GB 50160-2008 2018版）的防火间距要求。</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新增液氮储罐及气化设施，位于新增油气回收装置西北侧，距离相隔6m。由于其介质非可燃助燃，且储罐为常压储罐，故与周边设施不需考虑安全距离。</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新增办公楼污水提升池布置在码头边办公楼东侧围墙内的空地上，新增生活污水处理设施布置在新增油气回收装置东北侧，东北为系统管廊和围墙，与东边围墙外民居距离28.05m。</w:t>
      </w:r>
    </w:p>
    <w:p>
      <w:pPr>
        <w:pStyle w:val="5"/>
        <w:rPr>
          <w:rFonts w:eastAsiaTheme="minorEastAsia"/>
        </w:rPr>
      </w:pPr>
      <w:bookmarkStart w:id="32" w:name="_Toc423004582"/>
      <w:r>
        <w:rPr>
          <w:rFonts w:eastAsiaTheme="minorEastAsia"/>
        </w:rPr>
        <w:t>后方罐区基本概况</w:t>
      </w:r>
      <w:bookmarkEnd w:id="32"/>
    </w:p>
    <w:p>
      <w:pPr>
        <w:pStyle w:val="105"/>
        <w:tabs>
          <w:tab w:val="left" w:pos="900"/>
        </w:tabs>
        <w:adjustRightInd w:val="0"/>
        <w:snapToGrid w:val="0"/>
        <w:spacing w:line="360" w:lineRule="auto"/>
        <w:ind w:firstLine="480"/>
        <w:rPr>
          <w:rFonts w:eastAsiaTheme="minorEastAsia"/>
          <w:color w:val="000000"/>
        </w:rPr>
      </w:pPr>
      <w:r>
        <w:rPr>
          <w:rFonts w:eastAsiaTheme="minorEastAsia"/>
          <w:color w:val="000000"/>
        </w:rPr>
        <w:t>后方储罐区位于本码头的南侧，距离本码头约450m。罐区主要储存</w:t>
      </w:r>
      <w:r>
        <w:rPr>
          <w:rFonts w:eastAsiaTheme="minorEastAsia"/>
        </w:rPr>
        <w:t>长岭分公司</w:t>
      </w:r>
      <w:r>
        <w:rPr>
          <w:rFonts w:eastAsiaTheme="minorEastAsia"/>
          <w:color w:val="000000"/>
        </w:rPr>
        <w:t>的原料及产品，对剩余的储罐能力进行出租，罐区所有储罐由</w:t>
      </w:r>
      <w:r>
        <w:rPr>
          <w:rFonts w:eastAsiaTheme="minorEastAsia"/>
        </w:rPr>
        <w:t>长岭分公司</w:t>
      </w:r>
      <w:r>
        <w:rPr>
          <w:rFonts w:eastAsiaTheme="minorEastAsia"/>
          <w:color w:val="000000"/>
        </w:rPr>
        <w:t>经营并统一管理。</w:t>
      </w:r>
      <w:r>
        <w:rPr>
          <w:rFonts w:eastAsiaTheme="minorEastAsia"/>
          <w:kern w:val="0"/>
        </w:rPr>
        <w:t>本次环评</w:t>
      </w:r>
      <w:r>
        <w:rPr>
          <w:rFonts w:eastAsiaTheme="minorEastAsia"/>
          <w:kern w:val="0"/>
          <w:szCs w:val="21"/>
        </w:rPr>
        <w:t>只包括码头工程、管线工程及环保工程等，不包括储罐区。</w:t>
      </w:r>
    </w:p>
    <w:p>
      <w:pPr>
        <w:pStyle w:val="105"/>
        <w:tabs>
          <w:tab w:val="left" w:pos="900"/>
        </w:tabs>
        <w:adjustRightInd w:val="0"/>
        <w:snapToGrid w:val="0"/>
        <w:spacing w:line="360" w:lineRule="auto"/>
        <w:ind w:firstLine="480"/>
        <w:rPr>
          <w:rFonts w:eastAsiaTheme="minorEastAsia"/>
          <w:color w:val="000000"/>
        </w:rPr>
      </w:pPr>
      <w:r>
        <w:rPr>
          <w:rFonts w:eastAsiaTheme="minorEastAsia"/>
          <w:color w:val="000000"/>
        </w:rPr>
        <w:t>罐区基本情况见下表3.2-8。</w:t>
      </w:r>
    </w:p>
    <w:p>
      <w:pPr>
        <w:pStyle w:val="105"/>
        <w:tabs>
          <w:tab w:val="left" w:pos="900"/>
        </w:tabs>
        <w:adjustRightInd w:val="0"/>
        <w:snapToGrid w:val="0"/>
        <w:spacing w:line="276" w:lineRule="auto"/>
        <w:ind w:firstLine="0" w:firstLineChars="0"/>
        <w:jc w:val="center"/>
        <w:rPr>
          <w:rFonts w:eastAsiaTheme="minorEastAsia"/>
          <w:b/>
          <w:color w:val="000000"/>
        </w:rPr>
      </w:pPr>
      <w:r>
        <w:rPr>
          <w:rFonts w:eastAsiaTheme="minorEastAsia"/>
          <w:b/>
          <w:color w:val="000000"/>
        </w:rPr>
        <w:t>表3.2-8  储罐配置情况表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12"/>
        <w:gridCol w:w="1686"/>
        <w:gridCol w:w="1686"/>
        <w:gridCol w:w="2108"/>
        <w:gridCol w:w="21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3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罐号</w:t>
            </w:r>
          </w:p>
        </w:tc>
        <w:tc>
          <w:tcPr>
            <w:tcW w:w="92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容量（m</w:t>
            </w:r>
            <w:r>
              <w:rPr>
                <w:rFonts w:ascii="Times New Roman" w:hAnsi="Times New Roman" w:eastAsiaTheme="minorEastAsia"/>
                <w:b/>
                <w:vertAlign w:val="superscript"/>
              </w:rPr>
              <w:t>3</w:t>
            </w:r>
            <w:r>
              <w:rPr>
                <w:rFonts w:ascii="Times New Roman" w:hAnsi="Times New Roman" w:eastAsiaTheme="minorEastAsia"/>
                <w:b/>
              </w:rPr>
              <w:t>）</w:t>
            </w:r>
          </w:p>
        </w:tc>
        <w:tc>
          <w:tcPr>
            <w:tcW w:w="92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类型</w:t>
            </w:r>
          </w:p>
        </w:tc>
        <w:tc>
          <w:tcPr>
            <w:tcW w:w="115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品种</w:t>
            </w:r>
          </w:p>
        </w:tc>
        <w:tc>
          <w:tcPr>
            <w:tcW w:w="115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701</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内浮顶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石脑油</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702</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内浮顶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乙酸甲酯</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703</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内浮顶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乙酸仲丁酯</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704</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拱  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柴油</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705</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拱  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柴油</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hint="eastAsia" w:ascii="Times New Roman" w:hAnsi="Times New Roman" w:eastAsiaTheme="minorEastAsia"/>
              </w:rPr>
              <w:t>706</w:t>
            </w:r>
          </w:p>
        </w:tc>
        <w:tc>
          <w:tcPr>
            <w:tcW w:w="926" w:type="pct"/>
            <w:vAlign w:val="center"/>
          </w:tcPr>
          <w:p>
            <w:pPr>
              <w:adjustRightInd w:val="0"/>
              <w:snapToGrid w:val="0"/>
              <w:jc w:val="center"/>
              <w:rPr>
                <w:rFonts w:ascii="Times New Roman" w:hAnsi="Times New Roman" w:eastAsiaTheme="minorEastAsia"/>
              </w:rPr>
            </w:pPr>
            <w:r>
              <w:rPr>
                <w:rFonts w:hint="eastAsia" w:ascii="Times New Roman" w:hAnsi="Times New Roman" w:eastAsiaTheme="minorEastAsia"/>
              </w:rPr>
              <w:t>3000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内浮顶</w:t>
            </w:r>
          </w:p>
        </w:tc>
        <w:tc>
          <w:tcPr>
            <w:tcW w:w="1158" w:type="pct"/>
            <w:vAlign w:val="center"/>
          </w:tcPr>
          <w:p>
            <w:pPr>
              <w:adjustRightInd w:val="0"/>
              <w:snapToGrid w:val="0"/>
              <w:jc w:val="center"/>
              <w:rPr>
                <w:rFonts w:ascii="Times New Roman" w:hAnsi="Times New Roman" w:eastAsiaTheme="minorEastAsia"/>
              </w:rPr>
            </w:pPr>
            <w:r>
              <w:rPr>
                <w:rFonts w:hint="eastAsia" w:ascii="Times New Roman" w:hAnsi="Times New Roman" w:eastAsiaTheme="minorEastAsia"/>
              </w:rPr>
              <w:t>二甲苯</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707</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内浮顶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92#汽油</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708</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外浮顶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绥中油</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709</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外浮顶</w:t>
            </w:r>
          </w:p>
        </w:tc>
        <w:tc>
          <w:tcPr>
            <w:tcW w:w="115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渣油</w:t>
            </w:r>
          </w:p>
        </w:tc>
        <w:tc>
          <w:tcPr>
            <w:tcW w:w="1158" w:type="pct"/>
            <w:vAlign w:val="center"/>
          </w:tcPr>
          <w:p>
            <w:pPr>
              <w:adjustRightInd w:val="0"/>
              <w:snapToGrid w:val="0"/>
              <w:jc w:val="center"/>
              <w:rPr>
                <w:rFonts w:ascii="Times New Roman" w:hAnsi="Times New Roman" w:eastAsiaTheme="minorEastAsia"/>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内浮顶</w:t>
            </w:r>
          </w:p>
        </w:tc>
        <w:tc>
          <w:tcPr>
            <w:tcW w:w="115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醋酸</w:t>
            </w:r>
          </w:p>
        </w:tc>
        <w:tc>
          <w:tcPr>
            <w:tcW w:w="1158" w:type="pct"/>
            <w:vAlign w:val="center"/>
          </w:tcPr>
          <w:p>
            <w:pPr>
              <w:adjustRightInd w:val="0"/>
              <w:snapToGrid w:val="0"/>
              <w:jc w:val="center"/>
              <w:rPr>
                <w:rFonts w:ascii="Times New Roman" w:hAnsi="Times New Roman" w:eastAsiaTheme="minorEastAsia"/>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711</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内浮顶</w:t>
            </w:r>
          </w:p>
        </w:tc>
        <w:tc>
          <w:tcPr>
            <w:tcW w:w="115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乙酸仲丁酯</w:t>
            </w:r>
          </w:p>
        </w:tc>
        <w:tc>
          <w:tcPr>
            <w:tcW w:w="1158" w:type="pct"/>
            <w:vAlign w:val="center"/>
          </w:tcPr>
          <w:p>
            <w:pPr>
              <w:adjustRightInd w:val="0"/>
              <w:snapToGrid w:val="0"/>
              <w:jc w:val="center"/>
              <w:rPr>
                <w:rFonts w:ascii="Times New Roman" w:hAnsi="Times New Roman" w:eastAsiaTheme="minorEastAsia"/>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716</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外浮顶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原油</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717</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外浮顶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蜡油</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301</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拱  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沥青</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302</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拱  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沥青</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303</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拱  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沥青</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304</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拱  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沥青</w:t>
            </w:r>
          </w:p>
        </w:tc>
        <w:tc>
          <w:tcPr>
            <w:tcW w:w="1158"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330、331</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2*10000</w:t>
            </w:r>
          </w:p>
        </w:tc>
        <w:tc>
          <w:tcPr>
            <w:tcW w:w="9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拱  顶</w:t>
            </w:r>
          </w:p>
        </w:tc>
        <w:tc>
          <w:tcPr>
            <w:tcW w:w="115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沥青</w:t>
            </w:r>
          </w:p>
        </w:tc>
        <w:tc>
          <w:tcPr>
            <w:tcW w:w="1158" w:type="pct"/>
            <w:vAlign w:val="center"/>
          </w:tcPr>
          <w:p>
            <w:pPr>
              <w:adjustRightInd w:val="0"/>
              <w:snapToGrid w:val="0"/>
              <w:jc w:val="center"/>
              <w:rPr>
                <w:rFonts w:ascii="Times New Roman" w:hAnsi="Times New Roman" w:eastAsiaTheme="minorEastAsia"/>
              </w:rPr>
            </w:pP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5"/>
        <w:rPr>
          <w:rFonts w:eastAsiaTheme="minorEastAsia"/>
        </w:rPr>
      </w:pPr>
      <w:r>
        <w:rPr>
          <w:rFonts w:eastAsiaTheme="minorEastAsia"/>
        </w:rPr>
        <w:t>航道</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本项目位于城陵矶～武汉长江大桥航段。工程所处的螺山水道属汊道汇合河段，多年来河势格局相对稳定，码头工程位于主航道右侧，目前工程所在河段一年中航道维护水深为4.0m~5.0m。</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本项目设计船型中3000吨级液体散货船可常年满载通航。5000吨油船航经城陵矶～黄石上巢湖航段时部分月份需减载通行；航经黄石上巢湖～长江口可常年满载航行。</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目前，本项目至长江口长江主航道上已建及在建桥梁净空高度最低为18m，设计船型在通过桥区航道时需注意确保船舶水线以上高度能安全通过各桥区航道。</w:t>
      </w:r>
    </w:p>
    <w:p>
      <w:pPr>
        <w:pStyle w:val="5"/>
        <w:rPr>
          <w:rFonts w:eastAsiaTheme="minorEastAsia"/>
        </w:rPr>
      </w:pPr>
      <w:r>
        <w:rPr>
          <w:rFonts w:eastAsiaTheme="minorEastAsia"/>
        </w:rPr>
        <w:t>锚地</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根据《岳阳港总体规划》，岳阳港现有城港1号锚地、城港2号锚地、城港3号锚地、杨林山锚地、新港锚地保留，规划新辟锚地6处，锚地总面积实际采用为474.6万m</w:t>
      </w:r>
      <w:r>
        <w:rPr>
          <w:rFonts w:eastAsiaTheme="minorEastAsia"/>
          <w:sz w:val="24"/>
          <w:szCs w:val="24"/>
          <w:vertAlign w:val="superscript"/>
        </w:rPr>
        <w:t>2</w:t>
      </w:r>
      <w:r>
        <w:rPr>
          <w:rFonts w:eastAsiaTheme="minorEastAsia"/>
          <w:sz w:val="24"/>
          <w:szCs w:val="24"/>
        </w:rPr>
        <w:t>（其中常年锚地401.1万m</w:t>
      </w:r>
      <w:r>
        <w:rPr>
          <w:rFonts w:eastAsiaTheme="minorEastAsia"/>
          <w:sz w:val="24"/>
          <w:szCs w:val="24"/>
          <w:vertAlign w:val="superscript"/>
        </w:rPr>
        <w:t>2</w:t>
      </w:r>
      <w:r>
        <w:rPr>
          <w:rFonts w:eastAsiaTheme="minorEastAsia"/>
          <w:sz w:val="24"/>
          <w:szCs w:val="24"/>
        </w:rPr>
        <w:t>）。其中11号锚地、12号锚地为油轮锚地，规划13号锚地为化工危险品锚地，本项目船舶可前往锚泊。</w:t>
      </w:r>
    </w:p>
    <w:p>
      <w:pPr>
        <w:pStyle w:val="4"/>
        <w:rPr>
          <w:rFonts w:eastAsiaTheme="minorEastAsia"/>
        </w:rPr>
      </w:pPr>
      <w:r>
        <w:rPr>
          <w:rFonts w:eastAsiaTheme="minorEastAsia"/>
        </w:rPr>
        <w:t>装卸工艺</w:t>
      </w:r>
    </w:p>
    <w:p>
      <w:pPr>
        <w:pStyle w:val="5"/>
        <w:rPr>
          <w:rFonts w:eastAsiaTheme="minorEastAsia"/>
        </w:rPr>
      </w:pPr>
      <w:bookmarkStart w:id="33" w:name="_Toc16689"/>
      <w:r>
        <w:rPr>
          <w:rFonts w:eastAsiaTheme="minorEastAsia"/>
        </w:rPr>
        <w:t>主要设计参数</w:t>
      </w:r>
      <w:bookmarkEnd w:id="33"/>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各泊位承运货种及吞吐量：年吞吐量为402万吨/年；</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设计代表船型：3000、5000吨级油品化工品船；</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码头作业天数：330天；</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⑷</w:t>
      </w:r>
      <w:r>
        <w:rPr>
          <w:rFonts w:eastAsiaTheme="minorEastAsia"/>
          <w:sz w:val="24"/>
          <w:szCs w:val="24"/>
        </w:rPr>
        <w:t xml:space="preserve"> 作业班制：四班三倒制；</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⑸</w:t>
      </w:r>
      <w:r>
        <w:rPr>
          <w:rFonts w:eastAsiaTheme="minorEastAsia"/>
          <w:sz w:val="24"/>
          <w:szCs w:val="24"/>
        </w:rPr>
        <w:t xml:space="preserve"> 生产定员：每班3人/泊位，共计60人；</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⑹</w:t>
      </w:r>
      <w:r>
        <w:rPr>
          <w:rFonts w:eastAsiaTheme="minorEastAsia"/>
          <w:sz w:val="24"/>
          <w:szCs w:val="24"/>
        </w:rPr>
        <w:t xml:space="preserve"> 泊位数：5个。</w:t>
      </w:r>
    </w:p>
    <w:p>
      <w:pPr>
        <w:pStyle w:val="5"/>
        <w:rPr>
          <w:rFonts w:eastAsiaTheme="minorEastAsia"/>
        </w:rPr>
      </w:pPr>
      <w:r>
        <w:rPr>
          <w:rFonts w:eastAsiaTheme="minorEastAsia"/>
        </w:rPr>
        <w:t>装卸工艺方案</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本项目为浮式码头结构形式，共布置3个5000吨级油品化工泊位和2个3000吨级油品化工泊位。工艺扫线介质采用氮气，管线补偿采用自然补偿方式，物料管线在主引桥根部设置电动紧急切断阀。</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卸船流程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①</w:t>
      </w:r>
      <w:r>
        <w:rPr>
          <w:rFonts w:eastAsiaTheme="minorEastAsia"/>
          <w:sz w:val="24"/>
          <w:szCs w:val="24"/>
        </w:rPr>
        <w:t xml:space="preserve"> 中高水位：油品、化学品船（自带泵）→装卸臂→活动钢引桥→阀室平台→陆域工艺管线→罐区管线、储罐。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②</w:t>
      </w:r>
      <w:r>
        <w:rPr>
          <w:rFonts w:eastAsiaTheme="minorEastAsia"/>
          <w:sz w:val="24"/>
          <w:szCs w:val="24"/>
        </w:rPr>
        <w:t xml:space="preserve"> 低水位：油品、化学品船（自带泵）→装卸软管→趸船卸船加压泵→活动钢引桥→阀室平台→陆域工艺管线→罐区管线、储罐。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装船流程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罐区管线、储罐→陆域工艺管线→装船泵→阀室平台→活动钢引桥→趸船工艺管线、装卸臂→油品、化学品船。</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吹扫及放空流程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每次装卸作业完毕，用氮气将来船、趸船连接软管或装卸臂内的残液吹入船舱。干管平时不清空，当卸船管道需要切换油品时，可通过厂区循环泵将下次作业的油品、化学品自储罐泵送至循环管道。扫舱采用转子扫舱泵将油品扫入主管线。</w:t>
      </w:r>
    </w:p>
    <w:p>
      <w:pPr>
        <w:pStyle w:val="5"/>
        <w:rPr>
          <w:rFonts w:eastAsiaTheme="minorEastAsia"/>
        </w:rPr>
      </w:pPr>
      <w:r>
        <w:rPr>
          <w:rFonts w:eastAsiaTheme="minorEastAsia"/>
        </w:rPr>
        <w:t>装卸设备</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1、泵的配置</w:t>
      </w:r>
    </w:p>
    <w:p>
      <w:pPr>
        <w:pStyle w:val="313"/>
        <w:tabs>
          <w:tab w:val="right" w:leader="dot" w:pos="9070"/>
        </w:tabs>
        <w:adjustRightInd w:val="0"/>
        <w:snapToGrid w:val="0"/>
        <w:spacing w:line="360" w:lineRule="auto"/>
        <w:ind w:firstLine="480" w:firstLineChars="200"/>
        <w:jc w:val="both"/>
        <w:rPr>
          <w:rFonts w:eastAsiaTheme="minorEastAsia"/>
          <w:sz w:val="24"/>
          <w:szCs w:val="24"/>
        </w:rPr>
      </w:pPr>
      <w:bookmarkStart w:id="34" w:name="_Toc529801733"/>
      <w:r>
        <w:rPr>
          <w:rFonts w:eastAsiaTheme="minorEastAsia"/>
          <w:sz w:val="24"/>
          <w:szCs w:val="24"/>
        </w:rPr>
        <w:t>罐区设置装船泵及输转泵，现有装船及输转泵利旧，本次新加3台泵。罐区泵设置见表3.2-9。</w:t>
      </w:r>
      <w:bookmarkEnd w:id="34"/>
    </w:p>
    <w:p>
      <w:pPr>
        <w:pStyle w:val="313"/>
        <w:tabs>
          <w:tab w:val="right" w:leader="dot" w:pos="9070"/>
        </w:tabs>
        <w:adjustRightInd w:val="0"/>
        <w:snapToGrid w:val="0"/>
        <w:spacing w:line="276" w:lineRule="auto"/>
        <w:jc w:val="center"/>
        <w:rPr>
          <w:rFonts w:eastAsiaTheme="minorEastAsia"/>
          <w:b/>
          <w:color w:val="000000"/>
          <w:sz w:val="24"/>
          <w:szCs w:val="24"/>
          <w:lang w:bidi="ar"/>
        </w:rPr>
      </w:pPr>
      <w:r>
        <w:rPr>
          <w:rFonts w:eastAsiaTheme="minorEastAsia"/>
          <w:b/>
          <w:color w:val="000000"/>
          <w:sz w:val="24"/>
          <w:szCs w:val="24"/>
          <w:lang w:bidi="ar"/>
        </w:rPr>
        <w:t>表3.2-9  装船泵及输转泵</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6"/>
        <w:gridCol w:w="1278"/>
        <w:gridCol w:w="1618"/>
        <w:gridCol w:w="857"/>
        <w:gridCol w:w="675"/>
        <w:gridCol w:w="927"/>
        <w:gridCol w:w="801"/>
        <w:gridCol w:w="1362"/>
        <w:gridCol w:w="1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3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70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机泵编号</w:t>
            </w:r>
          </w:p>
        </w:tc>
        <w:tc>
          <w:tcPr>
            <w:tcW w:w="88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设备名称</w:t>
            </w:r>
          </w:p>
        </w:tc>
        <w:tc>
          <w:tcPr>
            <w:tcW w:w="47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流量（m</w:t>
            </w:r>
            <w:r>
              <w:rPr>
                <w:rFonts w:ascii="Times New Roman" w:hAnsi="Times New Roman" w:eastAsiaTheme="minorEastAsia"/>
                <w:b/>
                <w:vertAlign w:val="superscript"/>
              </w:rPr>
              <w:t>3</w:t>
            </w:r>
            <w:r>
              <w:rPr>
                <w:rFonts w:ascii="Times New Roman" w:hAnsi="Times New Roman" w:eastAsiaTheme="minorEastAsia"/>
                <w:b/>
              </w:rPr>
              <w:t>/h）</w:t>
            </w:r>
          </w:p>
        </w:tc>
        <w:tc>
          <w:tcPr>
            <w:tcW w:w="371"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扬程（m）</w:t>
            </w:r>
          </w:p>
        </w:tc>
        <w:tc>
          <w:tcPr>
            <w:tcW w:w="509"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电机功率（kw）</w:t>
            </w:r>
          </w:p>
        </w:tc>
        <w:tc>
          <w:tcPr>
            <w:tcW w:w="44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数量</w:t>
            </w:r>
          </w:p>
          <w:p>
            <w:pPr>
              <w:adjustRightInd w:val="0"/>
              <w:snapToGrid w:val="0"/>
              <w:jc w:val="center"/>
              <w:rPr>
                <w:rFonts w:ascii="Times New Roman" w:hAnsi="Times New Roman" w:eastAsiaTheme="minorEastAsia"/>
                <w:b/>
              </w:rPr>
            </w:pPr>
            <w:r>
              <w:rPr>
                <w:rFonts w:ascii="Times New Roman" w:hAnsi="Times New Roman" w:eastAsiaTheme="minorEastAsia"/>
                <w:b/>
              </w:rPr>
              <w:t>（台）</w:t>
            </w:r>
          </w:p>
        </w:tc>
        <w:tc>
          <w:tcPr>
            <w:tcW w:w="74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泵所在地点</w:t>
            </w:r>
          </w:p>
        </w:tc>
        <w:tc>
          <w:tcPr>
            <w:tcW w:w="63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0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P-701</w:t>
            </w:r>
          </w:p>
        </w:tc>
        <w:tc>
          <w:tcPr>
            <w:tcW w:w="8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蜡油</w:t>
            </w:r>
            <w:r>
              <w:rPr>
                <w:rFonts w:ascii="Times New Roman" w:hAnsi="Times New Roman" w:eastAsiaTheme="minorEastAsia"/>
              </w:rPr>
              <w:t>送王龙坡泵</w:t>
            </w:r>
          </w:p>
        </w:tc>
        <w:tc>
          <w:tcPr>
            <w:tcW w:w="47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450</w:t>
            </w:r>
          </w:p>
        </w:tc>
        <w:tc>
          <w:tcPr>
            <w:tcW w:w="37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w:t>
            </w:r>
          </w:p>
        </w:tc>
        <w:tc>
          <w:tcPr>
            <w:tcW w:w="5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630</w:t>
            </w:r>
          </w:p>
        </w:tc>
        <w:tc>
          <w:tcPr>
            <w:tcW w:w="44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4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陆城罐区泵房</w:t>
            </w:r>
          </w:p>
        </w:tc>
        <w:tc>
          <w:tcPr>
            <w:tcW w:w="63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70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P-713</w:t>
            </w:r>
          </w:p>
        </w:tc>
        <w:tc>
          <w:tcPr>
            <w:tcW w:w="8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绥中原油</w:t>
            </w:r>
            <w:r>
              <w:rPr>
                <w:rFonts w:ascii="Times New Roman" w:hAnsi="Times New Roman" w:eastAsiaTheme="minorEastAsia"/>
              </w:rPr>
              <w:t>装船泵</w:t>
            </w:r>
          </w:p>
        </w:tc>
        <w:tc>
          <w:tcPr>
            <w:tcW w:w="47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290</w:t>
            </w:r>
          </w:p>
        </w:tc>
        <w:tc>
          <w:tcPr>
            <w:tcW w:w="37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132</w:t>
            </w:r>
          </w:p>
        </w:tc>
        <w:tc>
          <w:tcPr>
            <w:tcW w:w="44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4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陆城罐区泵房</w:t>
            </w:r>
          </w:p>
        </w:tc>
        <w:tc>
          <w:tcPr>
            <w:tcW w:w="63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w:t>
            </w:r>
          </w:p>
        </w:tc>
        <w:tc>
          <w:tcPr>
            <w:tcW w:w="70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P-01</w:t>
            </w:r>
          </w:p>
        </w:tc>
        <w:tc>
          <w:tcPr>
            <w:tcW w:w="8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200#沥青</w:t>
            </w:r>
            <w:r>
              <w:rPr>
                <w:rFonts w:ascii="Times New Roman" w:hAnsi="Times New Roman" w:eastAsiaTheme="minorEastAsia"/>
              </w:rPr>
              <w:t>装船泵</w:t>
            </w:r>
          </w:p>
        </w:tc>
        <w:tc>
          <w:tcPr>
            <w:tcW w:w="47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w:t>
            </w:r>
          </w:p>
        </w:tc>
        <w:tc>
          <w:tcPr>
            <w:tcW w:w="37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0.6MPa</w:t>
            </w:r>
          </w:p>
        </w:tc>
        <w:tc>
          <w:tcPr>
            <w:tcW w:w="5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110</w:t>
            </w:r>
          </w:p>
        </w:tc>
        <w:tc>
          <w:tcPr>
            <w:tcW w:w="44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4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沥青罐区泵棚</w:t>
            </w:r>
          </w:p>
        </w:tc>
        <w:tc>
          <w:tcPr>
            <w:tcW w:w="63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4</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P-704</w:t>
            </w:r>
          </w:p>
        </w:tc>
        <w:tc>
          <w:tcPr>
            <w:tcW w:w="889"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92#汽油输转泵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167</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258</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250</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陆城罐区泵房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P-703</w:t>
            </w:r>
          </w:p>
        </w:tc>
        <w:tc>
          <w:tcPr>
            <w:tcW w:w="88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车用柴油输转泵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167</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258</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250</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陆城罐区泵房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6</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P-712</w:t>
            </w:r>
          </w:p>
        </w:tc>
        <w:tc>
          <w:tcPr>
            <w:tcW w:w="88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重整石脑油输转泵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100</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240</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160</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陆城罐区泵房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P-235</w:t>
            </w:r>
          </w:p>
        </w:tc>
        <w:tc>
          <w:tcPr>
            <w:tcW w:w="88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乙烯裂解料装船泵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215</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340</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315</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二垄汽油泵房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8</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P-416</w:t>
            </w:r>
          </w:p>
        </w:tc>
        <w:tc>
          <w:tcPr>
            <w:tcW w:w="88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二甲苯装船泵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120</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280</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132</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芳烃罐区泵房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9</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P-7026</w:t>
            </w:r>
          </w:p>
        </w:tc>
        <w:tc>
          <w:tcPr>
            <w:tcW w:w="88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乙酸甲酯装车泵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50</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32</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30</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陆城罐区泵房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P-7027、7028</w:t>
            </w:r>
          </w:p>
        </w:tc>
        <w:tc>
          <w:tcPr>
            <w:tcW w:w="88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乙酸仲丁酯装船泵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80</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90</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55</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陆城罐区泵房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已有</w:t>
            </w:r>
            <w:r>
              <w:rPr>
                <w:rFonts w:hint="eastAsia" w:ascii="Times New Roman" w:hAnsi="Times New Roman" w:eastAsiaTheme="minorEastAsia"/>
                <w:color w:val="000000"/>
              </w:rPr>
              <w:t>，</w:t>
            </w:r>
            <w:r>
              <w:rPr>
                <w:rFonts w:ascii="Times New Roman" w:hAnsi="Times New Roman" w:eastAsiaTheme="minorEastAsia"/>
                <w:color w:val="000000"/>
              </w:rPr>
              <w:t>并联使用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11</w:t>
            </w:r>
          </w:p>
        </w:tc>
        <w:tc>
          <w:tcPr>
            <w:tcW w:w="702"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P-7024、7025</w:t>
            </w:r>
          </w:p>
        </w:tc>
        <w:tc>
          <w:tcPr>
            <w:tcW w:w="88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醋酸装车泵</w:t>
            </w:r>
          </w:p>
        </w:tc>
        <w:tc>
          <w:tcPr>
            <w:tcW w:w="4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50</w:t>
            </w:r>
          </w:p>
        </w:tc>
        <w:tc>
          <w:tcPr>
            <w:tcW w:w="37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32</w:t>
            </w:r>
          </w:p>
        </w:tc>
        <w:tc>
          <w:tcPr>
            <w:tcW w:w="509"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11</w:t>
            </w:r>
          </w:p>
        </w:tc>
        <w:tc>
          <w:tcPr>
            <w:tcW w:w="44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w:t>
            </w:r>
          </w:p>
        </w:tc>
        <w:tc>
          <w:tcPr>
            <w:tcW w:w="748"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陆城罐区泵房</w:t>
            </w:r>
          </w:p>
        </w:tc>
        <w:tc>
          <w:tcPr>
            <w:tcW w:w="63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已有</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bookmarkStart w:id="35" w:name="_Toc529801735"/>
    </w:p>
    <w:p>
      <w:pPr>
        <w:pStyle w:val="313"/>
        <w:tabs>
          <w:tab w:val="right" w:leader="dot" w:pos="9070"/>
        </w:tabs>
        <w:adjustRightInd w:val="0"/>
        <w:snapToGrid w:val="0"/>
        <w:spacing w:line="360" w:lineRule="auto"/>
        <w:ind w:firstLine="482" w:firstLineChars="200"/>
        <w:jc w:val="both"/>
        <w:rPr>
          <w:rFonts w:eastAsiaTheme="minorEastAsia"/>
          <w:b/>
          <w:sz w:val="24"/>
          <w:szCs w:val="24"/>
        </w:rPr>
      </w:pPr>
      <w:bookmarkStart w:id="36" w:name="_Toc529801734"/>
      <w:r>
        <w:rPr>
          <w:rFonts w:eastAsiaTheme="minorEastAsia"/>
          <w:b/>
          <w:sz w:val="24"/>
          <w:szCs w:val="24"/>
        </w:rPr>
        <w:t>2、管线</w:t>
      </w:r>
      <w:bookmarkEnd w:id="36"/>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厂际管线不在本项目范围内。</w:t>
      </w:r>
      <w:bookmarkEnd w:id="35"/>
    </w:p>
    <w:p>
      <w:pPr>
        <w:pStyle w:val="313"/>
        <w:tabs>
          <w:tab w:val="right" w:leader="dot" w:pos="9070"/>
        </w:tabs>
        <w:adjustRightInd w:val="0"/>
        <w:snapToGrid w:val="0"/>
        <w:spacing w:line="360" w:lineRule="auto"/>
        <w:ind w:firstLine="480" w:firstLineChars="200"/>
        <w:jc w:val="both"/>
        <w:rPr>
          <w:rFonts w:eastAsiaTheme="minorEastAsia"/>
          <w:sz w:val="24"/>
          <w:szCs w:val="24"/>
        </w:rPr>
      </w:pPr>
      <w:bookmarkStart w:id="37" w:name="_Toc529801736"/>
      <w:r>
        <w:rPr>
          <w:rFonts w:eastAsiaTheme="minorEastAsia"/>
          <w:sz w:val="24"/>
          <w:szCs w:val="24"/>
        </w:rPr>
        <w:t>罐区至码头现有联系管线原则上尽量利用，合理调配后需增加1根管线，分别为200#道路石油沥青线。拆除5根管线，分别为仪表风线（DN50）、烯裂解料线（DN150）、乙酸仲丁酯线（DN100）、05码头原油线（DN400）、闲置线（DN150）。调整后管线设置见表3.2-10。</w:t>
      </w:r>
      <w:bookmarkEnd w:id="37"/>
    </w:p>
    <w:p>
      <w:pPr>
        <w:pStyle w:val="313"/>
        <w:tabs>
          <w:tab w:val="right" w:leader="dot" w:pos="9070"/>
        </w:tabs>
        <w:adjustRightInd w:val="0"/>
        <w:snapToGrid w:val="0"/>
        <w:spacing w:line="276" w:lineRule="auto"/>
        <w:jc w:val="center"/>
        <w:rPr>
          <w:rFonts w:eastAsiaTheme="minorEastAsia"/>
          <w:b/>
          <w:color w:val="000000"/>
          <w:sz w:val="24"/>
          <w:szCs w:val="24"/>
          <w:lang w:bidi="ar"/>
        </w:rPr>
      </w:pPr>
      <w:r>
        <w:rPr>
          <w:rFonts w:eastAsiaTheme="minorEastAsia"/>
          <w:b/>
          <w:color w:val="000000"/>
          <w:sz w:val="24"/>
          <w:szCs w:val="24"/>
          <w:lang w:bidi="ar"/>
        </w:rPr>
        <w:t>表3.2-10  罐区至码头联系管线</w:t>
      </w:r>
    </w:p>
    <w:tbl>
      <w:tblPr>
        <w:tblStyle w:val="71"/>
        <w:tblW w:w="48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0" w:type="dxa"/>
        </w:tblCellMar>
      </w:tblPr>
      <w:tblGrid>
        <w:gridCol w:w="535"/>
        <w:gridCol w:w="1453"/>
        <w:gridCol w:w="889"/>
        <w:gridCol w:w="1031"/>
        <w:gridCol w:w="631"/>
        <w:gridCol w:w="962"/>
        <w:gridCol w:w="1112"/>
        <w:gridCol w:w="23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0" w:type="dxa"/>
          </w:tblCellMar>
        </w:tblPrEx>
        <w:trPr>
          <w:trHeight w:val="340" w:hRule="atLeast"/>
          <w:tblHeader/>
          <w:jc w:val="center"/>
        </w:trPr>
        <w:tc>
          <w:tcPr>
            <w:tcW w:w="297" w:type="pct"/>
            <w:noWrap/>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序号</w:t>
            </w:r>
          </w:p>
        </w:tc>
        <w:tc>
          <w:tcPr>
            <w:tcW w:w="806" w:type="pct"/>
            <w:noWrap/>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输送介质</w:t>
            </w:r>
          </w:p>
        </w:tc>
        <w:tc>
          <w:tcPr>
            <w:tcW w:w="493" w:type="pct"/>
            <w:noWrap/>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起点</w:t>
            </w:r>
          </w:p>
        </w:tc>
        <w:tc>
          <w:tcPr>
            <w:tcW w:w="572" w:type="pct"/>
            <w:noWrap/>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终点</w:t>
            </w:r>
          </w:p>
        </w:tc>
        <w:tc>
          <w:tcPr>
            <w:tcW w:w="350" w:type="pct"/>
            <w:noWrap/>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管径</w:t>
            </w:r>
          </w:p>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mm</w:t>
            </w:r>
          </w:p>
        </w:tc>
        <w:tc>
          <w:tcPr>
            <w:tcW w:w="534" w:type="pct"/>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设计温度</w:t>
            </w:r>
            <w:r>
              <w:rPr>
                <w:rFonts w:hint="eastAsia" w:ascii="宋体" w:hAnsi="宋体" w:cs="宋体"/>
                <w:b/>
              </w:rPr>
              <w:t>℃</w:t>
            </w:r>
          </w:p>
        </w:tc>
        <w:tc>
          <w:tcPr>
            <w:tcW w:w="617" w:type="pct"/>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设计压力MPa</w:t>
            </w:r>
          </w:p>
        </w:tc>
        <w:tc>
          <w:tcPr>
            <w:tcW w:w="1328" w:type="pct"/>
            <w:tcMar>
              <w:top w:w="0" w:type="dxa"/>
              <w:bottom w:w="0" w:type="dxa"/>
              <w:right w:w="0"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bottom"/>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kern w:val="0"/>
              </w:rPr>
              <w:t>1</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蜡  油</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DN400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80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利用02码头至罐区原油线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沥  青</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DN250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3</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醋  酸</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DN150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4</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绥中油</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DN400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80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利用07码头至罐区原油线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重整石脑油</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6</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乙酸甲酯</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7</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乙酸仲丁酯</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w:t>
            </w:r>
            <w:r>
              <w:rPr>
                <w:rFonts w:ascii="Times New Roman" w:hAnsi="Times New Roman" w:eastAsiaTheme="minorEastAsia"/>
                <w:kern w:val="0"/>
              </w:rPr>
              <w:t>DN200</w:t>
            </w:r>
            <w:r>
              <w:rPr>
                <w:rFonts w:ascii="Times New Roman" w:hAnsi="Times New Roman" w:eastAsiaTheme="minorEastAsia"/>
              </w:rPr>
              <w:t>MTBE装船线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8</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丁酮</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暂不敷设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9</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二甲苯</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芳烃罐区</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4.0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10</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200#道路石油沥青</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DN250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新敷设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11</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车用柴油</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12</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92#汽油</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13</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油品气相回收</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油气回收设备</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DN250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利用罐区至码头</w:t>
            </w:r>
            <w:r>
              <w:rPr>
                <w:rFonts w:ascii="Times New Roman" w:hAnsi="Times New Roman" w:eastAsiaTheme="minorEastAsia"/>
                <w:kern w:val="0"/>
              </w:rPr>
              <w:t>DN250</w:t>
            </w:r>
            <w:r>
              <w:rPr>
                <w:rFonts w:ascii="Times New Roman" w:hAnsi="Times New Roman" w:eastAsiaTheme="minorEastAsia"/>
              </w:rPr>
              <w:t>泡沫线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14</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蒸汽线</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锅炉</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DN150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250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在锅炉改造项目中实施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15</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含油污水线</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40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利用码头至罐区</w:t>
            </w:r>
            <w:r>
              <w:rPr>
                <w:rFonts w:ascii="Times New Roman" w:hAnsi="Times New Roman" w:eastAsiaTheme="minorEastAsia"/>
                <w:kern w:val="0"/>
              </w:rPr>
              <w:t>DN250</w:t>
            </w:r>
            <w:r>
              <w:rPr>
                <w:rFonts w:ascii="Times New Roman" w:hAnsi="Times New Roman" w:eastAsiaTheme="minorEastAsia"/>
              </w:rPr>
              <w:t>韩国重油线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16</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生活污水线</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DN200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40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利用罐区至码头DN200泡沫线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17</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氮气线</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罐区氮气罐</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DN100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40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利用05码头至罐区油气线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18</w:t>
            </w:r>
          </w:p>
        </w:tc>
        <w:tc>
          <w:tcPr>
            <w:tcW w:w="806"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消防水线</w:t>
            </w:r>
          </w:p>
        </w:tc>
        <w:tc>
          <w:tcPr>
            <w:tcW w:w="493"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港口罐区</w:t>
            </w:r>
          </w:p>
        </w:tc>
        <w:tc>
          <w:tcPr>
            <w:tcW w:w="572"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码头</w:t>
            </w:r>
          </w:p>
        </w:tc>
        <w:tc>
          <w:tcPr>
            <w:tcW w:w="350" w:type="pct"/>
            <w:noWrap/>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DN350</w:t>
            </w:r>
          </w:p>
        </w:tc>
        <w:tc>
          <w:tcPr>
            <w:tcW w:w="534"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rPr>
                <w:rFonts w:ascii="Times New Roman" w:hAnsi="Times New Roman" w:eastAsiaTheme="minorEastAsia"/>
                <w:kern w:val="0"/>
              </w:rPr>
            </w:pPr>
            <w:r>
              <w:rPr>
                <w:rFonts w:ascii="Times New Roman" w:hAnsi="Times New Roman" w:eastAsiaTheme="minorEastAsia"/>
                <w:kern w:val="0"/>
              </w:rPr>
              <w:t>40</w:t>
            </w:r>
          </w:p>
        </w:tc>
        <w:tc>
          <w:tcPr>
            <w:tcW w:w="617" w:type="pct"/>
            <w:tcMar>
              <w:top w:w="0" w:type="dxa"/>
              <w:bottom w:w="0" w:type="dxa"/>
              <w:right w:w="0" w:type="dxa"/>
            </w:tcMar>
            <w:vAlign w:val="center"/>
          </w:tcPr>
          <w:p>
            <w:pPr>
              <w:keepNext w:val="0"/>
              <w:keepLines w:val="0"/>
              <w:pageBreakBefore w:val="0"/>
              <w:widowControl/>
              <w:kinsoku/>
              <w:wordWrap/>
              <w:overflowPunct/>
              <w:topLinePunct w:val="0"/>
              <w:bidi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c>
          <w:tcPr>
            <w:tcW w:w="1328" w:type="pct"/>
            <w:tcMar>
              <w:top w:w="0" w:type="dxa"/>
              <w:bottom w:w="0" w:type="dxa"/>
              <w:right w:w="0" w:type="dxa"/>
            </w:tcMar>
            <w:vAlign w:val="center"/>
          </w:tcPr>
          <w:p>
            <w:pPr>
              <w:keepNext w:val="0"/>
              <w:keepLines w:val="0"/>
              <w:pageBreakBefore w:val="0"/>
              <w:kinsoku/>
              <w:wordWrap/>
              <w:overflowPunct/>
              <w:topLinePunct w:val="0"/>
              <w:bidi w:val="0"/>
              <w:adjustRightInd w:val="0"/>
              <w:snapToGrid w:val="0"/>
              <w:jc w:val="center"/>
              <w:rPr>
                <w:rFonts w:ascii="Times New Roman" w:hAnsi="Times New Roman" w:eastAsiaTheme="minorEastAsia"/>
              </w:rPr>
            </w:pPr>
            <w:r>
              <w:rPr>
                <w:rFonts w:ascii="Times New Roman" w:hAnsi="Times New Roman" w:eastAsiaTheme="minorEastAsia"/>
              </w:rPr>
              <w:t>利用03码头至罐区</w:t>
            </w:r>
            <w:r>
              <w:rPr>
                <w:rFonts w:ascii="Times New Roman" w:hAnsi="Times New Roman" w:eastAsiaTheme="minorEastAsia"/>
                <w:kern w:val="0"/>
              </w:rPr>
              <w:t>DN400</w:t>
            </w:r>
            <w:r>
              <w:rPr>
                <w:rFonts w:ascii="Times New Roman" w:hAnsi="Times New Roman" w:eastAsiaTheme="minorEastAsia"/>
              </w:rPr>
              <w:t>原油线</w:t>
            </w:r>
          </w:p>
        </w:tc>
      </w:tr>
    </w:tbl>
    <w:p>
      <w:pPr>
        <w:pStyle w:val="313"/>
        <w:tabs>
          <w:tab w:val="right" w:leader="dot" w:pos="9070"/>
        </w:tabs>
        <w:adjustRightInd w:val="0"/>
        <w:snapToGrid w:val="0"/>
        <w:spacing w:line="360" w:lineRule="auto"/>
        <w:jc w:val="both"/>
        <w:rPr>
          <w:rFonts w:eastAsiaTheme="minorEastAsia"/>
          <w:sz w:val="21"/>
          <w:szCs w:val="21"/>
        </w:rPr>
      </w:pPr>
      <w:r>
        <w:rPr>
          <w:rFonts w:eastAsiaTheme="minorEastAsia"/>
          <w:sz w:val="21"/>
          <w:szCs w:val="21"/>
        </w:rPr>
        <w:t>注：所有利旧管线需要检查腐蚀及管线完好程度后方可使用。</w:t>
      </w:r>
    </w:p>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r>
        <w:rPr>
          <w:rFonts w:eastAsiaTheme="minorEastAsia"/>
        </w:rPr>
        <w:t>水工建筑物</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本项目码头结构型式为浮码头，水工建筑物主要包括钢质趸船消能设施、活动钢引桥、钢筋砼阀室平台、综合用房平台、钢筋砼固定引桥、管线计量平台等，水工建筑物等级为</w:t>
      </w:r>
      <w:r>
        <w:rPr>
          <w:rFonts w:hint="eastAsia" w:ascii="宋体" w:hAnsi="宋体" w:cs="宋体"/>
          <w:sz w:val="24"/>
          <w:szCs w:val="24"/>
        </w:rPr>
        <w:t>Ⅱ</w:t>
      </w:r>
      <w:r>
        <w:rPr>
          <w:rFonts w:eastAsiaTheme="minorEastAsia"/>
          <w:sz w:val="24"/>
          <w:szCs w:val="24"/>
        </w:rPr>
        <w:t>级。</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码头区地形、地质及水文等自然条件，对应总平面布置及装卸工艺方案，水工建筑物基础拟采用桩基，从上游往下依次为2~6#泊位，码头前沿设置5个趸船。码头岸侧设置4座阀室平台，趸船与阀室平台之间通过活动钢引桥相连，阀室平台之间通过混凝土联桥相连，顺码头轴线设置固定引桥将阀室平台与大堤连接。水工建筑物主要由活动钢引桥、钢筋砼阀室平台、综合用房平台、固定引桥、补偿平台及撑杆式消能设施等组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连接趸船与阀室平台的活动钢引桥共4座，平面尺度为60×6.0m，采用桁架式结构，上部敷设管道并兼顾人行。</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钢筋砼阀室平台及综合用房平台均为高桩墩式结构，1#阀室平台平面尺寸为20m×22m，2#、3#阀室平台平面尺寸为15m×17m，4#阀室平台平面尺寸为15m×19m，基础均采用Φ1000mm嵌岩钢管桩，综合用房平台平面尺寸为25m×28m，基础均采用Φ1000mm嵌岩钢管桩。</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设置3座固定混凝土联桥将4座阀室平台相连。从上游往下游，固定混凝土联桥分别长146.5m，142m，141.5m，宽均为9m。混凝土联桥为高桩梁板式结构，引桥排架间距为16 m，桩基采用2根Φ1000mm嵌岩钢管桩，引桥上部结构由钢筋砼横梁、预应力砼空心板及面层组成。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钢筋砼固定引桥共1座，长181.652m，宽9m，为高桩梁板结构。引桥排架间距为16m，桩基采用2根Φ1000mm嵌岩钢管桩（靠岸侧采用Φ1000mm钻孔灌注桩），引桥上部结构由钢筋砼横梁、预应力砼空心板及面层组成。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在引桥上游侧设置1座钢筋砼管线计量平台，为高桩墩式结构，平面尺寸为20m×15m，基础均采用Φ1000mm嵌岩钻孔灌注桩。</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新建趸船的岸侧距趸船上下游端10m（或25m）处各布设一套桩式钢浮箱消能设施。消能设施由定位桩、钢浮箱等构成。定位桩采用Φ1800嵌岩钢管桩，上部为随水位变动的钢浮箱。利用布置在钢浮箱侧面的橡胶护舷的压缩变形来吸收船舶靠泊能量，同时也能减少船舶靠泊时的水平变位，以满足安全靠泊和正常使用要求。</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码头前沿设置跳趸供船舶系缆，设置钢联桥将趸船相连。船舶及趸船通过岸侧设置11座系船块体来满足锚泊要求。</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原泊位对新建工程有影响的结构予以拆除。</w:t>
      </w:r>
    </w:p>
    <w:p>
      <w:pPr>
        <w:pStyle w:val="4"/>
        <w:rPr>
          <w:rFonts w:eastAsiaTheme="minorEastAsia"/>
        </w:rPr>
      </w:pPr>
      <w:bookmarkStart w:id="38" w:name="_Toc14611"/>
      <w:r>
        <w:rPr>
          <w:rFonts w:eastAsiaTheme="minorEastAsia"/>
        </w:rPr>
        <w:t>建设用地方案</w:t>
      </w:r>
      <w:bookmarkEnd w:id="38"/>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w:t>
      </w:r>
      <w:r>
        <w:rPr>
          <w:rFonts w:hint="eastAsia" w:eastAsiaTheme="minorEastAsia"/>
          <w:sz w:val="24"/>
          <w:szCs w:val="24"/>
        </w:rPr>
        <w:t>项目</w:t>
      </w:r>
      <w:r>
        <w:rPr>
          <w:rFonts w:eastAsiaTheme="minorEastAsia"/>
          <w:sz w:val="24"/>
          <w:szCs w:val="24"/>
        </w:rPr>
        <w:t>提质改造陆域工程依托后方已建罐区，水域码头部分与后方陆域配套设施的设计分界点在码头引桥与长江大堤外坡顶交汇处（含跨堤桁架）。本项目需于陆域设置液体氮气站、VOC处理装置等，均位于长岭分公司港口部已批复用地范围内。因此，本项目不涉及新增占地。</w:t>
      </w:r>
    </w:p>
    <w:p>
      <w:pPr>
        <w:pStyle w:val="4"/>
        <w:rPr>
          <w:rFonts w:eastAsiaTheme="minorEastAsia"/>
        </w:rPr>
      </w:pPr>
      <w:r>
        <w:rPr>
          <w:rFonts w:eastAsiaTheme="minorEastAsia"/>
        </w:rPr>
        <w:t>配套工程</w:t>
      </w:r>
    </w:p>
    <w:p>
      <w:pPr>
        <w:pStyle w:val="5"/>
        <w:rPr>
          <w:rFonts w:eastAsiaTheme="minorEastAsia"/>
        </w:rPr>
      </w:pPr>
      <w:bookmarkStart w:id="39" w:name="_Toc5221"/>
      <w:r>
        <w:rPr>
          <w:rFonts w:eastAsiaTheme="minorEastAsia"/>
        </w:rPr>
        <w:t>供电及照明</w:t>
      </w:r>
      <w:bookmarkEnd w:id="39"/>
      <w:r>
        <w:rPr>
          <w:rFonts w:eastAsiaTheme="minorEastAsia"/>
        </w:rPr>
        <w:t>系统</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1、供电电源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本项目拟从后方罐区变电所分别引二回路6kV供电电源至码头综合用房变电所，两路电源同时使用，互为备用，电源负荷等级满足一级负荷要求。</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2#~6#油品泊位趸船共计6路6kV高压电源，由码头综合用房变电所高压柜提供。1#~6#油品泊位每个趸船的消防负荷均为2路IT系统电源，共计12路380/220V电源由码头综合用房变电所提供。</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本项目高压配电电压为6kV，低压配电电压为380V/220V，引桥、阀室平台、综合用房系统接地型式采用TN-S系统；趸船供电系统接地型式采用IT系统。</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2、供电方案</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本项目不设总降压站。</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本项目拟设变电所一座，位于2#、3#泊位间的混凝土联桥侧综合用房一层。在码头综合用房内设6/0.4kV变电所一座，内设6/0.4kV、315kVA干式电力主变压器两台，0.4/0.4kV、125kVA干式电力隔离变压器两台。</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主要用电设备采用电缆放射式供电，同类用途的较小容量的用电设备采用链式供电。本项目电缆线路主要采用沿电缆桥架敷设，局部采用穿保护钢管明敷。引桥部分高低压供电电缆均采用阻燃交联聚乙烯绝缘聚氯乙烯护套铠装电缆（ZR-YJV22-10kV；ZR-YJV22-0.6/1kV）；趸船部分采用阻燃船舶专用电缆（CEFR/SA-10kV；CEFR/SA-0.6/1kV）。</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在码头消防控制室及自动控制室设置双电源自动切换箱。</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3、用电负荷及设备选择</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主要用电设备有2#~6#油品泊位趸船用电、电动阀、消防设备、控制设备、通讯设备、检修设施及室内、外照明设备等，所有用电设备供电电压为380/220V。本项目紧急切断阀、消防用电设备为一级用电负荷，其他均为三级负荷。紧急切断阀、消防负荷约为40kW，每个趸船按变压器装机容量按800kVA考虑。</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本项目变压器拟选用SCB11节能型干式电力变压器，低压开关柜选用DDG型低压开关柜。爆炸危险区域采用相应防爆等级的防爆用电设备。</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4、照明方案</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本项目趸船平台采用防爆投光灯来照明，引桥采用钢杆防爆路灯照明。室内、外照明均采用LED灯。</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平均照度值如下：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水平照度：码头15Lx；引桥5~10Lx。</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为防止船舶碰撞，在靠船装卸平台、引桥上设置红色信号灯。</w:t>
      </w:r>
    </w:p>
    <w:p>
      <w:pPr>
        <w:pStyle w:val="5"/>
        <w:rPr>
          <w:rFonts w:eastAsiaTheme="minorEastAsia"/>
        </w:rPr>
      </w:pPr>
      <w:bookmarkStart w:id="40" w:name="_Toc6005"/>
      <w:r>
        <w:rPr>
          <w:rFonts w:eastAsiaTheme="minorEastAsia"/>
        </w:rPr>
        <w:t>给排水</w:t>
      </w:r>
      <w:bookmarkEnd w:id="40"/>
      <w:r>
        <w:rPr>
          <w:rFonts w:eastAsiaTheme="minorEastAsia"/>
        </w:rPr>
        <w:t>系统</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bookmarkStart w:id="41" w:name="_Toc174523578"/>
      <w:bookmarkStart w:id="42" w:name="_Toc174179704"/>
      <w:r>
        <w:rPr>
          <w:rFonts w:eastAsiaTheme="minorEastAsia"/>
          <w:b/>
          <w:sz w:val="24"/>
          <w:szCs w:val="24"/>
        </w:rPr>
        <w:t>1、供水</w:t>
      </w:r>
      <w:bookmarkEnd w:id="41"/>
      <w:bookmarkEnd w:id="42"/>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本项目给水由后方厂区供水管线供给，管径为DN150，压力0.4Mpa；</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港区给水系统拟采用：</w:t>
      </w:r>
      <w:r>
        <w:rPr>
          <w:rFonts w:eastAsiaTheme="minorEastAsia"/>
          <w:sz w:val="24"/>
          <w:szCs w:val="24"/>
        </w:rPr>
        <w:fldChar w:fldCharType="begin"/>
      </w:r>
      <w:r>
        <w:rPr>
          <w:rFonts w:eastAsiaTheme="minorEastAsia"/>
          <w:sz w:val="24"/>
          <w:szCs w:val="24"/>
        </w:rPr>
        <w:instrText xml:space="preserve">= 1 \* GB3</w:instrText>
      </w:r>
      <w:r>
        <w:rPr>
          <w:rFonts w:eastAsiaTheme="minorEastAsia"/>
          <w:sz w:val="24"/>
          <w:szCs w:val="24"/>
        </w:rPr>
        <w:fldChar w:fldCharType="separate"/>
      </w:r>
      <w:r>
        <w:rPr>
          <w:rFonts w:hint="eastAsia" w:ascii="宋体" w:hAnsi="宋体" w:cs="宋体"/>
          <w:sz w:val="24"/>
          <w:szCs w:val="24"/>
        </w:rPr>
        <w:t>①</w:t>
      </w:r>
      <w:r>
        <w:rPr>
          <w:rFonts w:eastAsiaTheme="minorEastAsia"/>
          <w:sz w:val="24"/>
          <w:szCs w:val="24"/>
        </w:rPr>
        <w:fldChar w:fldCharType="end"/>
      </w:r>
      <w:r>
        <w:rPr>
          <w:rFonts w:eastAsiaTheme="minorEastAsia"/>
          <w:sz w:val="24"/>
          <w:szCs w:val="24"/>
        </w:rPr>
        <w:t xml:space="preserve"> 船舶+生活+环保用水系统；</w:t>
      </w:r>
      <w:r>
        <w:rPr>
          <w:rFonts w:eastAsiaTheme="minorEastAsia"/>
          <w:sz w:val="24"/>
          <w:szCs w:val="24"/>
        </w:rPr>
        <w:fldChar w:fldCharType="begin"/>
      </w:r>
      <w:r>
        <w:rPr>
          <w:rFonts w:eastAsiaTheme="minorEastAsia"/>
          <w:sz w:val="24"/>
          <w:szCs w:val="24"/>
        </w:rPr>
        <w:instrText xml:space="preserve">= 2 \* GB3</w:instrText>
      </w:r>
      <w:r>
        <w:rPr>
          <w:rFonts w:eastAsiaTheme="minorEastAsia"/>
          <w:sz w:val="24"/>
          <w:szCs w:val="24"/>
        </w:rPr>
        <w:fldChar w:fldCharType="separate"/>
      </w:r>
      <w:r>
        <w:rPr>
          <w:rFonts w:hint="eastAsia" w:ascii="宋体" w:hAnsi="宋体" w:cs="宋体"/>
          <w:sz w:val="24"/>
          <w:szCs w:val="24"/>
        </w:rPr>
        <w:t>②</w:t>
      </w:r>
      <w:r>
        <w:rPr>
          <w:rFonts w:eastAsiaTheme="minorEastAsia"/>
          <w:sz w:val="24"/>
          <w:szCs w:val="24"/>
        </w:rPr>
        <w:fldChar w:fldCharType="end"/>
      </w:r>
      <w:r>
        <w:rPr>
          <w:rFonts w:eastAsiaTheme="minorEastAsia"/>
          <w:sz w:val="24"/>
          <w:szCs w:val="24"/>
        </w:rPr>
        <w:t xml:space="preserve"> 消防用水系统。给水管和冲洗管道采用内外涂塑钢管，卡箍或法兰连接。</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给水管呈枝状布置。</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2、排水</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采用雨污分流、污废分流</w:t>
      </w:r>
      <w:r>
        <w:rPr>
          <w:rFonts w:hint="eastAsia" w:eastAsiaTheme="minorEastAsia"/>
          <w:sz w:val="24"/>
          <w:szCs w:val="24"/>
        </w:rPr>
        <w:t>至</w:t>
      </w:r>
      <w:r>
        <w:rPr>
          <w:rFonts w:eastAsiaTheme="minorEastAsia"/>
          <w:sz w:val="24"/>
          <w:szCs w:val="24"/>
        </w:rPr>
        <w:t>排水体系。</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生产污水、初期雨水</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趸船平台面装卸操作台周围设置收集箱收集滴漏污水，趸船面冲洗水和初期雨水汇流至趸船污水箱中，初期雨水和冲洗废水最终经趸船的防爆污水泵（要求流量&gt;10m</w:t>
      </w:r>
      <w:r>
        <w:rPr>
          <w:rFonts w:eastAsiaTheme="minorEastAsia"/>
          <w:sz w:val="24"/>
          <w:szCs w:val="24"/>
          <w:vertAlign w:val="superscript"/>
        </w:rPr>
        <w:t>3</w:t>
      </w:r>
      <w:r>
        <w:rPr>
          <w:rFonts w:eastAsiaTheme="minorEastAsia"/>
          <w:sz w:val="24"/>
          <w:szCs w:val="24"/>
        </w:rPr>
        <w:t>/h，扬程&gt;30m）输送到后方港口部污水处理站。趸船面其它区域后期雨水污染甚微，经污水池溢流排入长江。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生活污水</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码头生活废水通过污水池收集，再由潜水排污泵输送至后方一体化模压式净化槽处理后进入</w:t>
      </w:r>
      <w:r>
        <w:rPr>
          <w:rFonts w:eastAsiaTheme="minorEastAsia"/>
          <w:color w:val="000000"/>
          <w:sz w:val="24"/>
          <w:szCs w:val="24"/>
        </w:rPr>
        <w:t>港口部污水处理站后，再与码头部生产废水一同通过</w:t>
      </w:r>
      <w:r>
        <w:rPr>
          <w:rFonts w:eastAsiaTheme="minorEastAsia"/>
          <w:sz w:val="24"/>
          <w:szCs w:val="24"/>
        </w:rPr>
        <w:t>污水管网进入长岭分公司第二污水处理厂。</w:t>
      </w:r>
    </w:p>
    <w:p>
      <w:pPr>
        <w:pStyle w:val="5"/>
        <w:rPr>
          <w:rFonts w:eastAsiaTheme="minorEastAsia"/>
        </w:rPr>
      </w:pPr>
      <w:r>
        <w:rPr>
          <w:rFonts w:eastAsiaTheme="minorEastAsia"/>
        </w:rPr>
        <w:t>消防系统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1</w:t>
      </w:r>
      <w:r>
        <w:rPr>
          <w:rFonts w:eastAsiaTheme="minorEastAsia"/>
          <w:b/>
          <w:sz w:val="24"/>
          <w:szCs w:val="24"/>
        </w:rPr>
        <w:t>、陆域消防站</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港口部设立有长炼消防支队四中队，由本企业专职消防队长炼消防支队管理，负责港口部消防应急救援工作，四中队消防应急救援人员29人，配备有3台消防车、1台气防车，防火防护服和灭火救援工具若干。</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2、水上消防站</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港口部配备消拖两用轮一艘。</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3、火灾危险性分析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根据《装卸油品码头防火设计规范》（JTJ 237-2019），本项目的码头防火等级分别为：3个5000吨级油品泊位，为甲B类一级码头；2个3000吨级油品泊位，为甲B类二级码头。综合来分析，油品码头区域的防火等级按甲B类一级码头进行设防。</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4、消防设计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冷却水用量及水幕用水量（按5000吨级油品泊位计算）</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消防水炮冷却流量：60L/s；延续时间6小时；一起火灾消防水炮用水量：1296m</w:t>
      </w:r>
      <w:r>
        <w:rPr>
          <w:rFonts w:eastAsiaTheme="minorEastAsia"/>
          <w:sz w:val="24"/>
          <w:szCs w:val="24"/>
          <w:vertAlign w:val="superscript"/>
        </w:rPr>
        <w:t>3</w:t>
      </w:r>
      <w:r>
        <w:rPr>
          <w:rFonts w:eastAsiaTheme="minorEastAsia"/>
          <w:sz w:val="24"/>
          <w:szCs w:val="24"/>
        </w:rPr>
        <w:t>。</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当一艘消防船监护时，1套PSKDC60型冷却水炮同时工作，消防炮冷却水流量：60L/s；延续时间4小时；一起火灾消防水炮用水量：864m</w:t>
      </w:r>
      <w:r>
        <w:rPr>
          <w:rFonts w:eastAsiaTheme="minorEastAsia"/>
          <w:sz w:val="24"/>
          <w:szCs w:val="24"/>
          <w:vertAlign w:val="superscript"/>
        </w:rPr>
        <w:t>3</w:t>
      </w:r>
      <w:r>
        <w:rPr>
          <w:rFonts w:eastAsiaTheme="minorEastAsia"/>
          <w:sz w:val="24"/>
          <w:szCs w:val="24"/>
        </w:rPr>
        <w:t>。</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平台水幕用水量：45L/s；延续时间1小时；炮塔水幕用水量：18L/s；延续时间6小时。一起火灾水幕用水量：551m</w:t>
      </w:r>
      <w:r>
        <w:rPr>
          <w:rFonts w:eastAsiaTheme="minorEastAsia"/>
          <w:sz w:val="24"/>
          <w:szCs w:val="24"/>
          <w:vertAlign w:val="superscript"/>
        </w:rPr>
        <w:t>3</w:t>
      </w:r>
      <w:r>
        <w:rPr>
          <w:rFonts w:eastAsiaTheme="minorEastAsia"/>
          <w:sz w:val="24"/>
          <w:szCs w:val="24"/>
        </w:rPr>
        <w:t>。</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室外消火栓用水量</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码头用量：30L/s；延续时间4小时；装卸区用量：20L/s；延续时间2小时。</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室外消火栓用水量：576m</w:t>
      </w:r>
      <w:r>
        <w:rPr>
          <w:rFonts w:eastAsiaTheme="minorEastAsia"/>
          <w:sz w:val="24"/>
          <w:szCs w:val="24"/>
          <w:vertAlign w:val="superscript"/>
        </w:rPr>
        <w:t>3</w:t>
      </w:r>
      <w:r>
        <w:rPr>
          <w:rFonts w:eastAsiaTheme="minorEastAsia"/>
          <w:sz w:val="24"/>
          <w:szCs w:val="24"/>
        </w:rPr>
        <w:t>；</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泡沫混合液用量（按5</w:t>
      </w:r>
      <w:r>
        <w:rPr>
          <w:rFonts w:hint="eastAsia" w:eastAsiaTheme="minorEastAsia"/>
          <w:sz w:val="24"/>
          <w:szCs w:val="24"/>
        </w:rPr>
        <w:t>0</w:t>
      </w:r>
      <w:r>
        <w:rPr>
          <w:rFonts w:eastAsiaTheme="minorEastAsia"/>
          <w:sz w:val="24"/>
          <w:szCs w:val="24"/>
        </w:rPr>
        <w:t>00吨级油品泊位计算）</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泡沫混合液流量：48L/s；连续供给时间：60min；</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泡沫混合液用量：207m</w:t>
      </w:r>
      <w:r>
        <w:rPr>
          <w:rFonts w:eastAsiaTheme="minorEastAsia"/>
          <w:sz w:val="24"/>
          <w:szCs w:val="24"/>
          <w:vertAlign w:val="superscript"/>
        </w:rPr>
        <w:t>3</w:t>
      </w:r>
      <w:r>
        <w:rPr>
          <w:rFonts w:eastAsiaTheme="minorEastAsia"/>
          <w:sz w:val="24"/>
          <w:szCs w:val="24"/>
        </w:rPr>
        <w:t>，泡沫液用量：6.5m</w:t>
      </w:r>
      <w:r>
        <w:rPr>
          <w:rFonts w:eastAsiaTheme="minorEastAsia"/>
          <w:sz w:val="24"/>
          <w:szCs w:val="24"/>
          <w:vertAlign w:val="superscript"/>
        </w:rPr>
        <w:t>3</w:t>
      </w:r>
      <w:r>
        <w:rPr>
          <w:rFonts w:eastAsiaTheme="minorEastAsia"/>
          <w:sz w:val="24"/>
          <w:szCs w:val="24"/>
        </w:rPr>
        <w:t>。</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5、灭火系统设计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消防水源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本项目油品化工泊位所需要的消防用水，由后方厂区消防泵站提供，消防水的水质为淡水。</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泡沫间</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为了保证在5min之内泡沫混合液能够到达码头的最远点，泡沫站内设置BPPH3/100型平衡式泡沫比例混合装置1套。本项目所需的泡沫混合液由泡沫站内的泡沫比例混合装置提供，流量为48L/s的抗溶性水成膜泡沫混合液，出口泡沫管为DN250；管道材质采用镀锌钢管。泡沫液采用海水型抗溶性水成膜泡沫原液，全部储量为8m</w:t>
      </w:r>
      <w:r>
        <w:rPr>
          <w:rFonts w:eastAsiaTheme="minorEastAsia"/>
          <w:sz w:val="24"/>
          <w:szCs w:val="24"/>
          <w:vertAlign w:val="superscript"/>
        </w:rPr>
        <w:t>3</w:t>
      </w:r>
      <w:r>
        <w:rPr>
          <w:rFonts w:eastAsiaTheme="minorEastAsia"/>
          <w:sz w:val="24"/>
          <w:szCs w:val="24"/>
        </w:rPr>
        <w:t>，供给码头消防泡沫炮对油船火灾进行扑救。</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6、水幕系统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码头前沿的水幕系统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本项目在码头前沿各设置一组水幕喷淋喷头，每个喷头的间距为2m。水幕的保护长度最大为30 m。当船舶着火时，能隔离船和码头，保护了装卸设备和管道的安全，有利于人员安全撤离，对消防人员也起了保护的作用。</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消防炮塔水幕</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在消防炮塔架上设置的水雾喷头，水雾的喷射强度为：1L/S.个；由消防炮塔厂家配套提供。</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在码头作业平台及引桥设置消火栓，间距不大于60m。由于消防水的压力过高，在消防栓和消防水管的接口处设减压孔板，将压力减至0.5MPa。</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7、装卸作业区的装卸设备及管道</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当工作平台发生火灾时，装卸系统的紧急脱离装置与液体危险品船脱离，尽快将油船拖走。可用手提式泡沫灭火器和推车式泡沫灭火器进行灭火，同时起动码头前沿水幕，隔离油船和码头，防止火灾的蔓延。本项目的消防管理由厂区统一负责管理，码头配备消防监督员。根据不同的货物特性，选择不同的灭火剂种类：小型灭火器采用抗溶性泡沫灭火器；ABC类干粉灭火器；各变配电室、控制间采用二氧化碳灭火器。</w:t>
      </w:r>
    </w:p>
    <w:p>
      <w:pPr>
        <w:pStyle w:val="5"/>
        <w:rPr>
          <w:rFonts w:eastAsiaTheme="minorEastAsia"/>
        </w:rPr>
      </w:pPr>
      <w:r>
        <w:rPr>
          <w:rFonts w:eastAsiaTheme="minorEastAsia"/>
        </w:rPr>
        <w:t>通信系统</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1、港区通信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有线电通信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码头区内不设程控用户交换机，其自动电话和调度电话由后方罐区统一考虑。</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根据工程建设规模和使用需求，2#~6#泊位（油品及化工泊位）的综合用房内设置15部自动电话和2部调度电话。</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综合用房内考虑采用综合布线，综合布线采用6类线标准。</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无线调度通信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码头区内生产调度人员之间以及调度人员与移动机械操作人员之间的通信联系采用UHF无线对讲方式。</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2#~6#泊位配置防爆型手持式对讲机18台，UHF对讲机功率不大于3W，工作频点由后方罐区统一向当地无线电频率管理部门申请。</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消防专用通信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本项目在码头综合用房设置1部后方罐区消防通信系统的专用电话。另外，码头作业人员还配有无线对讲机，发生火灾时也能作为应急通信工具。</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⑷</w:t>
      </w:r>
      <w:r>
        <w:rPr>
          <w:rFonts w:eastAsiaTheme="minorEastAsia"/>
          <w:sz w:val="24"/>
          <w:szCs w:val="24"/>
        </w:rPr>
        <w:t xml:space="preserve"> 广播系统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码头区的生产指令依托接收站的广播呼叫系统。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本研究在2#~6#泊位的新建活动钢引桥、阀室平台、固定引桥等处共设置15部防爆广播话站。</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⑸</w:t>
      </w:r>
      <w:r>
        <w:rPr>
          <w:rFonts w:eastAsiaTheme="minorEastAsia"/>
          <w:sz w:val="24"/>
          <w:szCs w:val="24"/>
        </w:rPr>
        <w:t xml:space="preserve"> 工业电视监视系统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安全预防和远程监控要求，在码头区设置工业电视监控系统。该系统不单独设置，与后方罐区监控系统组成一个统一的系统，其监控室设置在后方罐区中控室内。码头区域的监视和控制信号通过光缆汇聚到后方罐区中控室。</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工业电视监控系统包括前端摄像设备、后端监控设备以及传输和电源设施等。</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在2#~6#泊位的新建活动钢引桥、阀室平台、固定引桥上设置15部防爆摄像机，在2#~6#泊位综合用房设置5部高清枪式摄像机及接入交换机和工作站，摄像机视频和控制信号通过光缆接入交换机。</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码头区2#~6#泊位引桥摄像机由综合用房UPS电源集中供电。</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2、船岸通信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码头区内不设短波单边带（SSB）电台，本项目远距离的船、岸通信将依托岳阳港现有的船、岸通信设施。</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在码头综合用房控制室设置甚高频（VHF）话台，甚高频（VHF）话台采用水上工作频率，按一用一备配置，其功率不大于25瓦。</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为便于码头移动作业人员与船舶通信，2#~6#泊位配置防爆型手持式VHF对讲机12台。手持式VHF对讲机采用水上专用频道，其功率不大于3瓦。</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3、通信线路</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根据本项目建设规模，由后方罐区引20对市话电缆至1#~6#泊位。</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码头区内通信线路采用ZR-HYA型阻燃型市话电缆，广播呼叫系统采用ZR-CB-15型系统电缆，工业电视监视信号的传输采用GYTZX-4B型光缆。</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通信电缆的敷设方式采用与控制线路共电缆桥架和电缆沟敷设。</w:t>
      </w:r>
    </w:p>
    <w:p>
      <w:pPr>
        <w:pStyle w:val="5"/>
        <w:rPr>
          <w:rFonts w:eastAsiaTheme="minorEastAsia"/>
        </w:rPr>
      </w:pPr>
      <w:r>
        <w:rPr>
          <w:rFonts w:eastAsiaTheme="minorEastAsia"/>
        </w:rPr>
        <w:t>控制系统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本项目码头控制系统主要包括仪表控制系统、可燃气体检测系统以及火灾报警及消防控制系统。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GB2 </w:instrText>
      </w:r>
      <w:r>
        <w:rPr>
          <w:rFonts w:eastAsiaTheme="minorEastAsia"/>
          <w:sz w:val="24"/>
          <w:szCs w:val="24"/>
        </w:rPr>
        <w:fldChar w:fldCharType="separate"/>
      </w:r>
      <w:r>
        <w:rPr>
          <w:rFonts w:hint="eastAsia" w:ascii="宋体" w:hAnsi="宋体" w:cs="宋体"/>
          <w:sz w:val="24"/>
          <w:szCs w:val="24"/>
        </w:rPr>
        <w:t>⑴</w:t>
      </w:r>
      <w:r>
        <w:rPr>
          <w:rFonts w:eastAsiaTheme="minorEastAsia"/>
          <w:sz w:val="24"/>
          <w:szCs w:val="24"/>
        </w:rPr>
        <w:fldChar w:fldCharType="end"/>
      </w:r>
      <w:r>
        <w:rPr>
          <w:rFonts w:eastAsiaTheme="minorEastAsia"/>
          <w:sz w:val="24"/>
          <w:szCs w:val="24"/>
        </w:rPr>
        <w:t xml:space="preserve"> 仪表控制系统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本项目仪表控制系统主要是对2#~6#泊位内工艺管道输送流程的控制。控制对象包括阀门、流量计及管道上的监测仪表。</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本项目2#~6#泊位仪表控制系统采用分散型过程控制系统（DCS），控制室设置在码头综合用房二层控制室内。DCS 是整个油品泊位生产控制的核心，操作人员可通过DCS 操作站对各油品泊位的运行进行监视和控制。</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整个DCS可提供过程控制功能，同时具备顺控和逻辑功能、计算功能、报警管理、历史数据存贮和报表打印功能。同时DCS系统预留与库区通信接口，可与库区实现自动化计量。</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GB2 </w:instrText>
      </w:r>
      <w:r>
        <w:rPr>
          <w:rFonts w:eastAsiaTheme="minorEastAsia"/>
          <w:sz w:val="24"/>
          <w:szCs w:val="24"/>
        </w:rPr>
        <w:fldChar w:fldCharType="separate"/>
      </w:r>
      <w:r>
        <w:rPr>
          <w:rFonts w:hint="eastAsia" w:ascii="宋体" w:hAnsi="宋体" w:cs="宋体"/>
          <w:sz w:val="24"/>
          <w:szCs w:val="24"/>
        </w:rPr>
        <w:t>⑵</w:t>
      </w:r>
      <w:r>
        <w:rPr>
          <w:rFonts w:eastAsiaTheme="minorEastAsia"/>
          <w:sz w:val="24"/>
          <w:szCs w:val="24"/>
        </w:rPr>
        <w:fldChar w:fldCharType="end"/>
      </w:r>
      <w:r>
        <w:rPr>
          <w:rFonts w:eastAsiaTheme="minorEastAsia"/>
          <w:sz w:val="24"/>
          <w:szCs w:val="24"/>
        </w:rPr>
        <w:t xml:space="preserve"> 可燃气体检测系统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2#泊位~6#泊位在趸船及阀室易发生有可燃易爆、有毒气体泄漏危险区内设置可燃气体监测器，检测仪信号接入GDS系统，通过GDS系统中独立设置的操作站，对可燃易爆、有毒气体泄漏监测显示和报警。GDS还应具备时间顺序记录功能。</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GDS操作站放置在码头综合用房二层控制室内，用来指示各码头的可燃气体及有毒气体报警器的情况。</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3 \* GB2 </w:instrText>
      </w:r>
      <w:r>
        <w:rPr>
          <w:rFonts w:eastAsiaTheme="minorEastAsia"/>
          <w:sz w:val="24"/>
          <w:szCs w:val="24"/>
        </w:rPr>
        <w:fldChar w:fldCharType="separate"/>
      </w:r>
      <w:r>
        <w:rPr>
          <w:rFonts w:hint="eastAsia" w:ascii="宋体" w:hAnsi="宋体" w:cs="宋体"/>
          <w:sz w:val="24"/>
          <w:szCs w:val="24"/>
        </w:rPr>
        <w:t>⑶</w:t>
      </w:r>
      <w:r>
        <w:rPr>
          <w:rFonts w:eastAsiaTheme="minorEastAsia"/>
          <w:sz w:val="24"/>
          <w:szCs w:val="24"/>
        </w:rPr>
        <w:fldChar w:fldCharType="end"/>
      </w:r>
      <w:r>
        <w:rPr>
          <w:rFonts w:eastAsiaTheme="minorEastAsia"/>
          <w:sz w:val="24"/>
          <w:szCs w:val="24"/>
        </w:rPr>
        <w:t xml:space="preserve"> 火灾报警及消防控制系统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2#泊位~6#泊位火灾报警系统设备本次考虑利旧改造，对利旧趸船上满足现有规范设置的火灾报警设备考虑利旧，对于新建的趸船、引桥及阀室处新增防爆手动报警按钮以及声光报警器，新增的火灾报警设备接入码头综合用房控制室火灾报警控制器。各趸船上火灾报警信号通过总线通讯与码头综合用房控制室火灾报警控制器联网。</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2#泊位~6#泊位消防控制系统的控制对象是趸船上的消防炮、消防电动阀，并采用消防控制柜对该消防设施进行控制，操作人员可通过消防控制柜上的按钮实现对消防炮及电动阀的控制。各泊位消防控制柜均设置在码头综合用房控制间。</w:t>
      </w:r>
    </w:p>
    <w:p>
      <w:pPr>
        <w:pStyle w:val="5"/>
        <w:rPr>
          <w:rFonts w:eastAsiaTheme="minorEastAsia"/>
        </w:rPr>
      </w:pPr>
      <w:bookmarkStart w:id="43" w:name="_Toc25936"/>
      <w:r>
        <w:rPr>
          <w:rFonts w:eastAsiaTheme="minorEastAsia"/>
        </w:rPr>
        <w:t>生产及辅助建筑物</w:t>
      </w:r>
      <w:bookmarkEnd w:id="43"/>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1、建筑</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GB2 </w:instrText>
      </w:r>
      <w:r>
        <w:rPr>
          <w:rFonts w:eastAsiaTheme="minorEastAsia"/>
          <w:sz w:val="24"/>
          <w:szCs w:val="24"/>
        </w:rPr>
        <w:fldChar w:fldCharType="separate"/>
      </w:r>
      <w:r>
        <w:rPr>
          <w:rFonts w:hint="eastAsia" w:ascii="宋体" w:hAnsi="宋体" w:cs="宋体"/>
          <w:sz w:val="24"/>
          <w:szCs w:val="24"/>
        </w:rPr>
        <w:t>⑴</w:t>
      </w:r>
      <w:r>
        <w:rPr>
          <w:rFonts w:eastAsiaTheme="minorEastAsia"/>
          <w:sz w:val="24"/>
          <w:szCs w:val="24"/>
        </w:rPr>
        <w:fldChar w:fldCharType="end"/>
      </w:r>
      <w:r>
        <w:rPr>
          <w:rFonts w:eastAsiaTheme="minorEastAsia"/>
          <w:sz w:val="24"/>
          <w:szCs w:val="24"/>
        </w:rPr>
        <w:t xml:space="preserve"> 生产和辅助生产建筑物</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包含综合用房，建筑单体1个；总建筑面积594m</w:t>
      </w:r>
      <w:r>
        <w:rPr>
          <w:rFonts w:eastAsiaTheme="minorEastAsia"/>
          <w:sz w:val="24"/>
          <w:szCs w:val="24"/>
          <w:vertAlign w:val="superscript"/>
        </w:rPr>
        <w:t>2</w:t>
      </w:r>
      <w:r>
        <w:rPr>
          <w:rFonts w:eastAsiaTheme="minorEastAsia"/>
          <w:sz w:val="24"/>
          <w:szCs w:val="24"/>
        </w:rPr>
        <w:t>。</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GB2 </w:instrText>
      </w:r>
      <w:r>
        <w:rPr>
          <w:rFonts w:eastAsiaTheme="minorEastAsia"/>
          <w:sz w:val="24"/>
          <w:szCs w:val="24"/>
        </w:rPr>
        <w:fldChar w:fldCharType="separate"/>
      </w:r>
      <w:r>
        <w:rPr>
          <w:rFonts w:hint="eastAsia" w:ascii="宋体" w:hAnsi="宋体" w:cs="宋体"/>
          <w:sz w:val="24"/>
          <w:szCs w:val="24"/>
        </w:rPr>
        <w:t>⑵</w:t>
      </w:r>
      <w:r>
        <w:rPr>
          <w:rFonts w:eastAsiaTheme="minorEastAsia"/>
          <w:sz w:val="24"/>
          <w:szCs w:val="24"/>
        </w:rPr>
        <w:fldChar w:fldCharType="end"/>
      </w:r>
      <w:r>
        <w:rPr>
          <w:rFonts w:eastAsiaTheme="minorEastAsia"/>
          <w:sz w:val="24"/>
          <w:szCs w:val="24"/>
        </w:rPr>
        <w:t xml:space="preserve"> 建筑设计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综合用房为2层建筑，层高均为4.5m，建筑高度为9m，建筑面积594 m</w:t>
      </w:r>
      <w:r>
        <w:rPr>
          <w:rFonts w:eastAsiaTheme="minorEastAsia"/>
          <w:sz w:val="24"/>
          <w:szCs w:val="24"/>
          <w:vertAlign w:val="superscript"/>
        </w:rPr>
        <w:t>2</w:t>
      </w:r>
      <w:r>
        <w:rPr>
          <w:rFonts w:eastAsiaTheme="minorEastAsia"/>
          <w:sz w:val="24"/>
          <w:szCs w:val="24"/>
        </w:rPr>
        <w:t>，占地面积297m</w:t>
      </w:r>
      <w:r>
        <w:rPr>
          <w:rFonts w:eastAsiaTheme="minorEastAsia"/>
          <w:sz w:val="24"/>
          <w:szCs w:val="24"/>
          <w:vertAlign w:val="superscript"/>
        </w:rPr>
        <w:t>2</w:t>
      </w:r>
      <w:r>
        <w:rPr>
          <w:rFonts w:eastAsiaTheme="minorEastAsia"/>
          <w:sz w:val="24"/>
          <w:szCs w:val="24"/>
        </w:rPr>
        <w:t>。功能包含有办公室、配电间、消防控制室、通信控制室、消防设备用房等功能。</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2、结构设计</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综合用房采用钢筋混凝土框架结构，现浇钢筋混凝土楼、屋面板，墙体采用200厚加气混凝土砌块围护，位于水工结构上。</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阀式棚采用钢框架结构，采用压型钢板屋面，屋面檩条采用C型冷弯薄壁型钢，为敞开式结构，位于水工结构上。</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管架采用钢筋混凝土框架结构或钢结构，位于水工结构上。跨大堤桁架采用钢桁架结构+钢筋混凝土柱，PHC管桩基础。</w:t>
      </w:r>
    </w:p>
    <w:p>
      <w:pPr>
        <w:pStyle w:val="343"/>
        <w:spacing w:line="276" w:lineRule="auto"/>
        <w:ind w:firstLine="0" w:firstLineChars="0"/>
        <w:jc w:val="center"/>
        <w:rPr>
          <w:rFonts w:cs="Times New Roman" w:eastAsiaTheme="minorEastAsia"/>
          <w:b/>
        </w:rPr>
      </w:pPr>
      <w:r>
        <w:rPr>
          <w:rFonts w:cs="Times New Roman" w:eastAsiaTheme="minorEastAsia"/>
          <w:b/>
          <w:sz w:val="24"/>
        </w:rPr>
        <w:t>表3.2-11  建筑物一览表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1827"/>
        <w:gridCol w:w="2066"/>
        <w:gridCol w:w="2027"/>
        <w:gridCol w:w="24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12"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序号</w:t>
            </w:r>
          </w:p>
        </w:tc>
        <w:tc>
          <w:tcPr>
            <w:tcW w:w="1004"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名称</w:t>
            </w:r>
          </w:p>
        </w:tc>
        <w:tc>
          <w:tcPr>
            <w:tcW w:w="1135"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建筑面积（m</w:t>
            </w:r>
            <w:r>
              <w:rPr>
                <w:rFonts w:cs="Times New Roman" w:eastAsiaTheme="minorEastAsia"/>
                <w:b/>
                <w:sz w:val="21"/>
                <w:szCs w:val="21"/>
                <w:vertAlign w:val="superscript"/>
              </w:rPr>
              <w:t>2</w:t>
            </w:r>
            <w:r>
              <w:rPr>
                <w:rFonts w:cs="Times New Roman" w:eastAsiaTheme="minorEastAsia"/>
                <w:b/>
                <w:sz w:val="21"/>
                <w:szCs w:val="21"/>
              </w:rPr>
              <w:t>）</w:t>
            </w:r>
          </w:p>
        </w:tc>
        <w:tc>
          <w:tcPr>
            <w:tcW w:w="1114"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建筑结构特征</w:t>
            </w:r>
          </w:p>
        </w:tc>
        <w:tc>
          <w:tcPr>
            <w:tcW w:w="1335"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12" w:type="pct"/>
            <w:tcMar>
              <w:top w:w="0" w:type="dxa"/>
              <w:left w:w="0" w:type="dxa"/>
              <w:bottom w:w="0" w:type="dxa"/>
              <w:right w:w="0" w:type="dxa"/>
            </w:tcMar>
            <w:vAlign w:val="center"/>
          </w:tcPr>
          <w:p>
            <w:pPr>
              <w:pStyle w:val="353"/>
              <w:rPr>
                <w:rFonts w:ascii="Times New Roman" w:hAnsi="Times New Roman" w:eastAsiaTheme="minorEastAsia"/>
              </w:rPr>
            </w:pPr>
            <w:bookmarkStart w:id="44" w:name="_Hlk399176206"/>
            <w:r>
              <w:rPr>
                <w:rFonts w:ascii="Times New Roman" w:hAnsi="Times New Roman" w:eastAsiaTheme="minorEastAsia"/>
              </w:rPr>
              <w:t>1</w:t>
            </w:r>
          </w:p>
        </w:tc>
        <w:tc>
          <w:tcPr>
            <w:tcW w:w="1004" w:type="pct"/>
            <w:tcMar>
              <w:top w:w="0" w:type="dxa"/>
              <w:left w:w="0" w:type="dxa"/>
              <w:bottom w:w="0" w:type="dxa"/>
              <w:right w:w="0" w:type="dxa"/>
            </w:tcMar>
            <w:vAlign w:val="center"/>
          </w:tcPr>
          <w:p>
            <w:pPr>
              <w:pStyle w:val="353"/>
              <w:rPr>
                <w:rFonts w:ascii="Times New Roman" w:hAnsi="Times New Roman" w:eastAsiaTheme="minorEastAsia"/>
              </w:rPr>
            </w:pPr>
            <w:r>
              <w:rPr>
                <w:rFonts w:ascii="Times New Roman" w:hAnsi="Times New Roman" w:eastAsiaTheme="minorEastAsia"/>
              </w:rPr>
              <w:t>综合用房</w:t>
            </w:r>
          </w:p>
        </w:tc>
        <w:tc>
          <w:tcPr>
            <w:tcW w:w="1135" w:type="pct"/>
            <w:tcMar>
              <w:top w:w="0" w:type="dxa"/>
              <w:left w:w="0" w:type="dxa"/>
              <w:bottom w:w="0" w:type="dxa"/>
              <w:right w:w="0" w:type="dxa"/>
            </w:tcMar>
            <w:vAlign w:val="center"/>
          </w:tcPr>
          <w:p>
            <w:pPr>
              <w:pStyle w:val="353"/>
              <w:rPr>
                <w:rFonts w:ascii="Times New Roman" w:hAnsi="Times New Roman" w:eastAsiaTheme="minorEastAsia"/>
              </w:rPr>
            </w:pPr>
            <w:r>
              <w:rPr>
                <w:rFonts w:ascii="Times New Roman" w:hAnsi="Times New Roman" w:eastAsiaTheme="minorEastAsia"/>
              </w:rPr>
              <w:t>594</w:t>
            </w:r>
          </w:p>
        </w:tc>
        <w:tc>
          <w:tcPr>
            <w:tcW w:w="1114" w:type="pct"/>
            <w:tcMar>
              <w:top w:w="0" w:type="dxa"/>
              <w:left w:w="0" w:type="dxa"/>
              <w:bottom w:w="0" w:type="dxa"/>
              <w:right w:w="0" w:type="dxa"/>
            </w:tcMar>
            <w:vAlign w:val="center"/>
          </w:tcPr>
          <w:p>
            <w:pPr>
              <w:pStyle w:val="353"/>
              <w:rPr>
                <w:rFonts w:ascii="Times New Roman" w:hAnsi="Times New Roman" w:eastAsiaTheme="minorEastAsia"/>
              </w:rPr>
            </w:pPr>
            <w:r>
              <w:rPr>
                <w:rFonts w:ascii="Times New Roman" w:hAnsi="Times New Roman" w:eastAsiaTheme="minorEastAsia"/>
              </w:rPr>
              <w:t>钢筋混凝土框架</w:t>
            </w:r>
          </w:p>
        </w:tc>
        <w:tc>
          <w:tcPr>
            <w:tcW w:w="1335" w:type="pct"/>
            <w:tcMar>
              <w:top w:w="0" w:type="dxa"/>
              <w:left w:w="0" w:type="dxa"/>
              <w:bottom w:w="0" w:type="dxa"/>
              <w:right w:w="0" w:type="dxa"/>
            </w:tcMar>
            <w:vAlign w:val="center"/>
          </w:tcPr>
          <w:p>
            <w:pPr>
              <w:pStyle w:val="353"/>
              <w:rPr>
                <w:rFonts w:ascii="Times New Roman" w:hAnsi="Times New Roman" w:eastAsiaTheme="minorEastAsia"/>
              </w:rPr>
            </w:pPr>
            <w:r>
              <w:rPr>
                <w:rFonts w:ascii="Times New Roman" w:hAnsi="Times New Roman" w:eastAsiaTheme="minorEastAsia"/>
              </w:rPr>
              <w:t>2层，位于水工平台上</w:t>
            </w:r>
          </w:p>
        </w:tc>
      </w:tr>
      <w:bookmarkEnd w:id="44"/>
    </w:tbl>
    <w:p>
      <w:pPr>
        <w:pStyle w:val="313"/>
        <w:tabs>
          <w:tab w:val="right" w:leader="dot" w:pos="9070"/>
        </w:tabs>
        <w:adjustRightInd w:val="0"/>
        <w:snapToGrid w:val="0"/>
        <w:spacing w:line="360" w:lineRule="auto"/>
        <w:ind w:firstLine="482" w:firstLineChars="200"/>
        <w:jc w:val="both"/>
        <w:rPr>
          <w:rFonts w:eastAsiaTheme="minorEastAsia"/>
          <w:b/>
          <w:sz w:val="24"/>
        </w:rPr>
      </w:pPr>
    </w:p>
    <w:p>
      <w:pPr>
        <w:pStyle w:val="343"/>
        <w:spacing w:line="276" w:lineRule="auto"/>
        <w:ind w:firstLine="0" w:firstLineChars="0"/>
        <w:jc w:val="center"/>
        <w:rPr>
          <w:rFonts w:cs="Times New Roman" w:eastAsiaTheme="minorEastAsia"/>
          <w:b/>
          <w:sz w:val="24"/>
        </w:rPr>
      </w:pPr>
      <w:r>
        <w:rPr>
          <w:rFonts w:cs="Times New Roman" w:eastAsiaTheme="minorEastAsia"/>
          <w:b/>
          <w:sz w:val="24"/>
        </w:rPr>
        <w:t>表3.2-12  构筑物一览表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9"/>
        <w:gridCol w:w="1816"/>
        <w:gridCol w:w="983"/>
        <w:gridCol w:w="983"/>
        <w:gridCol w:w="1405"/>
        <w:gridCol w:w="32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序号</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名称</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单位</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数量</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规模及特征</w:t>
            </w:r>
          </w:p>
        </w:tc>
        <w:tc>
          <w:tcPr>
            <w:tcW w:w="1766" w:type="pct"/>
            <w:tcMar>
              <w:top w:w="0" w:type="dxa"/>
              <w:left w:w="0" w:type="dxa"/>
              <w:bottom w:w="0" w:type="dxa"/>
              <w:right w:w="0" w:type="dxa"/>
            </w:tcMar>
            <w:vAlign w:val="center"/>
          </w:tcPr>
          <w:p>
            <w:pPr>
              <w:pStyle w:val="352"/>
              <w:spacing w:before="0" w:after="0" w:line="240" w:lineRule="auto"/>
              <w:rPr>
                <w:rFonts w:cs="Times New Roman" w:eastAsiaTheme="minorEastAsia"/>
                <w:b/>
                <w:sz w:val="21"/>
                <w:szCs w:val="21"/>
              </w:rPr>
            </w:pPr>
            <w:r>
              <w:rPr>
                <w:rFonts w:cs="Times New Roman" w:eastAsiaTheme="minorEastAsia"/>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1</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A型管架</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50</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钢筋混凝土结构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高3.5m，4.5m宽，位于水工结构上。混凝土140m</w:t>
            </w:r>
            <w:r>
              <w:rPr>
                <w:rFonts w:cs="Times New Roman" w:eastAsiaTheme="minorEastAsia"/>
                <w:sz w:val="21"/>
                <w:szCs w:val="21"/>
                <w:vertAlign w:val="superscript"/>
              </w:rPr>
              <w:t>3</w:t>
            </w:r>
            <w:r>
              <w:rPr>
                <w:rFonts w:cs="Times New Roman" w:eastAsiaTheme="minorEastAsia"/>
                <w:sz w:val="21"/>
                <w:szCs w:val="21"/>
              </w:rPr>
              <w:t>，钢筋28t。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2</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B型管架</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100</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钢筋混凝土结构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高3.5m，4.5m宽，位于水工结构上。混凝土136m</w:t>
            </w:r>
            <w:r>
              <w:rPr>
                <w:rFonts w:cs="Times New Roman" w:eastAsiaTheme="minorEastAsia"/>
                <w:sz w:val="21"/>
                <w:szCs w:val="21"/>
                <w:vertAlign w:val="superscript"/>
              </w:rPr>
              <w:t>3</w:t>
            </w:r>
            <w:r>
              <w:rPr>
                <w:rFonts w:cs="Times New Roman" w:eastAsiaTheme="minorEastAsia"/>
                <w:sz w:val="21"/>
                <w:szCs w:val="21"/>
              </w:rPr>
              <w:t>，钢筋27.2t。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3</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C型管架</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108</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高2m，4.0m宽，位于水工钢联桥上。型钢101.8t。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4</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阀式棚（建筑面积255m</w:t>
            </w:r>
            <w:r>
              <w:rPr>
                <w:rFonts w:cs="Times New Roman" w:eastAsiaTheme="minorEastAsia"/>
                <w:sz w:val="21"/>
                <w:szCs w:val="21"/>
                <w:vertAlign w:val="superscript"/>
              </w:rPr>
              <w:t>2</w:t>
            </w:r>
            <w:r>
              <w:rPr>
                <w:rFonts w:cs="Times New Roman" w:eastAsiaTheme="minorEastAsia"/>
                <w:sz w:val="21"/>
                <w:szCs w:val="21"/>
              </w:rPr>
              <w:t>）</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2</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17m×15m，位于水工结构上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5</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阀式棚（建筑面积440m</w:t>
            </w:r>
            <w:r>
              <w:rPr>
                <w:rFonts w:cs="Times New Roman" w:eastAsiaTheme="minorEastAsia"/>
                <w:sz w:val="21"/>
                <w:szCs w:val="21"/>
                <w:vertAlign w:val="superscript"/>
              </w:rPr>
              <w:t>2</w:t>
            </w:r>
            <w:r>
              <w:rPr>
                <w:rFonts w:cs="Times New Roman" w:eastAsiaTheme="minorEastAsia"/>
                <w:sz w:val="21"/>
                <w:szCs w:val="21"/>
              </w:rPr>
              <w:t>）</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1</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22m×20m，位于水工结构上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6</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阀式棚（建筑面积285m</w:t>
            </w:r>
            <w:r>
              <w:rPr>
                <w:rFonts w:cs="Times New Roman" w:eastAsiaTheme="minorEastAsia"/>
                <w:sz w:val="21"/>
                <w:szCs w:val="21"/>
                <w:vertAlign w:val="superscript"/>
              </w:rPr>
              <w:t>2</w:t>
            </w:r>
            <w:r>
              <w:rPr>
                <w:rFonts w:cs="Times New Roman" w:eastAsiaTheme="minorEastAsia"/>
                <w:sz w:val="21"/>
                <w:szCs w:val="21"/>
              </w:rPr>
              <w:t>）</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1</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19m×15m，位于水工结构上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7</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计量平台雨棚（建筑面积300m</w:t>
            </w:r>
            <w:r>
              <w:rPr>
                <w:rFonts w:cs="Times New Roman" w:eastAsiaTheme="minorEastAsia"/>
                <w:sz w:val="21"/>
                <w:szCs w:val="21"/>
                <w:vertAlign w:val="superscript"/>
              </w:rPr>
              <w:t>2</w:t>
            </w:r>
            <w:r>
              <w:rPr>
                <w:rFonts w:cs="Times New Roman" w:eastAsiaTheme="minorEastAsia"/>
                <w:sz w:val="21"/>
                <w:szCs w:val="21"/>
              </w:rPr>
              <w:t>）</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1</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20m×15m，位于水工结构上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trPr>
        <w:tc>
          <w:tcPr>
            <w:tcW w:w="384"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8</w:t>
            </w:r>
          </w:p>
        </w:tc>
        <w:tc>
          <w:tcPr>
            <w:tcW w:w="998"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跨大堤桁架</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个</w:t>
            </w:r>
          </w:p>
        </w:tc>
        <w:tc>
          <w:tcPr>
            <w:tcW w:w="540"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1</w:t>
            </w:r>
          </w:p>
        </w:tc>
        <w:tc>
          <w:tcPr>
            <w:tcW w:w="772" w:type="pct"/>
            <w:tcMar>
              <w:top w:w="0" w:type="dxa"/>
              <w:left w:w="0" w:type="dxa"/>
              <w:bottom w:w="0" w:type="dxa"/>
              <w:right w:w="0" w:type="dxa"/>
            </w:tcMar>
            <w:vAlign w:val="center"/>
          </w:tcPr>
          <w:p>
            <w:pPr>
              <w:pStyle w:val="352"/>
              <w:spacing w:before="0" w:after="0" w:line="240" w:lineRule="auto"/>
              <w:rPr>
                <w:rFonts w:cs="Times New Roman" w:eastAsiaTheme="minorEastAsia"/>
                <w:sz w:val="21"/>
                <w:szCs w:val="21"/>
              </w:rPr>
            </w:pPr>
            <w:r>
              <w:rPr>
                <w:rFonts w:cs="Times New Roman" w:eastAsiaTheme="minorEastAsia"/>
                <w:sz w:val="21"/>
                <w:szCs w:val="21"/>
              </w:rPr>
              <w:t>钢桁架结构</w:t>
            </w:r>
          </w:p>
        </w:tc>
        <w:tc>
          <w:tcPr>
            <w:tcW w:w="1766" w:type="pct"/>
            <w:tcMar>
              <w:top w:w="0" w:type="dxa"/>
              <w:left w:w="0" w:type="dxa"/>
              <w:bottom w:w="0" w:type="dxa"/>
              <w:right w:w="0" w:type="dxa"/>
            </w:tcMar>
            <w:vAlign w:val="center"/>
          </w:tcPr>
          <w:p>
            <w:pPr>
              <w:pStyle w:val="352"/>
              <w:spacing w:before="0" w:after="0" w:line="240" w:lineRule="auto"/>
              <w:jc w:val="both"/>
              <w:rPr>
                <w:rFonts w:cs="Times New Roman" w:eastAsiaTheme="minorEastAsia"/>
                <w:sz w:val="21"/>
                <w:szCs w:val="21"/>
              </w:rPr>
            </w:pPr>
            <w:r>
              <w:rPr>
                <w:rFonts w:cs="Times New Roman" w:eastAsiaTheme="minorEastAsia"/>
                <w:sz w:val="21"/>
                <w:szCs w:val="21"/>
              </w:rPr>
              <w:t>长55m，宽7m，PHC管桩基础。</w:t>
            </w:r>
          </w:p>
          <w:p>
            <w:pPr>
              <w:pStyle w:val="352"/>
              <w:spacing w:before="0" w:after="0" w:line="240" w:lineRule="auto"/>
              <w:jc w:val="both"/>
              <w:rPr>
                <w:rFonts w:cs="Times New Roman" w:eastAsiaTheme="minorEastAsia"/>
                <w:sz w:val="21"/>
                <w:szCs w:val="21"/>
              </w:rPr>
            </w:pPr>
            <w:r>
              <w:rPr>
                <w:rFonts w:cs="Times New Roman" w:eastAsiaTheme="minorEastAsia"/>
                <w:sz w:val="21"/>
                <w:szCs w:val="21"/>
              </w:rPr>
              <w:t>型钢98t，500mm20米长PHC管桩16根，混凝土45m</w:t>
            </w:r>
            <w:r>
              <w:rPr>
                <w:rFonts w:cs="Times New Roman" w:eastAsiaTheme="minorEastAsia"/>
                <w:sz w:val="21"/>
                <w:szCs w:val="21"/>
                <w:vertAlign w:val="superscript"/>
              </w:rPr>
              <w:t>3</w:t>
            </w:r>
            <w:r>
              <w:rPr>
                <w:rFonts w:cs="Times New Roman" w:eastAsiaTheme="minorEastAsia"/>
                <w:sz w:val="21"/>
                <w:szCs w:val="21"/>
              </w:rPr>
              <w:t>，钢筋9t。</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5"/>
        <w:rPr>
          <w:rFonts w:eastAsiaTheme="minorEastAsia"/>
        </w:rPr>
      </w:pPr>
      <w:r>
        <w:rPr>
          <w:rFonts w:eastAsiaTheme="minorEastAsia"/>
        </w:rPr>
        <w:t>环保设施</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本项目的环保配套设施主要为油气回收、氮气系统及生活污水处理设施。</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1、油气回收装置</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油气主要为</w:t>
      </w:r>
      <w:r>
        <w:rPr>
          <w:rFonts w:hint="eastAsia" w:eastAsiaTheme="minorEastAsia"/>
          <w:sz w:val="24"/>
          <w:szCs w:val="24"/>
        </w:rPr>
        <w:t>油品及化学品装卸过程中</w:t>
      </w:r>
      <w:r>
        <w:rPr>
          <w:rFonts w:eastAsiaTheme="minorEastAsia"/>
          <w:sz w:val="24"/>
          <w:szCs w:val="24"/>
        </w:rPr>
        <w:t>产生。油气回收处理装置规模考虑2个泊位同时装船、2个泊位同时卸船。由于本次工可码头2#~4#泊位已按5000吨级考虑，装卸泵的配置应满足《石油化工码头装卸工艺设计规范》（JTS165-8-2007）对装卸时间的要求：5000吨级船净装船时间9~11小时、净卸船时间11~13小时，相应配置装船泵的流量为450m</w:t>
      </w:r>
      <w:r>
        <w:rPr>
          <w:rFonts w:eastAsiaTheme="minorEastAsia"/>
          <w:sz w:val="24"/>
          <w:szCs w:val="24"/>
          <w:vertAlign w:val="superscript"/>
        </w:rPr>
        <w:t>3</w:t>
      </w:r>
      <w:r>
        <w:rPr>
          <w:rFonts w:eastAsiaTheme="minorEastAsia"/>
          <w:sz w:val="24"/>
          <w:szCs w:val="24"/>
        </w:rPr>
        <w:t>/h、卸船泵的流量为400m</w:t>
      </w:r>
      <w:r>
        <w:rPr>
          <w:rFonts w:eastAsiaTheme="minorEastAsia"/>
          <w:sz w:val="24"/>
          <w:szCs w:val="24"/>
          <w:vertAlign w:val="superscript"/>
        </w:rPr>
        <w:t>3</w:t>
      </w:r>
      <w:r>
        <w:rPr>
          <w:rFonts w:eastAsiaTheme="minorEastAsia"/>
          <w:sz w:val="24"/>
          <w:szCs w:val="24"/>
        </w:rPr>
        <w:t>/h，按2卸2装计，由此产生的油气量为1700m</w:t>
      </w:r>
      <w:r>
        <w:rPr>
          <w:rFonts w:eastAsiaTheme="minorEastAsia"/>
          <w:sz w:val="24"/>
          <w:szCs w:val="24"/>
          <w:vertAlign w:val="superscript"/>
        </w:rPr>
        <w:t>3</w:t>
      </w:r>
      <w:r>
        <w:rPr>
          <w:rFonts w:eastAsiaTheme="minorEastAsia"/>
          <w:sz w:val="24"/>
          <w:szCs w:val="24"/>
        </w:rPr>
        <w:t>/h。考虑到长岭分公司乙烯裂解料出厂能力目前已可以满足，其装船泵今后不考虑增大排量（目前215m</w:t>
      </w:r>
      <w:r>
        <w:rPr>
          <w:rFonts w:eastAsiaTheme="minorEastAsia"/>
          <w:sz w:val="24"/>
          <w:szCs w:val="24"/>
          <w:vertAlign w:val="superscript"/>
        </w:rPr>
        <w:t>3</w:t>
      </w:r>
      <w:r>
        <w:rPr>
          <w:rFonts w:eastAsiaTheme="minorEastAsia"/>
          <w:sz w:val="24"/>
          <w:szCs w:val="24"/>
        </w:rPr>
        <w:t>/h），因此拟选取1500m</w:t>
      </w:r>
      <w:r>
        <w:rPr>
          <w:rFonts w:eastAsiaTheme="minorEastAsia"/>
          <w:sz w:val="24"/>
          <w:szCs w:val="24"/>
          <w:vertAlign w:val="superscript"/>
        </w:rPr>
        <w:t>3</w:t>
      </w:r>
      <w:r>
        <w:rPr>
          <w:rFonts w:eastAsiaTheme="minorEastAsia"/>
          <w:sz w:val="24"/>
          <w:szCs w:val="24"/>
        </w:rPr>
        <w:t>/h油气回收处理装置。根据长岭分公司意见，罐区VOCs治理设施不在本项目中实施，但油气回收处理装置能力需考虑其负荷。</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新建油气回收装置1套，用于对油码头密闭装船过程中产生的VOCs废气进行回收治理，并为罐区VOCs废气回收治理预留接口及处理能力，治理后达标排放，油气回收装置处理量为1×1500Nm</w:t>
      </w:r>
      <w:r>
        <w:rPr>
          <w:rFonts w:eastAsiaTheme="minorEastAsia"/>
          <w:sz w:val="24"/>
          <w:szCs w:val="24"/>
          <w:vertAlign w:val="superscript"/>
        </w:rPr>
        <w:t>3</w:t>
      </w:r>
      <w:r>
        <w:rPr>
          <w:rFonts w:eastAsiaTheme="minorEastAsia"/>
          <w:sz w:val="24"/>
          <w:szCs w:val="24"/>
        </w:rPr>
        <w:t>/h，采用“压缩+冷凝吸收+膜分离+吸附”工艺技术路线，液环式压缩机液环液及吸收部分吸收液采用成品柴油及回收液浅冷循环使用。主要设备配置，见表3.2-13。</w:t>
      </w:r>
    </w:p>
    <w:p>
      <w:pPr>
        <w:pStyle w:val="313"/>
        <w:tabs>
          <w:tab w:val="right" w:leader="dot" w:pos="9070"/>
        </w:tabs>
        <w:adjustRightInd w:val="0"/>
        <w:snapToGrid w:val="0"/>
        <w:spacing w:line="276" w:lineRule="auto"/>
        <w:jc w:val="center"/>
        <w:rPr>
          <w:rFonts w:eastAsiaTheme="minorEastAsia"/>
          <w:b/>
          <w:sz w:val="24"/>
          <w:szCs w:val="24"/>
        </w:rPr>
      </w:pPr>
      <w:r>
        <w:rPr>
          <w:rFonts w:eastAsiaTheme="minorEastAsia"/>
          <w:b/>
          <w:sz w:val="24"/>
          <w:szCs w:val="24"/>
        </w:rPr>
        <w:t>表3.2-13  油气回收装置主要设备配置表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2"/>
        <w:gridCol w:w="1289"/>
        <w:gridCol w:w="2273"/>
        <w:gridCol w:w="1061"/>
        <w:gridCol w:w="2837"/>
        <w:gridCol w:w="8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3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708"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编号</w:t>
            </w:r>
          </w:p>
        </w:tc>
        <w:tc>
          <w:tcPr>
            <w:tcW w:w="1249"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设备名称</w:t>
            </w:r>
          </w:p>
        </w:tc>
        <w:tc>
          <w:tcPr>
            <w:tcW w:w="583"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数量</w:t>
            </w:r>
          </w:p>
        </w:tc>
        <w:tc>
          <w:tcPr>
            <w:tcW w:w="1559" w:type="pct"/>
            <w:tcMar>
              <w:top w:w="0" w:type="dxa"/>
              <w:left w:w="0" w:type="dxa"/>
              <w:bottom w:w="0" w:type="dxa"/>
              <w:right w:w="0" w:type="dxa"/>
            </w:tcMar>
            <w:vAlign w:val="center"/>
          </w:tcPr>
          <w:p>
            <w:pPr>
              <w:adjustRightInd w:val="0"/>
              <w:snapToGrid w:val="0"/>
              <w:rPr>
                <w:rFonts w:ascii="Times New Roman" w:hAnsi="Times New Roman" w:eastAsiaTheme="minorEastAsia"/>
                <w:b/>
              </w:rPr>
            </w:pPr>
            <w:r>
              <w:rPr>
                <w:rFonts w:ascii="Times New Roman" w:hAnsi="Times New Roman" w:eastAsiaTheme="minorEastAsia"/>
                <w:b/>
              </w:rPr>
              <w:t>规格型号或主要技术参数</w:t>
            </w:r>
          </w:p>
        </w:tc>
        <w:tc>
          <w:tcPr>
            <w:tcW w:w="46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0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VRU-001</w:t>
            </w:r>
          </w:p>
        </w:tc>
        <w:tc>
          <w:tcPr>
            <w:tcW w:w="124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撬装式油气回收装置</w:t>
            </w:r>
          </w:p>
        </w:tc>
        <w:tc>
          <w:tcPr>
            <w:tcW w:w="58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1套</w:t>
            </w:r>
          </w:p>
        </w:tc>
        <w:tc>
          <w:tcPr>
            <w:tcW w:w="155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处理量：1500Nm</w:t>
            </w:r>
            <w:r>
              <w:rPr>
                <w:rFonts w:ascii="Times New Roman" w:hAnsi="Times New Roman" w:eastAsiaTheme="minorEastAsia"/>
                <w:vertAlign w:val="superscript"/>
              </w:rPr>
              <w:t>3</w:t>
            </w:r>
            <w:r>
              <w:rPr>
                <w:rFonts w:ascii="Times New Roman" w:hAnsi="Times New Roman" w:eastAsiaTheme="minorEastAsia"/>
              </w:rPr>
              <w:t>/h</w:t>
            </w:r>
          </w:p>
        </w:tc>
        <w:tc>
          <w:tcPr>
            <w:tcW w:w="46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70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V-001</w:t>
            </w:r>
          </w:p>
        </w:tc>
        <w:tc>
          <w:tcPr>
            <w:tcW w:w="124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吸收液缓冲罐</w:t>
            </w:r>
          </w:p>
        </w:tc>
        <w:tc>
          <w:tcPr>
            <w:tcW w:w="58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1台</w:t>
            </w:r>
          </w:p>
        </w:tc>
        <w:tc>
          <w:tcPr>
            <w:tcW w:w="155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Φ3000×10700mm</w:t>
            </w:r>
          </w:p>
        </w:tc>
        <w:tc>
          <w:tcPr>
            <w:tcW w:w="46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70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L-001</w:t>
            </w:r>
          </w:p>
        </w:tc>
        <w:tc>
          <w:tcPr>
            <w:tcW w:w="124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电制冷机组</w:t>
            </w:r>
          </w:p>
        </w:tc>
        <w:tc>
          <w:tcPr>
            <w:tcW w:w="58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1台</w:t>
            </w:r>
          </w:p>
        </w:tc>
        <w:tc>
          <w:tcPr>
            <w:tcW w:w="155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40×10</w:t>
            </w:r>
            <w:r>
              <w:rPr>
                <w:rFonts w:ascii="Times New Roman" w:hAnsi="Times New Roman" w:eastAsiaTheme="minorEastAsia"/>
                <w:vertAlign w:val="superscript"/>
              </w:rPr>
              <w:t>4</w:t>
            </w:r>
            <w:r>
              <w:rPr>
                <w:rFonts w:ascii="Times New Roman" w:hAnsi="Times New Roman" w:eastAsiaTheme="minorEastAsia"/>
              </w:rPr>
              <w:t>Kcal/h</w:t>
            </w:r>
            <w:r>
              <w:rPr>
                <w:rFonts w:hint="eastAsia" w:ascii="Times New Roman" w:hAnsi="Times New Roman" w:eastAsiaTheme="minorEastAsia"/>
              </w:rPr>
              <w:t>，</w:t>
            </w:r>
            <w:r>
              <w:rPr>
                <w:rFonts w:ascii="Times New Roman" w:hAnsi="Times New Roman" w:eastAsiaTheme="minorEastAsia"/>
              </w:rPr>
              <w:t>84Kw</w:t>
            </w:r>
          </w:p>
        </w:tc>
        <w:tc>
          <w:tcPr>
            <w:tcW w:w="46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w:t>
            </w:r>
          </w:p>
        </w:tc>
        <w:tc>
          <w:tcPr>
            <w:tcW w:w="70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P-001</w:t>
            </w:r>
          </w:p>
        </w:tc>
        <w:tc>
          <w:tcPr>
            <w:tcW w:w="124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富油泵</w:t>
            </w:r>
          </w:p>
        </w:tc>
        <w:tc>
          <w:tcPr>
            <w:tcW w:w="58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1台</w:t>
            </w:r>
          </w:p>
        </w:tc>
        <w:tc>
          <w:tcPr>
            <w:tcW w:w="155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Q：80m</w:t>
            </w:r>
            <w:r>
              <w:rPr>
                <w:rFonts w:ascii="Times New Roman" w:hAnsi="Times New Roman" w:eastAsiaTheme="minorEastAsia"/>
                <w:vertAlign w:val="superscript"/>
              </w:rPr>
              <w:t>3</w:t>
            </w:r>
            <w:r>
              <w:rPr>
                <w:rFonts w:ascii="Times New Roman" w:hAnsi="Times New Roman" w:eastAsiaTheme="minorEastAsia"/>
              </w:rPr>
              <w:t>/h</w:t>
            </w:r>
            <w:r>
              <w:rPr>
                <w:rFonts w:hint="eastAsia" w:ascii="Times New Roman" w:hAnsi="Times New Roman" w:eastAsiaTheme="minorEastAsia"/>
              </w:rPr>
              <w:t>，</w:t>
            </w:r>
            <w:r>
              <w:rPr>
                <w:rFonts w:ascii="Times New Roman" w:hAnsi="Times New Roman" w:eastAsiaTheme="minorEastAsia"/>
              </w:rPr>
              <w:t>H：60m</w:t>
            </w:r>
          </w:p>
        </w:tc>
        <w:tc>
          <w:tcPr>
            <w:tcW w:w="46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c>
          <w:tcPr>
            <w:tcW w:w="70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P-002</w:t>
            </w:r>
          </w:p>
        </w:tc>
        <w:tc>
          <w:tcPr>
            <w:tcW w:w="124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循环泵</w:t>
            </w:r>
          </w:p>
        </w:tc>
        <w:tc>
          <w:tcPr>
            <w:tcW w:w="58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1台</w:t>
            </w:r>
          </w:p>
        </w:tc>
        <w:tc>
          <w:tcPr>
            <w:tcW w:w="155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Q：80m</w:t>
            </w:r>
            <w:r>
              <w:rPr>
                <w:rFonts w:ascii="Times New Roman" w:hAnsi="Times New Roman" w:eastAsiaTheme="minorEastAsia"/>
                <w:vertAlign w:val="superscript"/>
              </w:rPr>
              <w:t>3</w:t>
            </w:r>
            <w:r>
              <w:rPr>
                <w:rFonts w:ascii="Times New Roman" w:hAnsi="Times New Roman" w:eastAsiaTheme="minorEastAsia"/>
              </w:rPr>
              <w:t>/h</w:t>
            </w:r>
            <w:r>
              <w:rPr>
                <w:rFonts w:hint="eastAsia" w:ascii="Times New Roman" w:hAnsi="Times New Roman" w:eastAsiaTheme="minorEastAsia"/>
              </w:rPr>
              <w:t>，</w:t>
            </w:r>
            <w:r>
              <w:rPr>
                <w:rFonts w:ascii="Times New Roman" w:hAnsi="Times New Roman" w:eastAsiaTheme="minorEastAsia"/>
              </w:rPr>
              <w:t>H：60m</w:t>
            </w:r>
          </w:p>
        </w:tc>
        <w:tc>
          <w:tcPr>
            <w:tcW w:w="46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2、氮气系统</w:t>
      </w:r>
    </w:p>
    <w:p>
      <w:pPr>
        <w:pStyle w:val="313"/>
        <w:tabs>
          <w:tab w:val="right" w:leader="dot" w:pos="9070"/>
        </w:tabs>
        <w:adjustRightInd w:val="0"/>
        <w:snapToGrid w:val="0"/>
        <w:spacing w:line="360" w:lineRule="auto"/>
        <w:ind w:firstLine="480" w:firstLineChars="200"/>
        <w:jc w:val="both"/>
        <w:rPr>
          <w:rFonts w:eastAsiaTheme="minorEastAsia"/>
          <w:sz w:val="24"/>
          <w:szCs w:val="24"/>
        </w:rPr>
      </w:pPr>
      <w:bookmarkStart w:id="45" w:name="_Toc529801739"/>
      <w:r>
        <w:rPr>
          <w:rFonts w:eastAsiaTheme="minorEastAsia"/>
          <w:sz w:val="24"/>
          <w:szCs w:val="24"/>
        </w:rPr>
        <w:t>港口部没有氮气系统，本项目码头阀室平台、部分管线吹扫以及以后罐区VOCs废气治理的氮封均需要氮气。</w:t>
      </w:r>
      <w:bookmarkEnd w:id="45"/>
    </w:p>
    <w:p>
      <w:pPr>
        <w:pStyle w:val="313"/>
        <w:tabs>
          <w:tab w:val="right" w:leader="dot" w:pos="9070"/>
        </w:tabs>
        <w:adjustRightInd w:val="0"/>
        <w:snapToGrid w:val="0"/>
        <w:spacing w:line="360" w:lineRule="auto"/>
        <w:ind w:firstLine="480" w:firstLineChars="200"/>
        <w:jc w:val="both"/>
        <w:rPr>
          <w:rFonts w:eastAsiaTheme="minorEastAsia"/>
          <w:sz w:val="24"/>
          <w:szCs w:val="24"/>
        </w:rPr>
      </w:pPr>
      <w:bookmarkStart w:id="46" w:name="_Toc529801740"/>
      <w:r>
        <w:rPr>
          <w:rFonts w:eastAsiaTheme="minorEastAsia"/>
          <w:sz w:val="24"/>
          <w:szCs w:val="24"/>
        </w:rPr>
        <w:t>设1台液氮储罐及1台空温式气化器；液氮储罐公称容积20m</w:t>
      </w:r>
      <w:r>
        <w:rPr>
          <w:rFonts w:eastAsiaTheme="minorEastAsia"/>
          <w:sz w:val="24"/>
          <w:szCs w:val="24"/>
          <w:vertAlign w:val="superscript"/>
        </w:rPr>
        <w:t>3</w:t>
      </w:r>
      <w:r>
        <w:rPr>
          <w:rFonts w:eastAsiaTheme="minorEastAsia"/>
          <w:sz w:val="24"/>
          <w:szCs w:val="24"/>
        </w:rPr>
        <w:t>，其规格φ2.6×8.2m（立式罐）。1台空温式气化器：处理量600nm</w:t>
      </w:r>
      <w:r>
        <w:rPr>
          <w:rFonts w:eastAsiaTheme="minorEastAsia"/>
          <w:sz w:val="24"/>
          <w:szCs w:val="24"/>
          <w:vertAlign w:val="superscript"/>
        </w:rPr>
        <w:t>3</w:t>
      </w:r>
      <w:r>
        <w:rPr>
          <w:rFonts w:eastAsiaTheme="minorEastAsia"/>
          <w:sz w:val="24"/>
          <w:szCs w:val="24"/>
        </w:rPr>
        <w:t>/h。</w:t>
      </w:r>
      <w:bookmarkEnd w:id="46"/>
    </w:p>
    <w:p>
      <w:pPr>
        <w:pStyle w:val="313"/>
        <w:tabs>
          <w:tab w:val="right" w:leader="dot" w:pos="9070"/>
        </w:tabs>
        <w:adjustRightInd w:val="0"/>
        <w:snapToGrid w:val="0"/>
        <w:spacing w:line="360" w:lineRule="auto"/>
        <w:ind w:firstLine="480" w:firstLineChars="200"/>
        <w:jc w:val="both"/>
        <w:rPr>
          <w:rFonts w:eastAsiaTheme="minorEastAsia"/>
          <w:sz w:val="24"/>
          <w:szCs w:val="24"/>
        </w:rPr>
      </w:pPr>
      <w:bookmarkStart w:id="47" w:name="_Toc529801741"/>
      <w:r>
        <w:rPr>
          <w:rFonts w:eastAsiaTheme="minorEastAsia"/>
          <w:sz w:val="24"/>
          <w:szCs w:val="24"/>
        </w:rPr>
        <w:t>20m</w:t>
      </w:r>
      <w:r>
        <w:rPr>
          <w:rFonts w:eastAsiaTheme="minorEastAsia"/>
          <w:sz w:val="24"/>
          <w:szCs w:val="24"/>
          <w:vertAlign w:val="superscript"/>
        </w:rPr>
        <w:t>3</w:t>
      </w:r>
      <w:r>
        <w:rPr>
          <w:rFonts w:eastAsiaTheme="minorEastAsia"/>
          <w:sz w:val="24"/>
          <w:szCs w:val="24"/>
        </w:rPr>
        <w:t>液氮气化后为12000nm</w:t>
      </w:r>
      <w:r>
        <w:rPr>
          <w:rFonts w:eastAsiaTheme="minorEastAsia"/>
          <w:sz w:val="24"/>
          <w:szCs w:val="24"/>
          <w:vertAlign w:val="superscript"/>
        </w:rPr>
        <w:t>3</w:t>
      </w:r>
      <w:r>
        <w:rPr>
          <w:rFonts w:eastAsiaTheme="minorEastAsia"/>
          <w:sz w:val="24"/>
          <w:szCs w:val="24"/>
        </w:rPr>
        <w:t>气体。正常情况可满足码头、油气回收及检修吹扫要求，不需频繁进液氮；当罐区VOCs废气治理的氮封设施投用后，装1艘3000m</w:t>
      </w:r>
      <w:r>
        <w:rPr>
          <w:rFonts w:eastAsiaTheme="minorEastAsia"/>
          <w:sz w:val="24"/>
          <w:szCs w:val="24"/>
          <w:vertAlign w:val="superscript"/>
        </w:rPr>
        <w:t>3</w:t>
      </w:r>
      <w:r>
        <w:rPr>
          <w:rFonts w:eastAsiaTheme="minorEastAsia"/>
          <w:sz w:val="24"/>
          <w:szCs w:val="24"/>
        </w:rPr>
        <w:t>船约需向罐中补氮2000nm</w:t>
      </w:r>
      <w:r>
        <w:rPr>
          <w:rFonts w:eastAsiaTheme="minorEastAsia"/>
          <w:sz w:val="24"/>
          <w:szCs w:val="24"/>
          <w:vertAlign w:val="superscript"/>
        </w:rPr>
        <w:t>3</w:t>
      </w:r>
      <w:r>
        <w:rPr>
          <w:rFonts w:eastAsiaTheme="minorEastAsia"/>
          <w:sz w:val="24"/>
          <w:szCs w:val="24"/>
        </w:rPr>
        <w:t>，届时建议根据装船频次增加液氮储罐及空温式气化器。</w:t>
      </w:r>
      <w:bookmarkEnd w:id="47"/>
      <w:r>
        <w:rPr>
          <w:rFonts w:eastAsiaTheme="minorEastAsia"/>
          <w:sz w:val="24"/>
          <w:szCs w:val="24"/>
        </w:rPr>
        <w:t>主要设备配置，见表3.2-14。</w:t>
      </w:r>
    </w:p>
    <w:p>
      <w:pPr>
        <w:pStyle w:val="313"/>
        <w:tabs>
          <w:tab w:val="right" w:leader="dot" w:pos="9070"/>
        </w:tabs>
        <w:adjustRightInd w:val="0"/>
        <w:snapToGrid w:val="0"/>
        <w:spacing w:line="276" w:lineRule="auto"/>
        <w:jc w:val="center"/>
        <w:rPr>
          <w:rFonts w:eastAsiaTheme="minorEastAsia"/>
          <w:b/>
          <w:sz w:val="24"/>
          <w:szCs w:val="24"/>
        </w:rPr>
      </w:pPr>
      <w:r>
        <w:rPr>
          <w:rFonts w:eastAsiaTheme="minorEastAsia"/>
          <w:b/>
          <w:sz w:val="24"/>
          <w:szCs w:val="24"/>
        </w:rPr>
        <w:t>表3.2-14  氮气系统主要设备配置表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1"/>
        <w:gridCol w:w="2650"/>
        <w:gridCol w:w="1236"/>
        <w:gridCol w:w="3305"/>
        <w:gridCol w:w="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设备名称</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数量</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规格型号或主要技术参数</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液氮储罐</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1台</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体积20m</w:t>
            </w:r>
            <w:r>
              <w:rPr>
                <w:rFonts w:ascii="Times New Roman" w:hAnsi="Times New Roman" w:eastAsiaTheme="minorEastAsia"/>
                <w:color w:val="000000"/>
                <w:vertAlign w:val="superscript"/>
              </w:rPr>
              <w:t>3</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空温式气化器</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1台</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处理量600nm</w:t>
            </w:r>
            <w:r>
              <w:rPr>
                <w:rFonts w:ascii="Times New Roman" w:hAnsi="Times New Roman" w:eastAsiaTheme="minorEastAsia"/>
                <w:vertAlign w:val="superscript"/>
              </w:rPr>
              <w:t>3</w:t>
            </w:r>
            <w:r>
              <w:rPr>
                <w:rFonts w:ascii="Times New Roman" w:hAnsi="Times New Roman" w:eastAsiaTheme="minorEastAsia"/>
              </w:rPr>
              <w:t>/h</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篮式过滤器</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1台</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FW4C-25（夹套），N300</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阻爆轰阻火器</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2台</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材质304，PN25、DN250</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阻火呼吸阀</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1个</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PN6，DN100</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手动阀</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2个</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BZ41H-25，DN300、DN250</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w:t>
            </w:r>
          </w:p>
        </w:tc>
        <w:tc>
          <w:tcPr>
            <w:tcW w:w="14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闸阀</w:t>
            </w:r>
          </w:p>
        </w:tc>
        <w:tc>
          <w:tcPr>
            <w:tcW w:w="67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56个</w:t>
            </w:r>
          </w:p>
        </w:tc>
        <w:tc>
          <w:tcPr>
            <w:tcW w:w="181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Z41H-25，Z41H-16，DN25~100</w:t>
            </w:r>
          </w:p>
        </w:tc>
        <w:tc>
          <w:tcPr>
            <w:tcW w:w="54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新建</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3、生活污水处理设施</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在消防站北面设置生活污水处理设施，采用一体化模压式净化槽设备1套，处理能力为20t/d，净化槽前段设置化粪池和调节池，污水处理达到《污水综合排放标准》（GB8978-1996）三级标准。</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码头生活污水利用现有管廊DN200泡沫线管道输送至处理设施。办公楼生活污水设提升泵站，污水提升池：3m×2m×3m；污水调节池：3m×6m×4m；泵：15m</w:t>
      </w:r>
      <w:r>
        <w:rPr>
          <w:rFonts w:eastAsiaTheme="minorEastAsia"/>
          <w:sz w:val="24"/>
          <w:szCs w:val="24"/>
          <w:vertAlign w:val="superscript"/>
        </w:rPr>
        <w:t>3</w:t>
      </w:r>
      <w:r>
        <w:rPr>
          <w:rFonts w:eastAsiaTheme="minorEastAsia"/>
          <w:sz w:val="24"/>
          <w:szCs w:val="24"/>
        </w:rPr>
        <w:t>/h、40m。办公楼生活污水管至管廊后接入码头生活污水管道。</w:t>
      </w:r>
    </w:p>
    <w:p>
      <w:pPr>
        <w:pStyle w:val="4"/>
        <w:rPr>
          <w:rFonts w:eastAsiaTheme="minorEastAsia"/>
        </w:rPr>
      </w:pPr>
      <w:r>
        <w:rPr>
          <w:rFonts w:eastAsiaTheme="minorEastAsia"/>
        </w:rPr>
        <w:t>劳动定员及工作制度</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本项目年工作时间330天。</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各岗位人员编制以在满足生产需要的前提下尽可能精减为原则，港区定员按生产人员、管理及服务人员定编，实际运作中可酌情调整。码头生产作业按4班3倒制考虑，工程定员70人，其中装卸工人60人，管理人员和其它人员10人。</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后方陆域设置专职人员2名负责本项目的劳动卫生管理。</w:t>
      </w:r>
    </w:p>
    <w:p>
      <w:pPr>
        <w:pStyle w:val="4"/>
        <w:rPr>
          <w:rFonts w:eastAsiaTheme="minorEastAsia"/>
        </w:rPr>
      </w:pPr>
      <w:r>
        <w:rPr>
          <w:rFonts w:eastAsiaTheme="minorEastAsia"/>
        </w:rPr>
        <w:t>工程投资及施工进度</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本项目总投资约</w:t>
      </w:r>
      <w:r>
        <w:rPr>
          <w:rFonts w:eastAsiaTheme="minorEastAsia"/>
          <w:color w:val="000000"/>
          <w:sz w:val="24"/>
          <w:szCs w:val="24"/>
          <w:lang w:bidi="ar"/>
        </w:rPr>
        <w:t>29398.67万元，</w:t>
      </w:r>
      <w:r>
        <w:rPr>
          <w:rFonts w:hint="eastAsia" w:eastAsiaTheme="minorEastAsia"/>
          <w:color w:val="000000"/>
          <w:sz w:val="24"/>
          <w:szCs w:val="24"/>
          <w:lang w:bidi="ar"/>
        </w:rPr>
        <w:t>其中</w:t>
      </w:r>
      <w:r>
        <w:rPr>
          <w:rFonts w:eastAsiaTheme="minorEastAsia"/>
          <w:color w:val="000000"/>
          <w:sz w:val="24"/>
          <w:szCs w:val="24"/>
          <w:lang w:bidi="ar"/>
        </w:rPr>
        <w:t>水域工程建设投资</w:t>
      </w:r>
      <w:r>
        <w:rPr>
          <w:color w:val="000000"/>
          <w:sz w:val="24"/>
          <w:szCs w:val="24"/>
          <w:lang w:bidi="ar"/>
        </w:rPr>
        <w:t>26274.58</w:t>
      </w:r>
      <w:r>
        <w:rPr>
          <w:rFonts w:eastAsiaTheme="minorEastAsia"/>
          <w:color w:val="000000"/>
          <w:sz w:val="24"/>
          <w:szCs w:val="24"/>
          <w:lang w:bidi="ar"/>
        </w:rPr>
        <w:t>万元，陆域工程建设投资3124.09万元</w:t>
      </w:r>
      <w:r>
        <w:rPr>
          <w:rFonts w:eastAsiaTheme="minorEastAsia"/>
          <w:sz w:val="24"/>
          <w:szCs w:val="24"/>
        </w:rPr>
        <w:t>。中石化集团是国有大型企业，融资能力强，本项目按25%自有资金，75%银行贷款。</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本项目建设工期12个月，工程施工拟于202</w:t>
      </w:r>
      <w:r>
        <w:rPr>
          <w:rFonts w:hint="eastAsia" w:eastAsiaTheme="minorEastAsia"/>
          <w:sz w:val="24"/>
          <w:szCs w:val="24"/>
          <w:lang w:val="en-US" w:eastAsia="zh-CN"/>
        </w:rPr>
        <w:t>1</w:t>
      </w:r>
      <w:r>
        <w:rPr>
          <w:rFonts w:eastAsiaTheme="minorEastAsia"/>
          <w:sz w:val="24"/>
          <w:szCs w:val="24"/>
        </w:rPr>
        <w:t>年</w:t>
      </w:r>
      <w:r>
        <w:rPr>
          <w:rFonts w:hint="eastAsia" w:eastAsiaTheme="minorEastAsia"/>
          <w:sz w:val="24"/>
          <w:szCs w:val="24"/>
          <w:lang w:val="en-US" w:eastAsia="zh-CN"/>
        </w:rPr>
        <w:t>5</w:t>
      </w:r>
      <w:r>
        <w:rPr>
          <w:rFonts w:eastAsiaTheme="minorEastAsia"/>
          <w:sz w:val="24"/>
          <w:szCs w:val="24"/>
        </w:rPr>
        <w:t>月</w:t>
      </w:r>
      <w:r>
        <w:rPr>
          <w:rFonts w:hint="eastAsia" w:eastAsiaTheme="minorEastAsia"/>
          <w:sz w:val="24"/>
          <w:szCs w:val="24"/>
        </w:rPr>
        <w:t>底</w:t>
      </w:r>
      <w:r>
        <w:rPr>
          <w:rFonts w:eastAsiaTheme="minorEastAsia"/>
          <w:sz w:val="24"/>
          <w:szCs w:val="24"/>
        </w:rPr>
        <w:t>开工，202</w:t>
      </w:r>
      <w:r>
        <w:rPr>
          <w:rFonts w:hint="eastAsia" w:eastAsiaTheme="minorEastAsia"/>
          <w:sz w:val="24"/>
          <w:szCs w:val="24"/>
          <w:lang w:val="en-US" w:eastAsia="zh-CN"/>
        </w:rPr>
        <w:t>2</w:t>
      </w:r>
      <w:r>
        <w:rPr>
          <w:rFonts w:eastAsiaTheme="minorEastAsia"/>
          <w:sz w:val="24"/>
          <w:szCs w:val="24"/>
        </w:rPr>
        <w:t>年</w:t>
      </w:r>
      <w:r>
        <w:rPr>
          <w:rFonts w:hint="eastAsia" w:eastAsiaTheme="minorEastAsia"/>
          <w:sz w:val="24"/>
          <w:szCs w:val="24"/>
          <w:lang w:val="en-US" w:eastAsia="zh-CN"/>
        </w:rPr>
        <w:t>6</w:t>
      </w:r>
      <w:r>
        <w:rPr>
          <w:rFonts w:eastAsiaTheme="minorEastAsia"/>
          <w:sz w:val="24"/>
          <w:szCs w:val="24"/>
        </w:rPr>
        <w:t>月</w:t>
      </w:r>
      <w:r>
        <w:rPr>
          <w:rFonts w:hint="eastAsia" w:eastAsiaTheme="minorEastAsia"/>
          <w:sz w:val="24"/>
          <w:szCs w:val="24"/>
        </w:rPr>
        <w:t>初</w:t>
      </w:r>
      <w:r>
        <w:rPr>
          <w:rFonts w:eastAsiaTheme="minorEastAsia"/>
          <w:sz w:val="24"/>
          <w:szCs w:val="24"/>
        </w:rPr>
        <w:t>竣工投产。施工进度计划安排见表3.2-15。</w:t>
      </w:r>
    </w:p>
    <w:p>
      <w:pPr>
        <w:pStyle w:val="343"/>
        <w:adjustRightInd w:val="0"/>
        <w:spacing w:line="276" w:lineRule="auto"/>
        <w:ind w:right="-113" w:firstLine="0" w:firstLineChars="0"/>
        <w:jc w:val="center"/>
        <w:rPr>
          <w:rFonts w:cs="Times New Roman" w:eastAsiaTheme="minorEastAsia"/>
          <w:b/>
        </w:rPr>
      </w:pPr>
      <w:r>
        <w:rPr>
          <w:rFonts w:cs="Times New Roman" w:eastAsiaTheme="minorEastAsia"/>
          <w:b/>
          <w:sz w:val="24"/>
        </w:rPr>
        <w:t>表3.2-15  施工进度表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961"/>
        <w:gridCol w:w="411"/>
        <w:gridCol w:w="411"/>
        <w:gridCol w:w="412"/>
        <w:gridCol w:w="412"/>
        <w:gridCol w:w="412"/>
        <w:gridCol w:w="412"/>
        <w:gridCol w:w="412"/>
        <w:gridCol w:w="412"/>
        <w:gridCol w:w="412"/>
        <w:gridCol w:w="544"/>
        <w:gridCol w:w="537"/>
        <w:gridCol w:w="5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1627" w:type="pct"/>
            <w:tcBorders>
              <w:tl2br w:val="single" w:color="auto" w:sz="4" w:space="0"/>
            </w:tcBorders>
            <w:tcMar>
              <w:top w:w="0" w:type="dxa"/>
              <w:left w:w="0" w:type="dxa"/>
              <w:bottom w:w="0" w:type="dxa"/>
              <w:right w:w="0" w:type="dxa"/>
            </w:tcMar>
            <w:vAlign w:val="center"/>
          </w:tcPr>
          <w:p>
            <w:pPr>
              <w:tabs>
                <w:tab w:val="left" w:pos="8312"/>
                <w:tab w:val="left" w:pos="8670"/>
              </w:tabs>
              <w:adjustRightInd w:val="0"/>
              <w:snapToGrid w:val="0"/>
              <w:jc w:val="right"/>
              <w:rPr>
                <w:rFonts w:ascii="Times New Roman" w:hAnsi="Times New Roman" w:eastAsiaTheme="minorEastAsia"/>
                <w:b/>
              </w:rPr>
            </w:pPr>
            <w:r>
              <w:rPr>
                <w:rFonts w:ascii="Times New Roman" w:hAnsi="Times New Roman" w:eastAsiaTheme="minorEastAsia"/>
                <w:b/>
              </w:rPr>
              <w:t>月序</w:t>
            </w:r>
          </w:p>
          <w:p>
            <w:pPr>
              <w:tabs>
                <w:tab w:val="left" w:pos="8312"/>
                <w:tab w:val="left" w:pos="8670"/>
              </w:tabs>
              <w:adjustRightInd w:val="0"/>
              <w:snapToGrid w:val="0"/>
              <w:jc w:val="left"/>
              <w:rPr>
                <w:rFonts w:ascii="Times New Roman" w:hAnsi="Times New Roman" w:eastAsiaTheme="minorEastAsia"/>
                <w:b/>
              </w:rPr>
            </w:pPr>
            <w:r>
              <w:rPr>
                <w:rFonts w:ascii="Times New Roman" w:hAnsi="Times New Roman" w:eastAsiaTheme="minorEastAsia"/>
                <w:b/>
              </w:rPr>
              <w:t>项目</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2</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3</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4</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5</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6</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7</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8</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9</w:t>
            </w:r>
          </w:p>
        </w:tc>
        <w:tc>
          <w:tcPr>
            <w:tcW w:w="299"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10</w:t>
            </w:r>
          </w:p>
        </w:tc>
        <w:tc>
          <w:tcPr>
            <w:tcW w:w="295"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11</w:t>
            </w:r>
          </w:p>
        </w:tc>
        <w:tc>
          <w:tcPr>
            <w:tcW w:w="297"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1</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施工准备</w:t>
            </w: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auto"/>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shd w:val="clear" w:color="auto" w:fill="auto"/>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shd w:val="clear" w:color="auto" w:fill="BEBEBE" w:themeFill="background1" w:themeFillShade="BF"/>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2</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现有设施拆除、基桩制作、灌注桩施工</w:t>
            </w: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3</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沉桩</w:t>
            </w: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4</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现浇钢筋砼墩台</w:t>
            </w: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5</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土建工程施工</w:t>
            </w: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shd w:val="clear" w:color="auto" w:fill="FFFFFF" w:themeFill="background1"/>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6</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码头附属设施安装</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7</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设备安装调试</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shd w:val="clear" w:color="auto" w:fill="BEBEBE" w:themeFill="background1" w:themeFillShade="BF"/>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8</w:t>
            </w:r>
          </w:p>
        </w:tc>
        <w:tc>
          <w:tcPr>
            <w:tcW w:w="1627" w:type="pct"/>
            <w:tcMar>
              <w:top w:w="0" w:type="dxa"/>
              <w:left w:w="0" w:type="dxa"/>
              <w:bottom w:w="0" w:type="dxa"/>
              <w:right w:w="0" w:type="dxa"/>
            </w:tcMar>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竣工验收</w:t>
            </w: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FFFFFF" w:themeFill="background1"/>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26"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9" w:type="pct"/>
            <w:shd w:val="clear" w:color="auto" w:fill="BEBEBE" w:themeFill="background1" w:themeFillShade="BF"/>
            <w:tcMar>
              <w:top w:w="0" w:type="dxa"/>
              <w:left w:w="0" w:type="dxa"/>
              <w:bottom w:w="0" w:type="dxa"/>
              <w:right w:w="0" w:type="dxa"/>
            </w:tcMar>
            <w:vAlign w:val="center"/>
          </w:tcPr>
          <w:p>
            <w:pPr>
              <w:tabs>
                <w:tab w:val="left" w:pos="8312"/>
                <w:tab w:val="left" w:pos="8670"/>
              </w:tabs>
              <w:adjustRightInd w:val="0"/>
              <w:snapToGrid w:val="0"/>
              <w:jc w:val="center"/>
              <w:rPr>
                <w:rFonts w:ascii="Times New Roman" w:hAnsi="Times New Roman" w:eastAsiaTheme="minorEastAsia"/>
              </w:rPr>
            </w:pPr>
          </w:p>
        </w:tc>
        <w:tc>
          <w:tcPr>
            <w:tcW w:w="295" w:type="pct"/>
            <w:shd w:val="clear" w:color="auto" w:fill="BEBEBE" w:themeFill="background1" w:themeFillShade="BF"/>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c>
          <w:tcPr>
            <w:tcW w:w="297" w:type="pct"/>
            <w:tcMar>
              <w:top w:w="0" w:type="dxa"/>
              <w:left w:w="0" w:type="dxa"/>
              <w:bottom w:w="0" w:type="dxa"/>
              <w:right w:w="0" w:type="dxa"/>
            </w:tcMar>
          </w:tcPr>
          <w:p>
            <w:pPr>
              <w:tabs>
                <w:tab w:val="left" w:pos="8312"/>
                <w:tab w:val="left" w:pos="8670"/>
              </w:tabs>
              <w:adjustRightInd w:val="0"/>
              <w:snapToGrid w:val="0"/>
              <w:jc w:val="center"/>
              <w:rPr>
                <w:rFonts w:ascii="Times New Roman" w:hAnsi="Times New Roman" w:eastAsiaTheme="minorEastAsia"/>
              </w:rPr>
            </w:pP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r>
        <w:rPr>
          <w:rFonts w:hint="eastAsia" w:eastAsiaTheme="minorEastAsia"/>
        </w:rPr>
        <w:t>施工土石方</w:t>
      </w:r>
      <w:r>
        <w:rPr>
          <w:rFonts w:eastAsiaTheme="minorEastAsia"/>
        </w:rPr>
        <w:t>平衡及取弃土方案</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eastAsiaTheme="minorEastAsia"/>
          <w:sz w:val="24"/>
          <w:szCs w:val="24"/>
        </w:rPr>
        <w:t>根据</w:t>
      </w:r>
      <w:r>
        <w:rPr>
          <w:rFonts w:eastAsiaTheme="minorEastAsia"/>
          <w:sz w:val="24"/>
          <w:szCs w:val="24"/>
        </w:rPr>
        <w:t>工可方案，本项目</w:t>
      </w:r>
      <w:r>
        <w:rPr>
          <w:rFonts w:hint="eastAsia" w:eastAsiaTheme="minorEastAsia"/>
          <w:sz w:val="24"/>
          <w:szCs w:val="24"/>
        </w:rPr>
        <w:t>不涉及</w:t>
      </w:r>
      <w:r>
        <w:rPr>
          <w:rFonts w:eastAsiaTheme="minorEastAsia"/>
          <w:sz w:val="24"/>
          <w:szCs w:val="24"/>
        </w:rPr>
        <w:t>新增占地，</w:t>
      </w:r>
      <w:r>
        <w:rPr>
          <w:rFonts w:hint="eastAsia" w:eastAsiaTheme="minorEastAsia"/>
          <w:sz w:val="24"/>
          <w:szCs w:val="24"/>
        </w:rPr>
        <w:t>拟对</w:t>
      </w:r>
      <w:r>
        <w:rPr>
          <w:rFonts w:eastAsiaTheme="minorEastAsia"/>
          <w:sz w:val="24"/>
          <w:szCs w:val="24"/>
        </w:rPr>
        <w:t>原有码头工程进行</w:t>
      </w:r>
      <w:r>
        <w:rPr>
          <w:rFonts w:hint="eastAsia" w:eastAsiaTheme="minorEastAsia"/>
          <w:sz w:val="24"/>
          <w:szCs w:val="24"/>
        </w:rPr>
        <w:t>提质</w:t>
      </w:r>
      <w:r>
        <w:rPr>
          <w:rFonts w:eastAsiaTheme="minorEastAsia"/>
          <w:sz w:val="24"/>
          <w:szCs w:val="24"/>
        </w:rPr>
        <w:t>改造，项目挖方来源于</w:t>
      </w:r>
      <w:r>
        <w:rPr>
          <w:rFonts w:hint="eastAsia" w:eastAsiaTheme="minorEastAsia"/>
          <w:sz w:val="24"/>
          <w:szCs w:val="24"/>
        </w:rPr>
        <w:t>基坑</w:t>
      </w:r>
      <w:r>
        <w:rPr>
          <w:rFonts w:eastAsiaTheme="minorEastAsia"/>
          <w:sz w:val="24"/>
          <w:szCs w:val="24"/>
        </w:rPr>
        <w:t>开挖土方</w:t>
      </w:r>
      <w:r>
        <w:rPr>
          <w:rFonts w:hint="eastAsia" w:eastAsiaTheme="minorEastAsia"/>
          <w:sz w:val="24"/>
          <w:szCs w:val="24"/>
        </w:rPr>
        <w:t>和</w:t>
      </w:r>
      <w:r>
        <w:rPr>
          <w:rFonts w:eastAsiaTheme="minorEastAsia"/>
          <w:sz w:val="24"/>
          <w:szCs w:val="24"/>
        </w:rPr>
        <w:t>码头前沿疏浚土方，挖方量为</w:t>
      </w:r>
      <w:r>
        <w:rPr>
          <w:rFonts w:hint="eastAsia" w:eastAsiaTheme="minorEastAsia"/>
          <w:sz w:val="24"/>
          <w:szCs w:val="24"/>
        </w:rPr>
        <w:t>4.7万</w:t>
      </w:r>
      <w:r>
        <w:rPr>
          <w:rFonts w:eastAsiaTheme="minorEastAsia"/>
          <w:sz w:val="24"/>
          <w:szCs w:val="24"/>
        </w:rPr>
        <w:t>m</w:t>
      </w:r>
      <w:r>
        <w:rPr>
          <w:rFonts w:eastAsiaTheme="minorEastAsia"/>
          <w:sz w:val="24"/>
          <w:szCs w:val="24"/>
          <w:vertAlign w:val="superscript"/>
        </w:rPr>
        <w:t>3</w:t>
      </w:r>
      <w:r>
        <w:rPr>
          <w:rFonts w:hint="eastAsia" w:eastAsiaTheme="minorEastAsia"/>
          <w:sz w:val="24"/>
          <w:szCs w:val="24"/>
        </w:rPr>
        <w:t>，在</w:t>
      </w:r>
      <w:r>
        <w:rPr>
          <w:rFonts w:eastAsiaTheme="minorEastAsia"/>
          <w:sz w:val="24"/>
          <w:szCs w:val="24"/>
        </w:rPr>
        <w:t>码头</w:t>
      </w:r>
      <w:r>
        <w:rPr>
          <w:rFonts w:hint="eastAsia" w:eastAsiaTheme="minorEastAsia"/>
          <w:sz w:val="24"/>
          <w:szCs w:val="24"/>
        </w:rPr>
        <w:t>区</w:t>
      </w:r>
      <w:r>
        <w:rPr>
          <w:rFonts w:eastAsiaTheme="minorEastAsia"/>
          <w:sz w:val="24"/>
          <w:szCs w:val="24"/>
        </w:rPr>
        <w:t>堆存风干后，全部用于码头作业平台的</w:t>
      </w:r>
      <w:r>
        <w:rPr>
          <w:rFonts w:hint="eastAsia" w:eastAsiaTheme="minorEastAsia"/>
          <w:sz w:val="24"/>
          <w:szCs w:val="24"/>
        </w:rPr>
        <w:t>回填用土</w:t>
      </w:r>
      <w:r>
        <w:rPr>
          <w:rFonts w:eastAsiaTheme="minorEastAsia"/>
          <w:sz w:val="24"/>
          <w:szCs w:val="24"/>
        </w:rPr>
        <w:t>。本项目</w:t>
      </w:r>
      <w:r>
        <w:rPr>
          <w:rFonts w:hint="eastAsia" w:eastAsiaTheme="minorEastAsia"/>
          <w:sz w:val="24"/>
          <w:szCs w:val="24"/>
        </w:rPr>
        <w:t>土石方</w:t>
      </w:r>
      <w:r>
        <w:rPr>
          <w:rFonts w:eastAsiaTheme="minorEastAsia"/>
          <w:sz w:val="24"/>
          <w:szCs w:val="24"/>
        </w:rPr>
        <w:t>平衡见</w:t>
      </w:r>
      <w:r>
        <w:rPr>
          <w:rFonts w:hint="eastAsia" w:eastAsiaTheme="minorEastAsia"/>
          <w:sz w:val="24"/>
          <w:szCs w:val="24"/>
        </w:rPr>
        <w:t>表</w:t>
      </w:r>
      <w:r>
        <w:rPr>
          <w:rFonts w:eastAsiaTheme="minorEastAsia"/>
          <w:sz w:val="24"/>
          <w:szCs w:val="24"/>
        </w:rPr>
        <w:t>3.2-16</w:t>
      </w:r>
      <w:r>
        <w:rPr>
          <w:rFonts w:hint="eastAsia" w:eastAsiaTheme="minorEastAsia"/>
          <w:sz w:val="24"/>
          <w:szCs w:val="24"/>
        </w:rPr>
        <w:t>和</w:t>
      </w:r>
      <w:r>
        <w:rPr>
          <w:rFonts w:eastAsiaTheme="minorEastAsia"/>
          <w:sz w:val="24"/>
          <w:szCs w:val="24"/>
        </w:rPr>
        <w:t>图</w:t>
      </w:r>
      <w:r>
        <w:rPr>
          <w:rFonts w:hint="eastAsia" w:eastAsiaTheme="minorEastAsia"/>
          <w:sz w:val="24"/>
          <w:szCs w:val="24"/>
        </w:rPr>
        <w:t>3.2</w:t>
      </w:r>
      <w:r>
        <w:rPr>
          <w:rFonts w:eastAsiaTheme="minorEastAsia"/>
          <w:sz w:val="24"/>
          <w:szCs w:val="24"/>
        </w:rPr>
        <w:t>-2</w:t>
      </w:r>
      <w:r>
        <w:rPr>
          <w:rFonts w:hint="eastAsia" w:eastAsiaTheme="minorEastAsia"/>
          <w:sz w:val="24"/>
          <w:szCs w:val="24"/>
        </w:rPr>
        <w:t>。</w:t>
      </w:r>
    </w:p>
    <w:p>
      <w:pPr>
        <w:pStyle w:val="313"/>
        <w:tabs>
          <w:tab w:val="right" w:leader="dot" w:pos="9070"/>
        </w:tabs>
        <w:adjustRightInd w:val="0"/>
        <w:snapToGrid w:val="0"/>
        <w:spacing w:line="276" w:lineRule="auto"/>
        <w:jc w:val="center"/>
        <w:rPr>
          <w:rFonts w:eastAsiaTheme="minorEastAsia"/>
          <w:b/>
          <w:sz w:val="24"/>
          <w:szCs w:val="24"/>
        </w:rPr>
      </w:pPr>
      <w:r>
        <w:rPr>
          <w:rFonts w:hint="eastAsia" w:eastAsiaTheme="minorEastAsia"/>
          <w:b/>
          <w:sz w:val="24"/>
          <w:szCs w:val="24"/>
        </w:rPr>
        <w:t>表3.2</w:t>
      </w:r>
      <w:r>
        <w:rPr>
          <w:rFonts w:eastAsiaTheme="minorEastAsia"/>
          <w:b/>
          <w:sz w:val="24"/>
          <w:szCs w:val="24"/>
        </w:rPr>
        <w:t xml:space="preserve">-16  </w:t>
      </w:r>
      <w:r>
        <w:rPr>
          <w:rFonts w:hint="eastAsia" w:eastAsiaTheme="minorEastAsia"/>
          <w:b/>
          <w:sz w:val="24"/>
          <w:szCs w:val="24"/>
        </w:rPr>
        <w:t>工程</w:t>
      </w:r>
      <w:r>
        <w:rPr>
          <w:rFonts w:eastAsiaTheme="minorEastAsia"/>
          <w:b/>
          <w:sz w:val="24"/>
          <w:szCs w:val="24"/>
        </w:rPr>
        <w:t>土方</w:t>
      </w:r>
      <w:r>
        <w:rPr>
          <w:rFonts w:hint="eastAsia" w:eastAsiaTheme="minorEastAsia"/>
          <w:b/>
          <w:sz w:val="24"/>
          <w:szCs w:val="24"/>
        </w:rPr>
        <w:t>平衡表</w:t>
      </w:r>
    </w:p>
    <w:tbl>
      <w:tblPr>
        <w:tblStyle w:val="7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1983"/>
        <w:gridCol w:w="1276"/>
        <w:gridCol w:w="3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48" w:type="dxa"/>
            <w:gridSpan w:val="2"/>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b/>
                <w:sz w:val="21"/>
                <w:szCs w:val="21"/>
              </w:rPr>
            </w:pPr>
            <w:r>
              <w:rPr>
                <w:rFonts w:hint="eastAsia" w:eastAsiaTheme="minorEastAsia"/>
                <w:b/>
                <w:sz w:val="21"/>
                <w:szCs w:val="21"/>
              </w:rPr>
              <w:t>类别</w:t>
            </w:r>
          </w:p>
        </w:tc>
        <w:tc>
          <w:tcPr>
            <w:tcW w:w="127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b/>
                <w:sz w:val="21"/>
                <w:szCs w:val="21"/>
              </w:rPr>
            </w:pPr>
            <w:r>
              <w:rPr>
                <w:rFonts w:hint="eastAsia" w:eastAsiaTheme="minorEastAsia"/>
                <w:b/>
                <w:sz w:val="21"/>
                <w:szCs w:val="21"/>
              </w:rPr>
              <w:t>数量</w:t>
            </w:r>
          </w:p>
        </w:tc>
        <w:tc>
          <w:tcPr>
            <w:tcW w:w="353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b/>
                <w:sz w:val="21"/>
                <w:szCs w:val="21"/>
              </w:rPr>
            </w:pPr>
            <w:r>
              <w:rPr>
                <w:rFonts w:hint="eastAsia" w:eastAsiaTheme="minorEastAsia"/>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5" w:type="dxa"/>
            <w:vMerge w:val="restart"/>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土方</w:t>
            </w:r>
            <w:r>
              <w:rPr>
                <w:rFonts w:eastAsiaTheme="minorEastAsia"/>
                <w:sz w:val="21"/>
                <w:szCs w:val="21"/>
              </w:rPr>
              <w:t>来源</w:t>
            </w:r>
          </w:p>
        </w:tc>
        <w:tc>
          <w:tcPr>
            <w:tcW w:w="1983"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基坑开挖土方</w:t>
            </w:r>
          </w:p>
        </w:tc>
        <w:tc>
          <w:tcPr>
            <w:tcW w:w="127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eastAsiaTheme="minorEastAsia"/>
                <w:sz w:val="21"/>
                <w:szCs w:val="21"/>
              </w:rPr>
              <w:t>0.212</w:t>
            </w:r>
            <w:r>
              <w:rPr>
                <w:rFonts w:hint="eastAsia" w:eastAsiaTheme="minorEastAsia"/>
                <w:sz w:val="21"/>
                <w:szCs w:val="21"/>
              </w:rPr>
              <w:t>万</w:t>
            </w:r>
            <w:r>
              <w:rPr>
                <w:rFonts w:eastAsiaTheme="minorEastAsia"/>
                <w:sz w:val="21"/>
                <w:szCs w:val="21"/>
              </w:rPr>
              <w:t>m</w:t>
            </w:r>
            <w:r>
              <w:rPr>
                <w:rFonts w:eastAsiaTheme="minorEastAsia"/>
                <w:sz w:val="21"/>
                <w:szCs w:val="21"/>
                <w:vertAlign w:val="superscript"/>
              </w:rPr>
              <w:t>3</w:t>
            </w:r>
          </w:p>
        </w:tc>
        <w:tc>
          <w:tcPr>
            <w:tcW w:w="353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水上</w:t>
            </w:r>
            <w:r>
              <w:rPr>
                <w:rFonts w:eastAsiaTheme="minorEastAsia"/>
                <w:sz w:val="21"/>
                <w:szCs w:val="21"/>
              </w:rPr>
              <w:t>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5" w:type="dxa"/>
            <w:vMerge w:val="continue"/>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p>
        </w:tc>
        <w:tc>
          <w:tcPr>
            <w:tcW w:w="1983"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码头</w:t>
            </w:r>
            <w:r>
              <w:rPr>
                <w:rFonts w:eastAsiaTheme="minorEastAsia"/>
                <w:sz w:val="21"/>
                <w:szCs w:val="21"/>
              </w:rPr>
              <w:t>前沿</w:t>
            </w:r>
            <w:r>
              <w:rPr>
                <w:rFonts w:hint="eastAsia" w:eastAsiaTheme="minorEastAsia"/>
                <w:sz w:val="21"/>
                <w:szCs w:val="21"/>
              </w:rPr>
              <w:t>疏浚</w:t>
            </w:r>
            <w:r>
              <w:rPr>
                <w:rFonts w:eastAsiaTheme="minorEastAsia"/>
                <w:sz w:val="21"/>
                <w:szCs w:val="21"/>
              </w:rPr>
              <w:t>土方</w:t>
            </w:r>
          </w:p>
        </w:tc>
        <w:tc>
          <w:tcPr>
            <w:tcW w:w="127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4.7万</w:t>
            </w:r>
            <w:r>
              <w:rPr>
                <w:rFonts w:eastAsiaTheme="minorEastAsia"/>
                <w:sz w:val="21"/>
                <w:szCs w:val="21"/>
              </w:rPr>
              <w:t>m</w:t>
            </w:r>
            <w:r>
              <w:rPr>
                <w:rFonts w:eastAsiaTheme="minorEastAsia"/>
                <w:sz w:val="21"/>
                <w:szCs w:val="21"/>
                <w:vertAlign w:val="superscript"/>
              </w:rPr>
              <w:t>3</w:t>
            </w:r>
          </w:p>
        </w:tc>
        <w:tc>
          <w:tcPr>
            <w:tcW w:w="353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水</w:t>
            </w:r>
            <w:r>
              <w:rPr>
                <w:rFonts w:eastAsiaTheme="minorEastAsia"/>
                <w:sz w:val="21"/>
                <w:szCs w:val="21"/>
              </w:rPr>
              <w:t>下方</w:t>
            </w:r>
            <w:r>
              <w:rPr>
                <w:rFonts w:hint="eastAsia" w:eastAsiaTheme="minorEastAsia"/>
                <w:sz w:val="21"/>
                <w:szCs w:val="21"/>
              </w:rPr>
              <w:t>，</w:t>
            </w:r>
            <w:r>
              <w:rPr>
                <w:rFonts w:eastAsiaTheme="minorEastAsia"/>
                <w:sz w:val="21"/>
                <w:szCs w:val="21"/>
              </w:rPr>
              <w:t>含水率为</w:t>
            </w:r>
            <w:r>
              <w:rPr>
                <w:rFonts w:hint="eastAsia" w:eastAsiaTheme="minorEastAsia"/>
                <w:sz w:val="21"/>
                <w:szCs w:val="21"/>
              </w:rPr>
              <w:t>30</w:t>
            </w:r>
            <w:r>
              <w:rPr>
                <w:rFonts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5" w:type="dxa"/>
            <w:vMerge w:val="restart"/>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土方去向</w:t>
            </w:r>
          </w:p>
        </w:tc>
        <w:tc>
          <w:tcPr>
            <w:tcW w:w="1983"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利用方</w:t>
            </w:r>
          </w:p>
        </w:tc>
        <w:tc>
          <w:tcPr>
            <w:tcW w:w="127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4.</w:t>
            </w:r>
            <w:r>
              <w:rPr>
                <w:rFonts w:eastAsiaTheme="minorEastAsia"/>
                <w:sz w:val="21"/>
                <w:szCs w:val="21"/>
              </w:rPr>
              <w:t>912</w:t>
            </w:r>
            <w:r>
              <w:rPr>
                <w:rFonts w:hint="eastAsia" w:eastAsiaTheme="minorEastAsia"/>
                <w:sz w:val="21"/>
                <w:szCs w:val="21"/>
              </w:rPr>
              <w:t>万</w:t>
            </w:r>
            <w:r>
              <w:rPr>
                <w:rFonts w:eastAsiaTheme="minorEastAsia"/>
                <w:sz w:val="21"/>
                <w:szCs w:val="21"/>
              </w:rPr>
              <w:t>m</w:t>
            </w:r>
            <w:r>
              <w:rPr>
                <w:rFonts w:eastAsiaTheme="minorEastAsia"/>
                <w:sz w:val="21"/>
                <w:szCs w:val="21"/>
                <w:vertAlign w:val="superscript"/>
              </w:rPr>
              <w:t>3</w:t>
            </w:r>
          </w:p>
        </w:tc>
        <w:tc>
          <w:tcPr>
            <w:tcW w:w="353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基坑</w:t>
            </w:r>
            <w:r>
              <w:rPr>
                <w:rFonts w:eastAsiaTheme="minorEastAsia"/>
                <w:sz w:val="21"/>
                <w:szCs w:val="21"/>
              </w:rPr>
              <w:t>开挖土方</w:t>
            </w:r>
            <w:r>
              <w:rPr>
                <w:rFonts w:hint="eastAsia" w:eastAsiaTheme="minorEastAsia"/>
                <w:sz w:val="21"/>
                <w:szCs w:val="21"/>
              </w:rPr>
              <w:t>和</w:t>
            </w:r>
            <w:r>
              <w:rPr>
                <w:rFonts w:eastAsiaTheme="minorEastAsia"/>
                <w:sz w:val="21"/>
                <w:szCs w:val="21"/>
              </w:rPr>
              <w:t>码头前沿疏浚</w:t>
            </w:r>
            <w:r>
              <w:rPr>
                <w:rFonts w:hint="eastAsia" w:eastAsiaTheme="minorEastAsia"/>
                <w:sz w:val="21"/>
                <w:szCs w:val="21"/>
              </w:rPr>
              <w:t>土方</w:t>
            </w:r>
            <w:r>
              <w:rPr>
                <w:rFonts w:eastAsiaTheme="minorEastAsia"/>
                <w:sz w:val="21"/>
                <w:szCs w:val="21"/>
              </w:rPr>
              <w:t>在码头区</w:t>
            </w:r>
            <w:r>
              <w:rPr>
                <w:rFonts w:hint="eastAsia" w:eastAsiaTheme="minorEastAsia"/>
                <w:sz w:val="21"/>
                <w:szCs w:val="21"/>
              </w:rPr>
              <w:t>域</w:t>
            </w:r>
            <w:r>
              <w:rPr>
                <w:rFonts w:eastAsiaTheme="minorEastAsia"/>
                <w:sz w:val="21"/>
                <w:szCs w:val="21"/>
              </w:rPr>
              <w:t>堆存风干后，全部用于码头作业</w:t>
            </w:r>
            <w:r>
              <w:rPr>
                <w:rFonts w:hint="eastAsia" w:eastAsiaTheme="minorEastAsia"/>
                <w:sz w:val="21"/>
                <w:szCs w:val="21"/>
              </w:rPr>
              <w:t>平台</w:t>
            </w:r>
            <w:r>
              <w:rPr>
                <w:rFonts w:eastAsiaTheme="minorEastAsia"/>
                <w:sz w:val="21"/>
                <w:szCs w:val="21"/>
              </w:rPr>
              <w:t>的回填用土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5" w:type="dxa"/>
            <w:vMerge w:val="continue"/>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p>
        </w:tc>
        <w:tc>
          <w:tcPr>
            <w:tcW w:w="1983"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多余</w:t>
            </w:r>
            <w:r>
              <w:rPr>
                <w:rFonts w:eastAsiaTheme="minorEastAsia"/>
                <w:sz w:val="21"/>
                <w:szCs w:val="21"/>
              </w:rPr>
              <w:t>方</w:t>
            </w:r>
          </w:p>
        </w:tc>
        <w:tc>
          <w:tcPr>
            <w:tcW w:w="127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0</w:t>
            </w:r>
          </w:p>
        </w:tc>
        <w:tc>
          <w:tcPr>
            <w:tcW w:w="3536" w:type="dxa"/>
            <w:tcMar>
              <w:top w:w="0" w:type="dxa"/>
              <w:left w:w="0" w:type="dxa"/>
              <w:bottom w:w="0" w:type="dxa"/>
              <w:right w:w="0" w:type="dxa"/>
            </w:tcMar>
            <w:vAlign w:val="center"/>
          </w:tcPr>
          <w:p>
            <w:pPr>
              <w:pStyle w:val="313"/>
              <w:tabs>
                <w:tab w:val="right" w:leader="dot" w:pos="9070"/>
              </w:tabs>
              <w:adjustRightInd w:val="0"/>
              <w:snapToGrid w:val="0"/>
              <w:jc w:val="center"/>
              <w:rPr>
                <w:rFonts w:eastAsiaTheme="minorEastAsia"/>
                <w:sz w:val="21"/>
                <w:szCs w:val="21"/>
              </w:rPr>
            </w:pPr>
            <w:r>
              <w:rPr>
                <w:rFonts w:hint="eastAsia" w:eastAsiaTheme="minorEastAsia"/>
                <w:sz w:val="21"/>
                <w:szCs w:val="21"/>
              </w:rPr>
              <w:t>/</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313"/>
        <w:tabs>
          <w:tab w:val="right" w:leader="dot" w:pos="9070"/>
        </w:tabs>
        <w:adjustRightInd w:val="0"/>
        <w:snapToGrid w:val="0"/>
        <w:spacing w:line="360" w:lineRule="auto"/>
        <w:jc w:val="both"/>
        <w:rPr>
          <w:rFonts w:eastAsiaTheme="minorEastAsia"/>
          <w:sz w:val="24"/>
          <w:szCs w:val="24"/>
        </w:rPr>
      </w:pPr>
      <w:r>
        <w:rPr>
          <w:rFonts w:eastAsiaTheme="minorEastAsia"/>
          <w:sz w:val="24"/>
          <w:szCs w:val="24"/>
        </w:rPr>
        <w:drawing>
          <wp:inline distT="0" distB="0" distL="0" distR="0">
            <wp:extent cx="5759450" cy="1445895"/>
            <wp:effectExtent l="0" t="0" r="0" b="1905"/>
            <wp:docPr id="16" name="图片 16" descr="C:\Users\Administrator\Desktop\R744R6NO@[2{J]VT6BOLQSJ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R744R6NO@[2{J]VT6BOLQSJ 拷贝.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59450" cy="1445944"/>
                    </a:xfrm>
                    <a:prstGeom prst="rect">
                      <a:avLst/>
                    </a:prstGeom>
                    <a:noFill/>
                    <a:ln>
                      <a:noFill/>
                    </a:ln>
                  </pic:spPr>
                </pic:pic>
              </a:graphicData>
            </a:graphic>
          </wp:inline>
        </w:drawing>
      </w:r>
    </w:p>
    <w:p>
      <w:pPr>
        <w:pStyle w:val="313"/>
        <w:tabs>
          <w:tab w:val="right" w:leader="dot" w:pos="9070"/>
        </w:tabs>
        <w:adjustRightInd w:val="0"/>
        <w:snapToGrid w:val="0"/>
        <w:spacing w:line="360" w:lineRule="auto"/>
        <w:jc w:val="center"/>
        <w:rPr>
          <w:rFonts w:eastAsiaTheme="minorEastAsia"/>
          <w:b/>
          <w:sz w:val="24"/>
          <w:szCs w:val="24"/>
        </w:rPr>
      </w:pPr>
      <w:r>
        <w:rPr>
          <w:rFonts w:hint="eastAsia" w:eastAsiaTheme="minorEastAsia"/>
          <w:b/>
          <w:sz w:val="24"/>
          <w:szCs w:val="24"/>
        </w:rPr>
        <w:t>图3.2</w:t>
      </w:r>
      <w:r>
        <w:rPr>
          <w:rFonts w:eastAsiaTheme="minorEastAsia"/>
          <w:b/>
          <w:sz w:val="24"/>
          <w:szCs w:val="24"/>
        </w:rPr>
        <w:t xml:space="preserve">-2  </w:t>
      </w:r>
      <w:r>
        <w:rPr>
          <w:rFonts w:hint="eastAsia" w:eastAsiaTheme="minorEastAsia"/>
          <w:b/>
          <w:sz w:val="24"/>
          <w:szCs w:val="24"/>
        </w:rPr>
        <w:t>土石方</w:t>
      </w:r>
      <w:r>
        <w:rPr>
          <w:rFonts w:eastAsiaTheme="minorEastAsia"/>
          <w:b/>
          <w:sz w:val="24"/>
          <w:szCs w:val="24"/>
        </w:rPr>
        <w:t>平衡</w:t>
      </w:r>
      <w:r>
        <w:rPr>
          <w:rFonts w:hint="eastAsia" w:eastAsiaTheme="minorEastAsia"/>
          <w:b/>
          <w:sz w:val="24"/>
          <w:szCs w:val="24"/>
        </w:rPr>
        <w:t>图</w:t>
      </w:r>
    </w:p>
    <w:p>
      <w:pPr>
        <w:pStyle w:val="4"/>
        <w:rPr>
          <w:rFonts w:eastAsiaTheme="minorEastAsia"/>
        </w:rPr>
      </w:pPr>
      <w:bookmarkStart w:id="48" w:name="_Toc21161"/>
      <w:bookmarkStart w:id="49" w:name="_Toc7064"/>
      <w:r>
        <w:rPr>
          <w:rFonts w:hint="default" w:ascii="Times New Roman" w:hAnsi="Times New Roman" w:cs="Times New Roman" w:eastAsiaTheme="minorEastAsia"/>
          <w:b/>
          <w:bCs w:val="0"/>
          <w:color w:val="auto"/>
          <w:lang w:val="zh-CN"/>
        </w:rPr>
        <w:t>施工工艺流程及施工方法</w:t>
      </w:r>
      <w:bookmarkEnd w:id="48"/>
      <w:bookmarkEnd w:id="49"/>
    </w:p>
    <w:p>
      <w:pPr>
        <w:pStyle w:val="5"/>
        <w:rPr>
          <w:rFonts w:eastAsiaTheme="minorEastAsia"/>
        </w:rPr>
      </w:pPr>
      <w:r>
        <w:rPr>
          <w:rFonts w:eastAsiaTheme="minorEastAsia"/>
        </w:rPr>
        <w:t>施工顺序</w:t>
      </w:r>
    </w:p>
    <w:p>
      <w:pPr>
        <w:pStyle w:val="313"/>
        <w:tabs>
          <w:tab w:val="right" w:leader="dot" w:pos="9070"/>
        </w:tabs>
        <w:adjustRightInd w:val="0"/>
        <w:snapToGrid w:val="0"/>
        <w:spacing w:line="360" w:lineRule="auto"/>
        <w:ind w:firstLine="482" w:firstLineChars="200"/>
        <w:jc w:val="both"/>
        <w:rPr>
          <w:rFonts w:eastAsiaTheme="minorEastAsia"/>
          <w:b/>
          <w:color w:val="FF0000"/>
          <w:sz w:val="24"/>
          <w:szCs w:val="24"/>
          <w:u w:val="single"/>
        </w:rPr>
      </w:pPr>
      <w:r>
        <w:rPr>
          <w:rFonts w:eastAsiaTheme="minorEastAsia"/>
          <w:b/>
          <w:color w:val="FF0000"/>
          <w:sz w:val="24"/>
          <w:szCs w:val="24"/>
          <w:u w:val="single"/>
        </w:rPr>
        <w:t>1、码头前方固定承台施工工艺</w:t>
      </w:r>
    </w:p>
    <w:p>
      <w:pPr>
        <w:pStyle w:val="313"/>
        <w:tabs>
          <w:tab w:val="right" w:leader="dot" w:pos="9070"/>
        </w:tabs>
        <w:adjustRightInd w:val="0"/>
        <w:snapToGrid w:val="0"/>
        <w:spacing w:line="360" w:lineRule="auto"/>
        <w:ind w:firstLine="480" w:firstLineChars="200"/>
        <w:jc w:val="both"/>
        <w:rPr>
          <w:rFonts w:eastAsiaTheme="minorEastAsia"/>
          <w:color w:val="FF0000"/>
          <w:sz w:val="24"/>
          <w:szCs w:val="24"/>
          <w:u w:val="single"/>
        </w:rPr>
      </w:pPr>
      <w:r>
        <w:rPr>
          <w:rFonts w:eastAsiaTheme="minorEastAsia"/>
          <w:color w:val="FF0000"/>
          <w:sz w:val="24"/>
          <w:szCs w:val="24"/>
          <w:u w:val="single"/>
        </w:rPr>
        <w:t>拆除原2#~4#码头→钻孔灌注桩施工→现浇承台→趸船定位→安装活动钢引桥→安装附属设施</w:t>
      </w:r>
    </w:p>
    <w:p>
      <w:pPr>
        <w:pStyle w:val="313"/>
        <w:tabs>
          <w:tab w:val="right" w:leader="dot" w:pos="9070"/>
        </w:tabs>
        <w:adjustRightInd w:val="0"/>
        <w:snapToGrid w:val="0"/>
        <w:spacing w:line="360" w:lineRule="auto"/>
        <w:ind w:firstLine="482" w:firstLineChars="200"/>
        <w:jc w:val="both"/>
        <w:rPr>
          <w:rFonts w:eastAsiaTheme="minorEastAsia"/>
          <w:b/>
          <w:color w:val="FF0000"/>
          <w:sz w:val="24"/>
          <w:szCs w:val="24"/>
          <w:u w:val="single"/>
        </w:rPr>
      </w:pPr>
      <w:r>
        <w:rPr>
          <w:rFonts w:eastAsiaTheme="minorEastAsia"/>
          <w:b/>
          <w:color w:val="FF0000"/>
          <w:sz w:val="24"/>
          <w:szCs w:val="24"/>
          <w:u w:val="single"/>
        </w:rPr>
        <w:t>2、管线工程</w:t>
      </w:r>
    </w:p>
    <w:p>
      <w:pPr>
        <w:pStyle w:val="313"/>
        <w:tabs>
          <w:tab w:val="right" w:leader="dot" w:pos="9070"/>
        </w:tabs>
        <w:adjustRightInd w:val="0"/>
        <w:snapToGrid w:val="0"/>
        <w:spacing w:line="360" w:lineRule="auto"/>
        <w:ind w:firstLine="480" w:firstLineChars="200"/>
        <w:jc w:val="both"/>
        <w:rPr>
          <w:rFonts w:eastAsiaTheme="minorEastAsia"/>
          <w:color w:val="FF0000"/>
          <w:sz w:val="24"/>
          <w:szCs w:val="24"/>
          <w:u w:val="single"/>
        </w:rPr>
      </w:pPr>
      <w:r>
        <w:rPr>
          <w:rFonts w:eastAsiaTheme="minorEastAsia"/>
          <w:color w:val="FF0000"/>
          <w:sz w:val="24"/>
          <w:szCs w:val="24"/>
          <w:u w:val="single"/>
        </w:rPr>
        <w:t>与码头施工同时进行，拆除仪表风线（DN50）、烯裂解料线（DN150）、乙酸仲丁酯线（DN100）、05码头原油线（DN400）、闲置线（DN150）共5条管线，新增1条石油沥青线。此外，对码头管廊的其他管线做维护保养。</w:t>
      </w:r>
    </w:p>
    <w:p>
      <w:pPr>
        <w:pStyle w:val="5"/>
        <w:rPr>
          <w:rFonts w:hint="default" w:eastAsiaTheme="minorEastAsia"/>
          <w:lang w:val="zh-CN" w:eastAsia="zh-CN"/>
        </w:rPr>
      </w:pPr>
      <w:r>
        <w:rPr>
          <w:rFonts w:hint="default" w:eastAsiaTheme="minorEastAsia"/>
          <w:lang w:val="zh-CN" w:eastAsia="zh-CN"/>
        </w:rPr>
        <w:t>施工总体思路</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1、</w:t>
      </w:r>
      <w:r>
        <w:rPr>
          <w:rFonts w:hint="default" w:ascii="Times New Roman" w:hAnsi="Times New Roman" w:cs="Times New Roman"/>
          <w:b/>
          <w:bCs/>
          <w:color w:val="FF0000"/>
          <w:sz w:val="24"/>
          <w:szCs w:val="24"/>
          <w:u w:val="single"/>
          <w:lang w:val="zh-CN"/>
        </w:rPr>
        <w:t>总体施工部署</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根据</w:t>
      </w:r>
      <w:r>
        <w:rPr>
          <w:rFonts w:hint="default" w:ascii="Times New Roman" w:hAnsi="Times New Roman" w:cs="Times New Roman"/>
          <w:color w:val="FF0000"/>
          <w:sz w:val="24"/>
          <w:szCs w:val="24"/>
          <w:u w:val="single"/>
          <w:lang w:val="zh-CN"/>
        </w:rPr>
        <w:t>本项目工程地理位置、气象、水文、地形、地貌及工程泥沙、工程地质、地震等自然条件，并综合考虑</w:t>
      </w:r>
      <w:r>
        <w:rPr>
          <w:rFonts w:hint="eastAsia" w:ascii="Times New Roman" w:hAnsi="Times New Roman" w:cs="Times New Roman"/>
          <w:color w:val="FF0000"/>
          <w:sz w:val="24"/>
          <w:szCs w:val="24"/>
          <w:u w:val="single"/>
          <w:lang w:val="zh-CN"/>
        </w:rPr>
        <w:t>本项目</w:t>
      </w:r>
      <w:r>
        <w:rPr>
          <w:rFonts w:hint="default" w:ascii="Times New Roman" w:hAnsi="Times New Roman" w:cs="Times New Roman"/>
          <w:color w:val="FF0000"/>
          <w:sz w:val="24"/>
          <w:szCs w:val="24"/>
          <w:u w:val="single"/>
          <w:lang w:val="zh-CN"/>
        </w:rPr>
        <w:t>特点、工期要求、外部依托条件及周边关系等因素，结合在岳阳</w:t>
      </w:r>
      <w:r>
        <w:rPr>
          <w:rFonts w:hint="eastAsia" w:ascii="Times New Roman" w:hAnsi="Times New Roman" w:cs="Times New Roman"/>
          <w:color w:val="FF0000"/>
          <w:sz w:val="24"/>
          <w:szCs w:val="24"/>
          <w:u w:val="single"/>
          <w:lang w:val="zh-CN"/>
        </w:rPr>
        <w:t>城陵矶</w:t>
      </w:r>
      <w:r>
        <w:rPr>
          <w:rFonts w:hint="default" w:ascii="Times New Roman" w:hAnsi="Times New Roman" w:cs="Times New Roman"/>
          <w:color w:val="FF0000"/>
          <w:sz w:val="24"/>
          <w:szCs w:val="24"/>
          <w:u w:val="single"/>
          <w:lang w:val="zh-CN"/>
        </w:rPr>
        <w:t>长江岸线的高桩码头施工经验，对本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的施工总体顺序设想如下：</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考虑到</w:t>
      </w:r>
      <w:r>
        <w:rPr>
          <w:rFonts w:hint="eastAsia" w:ascii="Times New Roman" w:hAnsi="Times New Roman" w:cs="Times New Roman"/>
          <w:color w:val="FF0000"/>
          <w:sz w:val="24"/>
          <w:szCs w:val="24"/>
          <w:u w:val="single"/>
          <w:lang w:val="zh-CN"/>
        </w:rPr>
        <w:t>岳阳</w:t>
      </w:r>
      <w:r>
        <w:rPr>
          <w:rFonts w:hint="default" w:ascii="Times New Roman" w:hAnsi="Times New Roman" w:cs="Times New Roman"/>
          <w:color w:val="FF0000"/>
          <w:sz w:val="24"/>
          <w:szCs w:val="24"/>
          <w:u w:val="single"/>
          <w:lang w:val="zh-CN"/>
        </w:rPr>
        <w:t>地区长江洪枯水位差较大，季节性变化明显，码头结构设计底高程、打入钢管桩桩顶高程与设计低水位接近，须在第一个枯水位季节完成码头桩基与底部承台施工。因此，我们将抓住第一个枯水期，首先进行引桥灌注桩、固定联桥、</w:t>
      </w:r>
      <w:r>
        <w:rPr>
          <w:rFonts w:hint="eastAsia" w:ascii="Times New Roman" w:hAnsi="Times New Roman" w:cs="Times New Roman"/>
          <w:color w:val="FF0000"/>
          <w:sz w:val="24"/>
          <w:szCs w:val="24"/>
          <w:u w:val="single"/>
          <w:lang w:val="en-US" w:eastAsia="zh-CN"/>
        </w:rPr>
        <w:t>2</w:t>
      </w:r>
      <w:r>
        <w:rPr>
          <w:rFonts w:hint="default" w:ascii="Times New Roman" w:hAnsi="Times New Roman" w:cs="Times New Roman"/>
          <w:color w:val="FF0000"/>
          <w:sz w:val="24"/>
          <w:szCs w:val="24"/>
          <w:u w:val="single"/>
          <w:lang w:val="zh-CN" w:eastAsia="zh-CN"/>
        </w:rPr>
        <w:t>#</w:t>
      </w:r>
      <w:r>
        <w:rPr>
          <w:rFonts w:hint="eastAsia" w:ascii="Times New Roman" w:hAnsi="Times New Roman" w:cs="Times New Roman"/>
          <w:color w:val="FF0000"/>
          <w:sz w:val="24"/>
          <w:szCs w:val="24"/>
          <w:u w:val="single"/>
          <w:lang w:val="en-US" w:eastAsia="zh-CN"/>
        </w:rPr>
        <w:t>~4#</w:t>
      </w:r>
      <w:r>
        <w:rPr>
          <w:rFonts w:hint="default" w:ascii="Times New Roman" w:hAnsi="Times New Roman" w:cs="Times New Roman"/>
          <w:color w:val="FF0000"/>
          <w:sz w:val="24"/>
          <w:szCs w:val="24"/>
          <w:u w:val="single"/>
          <w:lang w:val="zh-CN"/>
        </w:rPr>
        <w:t>泊位转角平台PHC桩施工与预应力空心板预制，并在第一个洪水期到来之前将引桥、固定联桥、转角平台上部结构完成，形成施工通道。同时将泊位水域所有PHC桩、钢管桩沉桩完成，紧接着通过紧凑流水施工并加大人、机、料集中投入，抢在第一个洪水期到来之前将靠船墩、系靠船墩、系缆墩底部承台以及</w:t>
      </w:r>
      <w:r>
        <w:rPr>
          <w:rFonts w:hint="eastAsia" w:ascii="Times New Roman" w:hAnsi="Times New Roman" w:cs="Times New Roman"/>
          <w:color w:val="FF0000"/>
          <w:sz w:val="24"/>
          <w:szCs w:val="24"/>
          <w:u w:val="single"/>
          <w:lang w:val="zh-CN"/>
        </w:rPr>
        <w:t>承台</w:t>
      </w:r>
      <w:r>
        <w:rPr>
          <w:rFonts w:hint="default" w:ascii="Times New Roman" w:hAnsi="Times New Roman" w:cs="Times New Roman"/>
          <w:color w:val="FF0000"/>
          <w:sz w:val="24"/>
          <w:szCs w:val="24"/>
          <w:u w:val="single"/>
          <w:lang w:val="zh-CN"/>
        </w:rPr>
        <w:t>浇筑完成。</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先前施工完成的码头系靠船各墩台底层平台露出水面时，马上开始各墩台框架及顶部面层施工，同时穿插进行码头橡胶护弦、爬梯、系船柱等附属设施安装，尽早完成水工主体结构。</w:t>
      </w:r>
    </w:p>
    <w:p>
      <w:pPr>
        <w:pStyle w:val="313"/>
        <w:tabs>
          <w:tab w:val="right" w:leader="dot" w:pos="9070"/>
        </w:tabs>
        <w:adjustRightInd w:val="0"/>
        <w:snapToGrid w:val="0"/>
        <w:spacing w:line="360" w:lineRule="auto"/>
        <w:ind w:firstLine="480" w:firstLineChars="200"/>
        <w:jc w:val="both"/>
        <w:rPr>
          <w:rFonts w:eastAsiaTheme="minorEastAsia"/>
          <w:b/>
          <w:color w:val="FF0000"/>
          <w:sz w:val="24"/>
          <w:szCs w:val="24"/>
        </w:rPr>
      </w:pPr>
      <w:r>
        <w:rPr>
          <w:rFonts w:hint="default" w:ascii="Times New Roman" w:hAnsi="Times New Roman" w:cs="Times New Roman"/>
          <w:color w:val="FF0000"/>
          <w:sz w:val="24"/>
          <w:szCs w:val="24"/>
          <w:u w:val="single"/>
          <w:lang w:val="en-US" w:eastAsia="zh-CN"/>
        </w:rPr>
        <w:t xml:space="preserve">⑶ </w:t>
      </w:r>
      <w:r>
        <w:rPr>
          <w:rFonts w:hint="default" w:ascii="Times New Roman" w:hAnsi="Times New Roman" w:cs="Times New Roman"/>
          <w:color w:val="FF0000"/>
          <w:sz w:val="24"/>
          <w:szCs w:val="24"/>
          <w:u w:val="single"/>
          <w:lang w:val="zh-CN"/>
        </w:rPr>
        <w:t>引桥、</w:t>
      </w:r>
      <w:r>
        <w:rPr>
          <w:rFonts w:hint="eastAsia" w:ascii="Times New Roman" w:hAnsi="Times New Roman" w:cs="Times New Roman"/>
          <w:color w:val="FF0000"/>
          <w:sz w:val="24"/>
          <w:szCs w:val="24"/>
          <w:u w:val="single"/>
          <w:lang w:val="zh-CN"/>
        </w:rPr>
        <w:t>承</w:t>
      </w:r>
      <w:r>
        <w:rPr>
          <w:rFonts w:hint="default" w:ascii="Times New Roman" w:hAnsi="Times New Roman" w:cs="Times New Roman"/>
          <w:color w:val="FF0000"/>
          <w:sz w:val="24"/>
          <w:szCs w:val="24"/>
          <w:u w:val="single"/>
          <w:lang w:val="zh-CN"/>
        </w:rPr>
        <w:t>台与码头水工主体完成后再进行工艺设备、给排水、消防、供电照明、通信、控制等施工，避免过多交叉作业。</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en-US" w:eastAsia="zh-CN"/>
        </w:rPr>
      </w:pPr>
      <w:r>
        <w:rPr>
          <w:rFonts w:hint="eastAsia" w:ascii="Times New Roman" w:hAnsi="Times New Roman" w:cs="Times New Roman"/>
          <w:b/>
          <w:bCs/>
          <w:color w:val="FF0000"/>
          <w:sz w:val="24"/>
          <w:szCs w:val="24"/>
          <w:u w:val="single"/>
          <w:lang w:val="en-US" w:eastAsia="zh-CN"/>
        </w:rPr>
        <w:t>2、</w:t>
      </w:r>
      <w:r>
        <w:rPr>
          <w:rFonts w:hint="default" w:ascii="Times New Roman" w:hAnsi="Times New Roman" w:cs="Times New Roman"/>
          <w:b/>
          <w:bCs/>
          <w:color w:val="FF0000"/>
          <w:sz w:val="24"/>
          <w:szCs w:val="24"/>
          <w:u w:val="single"/>
          <w:lang w:val="en-US" w:eastAsia="zh-CN"/>
        </w:rPr>
        <w:t>拆除原2#码头</w:t>
      </w:r>
    </w:p>
    <w:p>
      <w:pPr>
        <w:adjustRightInd w:val="0"/>
        <w:snapToGrid w:val="0"/>
        <w:spacing w:line="360" w:lineRule="auto"/>
        <w:ind w:firstLine="480" w:firstLineChars="200"/>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FF0000"/>
          <w:sz w:val="24"/>
          <w:szCs w:val="24"/>
          <w:u w:val="single"/>
          <w:lang w:val="en-US" w:eastAsia="zh-CN"/>
        </w:rPr>
        <w:t>做好施工准备，按照从上而下的顺序逐步拆除现有的2#</w:t>
      </w:r>
      <w:r>
        <w:rPr>
          <w:rFonts w:hint="eastAsia" w:ascii="Times New Roman" w:hAnsi="Times New Roman" w:cs="Times New Roman" w:eastAsiaTheme="minorEastAsia"/>
          <w:color w:val="FF0000"/>
          <w:sz w:val="24"/>
          <w:szCs w:val="24"/>
          <w:u w:val="single"/>
          <w:lang w:val="en-US" w:eastAsia="zh-CN"/>
        </w:rPr>
        <w:t>~4#</w:t>
      </w:r>
      <w:r>
        <w:rPr>
          <w:rFonts w:hint="default" w:ascii="Times New Roman" w:hAnsi="Times New Roman" w:cs="Times New Roman" w:eastAsiaTheme="minorEastAsia"/>
          <w:color w:val="FF0000"/>
          <w:sz w:val="24"/>
          <w:szCs w:val="24"/>
          <w:u w:val="single"/>
          <w:lang w:val="en-US" w:eastAsia="zh-CN"/>
        </w:rPr>
        <w:t>码头水工建设设施，拆除后的建筑垃圾与总厂区固体废物一同交由环卫部门处置。</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预制管桩施工</w:t>
      </w:r>
    </w:p>
    <w:p>
      <w:pPr>
        <w:adjustRightInd w:val="0"/>
        <w:snapToGrid w:val="0"/>
        <w:spacing w:line="360" w:lineRule="auto"/>
        <w:ind w:firstLine="480" w:firstLineChars="200"/>
        <w:rPr>
          <w:rFonts w:hint="default" w:ascii="Times New Roman" w:hAnsi="Times New Roman" w:eastAsia="宋体" w:cs="Times New Roman"/>
          <w:color w:val="FF0000"/>
          <w:sz w:val="24"/>
          <w:szCs w:val="24"/>
          <w:u w:val="single"/>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所需的直径1000mm钢管桩、PHC桩分别委托专业的管桩厂制作生产，钢管桩防腐在工厂完成，钢管桩、PHC桩根据设计桩长整桩预制，根据打桩进度与顺序，通过运输船将钢管桩分两批次运抵施工现场水域、PHC桩一次运抵现场水域。租赁打桩船提前进场抛锚做打桩准备，打桩前进行水下地形、高程测量，摸清是否有沉桩障碍物，若有，则采取有效措施予以清除。水上沉桩先打靠近岸边的PHC桩、再打系靠船墩钢管桩。PHC桩沉桩顺序依次为：泊位引桥前两排与转角平台PHC桩→</w:t>
      </w:r>
      <w:r>
        <w:rPr>
          <w:rFonts w:hint="eastAsia" w:ascii="Times New Roman" w:hAnsi="Times New Roman" w:cs="Times New Roman"/>
          <w:color w:val="FF0000"/>
          <w:sz w:val="24"/>
          <w:szCs w:val="24"/>
          <w:u w:val="single"/>
          <w:lang w:val="zh-CN"/>
        </w:rPr>
        <w:t>承台</w:t>
      </w:r>
      <w:r>
        <w:rPr>
          <w:rFonts w:hint="default" w:ascii="Times New Roman" w:hAnsi="Times New Roman" w:cs="Times New Roman"/>
          <w:color w:val="FF0000"/>
          <w:sz w:val="24"/>
          <w:szCs w:val="24"/>
          <w:u w:val="single"/>
          <w:lang w:val="zh-CN"/>
        </w:rPr>
        <w:t>PHC桩→固定联桥PHC桩；钢管桩沉桩顺序为：从最下游系缆墩往最上</w:t>
      </w:r>
      <w:r>
        <w:rPr>
          <w:rFonts w:hint="default" w:ascii="Times New Roman" w:hAnsi="Times New Roman" w:eastAsia="宋体" w:cs="Times New Roman"/>
          <w:color w:val="FF0000"/>
          <w:sz w:val="24"/>
          <w:szCs w:val="24"/>
          <w:u w:val="single"/>
        </w:rPr>
        <w:t>游系缆墩依次施打，过程中可以根据打桩船抛锚情况、现场工况、工期安排等适当调整沉桩顺序。</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4</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预制构件施工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预制构件为引桥、固定联桥预应力空心板</w:t>
      </w:r>
      <w:r>
        <w:rPr>
          <w:rFonts w:hint="eastAsia" w:ascii="Times New Roman" w:hAnsi="Times New Roman" w:cs="Times New Roman"/>
          <w:color w:val="FF0000"/>
          <w:sz w:val="24"/>
          <w:szCs w:val="24"/>
          <w:u w:val="single"/>
          <w:lang w:val="zh-CN"/>
        </w:rPr>
        <w:t>、</w:t>
      </w:r>
      <w:r>
        <w:rPr>
          <w:rFonts w:hint="default" w:ascii="Times New Roman" w:hAnsi="Times New Roman" w:cs="Times New Roman"/>
          <w:color w:val="FF0000"/>
          <w:sz w:val="24"/>
          <w:szCs w:val="24"/>
          <w:u w:val="single"/>
          <w:lang w:val="zh-CN"/>
        </w:rPr>
        <w:t>靠船构件。构件在设在现场预制场预制，龙门吊转运堆存与装车，构件预制进度满足安装进度要求。空心板由炮车运输至架梁区域，150t履带吊吊装就位，靠构经由临时码头出运，船吊水上安装。</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5</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灌注桩施工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引桥接岸部分基础为灌注桩。投入GPS10回旋钻机钻孔，泥浆护壁，反循环清孔；钢筋笼在现场钢筋加工区制作，平板车运到现场，25t汽车吊安放；导管法浇注水下混凝土。</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6</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承台施工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沉桩完成后，根据承台底标高要求安装钢抱箍作为承台底模承重牛腿，抱箍牛腿上架设45a工字钢作为承重主梁，次梁为16a工字钢间隔0.5m布置，再在其上间隔0.3m铺设10cm×10cm木方，然后满铺竹胶板底模。在铺好底模后在其上绑扎承台钢筋，支侧模（采用定型钢模板）。混凝土浇筑采用拖泵泵送入模，分层浇筑，搭设临时钢栈桥作为泵管通道。承重型钢及下料好的钢筋由临时码头通过驳船运输至前方，浮吊安装或者吊上平台。</w:t>
      </w:r>
    </w:p>
    <w:p>
      <w:pPr>
        <w:adjustRightInd w:val="0"/>
        <w:snapToGrid w:val="0"/>
        <w:spacing w:line="360" w:lineRule="auto"/>
        <w:ind w:firstLine="482" w:firstLineChars="200"/>
        <w:rPr>
          <w:rFonts w:hint="default" w:ascii="Times New Roman" w:hAnsi="Times New Roman" w:cs="Times New Roman"/>
          <w:color w:val="FF0000"/>
          <w:sz w:val="24"/>
          <w:szCs w:val="24"/>
          <w:u w:val="single"/>
          <w:lang w:val="zh-CN"/>
        </w:rPr>
      </w:pPr>
      <w:r>
        <w:rPr>
          <w:rFonts w:hint="eastAsia" w:ascii="Times New Roman" w:hAnsi="Times New Roman" w:cs="Times New Roman"/>
          <w:b/>
          <w:bCs/>
          <w:color w:val="FF0000"/>
          <w:sz w:val="24"/>
          <w:szCs w:val="24"/>
          <w:u w:val="single"/>
          <w:lang w:val="en-US" w:eastAsia="zh-CN"/>
        </w:rPr>
        <w:t>7</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框架及上承台施工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各墩台底部承台施工完成后搭设脚手架施工框架柱与联系梁，脚手架同时作为联系梁底模承重支架以及顶部平台底模满堂支架，框架采用木模，顶部平台侧模采用定型钢模板。混凝土同样采用拖泵接泵管由搭设的临时泵管通道泵送入模，每层框架立柱与联系梁为一个混凝土浇筑批，顶部平台可根据现场情况分层浇筑。</w:t>
      </w:r>
    </w:p>
    <w:p>
      <w:pPr>
        <w:adjustRightInd w:val="0"/>
        <w:snapToGrid w:val="0"/>
        <w:spacing w:line="360" w:lineRule="auto"/>
        <w:ind w:firstLine="482" w:firstLineChars="200"/>
        <w:rPr>
          <w:rFonts w:hint="default" w:ascii="Times New Roman" w:hAnsi="Times New Roman" w:cs="Times New Roman"/>
          <w:color w:val="FF0000"/>
          <w:sz w:val="24"/>
          <w:szCs w:val="24"/>
          <w:u w:val="single"/>
          <w:lang w:val="zh-CN"/>
        </w:rPr>
      </w:pPr>
      <w:r>
        <w:rPr>
          <w:rFonts w:hint="eastAsia" w:ascii="Times New Roman" w:hAnsi="Times New Roman" w:cs="Times New Roman"/>
          <w:b/>
          <w:bCs/>
          <w:color w:val="FF0000"/>
          <w:sz w:val="24"/>
          <w:szCs w:val="24"/>
          <w:u w:val="single"/>
          <w:lang w:val="en-US" w:eastAsia="zh-CN"/>
        </w:rPr>
        <w:t>8</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码头附属设施安装</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橡胶护舷、系船柱通过水上运输前沿，船吊进行水上吊装；钢爬梯材料在陆上加工厂下好料，通过引桥平台或者水上运输至安装点，进行现场焊接安装。</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9</w:t>
      </w:r>
      <w:r>
        <w:rPr>
          <w:rFonts w:hint="default" w:ascii="Times New Roman" w:hAnsi="Times New Roman" w:cs="Times New Roman"/>
          <w:b/>
          <w:bCs/>
          <w:color w:val="FF0000"/>
          <w:sz w:val="24"/>
          <w:szCs w:val="24"/>
          <w:u w:val="single"/>
          <w:lang w:val="en-US" w:eastAsia="zh-CN"/>
        </w:rPr>
        <w:t>、</w:t>
      </w:r>
      <w:r>
        <w:rPr>
          <w:rFonts w:hint="eastAsia" w:ascii="Times New Roman" w:hAnsi="Times New Roman" w:cs="Times New Roman"/>
          <w:b/>
          <w:bCs/>
          <w:color w:val="FF0000"/>
          <w:sz w:val="24"/>
          <w:szCs w:val="24"/>
          <w:u w:val="single"/>
          <w:lang w:val="zh-CN"/>
        </w:rPr>
        <w:t>钢引</w:t>
      </w:r>
      <w:r>
        <w:rPr>
          <w:rFonts w:hint="default" w:ascii="Times New Roman" w:hAnsi="Times New Roman" w:cs="Times New Roman"/>
          <w:b/>
          <w:bCs/>
          <w:color w:val="FF0000"/>
          <w:sz w:val="24"/>
          <w:szCs w:val="24"/>
          <w:u w:val="single"/>
          <w:lang w:val="zh-CN"/>
        </w:rPr>
        <w:t>桥安装</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在陆上钢结构制作区完成整体拼装及节点防腐，通过炮车运输至临时码头，浮吊吊上驳船运输至安装区域，整体吊装就位。</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10</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上部安装工程</w:t>
      </w:r>
    </w:p>
    <w:p>
      <w:pPr>
        <w:pStyle w:val="313"/>
        <w:tabs>
          <w:tab w:val="right" w:leader="dot" w:pos="9070"/>
        </w:tabs>
        <w:adjustRightInd w:val="0"/>
        <w:snapToGrid w:val="0"/>
        <w:spacing w:line="360" w:lineRule="auto"/>
        <w:ind w:firstLine="480" w:firstLineChars="200"/>
        <w:jc w:val="both"/>
        <w:rPr>
          <w:rFonts w:eastAsiaTheme="minorEastAsia"/>
          <w:color w:val="FF0000"/>
          <w:sz w:val="24"/>
          <w:szCs w:val="24"/>
        </w:rPr>
      </w:pPr>
      <w:r>
        <w:rPr>
          <w:rFonts w:hint="default" w:ascii="Times New Roman" w:hAnsi="Times New Roman" w:cs="Times New Roman"/>
          <w:color w:val="FF0000"/>
          <w:sz w:val="24"/>
          <w:szCs w:val="24"/>
          <w:u w:val="single"/>
          <w:lang w:val="zh-CN"/>
        </w:rPr>
        <w:t>工艺设备、给排水、消防、控制、通信等上部安装工程施工待水工结构基本完成后分别进行施工，采购的成套设备或者施工材料经进场验收合格后运至安装现场，按规范进行安装与调试。</w:t>
      </w:r>
    </w:p>
    <w:p>
      <w:pPr>
        <w:pStyle w:val="5"/>
        <w:rPr>
          <w:rFonts w:hint="default" w:eastAsiaTheme="minorEastAsia"/>
          <w:lang w:val="zh-CN" w:eastAsia="zh-CN"/>
        </w:rPr>
      </w:pPr>
      <w:r>
        <w:rPr>
          <w:rFonts w:hint="default" w:eastAsiaTheme="minorEastAsia"/>
          <w:lang w:val="zh-CN" w:eastAsia="zh-CN"/>
        </w:rPr>
        <w:t>总体施工工艺流程</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总体施工工艺流程见下图。</w:t>
      </w:r>
    </w:p>
    <w:p>
      <w:pPr>
        <w:pStyle w:val="313"/>
        <w:keepNext w:val="0"/>
        <w:keepLines w:val="0"/>
        <w:pageBreakBefore w:val="0"/>
        <w:widowControl/>
        <w:tabs>
          <w:tab w:val="right" w:leader="dot" w:pos="9070"/>
        </w:tabs>
        <w:kinsoku/>
        <w:wordWrap/>
        <w:overflowPunct/>
        <w:topLinePunct w:val="0"/>
        <w:autoSpaceDE/>
        <w:autoSpaceDN/>
        <w:bidi w:val="0"/>
        <w:adjustRightInd w:val="0"/>
        <w:snapToGrid w:val="0"/>
        <w:spacing w:line="240" w:lineRule="auto"/>
        <w:jc w:val="both"/>
        <w:textAlignment w:val="auto"/>
        <w:rPr>
          <w:rFonts w:hint="eastAsia" w:eastAsia="宋体"/>
          <w:color w:val="auto"/>
          <w:sz w:val="24"/>
          <w:lang w:eastAsia="zh-CN"/>
        </w:rPr>
      </w:pPr>
      <w:r>
        <w:rPr>
          <w:rFonts w:hint="eastAsia" w:eastAsia="宋体"/>
          <w:color w:val="auto"/>
          <w:sz w:val="24"/>
          <w:lang w:eastAsia="zh-CN"/>
        </w:rPr>
        <w:drawing>
          <wp:inline distT="0" distB="0" distL="114300" distR="114300">
            <wp:extent cx="5759450" cy="4441825"/>
            <wp:effectExtent l="0" t="0" r="12700" b="15875"/>
            <wp:docPr id="34" name="图片 34" descr="[Z~O3BRDB8SE70TW252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Z~O3BRDB8SE70TW252U_(5"/>
                    <pic:cNvPicPr>
                      <a:picLocks noChangeAspect="1"/>
                    </pic:cNvPicPr>
                  </pic:nvPicPr>
                  <pic:blipFill>
                    <a:blip r:embed="rId28"/>
                    <a:stretch>
                      <a:fillRect/>
                    </a:stretch>
                  </pic:blipFill>
                  <pic:spPr>
                    <a:xfrm>
                      <a:off x="0" y="0"/>
                      <a:ext cx="5759450" cy="4441825"/>
                    </a:xfrm>
                    <a:prstGeom prst="rect">
                      <a:avLst/>
                    </a:prstGeom>
                  </pic:spPr>
                </pic:pic>
              </a:graphicData>
            </a:graphic>
          </wp:inline>
        </w:drawing>
      </w:r>
    </w:p>
    <w:p>
      <w:pPr>
        <w:pStyle w:val="313"/>
        <w:keepNext w:val="0"/>
        <w:keepLines w:val="0"/>
        <w:pageBreakBefore w:val="0"/>
        <w:widowControl/>
        <w:tabs>
          <w:tab w:val="right" w:leader="dot" w:pos="9070"/>
        </w:tabs>
        <w:kinsoku/>
        <w:wordWrap/>
        <w:overflowPunct/>
        <w:topLinePunct w:val="0"/>
        <w:autoSpaceDE/>
        <w:autoSpaceDN/>
        <w:bidi w:val="0"/>
        <w:adjustRightInd w:val="0"/>
        <w:snapToGrid w:val="0"/>
        <w:spacing w:line="240" w:lineRule="auto"/>
        <w:jc w:val="center"/>
        <w:textAlignment w:val="auto"/>
        <w:rPr>
          <w:color w:val="auto"/>
          <w:sz w:val="24"/>
        </w:rPr>
      </w:pPr>
      <w:r>
        <w:rPr>
          <w:rFonts w:hint="default" w:ascii="Times New Roman" w:hAnsi="Times New Roman" w:eastAsia="宋体" w:cs="Times New Roman"/>
          <w:b/>
          <w:bCs/>
          <w:color w:val="auto"/>
          <w:sz w:val="24"/>
          <w:szCs w:val="24"/>
          <w:u w:val="single"/>
        </w:rPr>
        <w:t>图</w:t>
      </w:r>
      <w:r>
        <w:rPr>
          <w:rFonts w:hint="default" w:ascii="Times New Roman" w:hAnsi="Times New Roman" w:eastAsia="宋体" w:cs="Times New Roman"/>
          <w:b/>
          <w:bCs/>
          <w:color w:val="auto"/>
          <w:sz w:val="24"/>
          <w:szCs w:val="24"/>
          <w:u w:val="single"/>
          <w:lang w:val="en-US" w:eastAsia="zh-CN"/>
        </w:rPr>
        <w:t>3.</w:t>
      </w:r>
      <w:r>
        <w:rPr>
          <w:rFonts w:hint="eastAsia" w:cs="Times New Roman"/>
          <w:b/>
          <w:bCs/>
          <w:color w:val="auto"/>
          <w:sz w:val="24"/>
          <w:szCs w:val="24"/>
          <w:u w:val="single"/>
          <w:lang w:val="en-US" w:eastAsia="zh-CN"/>
        </w:rPr>
        <w:t>2</w:t>
      </w:r>
      <w:r>
        <w:rPr>
          <w:rFonts w:hint="default" w:ascii="Times New Roman" w:hAnsi="Times New Roman" w:eastAsia="宋体" w:cs="Times New Roman"/>
          <w:b/>
          <w:bCs/>
          <w:color w:val="auto"/>
          <w:sz w:val="24"/>
          <w:szCs w:val="24"/>
          <w:u w:val="single"/>
          <w:lang w:val="en-US" w:eastAsia="zh-CN"/>
        </w:rPr>
        <w:t>-</w:t>
      </w:r>
      <w:r>
        <w:rPr>
          <w:rFonts w:hint="eastAsia" w:cs="Times New Roman"/>
          <w:b/>
          <w:bCs/>
          <w:color w:val="auto"/>
          <w:sz w:val="24"/>
          <w:szCs w:val="24"/>
          <w:u w:val="single"/>
          <w:lang w:val="en-US" w:eastAsia="zh-CN"/>
        </w:rPr>
        <w:t>3</w:t>
      </w:r>
      <w:r>
        <w:rPr>
          <w:rFonts w:hint="default" w:ascii="Times New Roman" w:hAnsi="Times New Roman" w:eastAsia="宋体" w:cs="Times New Roman"/>
          <w:b/>
          <w:bCs/>
          <w:color w:val="auto"/>
          <w:sz w:val="24"/>
          <w:szCs w:val="24"/>
          <w:u w:val="single"/>
          <w:lang w:val="en-US" w:eastAsia="zh-CN"/>
        </w:rPr>
        <w:t xml:space="preserve"> </w:t>
      </w:r>
      <w:r>
        <w:rPr>
          <w:rFonts w:hint="default" w:ascii="Times New Roman" w:hAnsi="Times New Roman" w:eastAsia="宋体" w:cs="Times New Roman"/>
          <w:b/>
          <w:bCs/>
          <w:color w:val="auto"/>
          <w:sz w:val="24"/>
          <w:szCs w:val="24"/>
          <w:u w:val="single"/>
        </w:rPr>
        <w:t xml:space="preserve"> 总体施工工艺流程图</w:t>
      </w:r>
    </w:p>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5"/>
        <w:rPr>
          <w:rFonts w:hint="default" w:eastAsiaTheme="minorEastAsia"/>
          <w:lang w:val="zh-CN" w:eastAsia="zh-CN"/>
        </w:rPr>
      </w:pPr>
      <w:r>
        <w:rPr>
          <w:rFonts w:hint="default" w:eastAsiaTheme="minorEastAsia"/>
          <w:lang w:val="zh-CN" w:eastAsia="zh-CN"/>
        </w:rPr>
        <w:t>主要项目施工方法</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en-US" w:eastAsia="zh-CN"/>
        </w:rPr>
      </w:pPr>
      <w:r>
        <w:rPr>
          <w:rFonts w:hint="eastAsia" w:ascii="Times New Roman" w:hAnsi="Times New Roman" w:cs="Times New Roman"/>
          <w:b/>
          <w:bCs/>
          <w:color w:val="FF0000"/>
          <w:sz w:val="24"/>
          <w:szCs w:val="24"/>
          <w:u w:val="single"/>
          <w:lang w:val="en-US" w:eastAsia="zh-CN"/>
        </w:rPr>
        <w:t>一、</w:t>
      </w:r>
      <w:r>
        <w:rPr>
          <w:rFonts w:hint="default" w:ascii="Times New Roman" w:hAnsi="Times New Roman" w:cs="Times New Roman"/>
          <w:b/>
          <w:bCs/>
          <w:color w:val="FF0000"/>
          <w:sz w:val="24"/>
          <w:szCs w:val="24"/>
          <w:u w:val="single"/>
          <w:lang w:val="zh-CN"/>
        </w:rPr>
        <w:t>桩基施工</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1、</w:t>
      </w:r>
      <w:r>
        <w:rPr>
          <w:rFonts w:hint="default" w:ascii="Times New Roman" w:hAnsi="Times New Roman" w:cs="Times New Roman"/>
          <w:b w:val="0"/>
          <w:bCs w:val="0"/>
          <w:color w:val="FF0000"/>
          <w:sz w:val="24"/>
          <w:szCs w:val="24"/>
          <w:u w:val="single"/>
          <w:lang w:val="zh-CN"/>
        </w:rPr>
        <w:t>预制管桩施工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制桩</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钢管桩、PHC桩分别在专业管桩预制厂生产，整桩预制，通过桩厂码头装船，水路运输至施工现场。</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制桩、防腐严格按照设计要求及《港口工程桩基规范》（JTS167-4-2012）执行。桩在场内的吊运、堆存、运输应符合设计及规范要求，管桩生产过程派专人驻厂监督，并邀请项目</w:t>
      </w:r>
      <w:r>
        <w:rPr>
          <w:rFonts w:hint="default" w:ascii="Times New Roman" w:hAnsi="Times New Roman" w:cs="Times New Roman"/>
          <w:color w:val="FF0000"/>
          <w:sz w:val="24"/>
          <w:szCs w:val="24"/>
          <w:u w:val="single"/>
          <w:lang w:val="en-US" w:eastAsia="zh-CN"/>
        </w:rPr>
        <w:t>建设单位或</w:t>
      </w:r>
      <w:r>
        <w:rPr>
          <w:rFonts w:hint="default" w:ascii="Times New Roman" w:hAnsi="Times New Roman" w:cs="Times New Roman"/>
          <w:color w:val="FF0000"/>
          <w:sz w:val="24"/>
          <w:szCs w:val="24"/>
          <w:u w:val="single"/>
          <w:lang w:val="zh-CN"/>
        </w:rPr>
        <w:t>监理工程师进行检查。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运输</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钢管桩计划根据沉桩进度分两个船次船运至现场，PHC桩也计划分两个船次运输至现场。</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管桩装卸、运输过程中采取措施注意保护涂层、外表不被损坏，若有损坏，则应按照设计、规范要求采取补涂、修补措施。管桩装船应根据现场沉桩顺序进行，船上堆放时按照设计、规范要求做好分层支垫，方便打桩时起吊；船上堆放应稳定，运输起航前采取加固措施，防止在运输过程中倒塌。</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⑶ </w:t>
      </w:r>
      <w:r>
        <w:rPr>
          <w:rFonts w:hint="default" w:ascii="Times New Roman" w:hAnsi="Times New Roman" w:cs="Times New Roman"/>
          <w:color w:val="FF0000"/>
          <w:sz w:val="24"/>
          <w:szCs w:val="24"/>
          <w:u w:val="single"/>
          <w:lang w:val="zh-CN"/>
        </w:rPr>
        <w:t>水上沉桩</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①</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水上沉桩工艺流程</w:t>
      </w:r>
    </w:p>
    <w:p>
      <w:pPr>
        <w:pStyle w:val="313"/>
        <w:tabs>
          <w:tab w:val="right" w:leader="dot" w:pos="9070"/>
        </w:tabs>
        <w:adjustRightInd w:val="0"/>
        <w:snapToGrid w:val="0"/>
        <w:spacing w:line="360" w:lineRule="auto"/>
        <w:ind w:firstLine="480" w:firstLineChars="200"/>
        <w:jc w:val="both"/>
        <w:rPr>
          <w:rFonts w:eastAsiaTheme="minorEastAsia"/>
          <w:color w:val="FF0000"/>
          <w:sz w:val="24"/>
          <w:szCs w:val="24"/>
        </w:rPr>
      </w:pPr>
      <w:r>
        <w:rPr>
          <w:rFonts w:hint="default" w:ascii="Times New Roman" w:hAnsi="Times New Roman" w:cs="Times New Roman"/>
          <w:color w:val="FF0000"/>
          <w:sz w:val="24"/>
          <w:szCs w:val="24"/>
          <w:u w:val="single"/>
          <w:lang w:val="zh-CN"/>
        </w:rPr>
        <w:t>水上钢管桩、PHC桩沉桩工艺流程如下：</w:t>
      </w:r>
    </w:p>
    <w:p>
      <w:pPr>
        <w:adjustRightInd w:val="0"/>
        <w:snapToGrid w:val="0"/>
        <w:spacing w:line="360" w:lineRule="auto"/>
        <w:jc w:val="center"/>
        <w:rPr>
          <w:rFonts w:hint="default" w:ascii="Times New Roman" w:hAnsi="Times New Roman" w:cs="Times New Roman"/>
          <w:color w:val="auto"/>
          <w:sz w:val="24"/>
          <w:szCs w:val="24"/>
          <w:u w:val="single"/>
          <w:lang w:val="zh-CN"/>
        </w:rPr>
      </w:pPr>
      <w:r>
        <w:rPr>
          <w:rFonts w:hint="default" w:ascii="Times New Roman" w:hAnsi="Times New Roman" w:cs="Times New Roman"/>
          <w:color w:val="auto"/>
        </w:rPr>
        <w:drawing>
          <wp:inline distT="0" distB="0" distL="114300" distR="114300">
            <wp:extent cx="5196840" cy="4318635"/>
            <wp:effectExtent l="0" t="0" r="381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5196840" cy="4318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auto"/>
          <w:sz w:val="24"/>
          <w:szCs w:val="24"/>
          <w:u w:val="single"/>
        </w:rPr>
      </w:pPr>
      <w:r>
        <w:rPr>
          <w:rFonts w:hint="default" w:ascii="Times New Roman" w:hAnsi="Times New Roman" w:eastAsia="宋体" w:cs="Times New Roman"/>
          <w:b/>
          <w:bCs/>
          <w:color w:val="auto"/>
          <w:sz w:val="24"/>
          <w:szCs w:val="24"/>
          <w:u w:val="single"/>
        </w:rPr>
        <w:t>图</w:t>
      </w:r>
      <w:r>
        <w:rPr>
          <w:rFonts w:hint="default" w:ascii="Times New Roman" w:hAnsi="Times New Roman" w:cs="Times New Roman"/>
          <w:b/>
          <w:bCs/>
          <w:color w:val="auto"/>
          <w:sz w:val="24"/>
          <w:szCs w:val="24"/>
          <w:u w:val="single"/>
          <w:lang w:val="en-US" w:eastAsia="zh-CN"/>
        </w:rPr>
        <w:t>3.</w:t>
      </w:r>
      <w:r>
        <w:rPr>
          <w:rFonts w:hint="eastAsia" w:ascii="Times New Roman" w:hAnsi="Times New Roman" w:cs="Times New Roman"/>
          <w:b/>
          <w:bCs/>
          <w:color w:val="auto"/>
          <w:sz w:val="24"/>
          <w:szCs w:val="24"/>
          <w:u w:val="single"/>
          <w:lang w:val="en-US" w:eastAsia="zh-CN"/>
        </w:rPr>
        <w:t>2</w:t>
      </w:r>
      <w:r>
        <w:rPr>
          <w:rFonts w:hint="default" w:ascii="Times New Roman" w:hAnsi="Times New Roman" w:cs="Times New Roman"/>
          <w:b/>
          <w:bCs/>
          <w:color w:val="auto"/>
          <w:sz w:val="24"/>
          <w:szCs w:val="24"/>
          <w:u w:val="single"/>
          <w:lang w:val="en-US" w:eastAsia="zh-CN"/>
        </w:rPr>
        <w:t>-</w:t>
      </w:r>
      <w:r>
        <w:rPr>
          <w:rFonts w:hint="eastAsia" w:ascii="Times New Roman" w:hAnsi="Times New Roman" w:cs="Times New Roman"/>
          <w:b/>
          <w:bCs/>
          <w:color w:val="auto"/>
          <w:sz w:val="24"/>
          <w:szCs w:val="24"/>
          <w:u w:val="single"/>
          <w:lang w:val="en-US" w:eastAsia="zh-CN"/>
        </w:rPr>
        <w:t>4</w:t>
      </w:r>
      <w:r>
        <w:rPr>
          <w:rFonts w:hint="default" w:ascii="Times New Roman" w:hAnsi="Times New Roman" w:cs="Times New Roman"/>
          <w:b/>
          <w:bCs/>
          <w:color w:val="auto"/>
          <w:sz w:val="24"/>
          <w:szCs w:val="24"/>
          <w:u w:val="single"/>
          <w:lang w:val="en-US" w:eastAsia="zh-CN"/>
        </w:rPr>
        <w:t xml:space="preserve"> </w:t>
      </w:r>
      <w:r>
        <w:rPr>
          <w:rFonts w:hint="default" w:ascii="Times New Roman" w:hAnsi="Times New Roman" w:eastAsia="宋体" w:cs="Times New Roman"/>
          <w:b/>
          <w:bCs/>
          <w:color w:val="auto"/>
          <w:sz w:val="24"/>
          <w:szCs w:val="24"/>
          <w:u w:val="single"/>
        </w:rPr>
        <w:t xml:space="preserve"> 水上沉桩工艺流程图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②</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打桩船设备配置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根据本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的桩基桩身长度和现场施工条件以及设计要求选用性能良好的打桩船配D-138柴油锤沉桩，采用重锤轻打。</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③</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水上沉桩施工方法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A</w:t>
      </w:r>
      <w:r>
        <w:rPr>
          <w:rFonts w:hint="default" w:ascii="Times New Roman" w:hAnsi="Times New Roman" w:cs="Times New Roman"/>
          <w:color w:val="FF0000"/>
          <w:sz w:val="24"/>
          <w:szCs w:val="24"/>
          <w:u w:val="single"/>
          <w:lang w:val="zh-CN"/>
        </w:rPr>
        <w:t>、沉桩顺序</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水上沉桩先打靠近岸边的PHC桩、再打系靠船墩钢管桩。PHC桩沉桩顺序依次为：#</w:t>
      </w:r>
      <w:r>
        <w:rPr>
          <w:rFonts w:hint="eastAsia" w:ascii="Times New Roman" w:hAnsi="Times New Roman" w:cs="Times New Roman"/>
          <w:color w:val="FF0000"/>
          <w:sz w:val="24"/>
          <w:szCs w:val="24"/>
          <w:u w:val="single"/>
          <w:lang w:val="en-US" w:eastAsia="zh-CN"/>
        </w:rPr>
        <w:t>2</w:t>
      </w:r>
      <w:r>
        <w:rPr>
          <w:rFonts w:hint="default" w:ascii="Times New Roman" w:hAnsi="Times New Roman" w:cs="Times New Roman"/>
          <w:color w:val="FF0000"/>
          <w:sz w:val="24"/>
          <w:szCs w:val="24"/>
          <w:u w:val="single"/>
          <w:lang w:val="zh-CN"/>
        </w:rPr>
        <w:t>泊位引桥前两排与转角平台PHC桩→</w:t>
      </w:r>
      <w:r>
        <w:rPr>
          <w:rFonts w:hint="eastAsia" w:ascii="Times New Roman" w:hAnsi="Times New Roman" w:cs="Times New Roman"/>
          <w:color w:val="FF0000"/>
          <w:sz w:val="24"/>
          <w:szCs w:val="24"/>
          <w:u w:val="single"/>
          <w:lang w:val="zh-CN"/>
        </w:rPr>
        <w:t>承台</w:t>
      </w:r>
      <w:r>
        <w:rPr>
          <w:rFonts w:hint="default" w:ascii="Times New Roman" w:hAnsi="Times New Roman" w:cs="Times New Roman"/>
          <w:color w:val="FF0000"/>
          <w:sz w:val="24"/>
          <w:szCs w:val="24"/>
          <w:u w:val="single"/>
          <w:lang w:val="zh-CN"/>
        </w:rPr>
        <w:t>PHC桩→固定联桥PHC桩；钢管桩沉桩顺序为：从最下游系缆墩往最上游系缆墩依次施打，过程中可以根据打桩船抛锚情况、现场工况、工期安排等适当调整沉桩顺序。</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B</w:t>
      </w:r>
      <w:r>
        <w:rPr>
          <w:rFonts w:hint="default" w:ascii="Times New Roman" w:hAnsi="Times New Roman" w:cs="Times New Roman"/>
          <w:color w:val="FF0000"/>
          <w:sz w:val="24"/>
          <w:szCs w:val="24"/>
          <w:u w:val="single"/>
          <w:lang w:val="zh-CN"/>
        </w:rPr>
        <w:t>、施工基线布置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打桩主要采用GPS定位技术，直接可以计算贯入度和控制标高，陆上设置测量控制基线，全站仪、经纬仪、水准仪进行复测校核。</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C</w:t>
      </w:r>
      <w:r>
        <w:rPr>
          <w:rFonts w:hint="default" w:ascii="Times New Roman" w:hAnsi="Times New Roman" w:cs="Times New Roman"/>
          <w:color w:val="FF0000"/>
          <w:sz w:val="24"/>
          <w:szCs w:val="24"/>
          <w:u w:val="single"/>
          <w:lang w:val="zh-CN"/>
        </w:rPr>
        <w:t>、沉桩控制标准</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沉桩定位主要采用GPS定位系统来控制，沉桩控制标准须满足设计要求，沉桩以标高控制为主，贯入度作为校核。</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D</w:t>
      </w:r>
      <w:r>
        <w:rPr>
          <w:rFonts w:hint="default" w:ascii="Times New Roman" w:hAnsi="Times New Roman" w:cs="Times New Roman"/>
          <w:color w:val="FF0000"/>
          <w:sz w:val="24"/>
          <w:szCs w:val="24"/>
          <w:u w:val="single"/>
          <w:lang w:val="zh-CN"/>
        </w:rPr>
        <w:t>、沉桩定位</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打桩船带缆采用八字锚，以保证打桩船定位准确、方便。为提高工效，确保沉桩质量，心缆和边缆锚碇的布设宜尽可能减少桩船的带缆次数，每次带缆能兼顾到更多的桩数，节省时间，提高工效。</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2、</w:t>
      </w:r>
      <w:r>
        <w:rPr>
          <w:rFonts w:hint="default" w:ascii="Times New Roman" w:hAnsi="Times New Roman" w:cs="Times New Roman"/>
          <w:b w:val="0"/>
          <w:bCs w:val="0"/>
          <w:color w:val="FF0000"/>
          <w:sz w:val="24"/>
          <w:szCs w:val="24"/>
          <w:u w:val="single"/>
          <w:lang w:val="zh-CN"/>
        </w:rPr>
        <w:t>灌注桩施工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施工期产生灌注桩桩基钻渣量约为0.</w:t>
      </w:r>
      <w:r>
        <w:rPr>
          <w:rFonts w:hint="eastAsia" w:ascii="Times New Roman" w:hAnsi="Times New Roman" w:cs="Times New Roman"/>
          <w:color w:val="FF0000"/>
          <w:sz w:val="24"/>
          <w:szCs w:val="24"/>
          <w:u w:val="single"/>
          <w:lang w:val="en-US" w:eastAsia="zh-CN"/>
        </w:rPr>
        <w:t>212</w:t>
      </w:r>
      <w:r>
        <w:rPr>
          <w:rFonts w:hint="default" w:ascii="Times New Roman" w:hAnsi="Times New Roman" w:cs="Times New Roman"/>
          <w:color w:val="FF0000"/>
          <w:sz w:val="24"/>
          <w:szCs w:val="24"/>
          <w:u w:val="single"/>
          <w:lang w:val="zh-CN"/>
        </w:rPr>
        <w:t>万m</w:t>
      </w:r>
      <w:r>
        <w:rPr>
          <w:rFonts w:hint="default" w:ascii="Times New Roman" w:hAnsi="Times New Roman" w:cs="Times New Roman"/>
          <w:color w:val="FF0000"/>
          <w:sz w:val="24"/>
          <w:szCs w:val="24"/>
          <w:u w:val="single"/>
          <w:vertAlign w:val="superscript"/>
          <w:lang w:val="zh-CN"/>
        </w:rPr>
        <w:t>3</w:t>
      </w:r>
      <w:r>
        <w:rPr>
          <w:rFonts w:hint="default" w:ascii="Times New Roman" w:hAnsi="Times New Roman" w:cs="Times New Roman"/>
          <w:color w:val="FF0000"/>
          <w:sz w:val="24"/>
          <w:szCs w:val="24"/>
          <w:u w:val="single"/>
          <w:lang w:val="zh-CN"/>
        </w:rPr>
        <w:t>。</w:t>
      </w:r>
      <w:r>
        <w:rPr>
          <w:rFonts w:hint="default" w:ascii="Times New Roman" w:hAnsi="Times New Roman" w:cs="Times New Roman"/>
          <w:color w:val="FF0000"/>
          <w:sz w:val="24"/>
          <w:szCs w:val="24"/>
          <w:u w:val="single"/>
          <w:lang w:val="en-US" w:eastAsia="zh-CN"/>
        </w:rPr>
        <w:t>该</w:t>
      </w:r>
      <w:r>
        <w:rPr>
          <w:rFonts w:hint="default" w:ascii="Times New Roman" w:hAnsi="Times New Roman" w:cs="Times New Roman"/>
          <w:color w:val="FF0000"/>
          <w:sz w:val="24"/>
          <w:szCs w:val="24"/>
          <w:u w:val="single"/>
          <w:lang w:val="zh-CN" w:eastAsia="zh-CN"/>
        </w:rPr>
        <w:t>桩基</w:t>
      </w:r>
      <w:r>
        <w:rPr>
          <w:rFonts w:hint="default" w:ascii="Times New Roman" w:hAnsi="Times New Roman" w:cs="Times New Roman"/>
          <w:color w:val="FF0000"/>
          <w:sz w:val="24"/>
          <w:szCs w:val="24"/>
          <w:u w:val="single"/>
          <w:lang w:val="zh-CN"/>
        </w:rPr>
        <w:t>钻渣</w:t>
      </w:r>
      <w:r>
        <w:rPr>
          <w:rFonts w:hint="eastAsia" w:ascii="Times New Roman" w:hAnsi="Times New Roman" w:cs="Times New Roman"/>
          <w:color w:val="FF0000"/>
          <w:sz w:val="24"/>
          <w:szCs w:val="24"/>
          <w:u w:val="single"/>
          <w:lang w:val="en-US" w:eastAsia="zh-CN"/>
        </w:rPr>
        <w:t>与港池疏浚物</w:t>
      </w:r>
      <w:r>
        <w:rPr>
          <w:rFonts w:hint="eastAsia" w:ascii="Times New Roman" w:hAnsi="Times New Roman" w:cs="Times New Roman"/>
          <w:color w:val="FF0000"/>
          <w:sz w:val="24"/>
          <w:szCs w:val="24"/>
          <w:u w:val="single"/>
          <w:lang w:val="zh-CN"/>
        </w:rPr>
        <w:t>运去后方抛泥区，干化后做为码头作业平台的填方。抛泥区进行围堰，围堰四周设置排水沟，下方设置集水池，集水沉淀达标后排放</w:t>
      </w:r>
      <w:r>
        <w:rPr>
          <w:rFonts w:hint="default" w:ascii="Times New Roman" w:hAnsi="Times New Roman" w:cs="Times New Roman"/>
          <w:color w:val="FF0000"/>
          <w:sz w:val="24"/>
          <w:szCs w:val="24"/>
          <w:u w:val="single"/>
          <w:lang w:val="zh-CN"/>
        </w:rPr>
        <w:t>。</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施工工艺流程</w:t>
      </w:r>
    </w:p>
    <w:p>
      <w:pPr>
        <w:pStyle w:val="313"/>
        <w:tabs>
          <w:tab w:val="right" w:leader="dot" w:pos="9070"/>
        </w:tabs>
        <w:adjustRightInd w:val="0"/>
        <w:snapToGrid w:val="0"/>
        <w:spacing w:line="360" w:lineRule="auto"/>
        <w:ind w:firstLine="480" w:firstLineChars="200"/>
        <w:jc w:val="both"/>
        <w:rPr>
          <w:rFonts w:eastAsiaTheme="minorEastAsia"/>
          <w:b/>
          <w:bCs/>
          <w:color w:val="FF0000"/>
          <w:sz w:val="24"/>
          <w:szCs w:val="24"/>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灌注桩施工工艺流程如下：</w:t>
      </w:r>
    </w:p>
    <w:p>
      <w:pPr>
        <w:pStyle w:val="313"/>
        <w:tabs>
          <w:tab w:val="right" w:leader="dot" w:pos="9070"/>
        </w:tabs>
        <w:adjustRightInd w:val="0"/>
        <w:snapToGrid w:val="0"/>
        <w:spacing w:line="360" w:lineRule="auto"/>
        <w:ind w:firstLine="400" w:firstLineChars="200"/>
        <w:jc w:val="both"/>
        <w:rPr>
          <w:rFonts w:eastAsiaTheme="minorEastAsia"/>
          <w:sz w:val="24"/>
          <w:szCs w:val="24"/>
        </w:rPr>
      </w:pPr>
      <w:r>
        <w:rPr>
          <w:rFonts w:hint="default" w:ascii="Times New Roman" w:hAnsi="Times New Roman" w:cs="Times New Roman"/>
          <w:color w:val="auto"/>
        </w:rPr>
        <w:drawing>
          <wp:inline distT="0" distB="0" distL="114300" distR="114300">
            <wp:extent cx="5747385" cy="3230880"/>
            <wp:effectExtent l="0" t="0" r="571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tretch>
                      <a:fillRect/>
                    </a:stretch>
                  </pic:blipFill>
                  <pic:spPr>
                    <a:xfrm>
                      <a:off x="0" y="0"/>
                      <a:ext cx="5747385" cy="32308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auto"/>
          <w:sz w:val="24"/>
          <w:szCs w:val="24"/>
          <w:u w:val="single"/>
          <w:lang w:val="zh-CN"/>
        </w:rPr>
      </w:pPr>
      <w:r>
        <w:rPr>
          <w:rFonts w:hint="default" w:ascii="Times New Roman" w:hAnsi="Times New Roman" w:eastAsia="宋体" w:cs="Times New Roman"/>
          <w:b/>
          <w:bCs/>
          <w:color w:val="auto"/>
          <w:sz w:val="24"/>
          <w:szCs w:val="24"/>
          <w:u w:val="single"/>
          <w:lang w:val="zh-CN"/>
        </w:rPr>
        <w:t>图</w:t>
      </w:r>
      <w:r>
        <w:rPr>
          <w:rFonts w:hint="default" w:ascii="Times New Roman" w:hAnsi="Times New Roman" w:cs="Times New Roman"/>
          <w:b/>
          <w:bCs/>
          <w:color w:val="auto"/>
          <w:sz w:val="24"/>
          <w:szCs w:val="24"/>
          <w:u w:val="single"/>
          <w:lang w:val="en-US" w:eastAsia="zh-CN"/>
        </w:rPr>
        <w:t>3.</w:t>
      </w:r>
      <w:r>
        <w:rPr>
          <w:rFonts w:hint="eastAsia" w:ascii="Times New Roman" w:hAnsi="Times New Roman" w:cs="Times New Roman"/>
          <w:b/>
          <w:bCs/>
          <w:color w:val="auto"/>
          <w:sz w:val="24"/>
          <w:szCs w:val="24"/>
          <w:u w:val="single"/>
          <w:lang w:val="en-US" w:eastAsia="zh-CN"/>
        </w:rPr>
        <w:t>2</w:t>
      </w:r>
      <w:r>
        <w:rPr>
          <w:rFonts w:hint="default" w:ascii="Times New Roman" w:hAnsi="Times New Roman" w:cs="Times New Roman"/>
          <w:b/>
          <w:bCs/>
          <w:color w:val="auto"/>
          <w:sz w:val="24"/>
          <w:szCs w:val="24"/>
          <w:u w:val="single"/>
          <w:lang w:val="en-US" w:eastAsia="zh-CN"/>
        </w:rPr>
        <w:t>-</w:t>
      </w:r>
      <w:r>
        <w:rPr>
          <w:rFonts w:hint="eastAsia" w:ascii="Times New Roman" w:hAnsi="Times New Roman" w:cs="Times New Roman"/>
          <w:b/>
          <w:bCs/>
          <w:color w:val="auto"/>
          <w:sz w:val="24"/>
          <w:szCs w:val="24"/>
          <w:u w:val="single"/>
          <w:lang w:val="en-US" w:eastAsia="zh-CN"/>
        </w:rPr>
        <w:t>5</w:t>
      </w:r>
      <w:r>
        <w:rPr>
          <w:rFonts w:hint="default" w:ascii="Times New Roman" w:hAnsi="Times New Roman" w:cs="Times New Roman"/>
          <w:b/>
          <w:bCs/>
          <w:color w:val="auto"/>
          <w:sz w:val="24"/>
          <w:szCs w:val="24"/>
          <w:u w:val="single"/>
          <w:lang w:val="en-US" w:eastAsia="zh-CN"/>
        </w:rPr>
        <w:t xml:space="preserve"> </w:t>
      </w:r>
      <w:r>
        <w:rPr>
          <w:rFonts w:hint="default" w:ascii="Times New Roman" w:hAnsi="Times New Roman" w:eastAsia="宋体" w:cs="Times New Roman"/>
          <w:b/>
          <w:bCs/>
          <w:color w:val="auto"/>
          <w:sz w:val="24"/>
          <w:szCs w:val="24"/>
          <w:u w:val="single"/>
          <w:lang w:val="zh-CN"/>
        </w:rPr>
        <w:t xml:space="preserve"> 灌注桩施工工艺流程图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施工方法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①</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施工平台</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首先将引桥靠近转角平台后方大堤斜坡段桩位处浆砌块石护面拆除，沿引桥轴线方向靠下游侧区域10m范围内进行分层回填至约+25m标高位置，具体填筑标高视当时长江水位变化趋势而定。同时沿固定联桥后沿约3m处开始填筑宽度约为15m的上部结构施工通道，填土上层3m用压路机进行分层碾压密实，并与预制场临时道路顺接，后面将用过预应力空心板运输通道以及履带吊安装时吊机站位场地。</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②</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钢护筒埋设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测量首先进行桩位放样，做好桩中心位置标记。钢护筒按测量位置就位，测量报验后开始用振动锤振沉，时刻观察振沉过程，及时调整校正桩位以及垂直度。引桥岸坡上埋设护筒，先移除岸坡上护面层，平整钻机站位场地，测量测设桩位，开挖埋设护筒。护筒顶面高出地面0.3m，护筒埋设深度根据现场土质、水位情况具体定并不少于2m，填筑平台内施工的灌注桩护筒埋深应穿透回填土层并深入原泥面至少2m，护筒周边1m范围内夯填粘性土，至护筒底部0.5m深度。</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③</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钻机就位</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根据地层地质情况，钻机选用反循环回旋钻机，配尖底鱼尾式和圆笼式钻头。钻机运到灌注桩施工平台，吊机拼装就位，垫平对中后固定牢靠，保证钻孔过程中不发生移位、偏斜。回旋钻机顶部的起吊滑轮轮缘与转盘中心的连线应垂直，与孔位中心偏差不超过20mm。</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④</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泥浆配置及泥浆池的设置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护壁泥浆由水、黏土或膨润土、添加剂组成，各组分性能指标满足规范要求并能配制出所需合格泥浆。泥浆池在灌注桩就近位置开挖，做好防渗措施如黏土夯实并铺设塑料膜，泥浆池的容积满足循环泥浆量需要，泥浆排放须经过沉淀处理符合环保要求后方能排放，弃渣</w:t>
      </w:r>
      <w:r>
        <w:rPr>
          <w:rFonts w:hint="eastAsia" w:ascii="Times New Roman" w:hAnsi="Times New Roman" w:cs="Times New Roman"/>
          <w:color w:val="FF0000"/>
          <w:sz w:val="24"/>
          <w:szCs w:val="24"/>
          <w:u w:val="single"/>
          <w:lang w:val="en-US" w:eastAsia="zh-CN"/>
        </w:rPr>
        <w:t>量较少，交由地当地环保部门处理</w:t>
      </w:r>
      <w:r>
        <w:rPr>
          <w:rFonts w:hint="default" w:ascii="Times New Roman" w:hAnsi="Times New Roman" w:cs="Times New Roman"/>
          <w:color w:val="FF0000"/>
          <w:sz w:val="24"/>
          <w:szCs w:val="24"/>
          <w:u w:val="single"/>
          <w:lang w:val="zh-CN"/>
        </w:rPr>
        <w:t>。</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⑤</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成孔</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钻机就位后，调平底座及支架的垂直度，定位后将钻机锁定，防止钻机在钻孔过程中发生移动确保钻机运行时不产生偏移和下沉。钻孔过程要及时反循环泵进行清渣。回旋钻钻进过程中保持足够的钻压力，采用扶正器导向，保证成孔的垂直度。钻进成孔过程中应保持孔内液面高于孔外水位1.5~2m。钻孔应连续进行，当遇到特殊情况需停钻时应提出钻头，并采取孔壁稳定的措施。开钻一个台班后，重新复核桩位，确保桩位在规范允许范围之内。在土层变化处应捞取土样，判断土层，并与地质剖面图对照，作好详细记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⑥</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终孔、清孔及验收</w:t>
      </w:r>
    </w:p>
    <w:p>
      <w:pPr>
        <w:adjustRightInd w:val="0"/>
        <w:snapToGrid w:val="0"/>
        <w:spacing w:line="360" w:lineRule="auto"/>
        <w:ind w:firstLine="480" w:firstLineChars="200"/>
        <w:rPr>
          <w:rFonts w:hint="default" w:ascii="Times New Roman" w:hAnsi="Times New Roman" w:eastAsia="宋体" w:cs="Times New Roman"/>
          <w:color w:val="FF0000"/>
          <w:sz w:val="20"/>
          <w:szCs w:val="24"/>
          <w:u w:val="single"/>
        </w:rPr>
      </w:pPr>
      <w:r>
        <w:rPr>
          <w:rFonts w:hint="default" w:ascii="Times New Roman" w:hAnsi="Times New Roman" w:cs="Times New Roman"/>
          <w:color w:val="FF0000"/>
          <w:sz w:val="24"/>
          <w:szCs w:val="24"/>
          <w:u w:val="single"/>
          <w:lang w:val="zh-CN"/>
        </w:rPr>
        <w:t>当成孔标高达到设计要求，经验收确定终孔后，进行孔径及标高测量，桩位偏</w:t>
      </w:r>
      <w:r>
        <w:rPr>
          <w:rFonts w:hint="default" w:ascii="Times New Roman" w:hAnsi="Times New Roman" w:eastAsia="宋体" w:cs="Times New Roman"/>
          <w:color w:val="FF0000"/>
          <w:sz w:val="24"/>
          <w:szCs w:val="24"/>
          <w:u w:val="single"/>
        </w:rPr>
        <w:t>差复测，符合设计标准后立即进行清孔。采用反循环方法清孔。反循环清孔时，将反循环泵泵口靠近孔底。孔顶注入清水，反循环泵将孔底沉渣和泥将抽出。直至将孔内的泥浆换出，孔底沉渣达到设计要求。反循环抽出的泥浆抽放到泥浆沉淀池，经处理符合环保标准后排放，沉渣清运至</w:t>
      </w:r>
      <w:r>
        <w:rPr>
          <w:rFonts w:hint="eastAsia" w:ascii="Times New Roman" w:hAnsi="Times New Roman" w:cs="Times New Roman"/>
          <w:color w:val="FF0000"/>
          <w:sz w:val="24"/>
          <w:szCs w:val="24"/>
          <w:u w:val="single"/>
          <w:lang w:eastAsia="zh-CN"/>
        </w:rPr>
        <w:t>后方陆域</w:t>
      </w:r>
      <w:r>
        <w:rPr>
          <w:rFonts w:hint="default" w:ascii="Times New Roman" w:hAnsi="Times New Roman" w:eastAsia="宋体" w:cs="Times New Roman"/>
          <w:color w:val="FF0000"/>
          <w:sz w:val="24"/>
          <w:szCs w:val="24"/>
          <w:u w:val="single"/>
        </w:rPr>
        <w:t>。</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⑦</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钢筋笼的制作、安放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i、</w:t>
      </w:r>
      <w:r>
        <w:rPr>
          <w:rFonts w:hint="default" w:ascii="Times New Roman" w:hAnsi="Times New Roman" w:cs="Times New Roman"/>
          <w:color w:val="FF0000"/>
          <w:sz w:val="24"/>
          <w:szCs w:val="24"/>
          <w:u w:val="single"/>
          <w:lang w:val="zh-CN"/>
        </w:rPr>
        <w:t>钢筋笼制作</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筋进场后按类别、批次进行取样、送检、验收。钢筋笼按12m长度分段制作，主筋连接采用镦粗直螺纹套筒连接。加劲环筋弯制成型后焊接成圆，在加劲环上按设计间距画好刻度标记，主筋与加劲环点焊固定，以保证钢筋笼的整体刚度，吊装时不会变形。钢筋笼在钢筋加工厂设置的固定台座上进行，制作时按照桩长设计长度先水平预拼。螺旋箍筋在专用钢筋弯曲机上卷制成型，按设计间距缠绕在主筋笼外周，扎丝绑扎牢固。钢筋笼制作完成后进行加工段编号，拆解吊运至堆放区存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ii、钢筋笼安放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将制作好的钢筋笼按安装顺序分段运至安装位置，采用25t汽车吊分段吊装。每段钢筋笼下放后在孔口位置用两根槽钢扁担将钢筋笼担搁在孔口，待次段钢筋笼吊装对接完成后抽出槽钢继续下放，如此反复直至整根桩的钢筋笼下放完成，同时将声测管进行焊接对接，要求对接严密，不得漏水。安装完成后应将钢筋笼固定牢固，位置正确，防止混凝土浇注时钢筋笼上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⑧</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二次清孔</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钢筋笼和声测管安装完毕后，下导管，利用导管再次清孔，清孔反循环抽浆法。清孔时护筒内保持原有水位，清孔结束后，及时检查沉渣厚度，合格后浇筑水下混凝土。</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⑨</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灌注水下混凝土</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浇筑水下混凝土用导管法施工，主要设备有刚性金属导管、承料漏斗、提升机具等。导管由内径200</w:t>
      </w:r>
      <w:r>
        <w:rPr>
          <w:rFonts w:hint="default" w:ascii="Times New Roman" w:hAnsi="Times New Roman" w:cs="Times New Roman"/>
          <w:color w:val="FF0000"/>
          <w:sz w:val="24"/>
          <w:szCs w:val="24"/>
          <w:u w:val="single"/>
          <w:lang w:val="en-US" w:eastAsia="zh-CN"/>
        </w:rPr>
        <w:t>~</w:t>
      </w:r>
      <w:r>
        <w:rPr>
          <w:rFonts w:hint="default" w:ascii="Times New Roman" w:hAnsi="Times New Roman" w:cs="Times New Roman"/>
          <w:color w:val="FF0000"/>
          <w:sz w:val="24"/>
          <w:szCs w:val="24"/>
          <w:u w:val="single"/>
          <w:lang w:val="zh-CN"/>
        </w:rPr>
        <w:t>300mm的无缝钢管分若干节组成，各节导管间通过快速接头加止水胶皮垫圈连接，以防漏水。导管在使用前必须进行水密承压试验，经压力试验强度和密封性均达到施工要求后方可使用。导管底口距离孔底30~50cm。</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混凝土由商混站连续供应，由混凝土罐车从商品混凝土搅拌站运输到现场。现场由汽车泵输送至料斗中。</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混凝土浇注满孔后应继续灌注，直至翻出的混凝土质地新鲜，不含泥沙、泥浆，确保桩顶凿除后混凝土质量。孔顶10m范围内混凝土用振捣棒振捣密实。</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灌注混凝土时为防止排出的泥浆污染环境，及时用排浆泵将泥浆抽出，抽放到至泥浆池，经处理符合环保要求后方能排放。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⑩</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护筒拔除与养护</w:t>
      </w:r>
    </w:p>
    <w:p>
      <w:pPr>
        <w:pStyle w:val="313"/>
        <w:tabs>
          <w:tab w:val="right" w:leader="dot" w:pos="9070"/>
        </w:tabs>
        <w:adjustRightInd w:val="0"/>
        <w:snapToGrid w:val="0"/>
        <w:spacing w:line="360" w:lineRule="auto"/>
        <w:ind w:firstLine="480" w:firstLineChars="200"/>
        <w:jc w:val="both"/>
        <w:rPr>
          <w:rFonts w:hint="eastAsia" w:eastAsia="宋体"/>
          <w:color w:val="FF0000"/>
          <w:sz w:val="24"/>
          <w:szCs w:val="24"/>
          <w:lang w:val="en-US" w:eastAsia="zh-CN"/>
        </w:rPr>
      </w:pPr>
      <w:r>
        <w:rPr>
          <w:rFonts w:hint="default" w:ascii="Times New Roman" w:hAnsi="Times New Roman" w:cs="Times New Roman"/>
          <w:color w:val="FF0000"/>
          <w:sz w:val="24"/>
          <w:szCs w:val="24"/>
          <w:u w:val="single"/>
          <w:lang w:val="zh-CN"/>
        </w:rPr>
        <w:t>靠近大堤侧滩涂陆地的灌注桩浇注完成后用回旋钻提升架将护筒缓慢拔除，避免严重扰动新浇的混凝土，否则可用振捣棒再次进行适当振捣。回填平台区域灌注桩浇筑完成后护筒保留，以保证回填土挖除后桩身外观质量。混凝土初凝后即用土工布或者麻袋予以覆盖并洒水养护</w:t>
      </w:r>
      <w:r>
        <w:rPr>
          <w:rFonts w:hint="eastAsia" w:cs="Times New Roman"/>
          <w:color w:val="FF0000"/>
          <w:sz w:val="24"/>
          <w:szCs w:val="24"/>
          <w:u w:val="single"/>
          <w:lang w:val="zh-CN"/>
        </w:rPr>
        <w:t>。</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eastAsia="zh-CN"/>
        </w:rPr>
      </w:pPr>
      <w:r>
        <w:rPr>
          <w:rFonts w:hint="eastAsia" w:ascii="Times New Roman" w:hAnsi="Times New Roman" w:cs="Times New Roman"/>
          <w:b/>
          <w:bCs/>
          <w:color w:val="FF0000"/>
          <w:sz w:val="24"/>
          <w:szCs w:val="24"/>
          <w:u w:val="single"/>
          <w:lang w:val="en-US" w:eastAsia="zh-CN"/>
        </w:rPr>
        <w:t>二、</w:t>
      </w:r>
      <w:r>
        <w:rPr>
          <w:rFonts w:hint="default" w:ascii="Times New Roman" w:hAnsi="Times New Roman" w:cs="Times New Roman"/>
          <w:b/>
          <w:bCs/>
          <w:color w:val="FF0000"/>
          <w:sz w:val="24"/>
          <w:szCs w:val="24"/>
          <w:u w:val="single"/>
          <w:lang w:val="zh-CN" w:eastAsia="zh-CN"/>
        </w:rPr>
        <w:t>混凝土预制构件预制</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预制预应力混凝土构件有引桥、固定联桥后张法预应力空心板。预制构件在临时预制场进行预制。</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1、</w:t>
      </w:r>
      <w:r>
        <w:rPr>
          <w:rFonts w:hint="default" w:ascii="Times New Roman" w:hAnsi="Times New Roman" w:cs="Times New Roman"/>
          <w:b w:val="0"/>
          <w:bCs w:val="0"/>
          <w:color w:val="FF0000"/>
          <w:sz w:val="24"/>
          <w:szCs w:val="24"/>
          <w:u w:val="single"/>
          <w:lang w:val="zh-CN"/>
        </w:rPr>
        <w:t>预应力空心板预制</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拟投入4套模板14个混凝土底胎模台座，胎模应坚固、无沉陷，并考虑利于排水，防止由于排水不畅造成地基下沉。台座须设反拱度，以消除预应力张拉时引起的梁板起拱，预拱度采用圆曲线设定。台座每隔0.5m设模板拉杆预留孔，台座与侧模接合部位座贴上黑色橡胶垫，防止漏浆。在安装钢筋前将底模清理并适量均匀地涂上脱模剂。</w:t>
      </w:r>
    </w:p>
    <w:p>
      <w:pPr>
        <w:pStyle w:val="313"/>
        <w:tabs>
          <w:tab w:val="right" w:leader="dot" w:pos="9070"/>
        </w:tabs>
        <w:adjustRightInd w:val="0"/>
        <w:snapToGrid w:val="0"/>
        <w:spacing w:line="360" w:lineRule="auto"/>
        <w:ind w:firstLine="480" w:firstLineChars="200"/>
        <w:jc w:val="both"/>
        <w:rPr>
          <w:rFonts w:eastAsiaTheme="minorEastAsia"/>
          <w:color w:val="FF0000"/>
          <w:sz w:val="24"/>
          <w:szCs w:val="24"/>
        </w:rPr>
      </w:pPr>
      <w:r>
        <w:rPr>
          <w:rFonts w:hint="default" w:ascii="Times New Roman" w:hAnsi="Times New Roman" w:cs="Times New Roman"/>
          <w:color w:val="FF0000"/>
          <w:sz w:val="24"/>
          <w:szCs w:val="24"/>
          <w:u w:val="single"/>
          <w:lang w:val="zh-CN"/>
        </w:rPr>
        <w:t>预应力空心板施工工艺流程图如下：</w:t>
      </w:r>
    </w:p>
    <w:p>
      <w:pPr>
        <w:pStyle w:val="313"/>
        <w:tabs>
          <w:tab w:val="right" w:leader="dot" w:pos="9070"/>
        </w:tabs>
        <w:adjustRightInd w:val="0"/>
        <w:snapToGrid w:val="0"/>
        <w:spacing w:line="360" w:lineRule="auto"/>
        <w:jc w:val="center"/>
        <w:rPr>
          <w:rFonts w:eastAsiaTheme="minorEastAsia"/>
          <w:sz w:val="24"/>
          <w:szCs w:val="24"/>
        </w:rPr>
      </w:pPr>
      <w:r>
        <w:rPr>
          <w:rFonts w:hint="default" w:ascii="Times New Roman" w:hAnsi="Times New Roman" w:cs="Times New Roman"/>
          <w:color w:val="auto"/>
        </w:rPr>
        <w:drawing>
          <wp:inline distT="0" distB="0" distL="114300" distR="114300">
            <wp:extent cx="4147185" cy="5877560"/>
            <wp:effectExtent l="0" t="0" r="5715"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1"/>
                    <a:stretch>
                      <a:fillRect/>
                    </a:stretch>
                  </pic:blipFill>
                  <pic:spPr>
                    <a:xfrm>
                      <a:off x="0" y="0"/>
                      <a:ext cx="4147185" cy="5877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auto"/>
          <w:sz w:val="24"/>
          <w:szCs w:val="24"/>
          <w:u w:val="single"/>
          <w:lang w:val="zh-CN"/>
        </w:rPr>
      </w:pPr>
      <w:r>
        <w:rPr>
          <w:rFonts w:hint="default" w:ascii="Times New Roman" w:hAnsi="Times New Roman" w:eastAsia="宋体" w:cs="Times New Roman"/>
          <w:b/>
          <w:bCs/>
          <w:color w:val="auto"/>
          <w:sz w:val="24"/>
          <w:szCs w:val="24"/>
          <w:u w:val="single"/>
          <w:lang w:val="zh-CN"/>
        </w:rPr>
        <w:t>图</w:t>
      </w:r>
      <w:r>
        <w:rPr>
          <w:rFonts w:hint="default" w:ascii="Times New Roman" w:hAnsi="Times New Roman" w:cs="Times New Roman"/>
          <w:b/>
          <w:bCs/>
          <w:color w:val="auto"/>
          <w:sz w:val="24"/>
          <w:szCs w:val="24"/>
          <w:u w:val="single"/>
          <w:lang w:val="en-US" w:eastAsia="zh-CN"/>
        </w:rPr>
        <w:t>3.</w:t>
      </w:r>
      <w:r>
        <w:rPr>
          <w:rFonts w:hint="eastAsia" w:ascii="Times New Roman" w:hAnsi="Times New Roman" w:cs="Times New Roman"/>
          <w:b/>
          <w:bCs/>
          <w:color w:val="auto"/>
          <w:sz w:val="24"/>
          <w:szCs w:val="24"/>
          <w:u w:val="single"/>
          <w:lang w:val="en-US" w:eastAsia="zh-CN"/>
        </w:rPr>
        <w:t>2</w:t>
      </w:r>
      <w:r>
        <w:rPr>
          <w:rFonts w:hint="default" w:ascii="Times New Roman" w:hAnsi="Times New Roman" w:cs="Times New Roman"/>
          <w:b/>
          <w:bCs/>
          <w:color w:val="auto"/>
          <w:sz w:val="24"/>
          <w:szCs w:val="24"/>
          <w:u w:val="single"/>
          <w:lang w:val="en-US" w:eastAsia="zh-CN"/>
        </w:rPr>
        <w:t>-</w:t>
      </w:r>
      <w:r>
        <w:rPr>
          <w:rFonts w:hint="eastAsia" w:ascii="Times New Roman" w:hAnsi="Times New Roman" w:cs="Times New Roman"/>
          <w:b/>
          <w:bCs/>
          <w:color w:val="auto"/>
          <w:sz w:val="24"/>
          <w:szCs w:val="24"/>
          <w:u w:val="single"/>
          <w:lang w:val="en-US" w:eastAsia="zh-CN"/>
        </w:rPr>
        <w:t>6</w:t>
      </w:r>
      <w:r>
        <w:rPr>
          <w:rFonts w:hint="default" w:ascii="Times New Roman" w:hAnsi="Times New Roman" w:cs="Times New Roman"/>
          <w:b/>
          <w:bCs/>
          <w:color w:val="auto"/>
          <w:sz w:val="24"/>
          <w:szCs w:val="24"/>
          <w:u w:val="single"/>
          <w:lang w:val="en-US" w:eastAsia="zh-CN"/>
        </w:rPr>
        <w:t xml:space="preserve"> </w:t>
      </w:r>
      <w:r>
        <w:rPr>
          <w:rFonts w:hint="default" w:ascii="Times New Roman" w:hAnsi="Times New Roman" w:eastAsia="宋体" w:cs="Times New Roman"/>
          <w:b/>
          <w:bCs/>
          <w:color w:val="auto"/>
          <w:sz w:val="24"/>
          <w:szCs w:val="24"/>
          <w:u w:val="single"/>
          <w:lang w:val="zh-CN"/>
        </w:rPr>
        <w:t xml:space="preserve"> 后张法预应力空心板施工工艺流程图</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2、</w:t>
      </w:r>
      <w:r>
        <w:rPr>
          <w:rFonts w:hint="default" w:ascii="Times New Roman" w:hAnsi="Times New Roman" w:cs="Times New Roman"/>
          <w:b w:val="0"/>
          <w:bCs w:val="0"/>
          <w:color w:val="FF0000"/>
          <w:sz w:val="24"/>
          <w:szCs w:val="24"/>
          <w:u w:val="single"/>
          <w:lang w:val="zh-CN"/>
        </w:rPr>
        <w:t>靠船构件预制</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靠船构件为普通钢筋混凝土预制构件，采用卧制，预制工艺比较简单：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底模铺设→钢筋绑扎→橡胶护舷预埋件定位安装→模板安装、加固→混凝土浇筑→养护→吊运至存放区。</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eastAsia="zh-CN"/>
        </w:rPr>
      </w:pPr>
      <w:r>
        <w:rPr>
          <w:rFonts w:hint="eastAsia" w:ascii="Times New Roman" w:hAnsi="Times New Roman" w:cs="Times New Roman"/>
          <w:b/>
          <w:bCs/>
          <w:color w:val="FF0000"/>
          <w:sz w:val="24"/>
          <w:szCs w:val="24"/>
          <w:u w:val="single"/>
          <w:lang w:val="en-US" w:eastAsia="zh-CN"/>
        </w:rPr>
        <w:t>三、</w:t>
      </w:r>
      <w:r>
        <w:rPr>
          <w:rFonts w:hint="default" w:ascii="Times New Roman" w:hAnsi="Times New Roman" w:cs="Times New Roman"/>
          <w:b/>
          <w:bCs/>
          <w:color w:val="FF0000"/>
          <w:sz w:val="24"/>
          <w:szCs w:val="24"/>
          <w:u w:val="single"/>
          <w:lang w:val="zh-CN" w:eastAsia="zh-CN"/>
        </w:rPr>
        <w:t>引桥、固定联桥上部结构施工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引桥灌注桩浇筑顶标高与原地面相同，根据地表坡面标高不同而不同，根据引桥设计标高需要进行接桩，引桥上部结构施工顺序为：接桩至横梁底部→施工横梁→安装预应力空心板→面层施工。固定联桥桩基为打入的PHC桩，直接进行夹桩搭设承重平台即可施工横梁。</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1、</w:t>
      </w:r>
      <w:r>
        <w:rPr>
          <w:rFonts w:hint="default" w:ascii="Times New Roman" w:hAnsi="Times New Roman" w:cs="Times New Roman"/>
          <w:b w:val="0"/>
          <w:bCs w:val="0"/>
          <w:color w:val="FF0000"/>
          <w:sz w:val="24"/>
          <w:szCs w:val="24"/>
          <w:u w:val="single"/>
          <w:lang w:val="zh-CN"/>
        </w:rPr>
        <w:t>接桩</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zh-CN"/>
        </w:rPr>
        <w:t>接桩工艺流程为：清理灌注桩桩头→钢筋笼加工、安装→定型钢模板安装→混凝土浇筑。</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2、</w:t>
      </w:r>
      <w:r>
        <w:rPr>
          <w:rFonts w:hint="default" w:ascii="Times New Roman" w:hAnsi="Times New Roman" w:cs="Times New Roman"/>
          <w:b w:val="0"/>
          <w:bCs w:val="0"/>
          <w:color w:val="FF0000"/>
          <w:sz w:val="24"/>
          <w:szCs w:val="24"/>
          <w:u w:val="single"/>
          <w:lang w:val="zh-CN"/>
        </w:rPr>
        <w:t>横梁施工</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zh-CN"/>
        </w:rPr>
        <w:t>横梁施工工艺流程为：底模支承结构搭设→铺设底模→钢筋加工、安装→侧模安装→混凝土浇筑→模板及支承结构拆除。</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3、</w:t>
      </w:r>
      <w:r>
        <w:rPr>
          <w:rFonts w:hint="default" w:ascii="Times New Roman" w:hAnsi="Times New Roman" w:cs="Times New Roman"/>
          <w:b w:val="0"/>
          <w:bCs w:val="0"/>
          <w:color w:val="FF0000"/>
          <w:sz w:val="24"/>
          <w:szCs w:val="24"/>
          <w:u w:val="single"/>
          <w:lang w:val="zh-CN"/>
        </w:rPr>
        <w:t>预应力空心板安装</w:t>
      </w:r>
    </w:p>
    <w:p>
      <w:pPr>
        <w:pStyle w:val="313"/>
        <w:tabs>
          <w:tab w:val="right" w:leader="dot" w:pos="9070"/>
        </w:tabs>
        <w:adjustRightInd w:val="0"/>
        <w:snapToGrid w:val="0"/>
        <w:spacing w:line="360" w:lineRule="auto"/>
        <w:ind w:firstLine="480" w:firstLineChars="200"/>
        <w:jc w:val="both"/>
        <w:rPr>
          <w:rFonts w:eastAsiaTheme="minorEastAsia"/>
          <w:color w:val="FF0000"/>
          <w:sz w:val="24"/>
          <w:szCs w:val="24"/>
        </w:rPr>
      </w:pPr>
      <w:r>
        <w:rPr>
          <w:rFonts w:hint="default" w:ascii="Times New Roman" w:hAnsi="Times New Roman" w:cs="Times New Roman"/>
          <w:color w:val="FF0000"/>
          <w:sz w:val="24"/>
          <w:szCs w:val="24"/>
          <w:u w:val="single"/>
          <w:lang w:val="zh-CN"/>
        </w:rPr>
        <w:t>预应力空心板的安装流程如下：</w:t>
      </w:r>
    </w:p>
    <w:p>
      <w:pPr>
        <w:adjustRightInd w:val="0"/>
        <w:snapToGrid w:val="0"/>
        <w:spacing w:line="240" w:lineRule="auto"/>
        <w:jc w:val="center"/>
        <w:rPr>
          <w:rFonts w:hint="default" w:ascii="Times New Roman" w:hAnsi="Times New Roman" w:cs="Times New Roman"/>
          <w:color w:val="auto"/>
          <w:sz w:val="24"/>
          <w:szCs w:val="24"/>
          <w:u w:val="single"/>
          <w:lang w:val="en-US" w:eastAsia="zh-CN"/>
        </w:rPr>
      </w:pPr>
      <w:r>
        <w:rPr>
          <w:rFonts w:hint="default" w:ascii="Times New Roman" w:hAnsi="Times New Roman" w:cs="Times New Roman"/>
          <w:color w:val="auto"/>
        </w:rPr>
        <w:drawing>
          <wp:inline distT="0" distB="0" distL="114300" distR="114300">
            <wp:extent cx="3635375" cy="3125470"/>
            <wp:effectExtent l="0" t="0" r="3175" b="1778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32"/>
                    <a:stretch>
                      <a:fillRect/>
                    </a:stretch>
                  </pic:blipFill>
                  <pic:spPr>
                    <a:xfrm>
                      <a:off x="0" y="0"/>
                      <a:ext cx="3635375" cy="3125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auto"/>
          <w:sz w:val="24"/>
          <w:szCs w:val="24"/>
          <w:u w:val="single"/>
          <w:lang w:val="zh-CN"/>
        </w:rPr>
      </w:pPr>
      <w:r>
        <w:rPr>
          <w:rFonts w:hint="default" w:ascii="Times New Roman" w:hAnsi="Times New Roman" w:eastAsia="宋体" w:cs="Times New Roman"/>
          <w:b/>
          <w:bCs/>
          <w:color w:val="auto"/>
          <w:sz w:val="24"/>
          <w:szCs w:val="24"/>
          <w:u w:val="single"/>
          <w:lang w:val="zh-CN"/>
        </w:rPr>
        <w:t>图</w:t>
      </w:r>
      <w:r>
        <w:rPr>
          <w:rFonts w:hint="default" w:ascii="Times New Roman" w:hAnsi="Times New Roman" w:cs="Times New Roman"/>
          <w:b/>
          <w:bCs/>
          <w:color w:val="auto"/>
          <w:sz w:val="24"/>
          <w:szCs w:val="24"/>
          <w:u w:val="single"/>
          <w:lang w:val="en-US" w:eastAsia="zh-CN"/>
        </w:rPr>
        <w:t>3</w:t>
      </w:r>
      <w:r>
        <w:rPr>
          <w:rFonts w:hint="eastAsia" w:ascii="Times New Roman" w:hAnsi="Times New Roman" w:cs="Times New Roman"/>
          <w:b/>
          <w:bCs/>
          <w:color w:val="auto"/>
          <w:sz w:val="24"/>
          <w:szCs w:val="24"/>
          <w:u w:val="single"/>
          <w:lang w:val="en-US" w:eastAsia="zh-CN"/>
        </w:rPr>
        <w:t>.2</w:t>
      </w:r>
      <w:r>
        <w:rPr>
          <w:rFonts w:hint="default" w:ascii="Times New Roman" w:hAnsi="Times New Roman" w:cs="Times New Roman"/>
          <w:b/>
          <w:bCs/>
          <w:color w:val="auto"/>
          <w:sz w:val="24"/>
          <w:szCs w:val="24"/>
          <w:u w:val="single"/>
          <w:lang w:val="en-US" w:eastAsia="zh-CN"/>
        </w:rPr>
        <w:t>-</w:t>
      </w:r>
      <w:r>
        <w:rPr>
          <w:rFonts w:hint="eastAsia" w:ascii="Times New Roman" w:hAnsi="Times New Roman" w:cs="Times New Roman"/>
          <w:b/>
          <w:bCs/>
          <w:color w:val="auto"/>
          <w:sz w:val="24"/>
          <w:szCs w:val="24"/>
          <w:u w:val="single"/>
          <w:lang w:val="en-US" w:eastAsia="zh-CN"/>
        </w:rPr>
        <w:t>7</w:t>
      </w:r>
      <w:r>
        <w:rPr>
          <w:rFonts w:hint="default" w:ascii="Times New Roman" w:hAnsi="Times New Roman" w:cs="Times New Roman"/>
          <w:b/>
          <w:bCs/>
          <w:color w:val="auto"/>
          <w:sz w:val="24"/>
          <w:szCs w:val="24"/>
          <w:u w:val="single"/>
          <w:lang w:val="en-US" w:eastAsia="zh-CN"/>
        </w:rPr>
        <w:t xml:space="preserve"> </w:t>
      </w:r>
      <w:r>
        <w:rPr>
          <w:rFonts w:hint="default" w:ascii="Times New Roman" w:hAnsi="Times New Roman" w:eastAsia="宋体" w:cs="Times New Roman"/>
          <w:b/>
          <w:bCs/>
          <w:color w:val="auto"/>
          <w:sz w:val="24"/>
          <w:szCs w:val="24"/>
          <w:u w:val="single"/>
          <w:lang w:val="zh-CN"/>
        </w:rPr>
        <w:t xml:space="preserve"> 预应力空心板安装流程图</w:t>
      </w:r>
    </w:p>
    <w:p>
      <w:pPr>
        <w:adjustRightInd w:val="0"/>
        <w:snapToGrid w:val="0"/>
        <w:spacing w:line="360" w:lineRule="auto"/>
        <w:ind w:firstLine="480" w:firstLineChars="200"/>
        <w:rPr>
          <w:rFonts w:hint="default" w:ascii="Times New Roman" w:hAnsi="Times New Roman" w:cs="Times New Roman"/>
          <w:b w:val="0"/>
          <w:bCs w:val="0"/>
          <w:color w:val="FF0000"/>
          <w:sz w:val="24"/>
          <w:szCs w:val="24"/>
          <w:u w:val="single"/>
          <w:lang w:val="zh-CN"/>
        </w:rPr>
      </w:pPr>
      <w:r>
        <w:rPr>
          <w:rFonts w:hint="default" w:ascii="Times New Roman" w:hAnsi="Times New Roman" w:cs="Times New Roman"/>
          <w:b w:val="0"/>
          <w:bCs w:val="0"/>
          <w:color w:val="FF0000"/>
          <w:sz w:val="24"/>
          <w:szCs w:val="24"/>
          <w:u w:val="single"/>
          <w:lang w:val="en-US" w:eastAsia="zh-CN"/>
        </w:rPr>
        <w:t>4、</w:t>
      </w:r>
      <w:r>
        <w:rPr>
          <w:rFonts w:hint="default" w:ascii="Times New Roman" w:hAnsi="Times New Roman" w:cs="Times New Roman"/>
          <w:b w:val="0"/>
          <w:bCs w:val="0"/>
          <w:color w:val="FF0000"/>
          <w:sz w:val="24"/>
          <w:szCs w:val="24"/>
          <w:u w:val="single"/>
          <w:lang w:val="zh-CN"/>
        </w:rPr>
        <w:t>面层施工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引桥、固定联桥面层施工工艺如下：</w:t>
      </w:r>
    </w:p>
    <w:p>
      <w:pPr>
        <w:adjustRightInd w:val="0"/>
        <w:snapToGrid w:val="0"/>
        <w:spacing w:line="240" w:lineRule="auto"/>
        <w:jc w:val="center"/>
        <w:rPr>
          <w:rFonts w:hint="default" w:ascii="Times New Roman" w:hAnsi="Times New Roman" w:cs="Times New Roman"/>
          <w:color w:val="auto"/>
          <w:sz w:val="24"/>
          <w:szCs w:val="24"/>
          <w:u w:val="single"/>
          <w:lang w:val="en-US" w:eastAsia="zh-CN"/>
        </w:rPr>
      </w:pPr>
      <w:r>
        <w:rPr>
          <w:rFonts w:hint="default" w:ascii="Times New Roman" w:hAnsi="Times New Roman" w:cs="Times New Roman"/>
          <w:color w:val="auto"/>
        </w:rPr>
        <w:drawing>
          <wp:inline distT="0" distB="0" distL="114300" distR="114300">
            <wp:extent cx="2512060" cy="3312160"/>
            <wp:effectExtent l="0" t="0" r="2540" b="2540"/>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33"/>
                    <a:stretch>
                      <a:fillRect/>
                    </a:stretch>
                  </pic:blipFill>
                  <pic:spPr>
                    <a:xfrm>
                      <a:off x="0" y="0"/>
                      <a:ext cx="2512060" cy="3312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cs="Times New Roman"/>
          <w:color w:val="auto"/>
          <w:sz w:val="24"/>
          <w:szCs w:val="24"/>
          <w:u w:val="single"/>
          <w:lang w:val="en-US" w:eastAsia="zh-CN"/>
        </w:rPr>
      </w:pPr>
      <w:r>
        <w:rPr>
          <w:rFonts w:hint="default" w:ascii="Times New Roman" w:hAnsi="Times New Roman" w:eastAsia="宋体" w:cs="Times New Roman"/>
          <w:b/>
          <w:bCs/>
          <w:color w:val="auto"/>
          <w:sz w:val="24"/>
          <w:szCs w:val="24"/>
          <w:u w:val="single"/>
          <w:lang w:val="zh-CN"/>
        </w:rPr>
        <w:t>图</w:t>
      </w:r>
      <w:r>
        <w:rPr>
          <w:rFonts w:hint="default" w:ascii="Times New Roman" w:hAnsi="Times New Roman" w:cs="Times New Roman"/>
          <w:b/>
          <w:bCs/>
          <w:color w:val="auto"/>
          <w:sz w:val="24"/>
          <w:szCs w:val="24"/>
          <w:u w:val="single"/>
          <w:lang w:val="en-US" w:eastAsia="zh-CN"/>
        </w:rPr>
        <w:t>3.</w:t>
      </w:r>
      <w:r>
        <w:rPr>
          <w:rFonts w:hint="eastAsia" w:ascii="Times New Roman" w:hAnsi="Times New Roman" w:cs="Times New Roman"/>
          <w:b/>
          <w:bCs/>
          <w:color w:val="auto"/>
          <w:sz w:val="24"/>
          <w:szCs w:val="24"/>
          <w:u w:val="single"/>
          <w:lang w:val="en-US" w:eastAsia="zh-CN"/>
        </w:rPr>
        <w:t>2</w:t>
      </w:r>
      <w:r>
        <w:rPr>
          <w:rFonts w:hint="default" w:ascii="Times New Roman" w:hAnsi="Times New Roman" w:cs="Times New Roman"/>
          <w:b/>
          <w:bCs/>
          <w:color w:val="auto"/>
          <w:sz w:val="24"/>
          <w:szCs w:val="24"/>
          <w:u w:val="single"/>
          <w:lang w:val="en-US" w:eastAsia="zh-CN"/>
        </w:rPr>
        <w:t>-</w:t>
      </w:r>
      <w:r>
        <w:rPr>
          <w:rFonts w:hint="eastAsia" w:ascii="Times New Roman" w:hAnsi="Times New Roman" w:cs="Times New Roman"/>
          <w:b/>
          <w:bCs/>
          <w:color w:val="auto"/>
          <w:sz w:val="24"/>
          <w:szCs w:val="24"/>
          <w:u w:val="single"/>
          <w:lang w:val="en-US" w:eastAsia="zh-CN"/>
        </w:rPr>
        <w:t>8</w:t>
      </w:r>
      <w:r>
        <w:rPr>
          <w:rFonts w:hint="default" w:ascii="Times New Roman" w:hAnsi="Times New Roman" w:cs="Times New Roman"/>
          <w:b/>
          <w:bCs/>
          <w:color w:val="auto"/>
          <w:sz w:val="24"/>
          <w:szCs w:val="24"/>
          <w:u w:val="single"/>
          <w:lang w:val="en-US" w:eastAsia="zh-CN"/>
        </w:rPr>
        <w:t xml:space="preserve"> </w:t>
      </w:r>
      <w:r>
        <w:rPr>
          <w:rFonts w:hint="default" w:ascii="Times New Roman" w:hAnsi="Times New Roman" w:eastAsia="宋体" w:cs="Times New Roman"/>
          <w:b/>
          <w:bCs/>
          <w:color w:val="auto"/>
          <w:sz w:val="24"/>
          <w:szCs w:val="24"/>
          <w:u w:val="single"/>
          <w:lang w:val="zh-CN"/>
        </w:rPr>
        <w:t xml:space="preserve"> 面层施工流程图</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eastAsia="zh-CN"/>
        </w:rPr>
      </w:pPr>
      <w:r>
        <w:rPr>
          <w:rFonts w:hint="eastAsia" w:ascii="Times New Roman" w:hAnsi="Times New Roman" w:cs="Times New Roman"/>
          <w:b/>
          <w:bCs/>
          <w:color w:val="FF0000"/>
          <w:sz w:val="24"/>
          <w:szCs w:val="24"/>
          <w:u w:val="single"/>
          <w:lang w:val="en-US" w:eastAsia="zh-CN"/>
        </w:rPr>
        <w:t>四、</w:t>
      </w:r>
      <w:r>
        <w:rPr>
          <w:rFonts w:hint="default" w:ascii="Times New Roman" w:hAnsi="Times New Roman" w:cs="Times New Roman"/>
          <w:b/>
          <w:bCs/>
          <w:color w:val="FF0000"/>
          <w:sz w:val="24"/>
          <w:szCs w:val="24"/>
          <w:u w:val="single"/>
          <w:lang w:val="zh-CN" w:eastAsia="zh-CN"/>
        </w:rPr>
        <w:t>码头附属设施施工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附属设施包括橡胶护舷、系船柱、铁爬梯、栏杆等。</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橡胶护舷的预埋件螺栓安装在靠船构件、靠船横梁和立柱上，竖向橡胶护舷型式为DA-A500H，水平向为DA-A300H。系船柱为550KN。橡胶护舷及系船柱采用汽车吊从材料、设备库区吊装到平板车，陆上运输至临时码头，船吊转吊至甲板上，运到安装运至进行水上吊装。铁爬梯、栏杆由专业厂家定制，然后运输到现场人工进行拼装、节点防腐。</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eastAsia="zh-CN"/>
        </w:rPr>
      </w:pPr>
      <w:r>
        <w:rPr>
          <w:rFonts w:hint="eastAsia" w:ascii="Times New Roman" w:hAnsi="Times New Roman" w:cs="Times New Roman"/>
          <w:b/>
          <w:bCs/>
          <w:color w:val="FF0000"/>
          <w:sz w:val="24"/>
          <w:szCs w:val="24"/>
          <w:u w:val="single"/>
          <w:lang w:val="en-US" w:eastAsia="zh-CN"/>
        </w:rPr>
        <w:t>五、</w:t>
      </w:r>
      <w:r>
        <w:rPr>
          <w:rFonts w:hint="default" w:ascii="Times New Roman" w:hAnsi="Times New Roman" w:cs="Times New Roman"/>
          <w:b/>
          <w:bCs/>
          <w:color w:val="FF0000"/>
          <w:sz w:val="24"/>
          <w:szCs w:val="24"/>
          <w:u w:val="single"/>
          <w:lang w:val="zh-CN" w:eastAsia="zh-CN"/>
        </w:rPr>
        <w:t>码头上部安装工程</w:t>
      </w:r>
    </w:p>
    <w:p>
      <w:pPr>
        <w:pStyle w:val="313"/>
        <w:tabs>
          <w:tab w:val="right" w:leader="dot" w:pos="9070"/>
        </w:tabs>
        <w:adjustRightInd w:val="0"/>
        <w:snapToGrid w:val="0"/>
        <w:spacing w:line="360" w:lineRule="auto"/>
        <w:ind w:firstLine="480" w:firstLineChars="200"/>
        <w:jc w:val="both"/>
        <w:rPr>
          <w:rFonts w:eastAsiaTheme="minorEastAsia"/>
          <w:b/>
          <w:bCs/>
          <w:color w:val="FF0000"/>
          <w:sz w:val="24"/>
          <w:szCs w:val="24"/>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上部安装工程主要包括以下内容：</w:t>
      </w: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工艺、消防、给排水、动力系统管道安装；</w:t>
      </w: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码头设备安装；</w:t>
      </w:r>
      <w:r>
        <w:rPr>
          <w:rFonts w:hint="default" w:ascii="Times New Roman" w:hAnsi="Times New Roman" w:cs="Times New Roman"/>
          <w:color w:val="FF0000"/>
          <w:sz w:val="24"/>
          <w:szCs w:val="24"/>
          <w:u w:val="single"/>
          <w:lang w:val="en-US" w:eastAsia="zh-CN"/>
        </w:rPr>
        <w:t xml:space="preserve">⑶ </w:t>
      </w:r>
      <w:r>
        <w:rPr>
          <w:rFonts w:hint="default" w:ascii="Times New Roman" w:hAnsi="Times New Roman" w:cs="Times New Roman"/>
          <w:color w:val="FF0000"/>
          <w:sz w:val="24"/>
          <w:szCs w:val="24"/>
          <w:u w:val="single"/>
          <w:lang w:val="zh-CN"/>
        </w:rPr>
        <w:t>电气系统安装；</w:t>
      </w:r>
      <w:r>
        <w:rPr>
          <w:rFonts w:hint="default" w:ascii="Times New Roman" w:hAnsi="Times New Roman" w:cs="Times New Roman"/>
          <w:color w:val="FF0000"/>
          <w:sz w:val="24"/>
          <w:szCs w:val="24"/>
          <w:u w:val="single"/>
          <w:lang w:val="en-US" w:eastAsia="zh-CN"/>
        </w:rPr>
        <w:t xml:space="preserve">⑷ </w:t>
      </w:r>
      <w:r>
        <w:rPr>
          <w:rFonts w:hint="default" w:ascii="Times New Roman" w:hAnsi="Times New Roman" w:cs="Times New Roman"/>
          <w:color w:val="FF0000"/>
          <w:sz w:val="24"/>
          <w:szCs w:val="24"/>
          <w:u w:val="single"/>
          <w:lang w:val="zh-CN"/>
        </w:rPr>
        <w:t>控制和通信系统安装；</w:t>
      </w:r>
      <w:r>
        <w:rPr>
          <w:rFonts w:hint="default" w:ascii="Times New Roman" w:hAnsi="Times New Roman" w:cs="Times New Roman"/>
          <w:color w:val="FF0000"/>
          <w:sz w:val="24"/>
          <w:szCs w:val="24"/>
          <w:u w:val="single"/>
          <w:lang w:val="en-US" w:eastAsia="zh-CN"/>
        </w:rPr>
        <w:t xml:space="preserve">⑸ </w:t>
      </w:r>
      <w:r>
        <w:rPr>
          <w:rFonts w:hint="default" w:ascii="Times New Roman" w:hAnsi="Times New Roman" w:cs="Times New Roman"/>
          <w:color w:val="FF0000"/>
          <w:sz w:val="24"/>
          <w:szCs w:val="24"/>
          <w:u w:val="single"/>
          <w:lang w:val="zh-CN"/>
        </w:rPr>
        <w:t>暖通系统安装；</w:t>
      </w:r>
      <w:r>
        <w:rPr>
          <w:rFonts w:hint="default" w:ascii="Times New Roman" w:hAnsi="Times New Roman" w:cs="Times New Roman"/>
          <w:color w:val="FF0000"/>
          <w:sz w:val="24"/>
          <w:szCs w:val="24"/>
          <w:u w:val="single"/>
          <w:lang w:val="en-US" w:eastAsia="zh-CN"/>
        </w:rPr>
        <w:t xml:space="preserve">⑹ </w:t>
      </w:r>
      <w:r>
        <w:rPr>
          <w:rFonts w:hint="default" w:ascii="Times New Roman" w:hAnsi="Times New Roman" w:cs="Times New Roman"/>
          <w:color w:val="FF0000"/>
          <w:sz w:val="24"/>
          <w:szCs w:val="24"/>
          <w:u w:val="single"/>
          <w:lang w:val="zh-CN"/>
        </w:rPr>
        <w:t>系统调试、单机试车和联动试车。</w:t>
      </w:r>
    </w:p>
    <w:p>
      <w:pPr>
        <w:pStyle w:val="3"/>
        <w:rPr>
          <w:rFonts w:ascii="Times New Roman" w:hAnsi="Times New Roman" w:eastAsiaTheme="minorEastAsia"/>
          <w:b/>
        </w:rPr>
      </w:pPr>
      <w:bookmarkStart w:id="50" w:name="_Toc4215"/>
      <w:r>
        <w:rPr>
          <w:rFonts w:ascii="Times New Roman" w:hAnsi="Times New Roman" w:eastAsiaTheme="minorEastAsia"/>
          <w:b/>
        </w:rPr>
        <w:t>工程分析</w:t>
      </w:r>
      <w:bookmarkEnd w:id="50"/>
    </w:p>
    <w:p>
      <w:pPr>
        <w:pStyle w:val="4"/>
        <w:rPr>
          <w:rFonts w:eastAsiaTheme="minorEastAsia"/>
        </w:rPr>
      </w:pPr>
      <w:r>
        <w:rPr>
          <w:rFonts w:eastAsiaTheme="minorEastAsia"/>
        </w:rPr>
        <w:t>施工期工艺流程和产污环节</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1、水域工程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码头工程的建设，施工内容主要包括钢制趸船、活动钢引桥、阀室平台、综合用房平台及固定引桥建设等，其具体工艺流程见下图：</w:t>
      </w:r>
    </w:p>
    <w:p>
      <w:pPr>
        <w:spacing w:line="360" w:lineRule="auto"/>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753100" cy="2514600"/>
            <wp:effectExtent l="0" t="0" r="0" b="0"/>
            <wp:docPr id="302" name="图片 302" descr="E:\5 码头\施工期工艺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E:\5 码头\施工期工艺图.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61047" cy="2518074"/>
                    </a:xfrm>
                    <a:prstGeom prst="rect">
                      <a:avLst/>
                    </a:prstGeom>
                    <a:noFill/>
                    <a:ln>
                      <a:noFill/>
                    </a:ln>
                  </pic:spPr>
                </pic:pic>
              </a:graphicData>
            </a:graphic>
          </wp:inline>
        </w:drawing>
      </w:r>
    </w:p>
    <w:p>
      <w:pPr>
        <w:pStyle w:val="343"/>
        <w:adjustRightInd w:val="0"/>
        <w:spacing w:line="360" w:lineRule="auto"/>
        <w:ind w:firstLine="0" w:firstLineChars="0"/>
        <w:jc w:val="center"/>
        <w:rPr>
          <w:rFonts w:cs="Times New Roman" w:eastAsiaTheme="minorEastAsia"/>
          <w:b/>
          <w:sz w:val="24"/>
        </w:rPr>
      </w:pPr>
      <w:r>
        <w:rPr>
          <w:rFonts w:cs="Times New Roman" w:eastAsiaTheme="minorEastAsia"/>
          <w:b/>
          <w:sz w:val="24"/>
        </w:rPr>
        <w:t>图3.3-1  项目码头施工期工艺图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码头工程为浮码头，趸船通过锚链以及活动钢引桥固定，施工时考虑枯水期围堰施工。后方墩台采用钻孔灌注桩基础，跨堤钢引桥采用水泥搅拌加固桩基础。</w:t>
      </w:r>
    </w:p>
    <w:p>
      <w:pPr>
        <w:adjustRightInd w:val="0"/>
        <w:snapToGrid w:val="0"/>
        <w:spacing w:line="360" w:lineRule="auto"/>
        <w:ind w:firstLine="496"/>
        <w:rPr>
          <w:rFonts w:ascii="Times New Roman" w:hAnsi="Times New Roman" w:eastAsiaTheme="minorEastAsia"/>
          <w:sz w:val="24"/>
          <w:szCs w:val="24"/>
        </w:rPr>
      </w:pPr>
      <w:r>
        <w:rPr>
          <w:rFonts w:ascii="Times New Roman" w:hAnsi="Times New Roman" w:eastAsiaTheme="minorEastAsia"/>
          <w:sz w:val="24"/>
          <w:szCs w:val="24"/>
        </w:rPr>
        <w:t>钻孔灌注桩施工方案：</w:t>
      </w:r>
    </w:p>
    <w:p>
      <w:pPr>
        <w:adjustRightInd w:val="0"/>
        <w:snapToGrid w:val="0"/>
        <w:spacing w:line="360" w:lineRule="auto"/>
        <w:ind w:firstLine="496"/>
        <w:rPr>
          <w:rFonts w:ascii="Times New Roman" w:hAnsi="Times New Roman" w:eastAsiaTheme="minorEastAsia"/>
          <w:sz w:val="24"/>
          <w:szCs w:val="24"/>
        </w:rPr>
      </w:pPr>
      <w:r>
        <w:rPr>
          <w:rFonts w:ascii="Times New Roman" w:hAnsi="Times New Roman" w:eastAsiaTheme="minorEastAsia"/>
          <w:sz w:val="24"/>
          <w:szCs w:val="24"/>
        </w:rPr>
        <w:t>桩基基础采用陆上平台施工方法，大部分为岸上施工，先铺陆上平台，再埋陆上钢护筒，桩基均为钻孔灌注桩，采用冲击钻成孔，冲孔到位后，清孔，保证孔内沉渣厚度小于10cm，安放钢筋笼与检测管，浇筑砼，所有桩基砼浇筑面高度高于设计高程0.8~1.0m，待初凝后将超高部分的浮浆凿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桩基成孔前，必须埋设比设计桩径大0.1m~0.2m的钢护筒，护筒埋深拟根据地表土层确定，一般应埋深3.0m~5.0m，确保桩位在规范规定的允许范围内。</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5408" behindDoc="0" locked="0" layoutInCell="1" allowOverlap="1">
                <wp:simplePos x="0" y="0"/>
                <wp:positionH relativeFrom="column">
                  <wp:posOffset>4700270</wp:posOffset>
                </wp:positionH>
                <wp:positionV relativeFrom="paragraph">
                  <wp:posOffset>203835</wp:posOffset>
                </wp:positionV>
                <wp:extent cx="190500" cy="188595"/>
                <wp:effectExtent l="0" t="0" r="0" b="1905"/>
                <wp:wrapNone/>
                <wp:docPr id="1048" name="矩形 1048"/>
                <wp:cNvGraphicFramePr/>
                <a:graphic xmlns:a="http://schemas.openxmlformats.org/drawingml/2006/main">
                  <a:graphicData uri="http://schemas.microsoft.com/office/word/2010/wordprocessingShape">
                    <wps:wsp>
                      <wps:cNvSpPr>
                        <a:spLocks noChangeArrowheads="1"/>
                      </wps:cNvSpPr>
                      <wps:spPr bwMode="auto">
                        <a:xfrm>
                          <a:off x="0" y="0"/>
                          <a:ext cx="190500" cy="188595"/>
                        </a:xfrm>
                        <a:prstGeom prst="rect">
                          <a:avLst/>
                        </a:prstGeom>
                        <a:noFill/>
                        <a:ln>
                          <a:noFill/>
                        </a:ln>
                        <a:effectLst/>
                      </wps:spPr>
                      <wps:txbx>
                        <w:txbxContent>
                          <w:p>
                            <w:r>
                              <w:rPr>
                                <w:rFonts w:hint="eastAsia" w:ascii="Times New Roman" w:hAnsi="Times New Roman"/>
                                <w:sz w:val="18"/>
                                <w:szCs w:val="18"/>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70.1pt;margin-top:16.05pt;height:14.85pt;width:15pt;z-index:251665408;mso-width-relative:page;mso-height-relative:page;" filled="f" stroked="f" coordsize="21600,21600" o:gfxdata="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fgA22QAAAAkBAAAPAAAAAAAAAAEAIAAAACIA&#10;AABkcnMvZG93bnJldi54bWxQSwECFAAUAAAACACHTuJAeDbqJggCAAALBAAADgAAAAAAAAABACAA&#10;AAAoAQAAZHJzL2Uyb0RvYy54bWxQSwUGAAAAAAYABgBZAQAAogUAAAAA&#10;">
                <v:fill on="f" focussize="0,0"/>
                <v:stroke on="f"/>
                <v:imagedata o:title=""/>
                <o:lock v:ext="edit" aspectratio="f"/>
                <v:textbox inset="0mm,0mm,0mm,0mm">
                  <w:txbxContent>
                    <w:p>
                      <w:r>
                        <w:rPr>
                          <w:rFonts w:hint="eastAsia" w:ascii="Times New Roman" w:hAnsi="Times New Roman"/>
                          <w:sz w:val="18"/>
                          <w:szCs w:val="18"/>
                        </w:rPr>
                        <w:t>▲</w:t>
                      </w:r>
                    </w:p>
                  </w:txbxContent>
                </v:textbox>
              </v:rect>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3360" behindDoc="0" locked="0" layoutInCell="1" allowOverlap="1">
                <wp:simplePos x="0" y="0"/>
                <wp:positionH relativeFrom="column">
                  <wp:posOffset>2981325</wp:posOffset>
                </wp:positionH>
                <wp:positionV relativeFrom="paragraph">
                  <wp:posOffset>198120</wp:posOffset>
                </wp:positionV>
                <wp:extent cx="200025" cy="198120"/>
                <wp:effectExtent l="0" t="0" r="9525" b="11430"/>
                <wp:wrapNone/>
                <wp:docPr id="1046" name="矩形 1046"/>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34.75pt;margin-top:15.6pt;height:15.6pt;width:15.75pt;z-index:251663360;mso-width-relative:page;mso-height-relative:page;" filled="f" stroked="f" coordsize="21600,21600" o:gfxdata="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mVs82gAAAAkBAAAPAAAAAAAAAAEAIAAAACIA&#10;AABkcnMvZG93bnJldi54bWxQSwECFAAUAAAACACHTuJAucjk1gcCAAALBAAADgAAAAAAAAABACAA&#10;AAApAQAAZHJzL2Uyb0RvYy54bWxQSwUGAAAAAAYABgBZAQAAogUAAAAA&#10;">
                <v:fill on="f" focussize="0,0"/>
                <v:stroke on="f"/>
                <v:imagedata o:title=""/>
                <o:lock v:ext="edit" aspectratio="f"/>
                <v:textbox inset="0mm,0mm,0mm,0mm">
                  <w:txbxContent>
                    <w:p>
                      <w:r>
                        <w:rPr>
                          <w:rFonts w:hint="eastAsia" w:ascii="Times New Roman" w:hAnsi="Times New Roman"/>
                        </w:rPr>
                        <w:t>■</w:t>
                      </w:r>
                    </w:p>
                  </w:txbxContent>
                </v:textbox>
              </v:rect>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3733800</wp:posOffset>
                </wp:positionH>
                <wp:positionV relativeFrom="paragraph">
                  <wp:posOffset>198120</wp:posOffset>
                </wp:positionV>
                <wp:extent cx="200025" cy="198120"/>
                <wp:effectExtent l="0" t="0" r="4445" b="4445"/>
                <wp:wrapNone/>
                <wp:docPr id="1047" name="矩形 1047"/>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sz w:val="18"/>
                                <w:szCs w:val="18"/>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94pt;margin-top:15.6pt;height:15.6pt;width:15.75pt;z-index:251664384;mso-width-relative:page;mso-height-relative:page;" filled="f" stroked="f" coordsize="21600,21600" o:gfxdata="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IiSwtoAAAAJAQAADwAAAAAAAAABACAAAAAi&#10;AAAAZHJzL2Rvd25yZXYueG1sUEsBAhQAFAAAAAgAh07iQKt4a5UIAgAACwQAAA4AAAAAAAAAAQAg&#10;AAAAKQEAAGRycy9lMm9Eb2MueG1sUEsFBgAAAAAGAAYAWQEAAKMFAAAAAA==&#10;">
                <v:fill on="f" focussize="0,0"/>
                <v:stroke on="f"/>
                <v:imagedata o:title=""/>
                <o:lock v:ext="edit" aspectratio="f"/>
                <v:textbox inset="0mm,0mm,0mm,0mm">
                  <w:txbxContent>
                    <w:p>
                      <w:r>
                        <w:rPr>
                          <w:rFonts w:hint="eastAsia" w:ascii="Times New Roman" w:hAnsi="Times New Roman"/>
                          <w:sz w:val="18"/>
                          <w:szCs w:val="18"/>
                        </w:rPr>
                        <w:t>▲</w:t>
                      </w:r>
                    </w:p>
                  </w:txbxContent>
                </v:textbox>
              </v:rect>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2133600</wp:posOffset>
                </wp:positionH>
                <wp:positionV relativeFrom="paragraph">
                  <wp:posOffset>198120</wp:posOffset>
                </wp:positionV>
                <wp:extent cx="333375" cy="198120"/>
                <wp:effectExtent l="0" t="0" r="4445" b="4445"/>
                <wp:wrapNone/>
                <wp:docPr id="1045" name="矩形 1045"/>
                <wp:cNvGraphicFramePr/>
                <a:graphic xmlns:a="http://schemas.openxmlformats.org/drawingml/2006/main">
                  <a:graphicData uri="http://schemas.microsoft.com/office/word/2010/wordprocessingShape">
                    <wps:wsp>
                      <wps:cNvSpPr>
                        <a:spLocks noChangeArrowheads="1"/>
                      </wps:cNvSpPr>
                      <wps:spPr bwMode="auto">
                        <a:xfrm>
                          <a:off x="0" y="0"/>
                          <a:ext cx="333375" cy="198120"/>
                        </a:xfrm>
                        <a:prstGeom prst="rect">
                          <a:avLst/>
                        </a:prstGeom>
                        <a:noFill/>
                        <a:ln>
                          <a:noFill/>
                        </a:ln>
                        <a:effectLst/>
                      </wps:spPr>
                      <wps:txbx>
                        <w:txbxContent>
                          <w:p>
                            <w:pPr>
                              <w:rPr>
                                <w:sz w:val="18"/>
                                <w:szCs w:val="18"/>
                              </w:rPr>
                            </w:pPr>
                            <w:r>
                              <w:rPr>
                                <w:rFonts w:hint="eastAsia" w:ascii="Times New Roman" w:hAnsi="Times New Roman"/>
                                <w:sz w:val="18"/>
                                <w:szCs w:val="18"/>
                              </w:rPr>
                              <w:t>▲</w:t>
                            </w:r>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68pt;margin-top:15.6pt;height:15.6pt;width:26.25pt;z-index:251662336;mso-width-relative:page;mso-height-relative:page;" filled="f" stroked="f" coordsize="21600,21600" o:gfxdata="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7r/MTbAAAACQEAAA8AAAAAAAAAAQAgAAAA&#10;IgAAAGRycy9kb3ducmV2LnhtbFBLAQIUABQAAAAIAIdO4kAn2d+ACAIAAAsEAAAOAAAAAAAAAAEA&#10;IAAAACoBAABkcnMvZTJvRG9jLnhtbFBLBQYAAAAABgAGAFkBAACkBQAAAAA=&#10;">
                <v:fill on="f" focussize="0,0"/>
                <v:stroke on="f"/>
                <v:imagedata o:title=""/>
                <o:lock v:ext="edit" aspectratio="f"/>
                <v:textbox inset="0mm,0mm,0mm,0mm">
                  <w:txbxContent>
                    <w:p>
                      <w:pPr>
                        <w:rPr>
                          <w:sz w:val="18"/>
                          <w:szCs w:val="18"/>
                        </w:rPr>
                      </w:pPr>
                      <w:r>
                        <w:rPr>
                          <w:rFonts w:hint="eastAsia" w:ascii="Times New Roman" w:hAnsi="Times New Roman"/>
                          <w:sz w:val="18"/>
                          <w:szCs w:val="18"/>
                        </w:rPr>
                        <w:t>▲</w:t>
                      </w:r>
                      <w:r>
                        <w:rPr>
                          <w:rFonts w:hint="eastAsia" w:ascii="Times New Roman" w:hAnsi="Times New Roman"/>
                        </w:rPr>
                        <w:t>★</w:t>
                      </w:r>
                    </w:p>
                  </w:txbxContent>
                </v:textbox>
              </v:rect>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1400175</wp:posOffset>
                </wp:positionH>
                <wp:positionV relativeFrom="paragraph">
                  <wp:posOffset>198120</wp:posOffset>
                </wp:positionV>
                <wp:extent cx="200025" cy="198120"/>
                <wp:effectExtent l="0" t="0" r="4445" b="4445"/>
                <wp:wrapNone/>
                <wp:docPr id="1043" name="矩形 1043"/>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0.25pt;margin-top:15.6pt;height:15.6pt;width:15.75pt;z-index:251661312;mso-width-relative:page;mso-height-relative:page;" filled="f" stroked="f" coordsize="21600,21600" o:gfxdata="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aCOiNoAAAAJAQAADwAAAAAAAAABACAAAAAi&#10;AAAAZHJzL2Rvd25yZXYueG1sUEsBAhQAFAAAAAgAh07iQKK+JEAIAgAACwQAAA4AAAAAAAAAAQAg&#10;AAAAKQEAAGRycy9lMm9Eb2MueG1sUEsFBgAAAAAGAAYAWQEAAKMFAAAAAA==&#10;">
                <v:fill on="f" focussize="0,0"/>
                <v:stroke on="f"/>
                <v:imagedata o:title=""/>
                <o:lock v:ext="edit" aspectratio="f"/>
                <v:textbox inset="0mm,0mm,0mm,0mm">
                  <w:txbxContent>
                    <w:p>
                      <w:r>
                        <w:rPr>
                          <w:rFonts w:hint="eastAsia" w:ascii="Times New Roman" w:hAnsi="Times New Roman"/>
                        </w:rPr>
                        <w:t>▲</w:t>
                      </w:r>
                    </w:p>
                  </w:txbxContent>
                </v:textbox>
              </v:rect>
            </w:pict>
          </mc:Fallback>
        </mc:AlternateContent>
      </w:r>
      <w:r>
        <w:rPr>
          <w:rFonts w:ascii="Times New Roman" w:hAnsi="Times New Roman" w:eastAsiaTheme="minorEastAsia"/>
          <w:sz w:val="24"/>
          <w:szCs w:val="24"/>
        </w:rPr>
        <w:t>灌注桩施工工艺及排污节点图：</w:t>
      </w:r>
    </w:p>
    <w:p>
      <w:pPr>
        <w:adjustRightInd w:val="0"/>
        <w:snapToGri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mc:AlternateContent>
          <mc:Choice Requires="wps">
            <w:drawing>
              <wp:anchor distT="0" distB="0" distL="114300" distR="114300" simplePos="0" relativeHeight="251667456" behindDoc="0" locked="0" layoutInCell="1" allowOverlap="1">
                <wp:simplePos x="0" y="0"/>
                <wp:positionH relativeFrom="column">
                  <wp:posOffset>933450</wp:posOffset>
                </wp:positionH>
                <wp:positionV relativeFrom="paragraph">
                  <wp:posOffset>198755</wp:posOffset>
                </wp:positionV>
                <wp:extent cx="200025" cy="198120"/>
                <wp:effectExtent l="0" t="0" r="4445" b="2540"/>
                <wp:wrapNone/>
                <wp:docPr id="1038" name="矩形 1038"/>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73.5pt;margin-top:15.65pt;height:15.6pt;width:15.75pt;z-index:251667456;mso-width-relative:page;mso-height-relative:page;" filled="f" stroked="f" coordsize="21600,21600" o:gfxdata="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T3x32gAAAAkBAAAPAAAAAAAAAAEAIAAAACIA&#10;AABkcnMvZG93bnJldi54bWxQSwECFAAUAAAACACHTuJA7BYtQwcCAAALBAAADgAAAAAAAAABACAA&#10;AAApAQAAZHJzL2Uyb0RvYy54bWxQSwUGAAAAAAYABgBZAQAAogUAAAAA&#10;">
                <v:fill on="f" focussize="0,0"/>
                <v:stroke on="f"/>
                <v:imagedata o:title=""/>
                <o:lock v:ext="edit" aspectratio="f"/>
                <v:textbox inset="0mm,0mm,0mm,0mm">
                  <w:txbxContent>
                    <w:p>
                      <w:r>
                        <w:rPr>
                          <w:rFonts w:hint="eastAsia" w:ascii="Times New Roman" w:hAnsi="Times New Roman"/>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198755</wp:posOffset>
                </wp:positionV>
                <wp:extent cx="200025" cy="198120"/>
                <wp:effectExtent l="0" t="0" r="4445" b="2540"/>
                <wp:wrapNone/>
                <wp:docPr id="1036" name="矩形 1036"/>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sz w:val="18"/>
                                <w:szCs w:val="18"/>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5pt;margin-top:15.65pt;height:15.6pt;width:15.75pt;z-index:251666432;mso-width-relative:page;mso-height-relative:page;" filled="f" stroked="f" coordsize="21600,21600" o:gfxdata="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LZ2s7ZAAAABwEAAA8AAAAAAAAAAQAgAAAAIgAA&#10;AGRycy9kb3ducmV2LnhtbFBLAQIUABQAAAAIAIdO4kCSOpNgBwIAAAsEAAAOAAAAAAAAAAEAIAAA&#10;ACgBAABkcnMvZTJvRG9jLnhtbFBLBQYAAAAABgAGAFkBAAChBQAAAAA=&#10;">
                <v:fill on="f" focussize="0,0"/>
                <v:stroke on="f"/>
                <v:imagedata o:title=""/>
                <o:lock v:ext="edit" aspectratio="f"/>
                <v:textbox inset="0mm,0mm,0mm,0mm">
                  <w:txbxContent>
                    <w:p>
                      <w:r>
                        <w:rPr>
                          <w:rFonts w:hint="eastAsia" w:ascii="Times New Roman" w:hAnsi="Times New Roman"/>
                          <w:sz w:val="18"/>
                          <w:szCs w:val="18"/>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660288" behindDoc="0" locked="0" layoutInCell="1" allowOverlap="1">
                <wp:simplePos x="0" y="0"/>
                <wp:positionH relativeFrom="column">
                  <wp:posOffset>5800725</wp:posOffset>
                </wp:positionH>
                <wp:positionV relativeFrom="paragraph">
                  <wp:posOffset>98425</wp:posOffset>
                </wp:positionV>
                <wp:extent cx="400050" cy="0"/>
                <wp:effectExtent l="0" t="3810" r="4445" b="0"/>
                <wp:wrapNone/>
                <wp:docPr id="1033" name="直接连接符 1033"/>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a:noFill/>
                        </a:ln>
                        <a:effectLst/>
                      </wps:spPr>
                      <wps:bodyPr/>
                    </wps:wsp>
                  </a:graphicData>
                </a:graphic>
              </wp:anchor>
            </w:drawing>
          </mc:Choice>
          <mc:Fallback>
            <w:pict>
              <v:line id="_x0000_s1026" o:spid="_x0000_s1026" o:spt="20" style="position:absolute;left:0pt;margin-left:456.75pt;margin-top:7.75pt;height:0pt;width:31.5pt;z-index:251660288;mso-width-relative:page;mso-height-relative:page;" filled="f" stroked="f" coordsize="21600,21600" o:gfxdata="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uRTF51wAAAAkBAAAPAAAAAAAAAAEAIAAAACIAAABkcnMvZG93&#10;bnJldi54bWxQSwECFAAUAAAACACHTuJAaqH78sgBAACBAwAADgAAAAAAAAABACAAAAAmAQAAZHJz&#10;L2Uyb0RvYy54bWxQSwUGAAAAAAYABgBZAQAAYAUAAAAA&#10;">
                <v:fill on="f" focussize="0,0"/>
                <v:stroke on="f"/>
                <v:imagedata o:title=""/>
                <o:lock v:ext="edit" aspectratio="f"/>
              </v:line>
            </w:pict>
          </mc:Fallback>
        </mc:AlternateContent>
      </w:r>
      <w:r>
        <w:rPr>
          <w:rFonts w:asciiTheme="minorEastAsia" w:hAnsiTheme="minorEastAsia" w:eastAsiaTheme="minorEastAsia"/>
          <w:sz w:val="24"/>
          <w:szCs w:val="24"/>
        </w:rPr>
        <w:t>钢护筒定位下沉→钻机成孔→清孔换浆→提钻移机→安放钢筋笼→灌注水下混泥土→二次清孔→桩基检测</w:t>
      </w:r>
    </w:p>
    <w:p>
      <w:pPr>
        <w:adjustRightInd w:val="0"/>
        <w:snapToGrid w:val="0"/>
        <w:spacing w:line="360" w:lineRule="auto"/>
        <w:ind w:firstLine="480" w:firstLineChars="200"/>
        <w:rPr>
          <w:rFonts w:asciiTheme="minorEastAsia" w:hAnsiTheme="minorEastAsia" w:eastAsiaTheme="minorEastAsia"/>
          <w:sz w:val="24"/>
          <w:szCs w:val="24"/>
        </w:rPr>
      </w:pPr>
      <w:r>
        <w:rPr>
          <w:rFonts w:cs="Segoe UI Symbol" w:asciiTheme="minorEastAsia" w:hAnsiTheme="minorEastAsia" w:eastAsiaTheme="minorEastAsia"/>
          <w:sz w:val="24"/>
          <w:szCs w:val="24"/>
        </w:rPr>
        <w:t>★</w:t>
      </w:r>
      <w:r>
        <w:rPr>
          <w:rFonts w:asciiTheme="minorEastAsia" w:hAnsiTheme="minorEastAsia" w:eastAsiaTheme="minorEastAsia"/>
          <w:sz w:val="24"/>
          <w:szCs w:val="24"/>
        </w:rPr>
        <w:t xml:space="preserve"> 噪声源</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 气型污染源</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■固废  ▲ 水污染源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钢引桥必须在墩柱完成后安装，建议在现场拼装后一次性吊装。趸船在厂内加工后，水运至现场。</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2、陆域工程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陆域工程工程较为简单，主要为拆除、新增部分管线，对原有管线的维修养护，以及油气回收、氮气系统和生活污水处理设施设备的安装。</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施工期各主要施工阶段产污环节及污染物类型、污染因子见下表。</w:t>
      </w:r>
    </w:p>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343"/>
        <w:adjustRightInd w:val="0"/>
        <w:spacing w:line="276" w:lineRule="auto"/>
        <w:ind w:firstLine="0" w:firstLineChars="0"/>
        <w:jc w:val="center"/>
        <w:rPr>
          <w:rFonts w:cs="Times New Roman" w:eastAsiaTheme="minorEastAsia"/>
          <w:b/>
          <w:sz w:val="24"/>
        </w:rPr>
      </w:pPr>
      <w:r>
        <w:rPr>
          <w:rFonts w:cs="Times New Roman" w:eastAsiaTheme="minorEastAsia"/>
          <w:b/>
          <w:sz w:val="24"/>
        </w:rPr>
        <w:t>表3.3-1  施工期污染因子一览表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34"/>
        <w:gridCol w:w="1225"/>
        <w:gridCol w:w="3676"/>
        <w:gridCol w:w="29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工程内容</w:t>
            </w:r>
          </w:p>
        </w:tc>
        <w:tc>
          <w:tcPr>
            <w:tcW w:w="67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污染类型</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产污环节说明</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主要污染因子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水域施工</w:t>
            </w:r>
          </w:p>
        </w:tc>
        <w:tc>
          <w:tcPr>
            <w:tcW w:w="67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废水</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生活污水</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生产废水</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SS、石油类等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施工扬尘</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TSP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施工船舶、车辆和机械废气</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CO、SO</w:t>
            </w:r>
            <w:r>
              <w:rPr>
                <w:rFonts w:ascii="Times New Roman" w:hAnsi="Times New Roman" w:eastAsiaTheme="minorEastAsia"/>
                <w:color w:val="000000"/>
                <w:kern w:val="0"/>
                <w:vertAlign w:val="subscript"/>
              </w:rPr>
              <w:t>2</w:t>
            </w:r>
            <w:r>
              <w:rPr>
                <w:rFonts w:ascii="Times New Roman" w:hAnsi="Times New Roman" w:eastAsiaTheme="minorEastAsia"/>
                <w:color w:val="000000"/>
                <w:kern w:val="0"/>
              </w:rPr>
              <w:t>、NOx、CnHm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施工机械噪声</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固废</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建筑拆除垃圾及少量弃土</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一般固废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陆域施工</w:t>
            </w:r>
          </w:p>
        </w:tc>
        <w:tc>
          <w:tcPr>
            <w:tcW w:w="67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废水</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管道试压废水</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7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2020" w:type="pct"/>
            <w:tcMar>
              <w:top w:w="0" w:type="dxa"/>
              <w:left w:w="0" w:type="dxa"/>
              <w:bottom w:w="0" w:type="dxa"/>
              <w:right w:w="0" w:type="dxa"/>
            </w:tcMar>
            <w:vAlign w:val="center"/>
          </w:tcPr>
          <w:p>
            <w:pPr>
              <w:autoSpaceDE w:val="0"/>
              <w:autoSpaceDN w:val="0"/>
              <w:adjustRightInd w:val="0"/>
              <w:jc w:val="center"/>
              <w:rPr>
                <w:rFonts w:ascii="Times New Roman" w:hAnsi="Times New Roman" w:eastAsiaTheme="minorEastAsia"/>
                <w:color w:val="000000"/>
                <w:kern w:val="0"/>
              </w:rPr>
            </w:pPr>
            <w:r>
              <w:rPr>
                <w:rFonts w:ascii="Times New Roman" w:hAnsi="Times New Roman" w:eastAsiaTheme="minorEastAsia"/>
                <w:kern w:val="0"/>
              </w:rPr>
              <w:t>设备清洗废水</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生活污水</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COD、BOD</w:t>
            </w:r>
            <w:r>
              <w:rPr>
                <w:rFonts w:ascii="Times New Roman" w:hAnsi="Times New Roman" w:eastAsiaTheme="minorEastAsia"/>
                <w:color w:val="000000"/>
                <w:kern w:val="0"/>
                <w:vertAlign w:val="subscript"/>
              </w:rPr>
              <w:t>5</w:t>
            </w:r>
            <w:r>
              <w:rPr>
                <w:rFonts w:ascii="Times New Roman" w:hAnsi="Times New Roman" w:eastAsiaTheme="minorEastAsia"/>
                <w:color w:val="000000"/>
                <w:kern w:val="0"/>
              </w:rPr>
              <w:t>、SS、NH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7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固废</w:t>
            </w: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建筑垃圾、废包装材料等</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建筑垃圾、废钢材等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8"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7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20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162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r>
        <w:rPr>
          <w:rFonts w:eastAsiaTheme="minorEastAsia"/>
        </w:rPr>
        <w:t>营运期工艺流程及产污环节</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管线工程在营运期基本没有污染物产生，产污主要来自码头工程。</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1、工艺流程</w:t>
      </w:r>
    </w:p>
    <w:p>
      <w:pPr>
        <w:pStyle w:val="313"/>
        <w:keepNext w:val="0"/>
        <w:keepLines w:val="0"/>
        <w:pageBreakBefore w:val="0"/>
        <w:widowControl/>
        <w:tabs>
          <w:tab w:val="right" w:leader="dot" w:pos="9070"/>
        </w:tabs>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rPr>
        <w:drawing>
          <wp:inline distT="0" distB="0" distL="0" distR="0">
            <wp:extent cx="4116705" cy="3848100"/>
            <wp:effectExtent l="0" t="0" r="171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4116705" cy="3848100"/>
                    </a:xfrm>
                    <a:prstGeom prst="rect">
                      <a:avLst/>
                    </a:prstGeom>
                  </pic:spPr>
                </pic:pic>
              </a:graphicData>
            </a:graphic>
          </wp:inline>
        </w:drawing>
      </w:r>
    </w:p>
    <w:p>
      <w:pPr>
        <w:pStyle w:val="343"/>
        <w:adjustRightInd w:val="0"/>
        <w:spacing w:line="240" w:lineRule="auto"/>
        <w:ind w:firstLine="0" w:firstLineChars="0"/>
        <w:jc w:val="center"/>
        <w:rPr>
          <w:rFonts w:cs="Times New Roman" w:eastAsiaTheme="minorEastAsia"/>
          <w:b/>
          <w:sz w:val="24"/>
        </w:rPr>
      </w:pPr>
      <w:r>
        <w:rPr>
          <w:rFonts w:cs="Times New Roman" w:eastAsiaTheme="minorEastAsia"/>
          <w:b/>
          <w:sz w:val="24"/>
        </w:rPr>
        <w:t>图3.3-2  项目码头工艺流程及产污环节图</w:t>
      </w:r>
    </w:p>
    <w:p>
      <w:pPr>
        <w:autoSpaceDE w:val="0"/>
        <w:autoSpaceDN w:val="0"/>
        <w:adjustRightInd w:val="0"/>
        <w:snapToGrid w:val="0"/>
        <w:spacing w:line="360" w:lineRule="auto"/>
        <w:ind w:firstLine="480" w:firstLineChars="200"/>
        <w:rPr>
          <w:rFonts w:ascii="Times New Roman" w:hAnsi="Times New Roman" w:eastAsiaTheme="minorEastAsia"/>
          <w:kern w:val="0"/>
          <w:sz w:val="20"/>
          <w:szCs w:val="20"/>
        </w:rPr>
      </w:pPr>
      <w:r>
        <w:rPr>
          <w:rFonts w:ascii="Times New Roman" w:hAnsi="Times New Roman" w:eastAsiaTheme="minorEastAsia"/>
          <w:kern w:val="0"/>
          <w:sz w:val="24"/>
          <w:szCs w:val="24"/>
        </w:rPr>
        <w:t>工艺流程简述：</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卸船流程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①</w:t>
      </w:r>
      <w:r>
        <w:rPr>
          <w:rFonts w:eastAsiaTheme="minorEastAsia"/>
          <w:sz w:val="24"/>
          <w:szCs w:val="24"/>
        </w:rPr>
        <w:t xml:space="preserve"> 中高水位：油品、化学品船（自带泵）→装卸臂→活动钢引桥→阀室平台→陆域工艺管线→罐区管线、储罐。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②</w:t>
      </w:r>
      <w:r>
        <w:rPr>
          <w:rFonts w:eastAsiaTheme="minorEastAsia"/>
          <w:sz w:val="24"/>
          <w:szCs w:val="24"/>
        </w:rPr>
        <w:t xml:space="preserve"> 低水位：油品、化学品船（自带泵）→装卸软管→趸船卸船加压泵→活动钢引桥→阀室平台→陆域工艺管线→罐区管线、储罐。</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装船流程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罐区管线、储罐→陆域工艺管线→装船泵→阀室平台→活动钢引桥→趸船工艺管线、装卸臂→油品、化学品船。</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吹扫及放空流程</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每次装卸作业完毕，用氮气将来船、趸船连接软管或装卸臂内的残液吹入船舱。干管平时不清空，当卸船管道需要切换油品时，可通过厂区循环泵将下次作业的油品、化学品自储罐泵送至循环管道。扫舱采用转子扫舱泵将油品扫入主管线。</w:t>
      </w:r>
    </w:p>
    <w:p>
      <w:pPr>
        <w:pStyle w:val="313"/>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2、产污环节</w:t>
      </w:r>
    </w:p>
    <w:p>
      <w:pPr>
        <w:pStyle w:val="313"/>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本项目在正常运营状态下污染物产生环节分析结果见表3.3-2。</w:t>
      </w:r>
    </w:p>
    <w:p>
      <w:pPr>
        <w:pStyle w:val="343"/>
        <w:adjustRightInd w:val="0"/>
        <w:spacing w:line="276" w:lineRule="auto"/>
        <w:ind w:firstLine="0" w:firstLineChars="0"/>
        <w:jc w:val="center"/>
        <w:rPr>
          <w:rFonts w:cs="Times New Roman" w:eastAsiaTheme="minorEastAsia"/>
          <w:b/>
          <w:sz w:val="24"/>
        </w:rPr>
      </w:pPr>
      <w:r>
        <w:rPr>
          <w:rFonts w:cs="Times New Roman" w:eastAsiaTheme="minorEastAsia"/>
          <w:b/>
          <w:sz w:val="24"/>
        </w:rPr>
        <w:t>表3.3-2  污染物产生环节分析结果</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29"/>
        <w:gridCol w:w="2974"/>
        <w:gridCol w:w="2766"/>
        <w:gridCol w:w="18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产生环节</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主要污染物</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污染类别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装卸臂拆卸废气</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非甲烷总烃</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无组织排放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装船废气</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非甲烷总烃</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无组织排放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废水</w:t>
            </w: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船舶舱底油污水</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石油类</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COD等</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码头生活污水</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COD等</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初期雨水</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SS、石油类等</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初期雨水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趸船平台冲洗废水</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SS、石油类等</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冲洗废水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固废</w:t>
            </w: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果皮、纸屑等</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船舶生活垃圾</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危险固废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0"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船舶噪声</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84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船舶鸣笛声</w:t>
            </w:r>
          </w:p>
        </w:tc>
        <w:tc>
          <w:tcPr>
            <w:tcW w:w="152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w:t>
            </w:r>
          </w:p>
        </w:tc>
        <w:tc>
          <w:tcPr>
            <w:tcW w:w="100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r>
    </w:tbl>
    <w:p>
      <w:pPr>
        <w:pStyle w:val="313"/>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r>
        <w:rPr>
          <w:rFonts w:eastAsiaTheme="minorEastAsia"/>
        </w:rPr>
        <w:t>施工期环境影响源分析</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项目施工期为12个月（按365天计），施工内容主要分为码头和管线施工，施工人员按85人/d 计（不在施工现场食宿），其中35人为施工船舶工作人员，50人为码头陆域及管线施工人员。施工期主要产生废气、废水、噪声、固废等污染，施工期环境污染只是短期影响，随着工程竣工影响基本消除，有利影响开始发生。</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项目施工过程中的污染源及污染物，由于面广且大多为无组织排放，加上受施工方式和设备等的制约，污染源及污染的随机性、波动性也较大，目前亦缺乏系统全面反映施工过程排污的统计资料和确定方法。因此，根据工程进展状况，结合国内类似环评中采取的一些方法，本评价对本项目施工过程中的污染源及污染物排放将采用以下原则与方法确定：</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用现有典型施工场的有关监测资料；</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结合本项目在施工方式与施工工艺、机械等方面的实际，类比相似工程施工过程排污进行估算。</w:t>
      </w:r>
    </w:p>
    <w:p>
      <w:pPr>
        <w:pStyle w:val="5"/>
        <w:rPr>
          <w:rFonts w:eastAsiaTheme="minorEastAsia"/>
        </w:rPr>
      </w:pPr>
      <w:r>
        <w:rPr>
          <w:rFonts w:eastAsiaTheme="minorEastAsia"/>
        </w:rPr>
        <w:t>废水</w:t>
      </w:r>
    </w:p>
    <w:p>
      <w:pPr>
        <w:tabs>
          <w:tab w:val="left" w:pos="900"/>
        </w:tabs>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color w:val="000000"/>
          <w:sz w:val="24"/>
          <w:szCs w:val="24"/>
        </w:rPr>
        <w:t>施工期水污染源包括港池疏浚废水</w:t>
      </w:r>
      <w:r>
        <w:rPr>
          <w:rFonts w:hint="eastAsia" w:ascii="Times New Roman" w:hAnsi="Times New Roman" w:eastAsiaTheme="minorEastAsia"/>
          <w:color w:val="000000"/>
          <w:sz w:val="24"/>
          <w:szCs w:val="24"/>
        </w:rPr>
        <w:t>、</w:t>
      </w:r>
      <w:r>
        <w:rPr>
          <w:rFonts w:ascii="Times New Roman" w:hAnsi="Times New Roman" w:eastAsiaTheme="minorEastAsia"/>
          <w:color w:val="000000"/>
          <w:sz w:val="24"/>
          <w:szCs w:val="24"/>
        </w:rPr>
        <w:t>水下方堆存产生的泥浆水</w:t>
      </w:r>
      <w:r>
        <w:rPr>
          <w:rFonts w:hint="eastAsia" w:ascii="Times New Roman" w:hAnsi="Times New Roman" w:eastAsiaTheme="minorEastAsia"/>
          <w:color w:val="000000"/>
          <w:sz w:val="24"/>
          <w:szCs w:val="24"/>
        </w:rPr>
        <w:t>、</w:t>
      </w:r>
      <w:r>
        <w:rPr>
          <w:rFonts w:ascii="Times New Roman" w:hAnsi="Times New Roman" w:eastAsiaTheme="minorEastAsia"/>
          <w:color w:val="000000"/>
          <w:sz w:val="24"/>
          <w:szCs w:val="24"/>
        </w:rPr>
        <w:t>施工</w:t>
      </w:r>
      <w:r>
        <w:rPr>
          <w:rFonts w:hint="eastAsia" w:ascii="Times New Roman" w:hAnsi="Times New Roman" w:eastAsiaTheme="minorEastAsia"/>
          <w:color w:val="000000"/>
          <w:sz w:val="24"/>
          <w:szCs w:val="24"/>
        </w:rPr>
        <w:t>生产</w:t>
      </w:r>
      <w:r>
        <w:rPr>
          <w:rFonts w:ascii="Times New Roman" w:hAnsi="Times New Roman" w:eastAsiaTheme="minorEastAsia"/>
          <w:color w:val="000000"/>
          <w:sz w:val="24"/>
          <w:szCs w:val="24"/>
        </w:rPr>
        <w:t>废水、管线试压废水</w:t>
      </w:r>
      <w:r>
        <w:rPr>
          <w:rFonts w:hint="eastAsia" w:ascii="Times New Roman" w:hAnsi="Times New Roman" w:eastAsiaTheme="minorEastAsia"/>
          <w:color w:val="000000"/>
          <w:sz w:val="24"/>
          <w:szCs w:val="24"/>
        </w:rPr>
        <w:t>、</w:t>
      </w:r>
      <w:r>
        <w:rPr>
          <w:rFonts w:ascii="Times New Roman" w:hAnsi="Times New Roman" w:eastAsiaTheme="minorEastAsia"/>
          <w:color w:val="000000"/>
          <w:sz w:val="24"/>
          <w:szCs w:val="24"/>
        </w:rPr>
        <w:t>施工船舶污水和码头</w:t>
      </w:r>
      <w:r>
        <w:rPr>
          <w:rFonts w:ascii="Times New Roman" w:hAnsi="Times New Roman" w:eastAsiaTheme="minorEastAsia"/>
          <w:kern w:val="0"/>
          <w:sz w:val="24"/>
          <w:szCs w:val="24"/>
        </w:rPr>
        <w:t>陆域及管线施工生活污水。</w:t>
      </w:r>
    </w:p>
    <w:p>
      <w:pPr>
        <w:pStyle w:val="105"/>
        <w:tabs>
          <w:tab w:val="left" w:pos="900"/>
        </w:tabs>
        <w:adjustRightInd w:val="0"/>
        <w:snapToGrid w:val="0"/>
        <w:spacing w:line="360" w:lineRule="auto"/>
        <w:ind w:firstLine="482"/>
        <w:rPr>
          <w:b/>
          <w:color w:val="000000"/>
        </w:rPr>
      </w:pPr>
      <w:r>
        <w:rPr>
          <w:rFonts w:hint="eastAsia"/>
          <w:b/>
          <w:color w:val="000000"/>
        </w:rPr>
        <w:t>1、</w:t>
      </w:r>
      <w:r>
        <w:rPr>
          <w:b/>
          <w:color w:val="000000"/>
        </w:rPr>
        <w:t>港池疏浚废水</w:t>
      </w:r>
    </w:p>
    <w:p>
      <w:pPr>
        <w:pStyle w:val="105"/>
        <w:tabs>
          <w:tab w:val="left" w:pos="900"/>
        </w:tabs>
        <w:adjustRightInd w:val="0"/>
        <w:snapToGrid w:val="0"/>
        <w:spacing w:line="360" w:lineRule="auto"/>
        <w:ind w:firstLine="480"/>
        <w:rPr>
          <w:color w:val="000000"/>
        </w:rPr>
      </w:pPr>
      <w:r>
        <w:rPr>
          <w:rFonts w:hint="eastAsia"/>
          <w:color w:val="000000"/>
        </w:rPr>
        <w:t>本项目</w:t>
      </w:r>
      <w:r>
        <w:rPr>
          <w:color w:val="000000"/>
        </w:rPr>
        <w:t>施工需对码头前沿进行疏浚作业，该部分水下挖方量为</w:t>
      </w:r>
      <w:r>
        <w:rPr>
          <w:rFonts w:hint="eastAsia"/>
          <w:color w:val="000000"/>
        </w:rPr>
        <w:t>4.7万</w:t>
      </w:r>
      <w:r>
        <w:rPr>
          <w:color w:val="000000"/>
        </w:rPr>
        <w:t>m</w:t>
      </w:r>
      <w:r>
        <w:rPr>
          <w:color w:val="000000"/>
          <w:vertAlign w:val="superscript"/>
        </w:rPr>
        <w:t>3</w:t>
      </w:r>
      <w:r>
        <w:rPr>
          <w:rFonts w:hint="eastAsia"/>
          <w:color w:val="000000"/>
        </w:rPr>
        <w:t>。</w:t>
      </w:r>
      <w:r>
        <w:rPr>
          <w:color w:val="000000"/>
        </w:rPr>
        <w:t>港池疏浚采用抓斗式挖泥船挖泥的方法。抓斗式挖泥船是目前在疏滩工程中运用较广泛的一种船舶，它利用旋转式挖泥机的吊杆及钢索来悬挂泥斗；在抓斗本身重量的作用下，放入水底抓取泥土。然后开动斗索绞车，吊斗索即通过吊杆顶端的滑轮，将抓斗关闭，升起，再转动挖泥机到预定点（或泥驳）将泥卸掉。挖泥机又转回挖掘地点，进行挖泥，如此循环作业。</w:t>
      </w:r>
    </w:p>
    <w:p>
      <w:pPr>
        <w:pStyle w:val="105"/>
        <w:tabs>
          <w:tab w:val="left" w:pos="900"/>
        </w:tabs>
        <w:adjustRightInd w:val="0"/>
        <w:snapToGrid w:val="0"/>
        <w:spacing w:line="360" w:lineRule="auto"/>
        <w:ind w:firstLine="480"/>
        <w:rPr>
          <w:color w:val="000000"/>
        </w:rPr>
      </w:pPr>
      <w:r>
        <w:rPr>
          <w:rFonts w:hint="eastAsia"/>
          <w:color w:val="000000"/>
        </w:rPr>
        <w:t>挖泥船</w:t>
      </w:r>
      <w:r>
        <w:rPr>
          <w:color w:val="000000"/>
        </w:rPr>
        <w:t>进行水工作</w:t>
      </w:r>
      <w:r>
        <w:rPr>
          <w:rFonts w:hint="eastAsia"/>
          <w:color w:val="000000"/>
        </w:rPr>
        <w:t>业</w:t>
      </w:r>
      <w:r>
        <w:rPr>
          <w:color w:val="000000"/>
        </w:rPr>
        <w:t>是造成水流扰动，产生大量悬浮物，对项目所在河段水域水质造成影响。悬浮</w:t>
      </w:r>
      <w:r>
        <w:rPr>
          <w:rFonts w:hint="eastAsia"/>
          <w:color w:val="000000"/>
        </w:rPr>
        <w:t>物</w:t>
      </w:r>
      <w:r>
        <w:rPr>
          <w:color w:val="000000"/>
        </w:rPr>
        <w:t>的发生量</w:t>
      </w:r>
      <w:r>
        <w:rPr>
          <w:rFonts w:hint="eastAsia"/>
          <w:color w:val="000000"/>
        </w:rPr>
        <w:t>按照</w:t>
      </w:r>
      <w:r>
        <w:rPr>
          <w:color w:val="000000"/>
        </w:rPr>
        <w:t>《</w:t>
      </w:r>
      <w:r>
        <w:rPr>
          <w:rFonts w:hint="eastAsia"/>
          <w:color w:val="000000"/>
        </w:rPr>
        <w:t>港口</w:t>
      </w:r>
      <w:r>
        <w:rPr>
          <w:color w:val="000000"/>
        </w:rPr>
        <w:t>建设项目环境影响</w:t>
      </w:r>
      <w:r>
        <w:rPr>
          <w:rFonts w:hint="eastAsia"/>
          <w:color w:val="000000"/>
        </w:rPr>
        <w:t>评价</w:t>
      </w:r>
      <w:r>
        <w:rPr>
          <w:color w:val="000000"/>
        </w:rPr>
        <w:t>规范》</w:t>
      </w:r>
      <w:r>
        <w:rPr>
          <w:rFonts w:hint="eastAsia"/>
          <w:color w:val="000000"/>
        </w:rPr>
        <w:t>（JTS105</w:t>
      </w:r>
      <w:r>
        <w:rPr>
          <w:color w:val="000000"/>
        </w:rPr>
        <w:t>-1-2011）</w:t>
      </w:r>
      <w:r>
        <w:rPr>
          <w:rFonts w:hint="eastAsia"/>
          <w:color w:val="000000"/>
        </w:rPr>
        <w:t>推荐</w:t>
      </w:r>
      <w:r>
        <w:rPr>
          <w:color w:val="000000"/>
        </w:rPr>
        <w:t>的</w:t>
      </w:r>
      <w:r>
        <w:rPr>
          <w:rFonts w:hint="eastAsia"/>
          <w:color w:val="000000"/>
        </w:rPr>
        <w:t>经验</w:t>
      </w:r>
      <w:r>
        <w:rPr>
          <w:color w:val="000000"/>
        </w:rPr>
        <w:t>公式进行计算：</w:t>
      </w:r>
    </w:p>
    <w:p>
      <w:pPr>
        <w:pStyle w:val="105"/>
        <w:tabs>
          <w:tab w:val="left" w:pos="900"/>
        </w:tabs>
        <w:adjustRightInd w:val="0"/>
        <w:snapToGrid w:val="0"/>
        <w:spacing w:line="360" w:lineRule="auto"/>
        <w:ind w:firstLine="0" w:firstLineChars="0"/>
        <w:jc w:val="center"/>
        <w:rPr>
          <w:color w:val="000000"/>
        </w:rPr>
      </w:pPr>
      <w:r>
        <w:rPr>
          <w:color w:val="000000"/>
        </w:rPr>
        <w:object>
          <v:shape id="_x0000_i1025" o:spt="75" type="#_x0000_t75" style="height:34.55pt;width:80.05pt;" o:ole="t" filled="f" o:preferrelative="t" stroked="f" coordsize="21600,21600">
            <v:path/>
            <v:fill on="f" focussize="0,0"/>
            <v:stroke on="f" joinstyle="miter"/>
            <v:imagedata r:id="rId37" o:title=""/>
            <o:lock v:ext="edit" aspectratio="t"/>
            <w10:wrap type="none"/>
            <w10:anchorlock/>
          </v:shape>
          <o:OLEObject Type="Embed" ProgID="Equation.3" ShapeID="_x0000_i1025" DrawAspect="Content" ObjectID="_1468075725" r:id="rId36">
            <o:LockedField>false</o:LockedField>
          </o:OLEObject>
        </w:object>
      </w:r>
    </w:p>
    <w:p>
      <w:pPr>
        <w:pStyle w:val="105"/>
        <w:tabs>
          <w:tab w:val="left" w:pos="900"/>
        </w:tabs>
        <w:snapToGrid w:val="0"/>
        <w:spacing w:line="360" w:lineRule="auto"/>
        <w:ind w:firstLine="480"/>
        <w:rPr>
          <w:color w:val="000000"/>
        </w:rPr>
      </w:pPr>
      <w:r>
        <w:rPr>
          <w:color w:val="000000"/>
        </w:rPr>
        <w:t>式中：Q—疏浚时悬浮物发生量，t/h；</w:t>
      </w:r>
    </w:p>
    <w:p>
      <w:pPr>
        <w:pStyle w:val="105"/>
        <w:tabs>
          <w:tab w:val="left" w:pos="900"/>
        </w:tabs>
        <w:snapToGrid w:val="0"/>
        <w:spacing w:line="360" w:lineRule="auto"/>
        <w:ind w:firstLine="1200" w:firstLineChars="500"/>
        <w:rPr>
          <w:color w:val="000000"/>
        </w:rPr>
      </w:pPr>
      <w:r>
        <w:rPr>
          <w:color w:val="000000"/>
        </w:rPr>
        <w:t>W</w:t>
      </w:r>
      <w:r>
        <w:rPr>
          <w:color w:val="000000"/>
          <w:vertAlign w:val="subscript"/>
        </w:rPr>
        <w:t>0</w:t>
      </w:r>
      <w:r>
        <w:rPr>
          <w:color w:val="000000"/>
        </w:rPr>
        <w:t>—悬浮物发生系数，t/m</w:t>
      </w:r>
      <w:r>
        <w:rPr>
          <w:color w:val="000000"/>
          <w:vertAlign w:val="superscript"/>
        </w:rPr>
        <w:t>3</w:t>
      </w:r>
      <w:r>
        <w:rPr>
          <w:color w:val="000000"/>
        </w:rPr>
        <w:t>；</w:t>
      </w:r>
    </w:p>
    <w:p>
      <w:pPr>
        <w:pStyle w:val="105"/>
        <w:tabs>
          <w:tab w:val="left" w:pos="900"/>
        </w:tabs>
        <w:snapToGrid w:val="0"/>
        <w:spacing w:line="360" w:lineRule="auto"/>
        <w:ind w:firstLine="1200" w:firstLineChars="500"/>
        <w:rPr>
          <w:color w:val="000000"/>
        </w:rPr>
      </w:pPr>
      <w:r>
        <w:rPr>
          <w:rFonts w:hint="eastAsia"/>
          <w:color w:val="000000"/>
        </w:rPr>
        <w:t>T</w:t>
      </w:r>
      <w:r>
        <w:rPr>
          <w:color w:val="000000"/>
        </w:rPr>
        <w:t>—</w:t>
      </w:r>
      <w:r>
        <w:rPr>
          <w:rFonts w:hint="eastAsia"/>
          <w:color w:val="000000"/>
        </w:rPr>
        <w:t>挖泥船</w:t>
      </w:r>
      <w:r>
        <w:rPr>
          <w:color w:val="000000"/>
        </w:rPr>
        <w:t>疏浚效率，本工程拟采用</w:t>
      </w:r>
      <w:r>
        <w:rPr>
          <w:rFonts w:hint="eastAsia"/>
          <w:color w:val="000000"/>
        </w:rPr>
        <w:t>2条</w:t>
      </w:r>
      <w:r>
        <w:rPr>
          <w:color w:val="000000"/>
        </w:rPr>
        <w:t>挖泥效率为</w:t>
      </w:r>
      <w:r>
        <w:rPr>
          <w:rFonts w:hint="eastAsia"/>
          <w:color w:val="000000"/>
        </w:rPr>
        <w:t>80</w:t>
      </w:r>
      <w:r>
        <w:rPr>
          <w:color w:val="000000"/>
        </w:rPr>
        <w:t>m</w:t>
      </w:r>
      <w:r>
        <w:rPr>
          <w:color w:val="000000"/>
          <w:vertAlign w:val="superscript"/>
        </w:rPr>
        <w:t>3</w:t>
      </w:r>
      <w:r>
        <w:rPr>
          <w:color w:val="000000"/>
        </w:rPr>
        <w:t>/h的挖泥船进行疏浚作业；</w:t>
      </w:r>
    </w:p>
    <w:p>
      <w:pPr>
        <w:pStyle w:val="105"/>
        <w:tabs>
          <w:tab w:val="left" w:pos="900"/>
        </w:tabs>
        <w:snapToGrid w:val="0"/>
        <w:spacing w:line="360" w:lineRule="auto"/>
        <w:ind w:firstLine="1200" w:firstLineChars="500"/>
        <w:rPr>
          <w:color w:val="000000"/>
        </w:rPr>
      </w:pPr>
      <w:r>
        <w:rPr>
          <w:color w:val="000000"/>
        </w:rPr>
        <w:t>R—发生系数W</w:t>
      </w:r>
      <w:r>
        <w:rPr>
          <w:color w:val="000000"/>
          <w:vertAlign w:val="subscript"/>
        </w:rPr>
        <w:t>0</w:t>
      </w:r>
      <w:r>
        <w:rPr>
          <w:color w:val="000000"/>
        </w:rPr>
        <w:t>时的悬浮物粒径累计百分比</w:t>
      </w:r>
      <w:r>
        <w:rPr>
          <w:rFonts w:hint="eastAsia"/>
          <w:color w:val="000000"/>
        </w:rPr>
        <w:t>，</w:t>
      </w:r>
      <w:r>
        <w:rPr>
          <w:color w:val="000000"/>
        </w:rPr>
        <w:t>%；</w:t>
      </w:r>
    </w:p>
    <w:p>
      <w:pPr>
        <w:pStyle w:val="105"/>
        <w:tabs>
          <w:tab w:val="left" w:pos="900"/>
        </w:tabs>
        <w:snapToGrid w:val="0"/>
        <w:spacing w:line="360" w:lineRule="auto"/>
        <w:ind w:firstLine="1200" w:firstLineChars="500"/>
        <w:rPr>
          <w:color w:val="000000"/>
        </w:rPr>
      </w:pPr>
      <w:r>
        <w:rPr>
          <w:color w:val="000000"/>
        </w:rPr>
        <w:t>R</w:t>
      </w:r>
      <w:r>
        <w:rPr>
          <w:color w:val="000000"/>
          <w:vertAlign w:val="subscript"/>
        </w:rPr>
        <w:t>0</w:t>
      </w:r>
      <w:r>
        <w:rPr>
          <w:color w:val="000000"/>
        </w:rPr>
        <w:t>—现场流速悬浮物临界粒子累计百分比</w:t>
      </w:r>
      <w:r>
        <w:rPr>
          <w:rFonts w:hint="eastAsia"/>
          <w:color w:val="000000"/>
        </w:rPr>
        <w:t>，</w:t>
      </w:r>
      <w:r>
        <w:rPr>
          <w:color w:val="000000"/>
        </w:rPr>
        <w:t>%；</w:t>
      </w:r>
    </w:p>
    <w:p>
      <w:pPr>
        <w:pStyle w:val="105"/>
        <w:tabs>
          <w:tab w:val="left" w:pos="900"/>
        </w:tabs>
        <w:adjustRightInd w:val="0"/>
        <w:snapToGrid w:val="0"/>
        <w:spacing w:line="360" w:lineRule="auto"/>
        <w:ind w:firstLine="480"/>
        <w:rPr>
          <w:color w:val="000000"/>
        </w:rPr>
      </w:pPr>
      <w:r>
        <w:rPr>
          <w:rFonts w:hint="eastAsia"/>
          <w:color w:val="000000"/>
        </w:rPr>
        <w:t>根据</w:t>
      </w:r>
      <w:r>
        <w:rPr>
          <w:color w:val="000000"/>
        </w:rPr>
        <w:t>《</w:t>
      </w:r>
      <w:r>
        <w:rPr>
          <w:rFonts w:hint="eastAsia"/>
          <w:color w:val="000000"/>
        </w:rPr>
        <w:t>港口</w:t>
      </w:r>
      <w:r>
        <w:rPr>
          <w:color w:val="000000"/>
        </w:rPr>
        <w:t>建设项目环境影响</w:t>
      </w:r>
      <w:r>
        <w:rPr>
          <w:rFonts w:hint="eastAsia"/>
          <w:color w:val="000000"/>
        </w:rPr>
        <w:t>评价</w:t>
      </w:r>
      <w:r>
        <w:rPr>
          <w:color w:val="000000"/>
        </w:rPr>
        <w:t>规范》</w:t>
      </w:r>
      <w:r>
        <w:rPr>
          <w:rFonts w:hint="eastAsia"/>
          <w:color w:val="000000"/>
        </w:rPr>
        <w:t>（JTS105</w:t>
      </w:r>
      <w:r>
        <w:rPr>
          <w:color w:val="000000"/>
        </w:rPr>
        <w:t>-1-2011）</w:t>
      </w:r>
      <w:r>
        <w:rPr>
          <w:rFonts w:hint="eastAsia"/>
          <w:color w:val="000000"/>
        </w:rPr>
        <w:t>，各系数取值</w:t>
      </w:r>
      <w:r>
        <w:rPr>
          <w:color w:val="000000"/>
        </w:rPr>
        <w:t>按表</w:t>
      </w:r>
      <w:r>
        <w:rPr>
          <w:rFonts w:hint="eastAsia"/>
          <w:color w:val="000000"/>
        </w:rPr>
        <w:t>3.3</w:t>
      </w:r>
      <w:r>
        <w:rPr>
          <w:color w:val="000000"/>
        </w:rPr>
        <w:t>-3</w:t>
      </w:r>
      <w:r>
        <w:rPr>
          <w:rFonts w:hint="eastAsia"/>
          <w:color w:val="000000"/>
        </w:rPr>
        <w:t>取值。</w:t>
      </w:r>
    </w:p>
    <w:p>
      <w:pPr>
        <w:pStyle w:val="132"/>
        <w:spacing w:line="276" w:lineRule="auto"/>
        <w:jc w:val="center"/>
        <w:rPr>
          <w:bCs w:val="0"/>
          <w:sz w:val="24"/>
          <w:szCs w:val="24"/>
        </w:rPr>
      </w:pPr>
      <w:r>
        <w:rPr>
          <w:bCs w:val="0"/>
          <w:sz w:val="24"/>
          <w:szCs w:val="24"/>
        </w:rPr>
        <w:t>表3.3-3  疏浚悬浮物粒径分布参考值</w:t>
      </w:r>
    </w:p>
    <w:tbl>
      <w:tblPr>
        <w:tblStyle w:val="7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8"/>
        <w:gridCol w:w="1655"/>
        <w:gridCol w:w="1892"/>
        <w:gridCol w:w="31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8" w:type="dxa"/>
            <w:tcMar>
              <w:top w:w="0" w:type="dxa"/>
              <w:left w:w="0" w:type="dxa"/>
              <w:bottom w:w="0" w:type="dxa"/>
              <w:right w:w="0" w:type="dxa"/>
            </w:tcMar>
            <w:vAlign w:val="center"/>
          </w:tcPr>
          <w:p>
            <w:pPr>
              <w:pStyle w:val="157"/>
              <w:adjustRightInd w:val="0"/>
              <w:snapToGrid w:val="0"/>
              <w:spacing w:line="240" w:lineRule="auto"/>
              <w:rPr>
                <w:b/>
                <w:sz w:val="21"/>
                <w:szCs w:val="21"/>
              </w:rPr>
            </w:pPr>
            <w:r>
              <w:rPr>
                <w:b/>
                <w:sz w:val="21"/>
                <w:szCs w:val="21"/>
              </w:rPr>
              <w:t>施工项目</w:t>
            </w:r>
          </w:p>
        </w:tc>
        <w:tc>
          <w:tcPr>
            <w:tcW w:w="1655" w:type="dxa"/>
            <w:tcMar>
              <w:top w:w="0" w:type="dxa"/>
              <w:left w:w="0" w:type="dxa"/>
              <w:bottom w:w="0" w:type="dxa"/>
              <w:right w:w="0" w:type="dxa"/>
            </w:tcMar>
            <w:vAlign w:val="center"/>
          </w:tcPr>
          <w:p>
            <w:pPr>
              <w:pStyle w:val="157"/>
              <w:adjustRightInd w:val="0"/>
              <w:snapToGrid w:val="0"/>
              <w:spacing w:line="240" w:lineRule="auto"/>
              <w:rPr>
                <w:b/>
                <w:sz w:val="21"/>
                <w:szCs w:val="21"/>
              </w:rPr>
            </w:pPr>
            <w:r>
              <w:rPr>
                <w:b/>
                <w:sz w:val="21"/>
                <w:szCs w:val="21"/>
              </w:rPr>
              <w:t>R</w:t>
            </w:r>
          </w:p>
        </w:tc>
        <w:tc>
          <w:tcPr>
            <w:tcW w:w="1892" w:type="dxa"/>
            <w:tcMar>
              <w:top w:w="0" w:type="dxa"/>
              <w:left w:w="0" w:type="dxa"/>
              <w:bottom w:w="0" w:type="dxa"/>
              <w:right w:w="0" w:type="dxa"/>
            </w:tcMar>
            <w:vAlign w:val="center"/>
          </w:tcPr>
          <w:p>
            <w:pPr>
              <w:pStyle w:val="157"/>
              <w:adjustRightInd w:val="0"/>
              <w:snapToGrid w:val="0"/>
              <w:spacing w:line="240" w:lineRule="auto"/>
              <w:rPr>
                <w:b/>
                <w:sz w:val="21"/>
                <w:szCs w:val="21"/>
              </w:rPr>
            </w:pPr>
            <w:r>
              <w:rPr>
                <w:b/>
                <w:sz w:val="21"/>
                <w:szCs w:val="21"/>
              </w:rPr>
              <w:t>R</w:t>
            </w:r>
            <w:r>
              <w:rPr>
                <w:b/>
                <w:sz w:val="21"/>
                <w:szCs w:val="21"/>
                <w:vertAlign w:val="subscript"/>
              </w:rPr>
              <w:t>0</w:t>
            </w:r>
          </w:p>
        </w:tc>
        <w:tc>
          <w:tcPr>
            <w:tcW w:w="3185" w:type="dxa"/>
            <w:tcMar>
              <w:top w:w="0" w:type="dxa"/>
              <w:left w:w="0" w:type="dxa"/>
              <w:bottom w:w="0" w:type="dxa"/>
              <w:right w:w="0" w:type="dxa"/>
            </w:tcMar>
            <w:vAlign w:val="center"/>
          </w:tcPr>
          <w:p>
            <w:pPr>
              <w:pStyle w:val="157"/>
              <w:adjustRightInd w:val="0"/>
              <w:snapToGrid w:val="0"/>
              <w:spacing w:line="240" w:lineRule="auto"/>
              <w:rPr>
                <w:b/>
                <w:sz w:val="21"/>
                <w:szCs w:val="21"/>
              </w:rPr>
            </w:pPr>
            <w:r>
              <w:rPr>
                <w:b/>
                <w:sz w:val="21"/>
                <w:szCs w:val="21"/>
              </w:rPr>
              <w:t>W</w:t>
            </w:r>
            <w:r>
              <w:rPr>
                <w:b/>
                <w:sz w:val="21"/>
                <w:szCs w:val="21"/>
                <w:vertAlign w:val="subscript"/>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8"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填筑</w:t>
            </w:r>
          </w:p>
        </w:tc>
        <w:tc>
          <w:tcPr>
            <w:tcW w:w="1655"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23.0%</w:t>
            </w:r>
          </w:p>
        </w:tc>
        <w:tc>
          <w:tcPr>
            <w:tcW w:w="1892"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36.55%</w:t>
            </w:r>
          </w:p>
        </w:tc>
        <w:tc>
          <w:tcPr>
            <w:tcW w:w="3185"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1.49×10</w:t>
            </w:r>
            <w:r>
              <w:rPr>
                <w:sz w:val="21"/>
                <w:szCs w:val="21"/>
                <w:vertAlign w:val="superscript"/>
              </w:rPr>
              <w:t>-3</w:t>
            </w:r>
            <w:r>
              <w:rPr>
                <w:sz w:val="21"/>
                <w:szCs w:val="21"/>
              </w:rPr>
              <w:t>t/m</w:t>
            </w:r>
            <w:r>
              <w:rPr>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8"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疏浚</w:t>
            </w:r>
          </w:p>
        </w:tc>
        <w:tc>
          <w:tcPr>
            <w:tcW w:w="1655"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89.2%</w:t>
            </w:r>
          </w:p>
        </w:tc>
        <w:tc>
          <w:tcPr>
            <w:tcW w:w="1892"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80.2%</w:t>
            </w:r>
          </w:p>
        </w:tc>
        <w:tc>
          <w:tcPr>
            <w:tcW w:w="3185" w:type="dxa"/>
            <w:tcMar>
              <w:top w:w="0" w:type="dxa"/>
              <w:left w:w="0" w:type="dxa"/>
              <w:bottom w:w="0" w:type="dxa"/>
              <w:right w:w="0" w:type="dxa"/>
            </w:tcMar>
            <w:vAlign w:val="center"/>
          </w:tcPr>
          <w:p>
            <w:pPr>
              <w:pStyle w:val="157"/>
              <w:adjustRightInd w:val="0"/>
              <w:snapToGrid w:val="0"/>
              <w:spacing w:line="240" w:lineRule="auto"/>
              <w:rPr>
                <w:sz w:val="21"/>
                <w:szCs w:val="21"/>
              </w:rPr>
            </w:pPr>
            <w:r>
              <w:rPr>
                <w:sz w:val="21"/>
                <w:szCs w:val="21"/>
              </w:rPr>
              <w:t>38.0×10</w:t>
            </w:r>
            <w:r>
              <w:rPr>
                <w:sz w:val="21"/>
                <w:szCs w:val="21"/>
                <w:vertAlign w:val="superscript"/>
              </w:rPr>
              <w:t>-3</w:t>
            </w:r>
            <w:r>
              <w:rPr>
                <w:sz w:val="21"/>
                <w:szCs w:val="21"/>
              </w:rPr>
              <w:t>t/m</w:t>
            </w:r>
            <w:r>
              <w:rPr>
                <w:sz w:val="21"/>
                <w:szCs w:val="21"/>
                <w:vertAlign w:val="superscript"/>
              </w:rPr>
              <w:t>3</w:t>
            </w:r>
          </w:p>
        </w:tc>
      </w:tr>
    </w:tbl>
    <w:p>
      <w:pPr>
        <w:pStyle w:val="105"/>
        <w:tabs>
          <w:tab w:val="left" w:pos="900"/>
        </w:tabs>
        <w:adjustRightInd w:val="0"/>
        <w:snapToGrid w:val="0"/>
        <w:spacing w:line="360" w:lineRule="auto"/>
        <w:ind w:firstLine="480"/>
        <w:rPr>
          <w:color w:val="000000"/>
        </w:rPr>
      </w:pPr>
    </w:p>
    <w:p>
      <w:pPr>
        <w:pStyle w:val="105"/>
        <w:tabs>
          <w:tab w:val="left" w:pos="900"/>
        </w:tabs>
        <w:adjustRightInd w:val="0"/>
        <w:snapToGrid w:val="0"/>
        <w:spacing w:line="360" w:lineRule="auto"/>
        <w:ind w:firstLine="480"/>
        <w:rPr>
          <w:color w:val="000000"/>
        </w:rPr>
      </w:pPr>
      <w:r>
        <w:rPr>
          <w:rFonts w:hint="eastAsia"/>
          <w:color w:val="000000"/>
        </w:rPr>
        <w:t>根据</w:t>
      </w:r>
      <w:r>
        <w:rPr>
          <w:color w:val="000000"/>
        </w:rPr>
        <w:t>经验公式计算，港池疏浚时悬浮物产生量为6.76t/h，浓度为300~400mg/l。本项目疏浚量较少，疏浚时间较短，</w:t>
      </w:r>
      <w:r>
        <w:rPr>
          <w:rFonts w:hint="eastAsia"/>
          <w:color w:val="000000"/>
        </w:rPr>
        <w:t>悬浮</w:t>
      </w:r>
      <w:r>
        <w:rPr>
          <w:color w:val="000000"/>
        </w:rPr>
        <w:t>物大部分在短距离的沉降后入河道，少部分随水流水平</w:t>
      </w:r>
      <w:r>
        <w:rPr>
          <w:rFonts w:hint="eastAsia"/>
          <w:color w:val="000000"/>
        </w:rPr>
        <w:t>迁移</w:t>
      </w:r>
      <w:r>
        <w:rPr>
          <w:color w:val="000000"/>
        </w:rPr>
        <w:t>。因此</w:t>
      </w:r>
      <w:r>
        <w:rPr>
          <w:rFonts w:hint="eastAsia"/>
          <w:color w:val="000000"/>
        </w:rPr>
        <w:t>，</w:t>
      </w:r>
      <w:r>
        <w:rPr>
          <w:color w:val="000000"/>
        </w:rPr>
        <w:t>疏浚产生的悬浮物对周边水环境</w:t>
      </w:r>
      <w:r>
        <w:rPr>
          <w:rFonts w:hint="eastAsia"/>
          <w:color w:val="000000"/>
          <w:lang w:val="en-US" w:eastAsia="zh-CN"/>
        </w:rPr>
        <w:t>及下游取水口</w:t>
      </w:r>
      <w:r>
        <w:rPr>
          <w:color w:val="000000"/>
        </w:rPr>
        <w:t>影响较小</w:t>
      </w:r>
      <w:r>
        <w:rPr>
          <w:rFonts w:hint="eastAsia"/>
          <w:color w:val="000000"/>
        </w:rPr>
        <w:t>。</w:t>
      </w:r>
    </w:p>
    <w:p>
      <w:pPr>
        <w:pStyle w:val="105"/>
        <w:tabs>
          <w:tab w:val="left" w:pos="900"/>
        </w:tabs>
        <w:adjustRightInd w:val="0"/>
        <w:snapToGrid w:val="0"/>
        <w:spacing w:line="360" w:lineRule="auto"/>
        <w:ind w:firstLine="480"/>
        <w:rPr>
          <w:color w:val="FF0000"/>
          <w:u w:val="single"/>
        </w:rPr>
      </w:pPr>
      <w:r>
        <w:rPr>
          <w:rFonts w:hint="eastAsia"/>
          <w:color w:val="FF0000"/>
          <w:u w:val="single"/>
        </w:rPr>
        <w:t>疏浚物运去后方抛泥区，干化后做为码头作业平台的填方。抛泥区进行围堰，围堰四周设置排水沟，下方</w:t>
      </w:r>
      <w:r>
        <w:rPr>
          <w:rFonts w:hint="eastAsia" w:ascii="Times New Roman" w:hAnsi="Times New Roman" w:cs="Times New Roman"/>
          <w:color w:val="FF0000"/>
          <w:u w:val="single"/>
        </w:rPr>
        <w:t>设置集水池，集水沉淀</w:t>
      </w:r>
      <w:r>
        <w:rPr>
          <w:rFonts w:hint="eastAsia" w:ascii="Times New Roman" w:hAnsi="Times New Roman" w:cs="Times New Roman"/>
          <w:color w:val="FF0000"/>
          <w:u w:val="single"/>
          <w:lang w:val="en-US" w:eastAsia="zh-CN"/>
        </w:rPr>
        <w:t>后用作施工区域洒水降尘，不能回用的</w:t>
      </w:r>
      <w:r>
        <w:rPr>
          <w:rFonts w:hint="eastAsia" w:ascii="Times New Roman" w:hAnsi="Times New Roman" w:cs="Times New Roman"/>
          <w:color w:val="FF0000"/>
          <w:u w:val="single"/>
        </w:rPr>
        <w:t>排入长炼第二污水处理厂。</w:t>
      </w:r>
    </w:p>
    <w:p>
      <w:pPr>
        <w:pStyle w:val="105"/>
        <w:tabs>
          <w:tab w:val="left" w:pos="900"/>
        </w:tabs>
        <w:adjustRightInd w:val="0"/>
        <w:snapToGrid w:val="0"/>
        <w:spacing w:line="360" w:lineRule="auto"/>
        <w:ind w:firstLine="482"/>
        <w:rPr>
          <w:b/>
          <w:color w:val="000000"/>
        </w:rPr>
      </w:pPr>
      <w:r>
        <w:rPr>
          <w:b/>
          <w:color w:val="000000"/>
        </w:rPr>
        <w:t>2</w:t>
      </w:r>
      <w:r>
        <w:rPr>
          <w:rFonts w:hint="eastAsia"/>
          <w:b/>
          <w:color w:val="000000"/>
        </w:rPr>
        <w:t>、</w:t>
      </w:r>
      <w:r>
        <w:rPr>
          <w:b/>
          <w:color w:val="000000"/>
        </w:rPr>
        <w:t>水下方堆存产生的泥浆水</w:t>
      </w:r>
    </w:p>
    <w:p>
      <w:pPr>
        <w:pStyle w:val="105"/>
        <w:tabs>
          <w:tab w:val="left" w:pos="900"/>
        </w:tabs>
        <w:adjustRightInd w:val="0"/>
        <w:snapToGrid w:val="0"/>
        <w:spacing w:line="360" w:lineRule="auto"/>
        <w:ind w:firstLine="480"/>
        <w:rPr>
          <w:color w:val="000000"/>
        </w:rPr>
      </w:pPr>
      <w:r>
        <w:rPr>
          <w:color w:val="000000"/>
        </w:rPr>
        <w:t>本项目疏浚产生的水下方在码头</w:t>
      </w:r>
      <w:r>
        <w:rPr>
          <w:rFonts w:hint="eastAsia"/>
          <w:color w:val="000000"/>
        </w:rPr>
        <w:t>部</w:t>
      </w:r>
      <w:r>
        <w:rPr>
          <w:color w:val="000000"/>
        </w:rPr>
        <w:t>用地范围内堆存，经风干后，用于码头作业平台的回填土。由于水下方含水量较大</w:t>
      </w:r>
      <w:r>
        <w:rPr>
          <w:rFonts w:hint="eastAsia"/>
          <w:color w:val="000000"/>
        </w:rPr>
        <w:t>，</w:t>
      </w:r>
      <w:r>
        <w:rPr>
          <w:color w:val="000000"/>
        </w:rPr>
        <w:t>堆存过程中产生溢流的泥浆水</w:t>
      </w:r>
      <w:r>
        <w:rPr>
          <w:rFonts w:hint="eastAsia"/>
          <w:color w:val="000000"/>
        </w:rPr>
        <w:t>，</w:t>
      </w:r>
      <w:r>
        <w:rPr>
          <w:color w:val="000000"/>
        </w:rPr>
        <w:t>主要污染物为悬浮物。该部分土方约4.7万m</w:t>
      </w:r>
      <w:r>
        <w:rPr>
          <w:color w:val="000000"/>
          <w:vertAlign w:val="superscript"/>
        </w:rPr>
        <w:t>3</w:t>
      </w:r>
      <w:r>
        <w:rPr>
          <w:color w:val="000000"/>
        </w:rPr>
        <w:t>，含水量按30%计，约产生溢流泥浆水1.41万m</w:t>
      </w:r>
      <w:r>
        <w:rPr>
          <w:color w:val="000000"/>
          <w:vertAlign w:val="superscript"/>
        </w:rPr>
        <w:t>3</w:t>
      </w:r>
      <w:r>
        <w:rPr>
          <w:color w:val="000000"/>
        </w:rPr>
        <w:t>。溢流泥浆水经堆场溢流堰流出，在堆场设置的沉淀池内沉淀后部分回用于施工现场抑尘用水等</w:t>
      </w:r>
      <w:r>
        <w:rPr>
          <w:rFonts w:hint="eastAsia"/>
          <w:color w:val="000000"/>
        </w:rPr>
        <w:t>，</w:t>
      </w:r>
      <w:r>
        <w:rPr>
          <w:color w:val="000000"/>
        </w:rPr>
        <w:t>其余部分排入</w:t>
      </w:r>
      <w:r>
        <w:rPr>
          <w:rFonts w:hint="eastAsia"/>
          <w:color w:val="000000"/>
        </w:rPr>
        <w:t>周边</w:t>
      </w:r>
      <w:r>
        <w:rPr>
          <w:color w:val="000000"/>
        </w:rPr>
        <w:t>沟渠。类比同类工程，经沉淀处理的泥浆水中悬浮物含量接近原水背景值，按70mg/L计，则本项目施工期泥浆水排放的悬浮物总量为0.987t。</w:t>
      </w:r>
    </w:p>
    <w:p>
      <w:pPr>
        <w:pStyle w:val="105"/>
        <w:tabs>
          <w:tab w:val="left" w:pos="900"/>
        </w:tabs>
        <w:adjustRightInd w:val="0"/>
        <w:snapToGrid w:val="0"/>
        <w:spacing w:line="360" w:lineRule="auto"/>
        <w:ind w:firstLine="482"/>
        <w:rPr>
          <w:rFonts w:eastAsiaTheme="minorEastAsia"/>
          <w:b/>
          <w:color w:val="000000"/>
        </w:rPr>
      </w:pPr>
      <w:r>
        <w:rPr>
          <w:rFonts w:eastAsiaTheme="minorEastAsia"/>
          <w:b/>
          <w:color w:val="000000"/>
        </w:rPr>
        <w:t>3、施工</w:t>
      </w:r>
      <w:r>
        <w:rPr>
          <w:rFonts w:hint="eastAsia" w:eastAsiaTheme="minorEastAsia"/>
          <w:b/>
          <w:color w:val="000000"/>
        </w:rPr>
        <w:t>生产</w:t>
      </w:r>
      <w:r>
        <w:rPr>
          <w:rFonts w:eastAsiaTheme="minorEastAsia"/>
          <w:b/>
          <w:color w:val="000000"/>
        </w:rPr>
        <w:t>废水</w:t>
      </w:r>
    </w:p>
    <w:p>
      <w:pPr>
        <w:pStyle w:val="105"/>
        <w:tabs>
          <w:tab w:val="left" w:pos="900"/>
        </w:tabs>
        <w:adjustRightInd w:val="0"/>
        <w:snapToGrid w:val="0"/>
        <w:spacing w:line="360" w:lineRule="auto"/>
        <w:ind w:firstLine="480"/>
        <w:rPr>
          <w:color w:val="000000"/>
        </w:rPr>
      </w:pPr>
      <w:r>
        <w:rPr>
          <w:rFonts w:hint="eastAsia" w:ascii="宋体" w:hAnsi="宋体" w:cs="宋体"/>
          <w:color w:val="000000"/>
        </w:rPr>
        <w:t xml:space="preserve">⑴ </w:t>
      </w:r>
      <w:r>
        <w:rPr>
          <w:color w:val="000000"/>
        </w:rPr>
        <w:t>码头主体结构施工废水</w:t>
      </w:r>
    </w:p>
    <w:p>
      <w:pPr>
        <w:pStyle w:val="105"/>
        <w:tabs>
          <w:tab w:val="left" w:pos="900"/>
        </w:tabs>
        <w:adjustRightInd w:val="0"/>
        <w:snapToGrid w:val="0"/>
        <w:spacing w:line="360" w:lineRule="auto"/>
        <w:ind w:firstLine="480"/>
        <w:rPr>
          <w:color w:val="000000"/>
        </w:rPr>
      </w:pPr>
      <w:r>
        <w:rPr>
          <w:color w:val="000000"/>
        </w:rPr>
        <w:t>码头主体结构的水域施工会对河流底泥进行扰动，造成施工区域附近水中SS浓度增高，影响水体水质。本项目码头主体结构的水域施工采取围堰法，码头主体结构施工过程在围堰内完成，对围堰外水域的影响较小，对水体的扰动仅发生在围堰的安装和拆除过程。根据同类工程类比分析，围堰安装和拆除过程中，局部水域的SS浓度在80~160mg/L之间，但施工点下游100m范围外SS增量不超过50mg/L。</w:t>
      </w:r>
    </w:p>
    <w:p>
      <w:pPr>
        <w:pStyle w:val="105"/>
        <w:tabs>
          <w:tab w:val="left" w:pos="900"/>
        </w:tabs>
        <w:adjustRightInd w:val="0"/>
        <w:snapToGrid w:val="0"/>
        <w:spacing w:line="360" w:lineRule="auto"/>
        <w:ind w:firstLine="480"/>
        <w:rPr>
          <w:color w:val="000000"/>
        </w:rPr>
      </w:pPr>
      <w:r>
        <w:rPr>
          <w:rFonts w:hint="eastAsia" w:ascii="宋体" w:hAnsi="宋体" w:cs="宋体"/>
          <w:color w:val="000000"/>
        </w:rPr>
        <w:t xml:space="preserve">⑵ </w:t>
      </w:r>
      <w:r>
        <w:rPr>
          <w:color w:val="000000"/>
        </w:rPr>
        <w:t>施工场地废水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码头施工过程中的混凝土拌和等会产生一定数量的拌和废水，主要污染因子为SS，浓度可达到2000~4000mg/L，经简易沉淀池沉淀处理后回用于混凝土拌和，不排放。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小部分预制件生产及混凝土构筑物浇筑和养护将产生废水，为间歇式排放。根据同类工程类比分析，工程产生碱性废水最大2t/d，污水中主要污染因子为SS、pH，SS浓度约500mg/L，pH值为8~9。</w:t>
      </w:r>
    </w:p>
    <w:p>
      <w:pPr>
        <w:pStyle w:val="105"/>
        <w:tabs>
          <w:tab w:val="left" w:pos="900"/>
        </w:tabs>
        <w:adjustRightInd w:val="0"/>
        <w:snapToGrid w:val="0"/>
        <w:spacing w:line="360" w:lineRule="auto"/>
        <w:ind w:firstLine="480"/>
        <w:rPr>
          <w:color w:val="000000"/>
        </w:rPr>
      </w:pPr>
      <w:r>
        <w:rPr>
          <w:color w:val="000000"/>
        </w:rPr>
        <w:t>施工机械跑、冒、滴、漏的污油及露天机械受雨水冲刷后产生的油水污染，施工场地砂石材料冲洗废水等</w:t>
      </w:r>
      <w:r>
        <w:rPr>
          <w:rFonts w:hint="eastAsia"/>
          <w:color w:val="000000"/>
        </w:rPr>
        <w:t>；</w:t>
      </w:r>
      <w:r>
        <w:rPr>
          <w:color w:val="000000"/>
        </w:rPr>
        <w:t>施工废水量较小，污水中成分较为简单，</w:t>
      </w:r>
      <w:r>
        <w:rPr>
          <w:rFonts w:hint="eastAsia"/>
          <w:color w:val="000000"/>
        </w:rPr>
        <w:t>一</w:t>
      </w:r>
      <w:r>
        <w:rPr>
          <w:color w:val="000000"/>
        </w:rPr>
        <w:t>般为SS和少量的石油类。</w:t>
      </w:r>
    </w:p>
    <w:p>
      <w:pPr>
        <w:pStyle w:val="105"/>
        <w:tabs>
          <w:tab w:val="left" w:pos="900"/>
        </w:tabs>
        <w:adjustRightInd w:val="0"/>
        <w:snapToGrid w:val="0"/>
        <w:spacing w:line="360" w:lineRule="auto"/>
        <w:ind w:firstLine="480"/>
        <w:rPr>
          <w:color w:val="000000"/>
        </w:rPr>
      </w:pPr>
      <w:r>
        <w:rPr>
          <w:color w:val="000000"/>
        </w:rPr>
        <w:t>此外</w:t>
      </w:r>
      <w:r>
        <w:rPr>
          <w:rFonts w:hint="eastAsia"/>
          <w:color w:val="000000"/>
        </w:rPr>
        <w:t>，</w:t>
      </w:r>
      <w:r>
        <w:rPr>
          <w:color w:val="000000"/>
        </w:rPr>
        <w:t>施工机械冲洗将产生少量冲洗废水</w:t>
      </w:r>
      <w:r>
        <w:rPr>
          <w:rFonts w:hint="eastAsia"/>
          <w:color w:val="000000"/>
        </w:rPr>
        <w:t>，</w:t>
      </w:r>
      <w:r>
        <w:rPr>
          <w:color w:val="000000"/>
        </w:rPr>
        <w:t>施工机械按5部计</w:t>
      </w:r>
      <w:r>
        <w:rPr>
          <w:rFonts w:hint="eastAsia"/>
          <w:color w:val="000000"/>
        </w:rPr>
        <w:t>，</w:t>
      </w:r>
      <w:r>
        <w:rPr>
          <w:color w:val="000000"/>
        </w:rPr>
        <w:t>每部冲洗水量按500L/部计，每天冲洗1次，则施工机械冲洗废水发生量为2.5m/d。参照《公路建设项目环境影响评价规范》</w:t>
      </w:r>
      <w:r>
        <w:rPr>
          <w:rFonts w:hint="eastAsia"/>
          <w:color w:val="000000"/>
        </w:rPr>
        <w:t>（</w:t>
      </w:r>
      <w:r>
        <w:rPr>
          <w:color w:val="000000"/>
        </w:rPr>
        <w:t>JBG-B03-2006</w:t>
      </w:r>
      <w:r>
        <w:rPr>
          <w:rFonts w:hint="eastAsia"/>
          <w:color w:val="000000"/>
        </w:rPr>
        <w:t>）</w:t>
      </w:r>
      <w:r>
        <w:rPr>
          <w:color w:val="000000"/>
        </w:rPr>
        <w:t>冲洗汽车污水成分参考值，施工机械废水的主要污染物浓度为COD200mg/L、SS2000mg/L、石油类30mg/L。采用隔油池、沉淀池处理施工机械冲洗废水，处理达标后回用于施工机械冲洗，不外排。</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4、管线试压废水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管道工程分段试压以测试管道的强度和严密性，试压介质为洁净水。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管道工程试压一般采用无腐蚀性的清洁水进行分段试压，试压水进行重复利用，试压水重复利用率可达50%以上。管道工程投入使用之前应采用清管设施进行清管。本项目只在管道运行初期清管，运行过程中无清管和扫气，清管的合格标准为管道末端排出的水是无泥沙、无铁屑的洁净水。</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5、施工船舶污水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施工船舶污水包括船舶舱底油污水和船舶生活污水。船舶水上施工按240天计。</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根据《港口工程环境保护设计规范》（JTS149-1-2007），1000~3000吨级船舶舱底油污水水量为0.27~0.81t/d•艘，本项目施工船舶多为1000吨级，按3艘施工船舶同时工作估算，施工船舶舱底油污水产生量约为0.81t/d，共产生污水194.4t。污水中石油类平均浓度为5000mg/L，石油类产生量为4.05kg/d，根据规定，船舶舱底油污水需经自带的油水分离器处理，石油类的浓度不大于15mg/L。</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船舶生活污水发生量按120L/d•人，施工船舶工作人员按35人计，排污系数取0.8，船舶上工作人员施工期船舶生活污水量为1226.4m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，污水中主要污染因子为COD和BOD</w:t>
      </w:r>
      <w:r>
        <w:rPr>
          <w:rFonts w:ascii="Times New Roman" w:hAnsi="Times New Roman" w:eastAsiaTheme="minorEastAsia"/>
          <w:color w:val="000000"/>
          <w:sz w:val="24"/>
          <w:szCs w:val="24"/>
          <w:vertAlign w:val="subscript"/>
        </w:rPr>
        <w:t>5</w:t>
      </w:r>
      <w:r>
        <w:rPr>
          <w:rFonts w:ascii="Times New Roman" w:hAnsi="Times New Roman" w:eastAsiaTheme="minorEastAsia"/>
          <w:color w:val="000000"/>
          <w:sz w:val="24"/>
          <w:szCs w:val="24"/>
        </w:rPr>
        <w:t>，根据同类项目有关资料类比分析，其污染物浓度取COD取400mg/L、BOD取200mg/L、氨氮浓度取40mg/L、SS取300mg/L。</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港口建设项目环境影响评价规范》，船舶应设置与船舶污水、生活污水发生量相当的储存容器，本项目船舶生活污水和含油废水经船主收集送海事部门指定单位收集并负责处理。建设单位在施工招标时，应明确施工单位落实船舶油污水处理责任。其污染物排放情况具体见表3.3-4。</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表3.3-4  施工期船舶废水污染产生情况表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834"/>
        <w:gridCol w:w="491"/>
        <w:gridCol w:w="486"/>
        <w:gridCol w:w="491"/>
        <w:gridCol w:w="486"/>
        <w:gridCol w:w="491"/>
        <w:gridCol w:w="486"/>
        <w:gridCol w:w="491"/>
        <w:gridCol w:w="590"/>
        <w:gridCol w:w="491"/>
        <w:gridCol w:w="410"/>
        <w:gridCol w:w="19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废水量</w:t>
            </w:r>
          </w:p>
        </w:tc>
        <w:tc>
          <w:tcPr>
            <w:tcW w:w="53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COD</w:t>
            </w:r>
          </w:p>
        </w:tc>
        <w:tc>
          <w:tcPr>
            <w:tcW w:w="53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BOD</w:t>
            </w:r>
            <w:r>
              <w:rPr>
                <w:rFonts w:ascii="Times New Roman" w:hAnsi="Times New Roman" w:eastAsiaTheme="minorEastAsia"/>
                <w:b/>
                <w:color w:val="000000"/>
                <w:kern w:val="0"/>
                <w:vertAlign w:val="subscript"/>
              </w:rPr>
              <w:t>5</w:t>
            </w:r>
          </w:p>
        </w:tc>
        <w:tc>
          <w:tcPr>
            <w:tcW w:w="53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SS</w:t>
            </w:r>
          </w:p>
        </w:tc>
        <w:tc>
          <w:tcPr>
            <w:tcW w:w="594"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氨氮</w:t>
            </w:r>
          </w:p>
        </w:tc>
        <w:tc>
          <w:tcPr>
            <w:tcW w:w="495"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石油类</w:t>
            </w:r>
          </w:p>
        </w:tc>
        <w:tc>
          <w:tcPr>
            <w:tcW w:w="1062"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w:t>
            </w:r>
            <w:r>
              <w:rPr>
                <w:rFonts w:ascii="Times New Roman" w:hAnsi="Times New Roman" w:eastAsiaTheme="minorEastAsia"/>
                <w:b/>
                <w:color w:val="000000"/>
                <w:kern w:val="0"/>
                <w:vertAlign w:val="superscript"/>
              </w:rPr>
              <w:t>3</w:t>
            </w:r>
            <w:r>
              <w:rPr>
                <w:rFonts w:ascii="Times New Roman" w:hAnsi="Times New Roman" w:eastAsiaTheme="minorEastAsia"/>
                <w:b/>
                <w:color w:val="000000"/>
                <w:kern w:val="0"/>
              </w:rPr>
              <w:t>/d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324"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1062"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船舶含油污水</w:t>
            </w: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0.81</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1000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0.81</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324"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5000</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4.05</w:t>
            </w:r>
          </w:p>
        </w:tc>
        <w:tc>
          <w:tcPr>
            <w:tcW w:w="1062"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海事部门环保船收集处理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3.36</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1.344</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0.672</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1.008</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324"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0.1344</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062"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6、码头陆域及管线施工生活污水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施工人员生活用水量取120L/人•d，污水排放系数取0.8，污染物浓度取COD取400mg/L、BOD</w:t>
      </w:r>
      <w:r>
        <w:rPr>
          <w:rFonts w:ascii="Times New Roman" w:hAnsi="Times New Roman" w:eastAsiaTheme="minorEastAsia"/>
          <w:color w:val="000000"/>
          <w:sz w:val="24"/>
          <w:szCs w:val="24"/>
          <w:vertAlign w:val="subscript"/>
        </w:rPr>
        <w:t>5</w:t>
      </w:r>
      <w:r>
        <w:rPr>
          <w:rFonts w:ascii="Times New Roman" w:hAnsi="Times New Roman" w:eastAsiaTheme="minorEastAsia"/>
          <w:color w:val="000000"/>
          <w:sz w:val="24"/>
          <w:szCs w:val="24"/>
        </w:rPr>
        <w:t>取200mg/L、氨氮浓度取40mg/L、SS取300mg/L。施工高峰期施工人数约50人。施工生活设施设置在陆域，在工棚建设临时化粪池，处理后的生活污水通过污水管网进入长岭分公司第二污水处理厂，最终处理达标后排入长江。</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表3.3-5  施工期生活污水污染发生情况表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03"/>
        <w:gridCol w:w="1438"/>
        <w:gridCol w:w="489"/>
        <w:gridCol w:w="407"/>
        <w:gridCol w:w="562"/>
        <w:gridCol w:w="407"/>
        <w:gridCol w:w="489"/>
        <w:gridCol w:w="407"/>
        <w:gridCol w:w="489"/>
        <w:gridCol w:w="483"/>
        <w:gridCol w:w="31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45"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794"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sz w:val="24"/>
                <w:szCs w:val="24"/>
              </w:rPr>
            </w:pPr>
            <w:r>
              <w:rPr>
                <w:rFonts w:ascii="Times New Roman" w:hAnsi="Times New Roman" w:eastAsiaTheme="minorEastAsia"/>
                <w:b/>
                <w:color w:val="000000"/>
                <w:kern w:val="0"/>
              </w:rPr>
              <w:t>废水量（m</w:t>
            </w:r>
            <w:r>
              <w:rPr>
                <w:rFonts w:ascii="Times New Roman" w:hAnsi="Times New Roman" w:eastAsiaTheme="minorEastAsia"/>
                <w:b/>
                <w:color w:val="000000"/>
                <w:kern w:val="0"/>
                <w:vertAlign w:val="superscript"/>
              </w:rPr>
              <w:t>3</w:t>
            </w:r>
            <w:r>
              <w:rPr>
                <w:rFonts w:ascii="Times New Roman" w:hAnsi="Times New Roman" w:eastAsiaTheme="minorEastAsia"/>
                <w:b/>
                <w:color w:val="000000"/>
                <w:kern w:val="0"/>
              </w:rPr>
              <w:t>/d）</w:t>
            </w:r>
          </w:p>
        </w:tc>
        <w:tc>
          <w:tcPr>
            <w:tcW w:w="49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bCs/>
                <w:color w:val="000000"/>
                <w:kern w:val="0"/>
              </w:rPr>
              <w:t>COD</w:t>
            </w:r>
          </w:p>
        </w:tc>
        <w:tc>
          <w:tcPr>
            <w:tcW w:w="541"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bCs/>
                <w:color w:val="000000"/>
                <w:kern w:val="0"/>
              </w:rPr>
              <w:t>BOD</w:t>
            </w:r>
            <w:r>
              <w:rPr>
                <w:rFonts w:ascii="Times New Roman" w:hAnsi="Times New Roman" w:eastAsiaTheme="minorEastAsia"/>
                <w:b/>
                <w:bCs/>
                <w:color w:val="000000"/>
                <w:kern w:val="0"/>
                <w:vertAlign w:val="subscript"/>
              </w:rPr>
              <w:t>5</w:t>
            </w:r>
          </w:p>
        </w:tc>
        <w:tc>
          <w:tcPr>
            <w:tcW w:w="49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bCs/>
                <w:color w:val="000000"/>
                <w:kern w:val="0"/>
              </w:rPr>
              <w:t>SS</w:t>
            </w:r>
          </w:p>
        </w:tc>
        <w:tc>
          <w:tcPr>
            <w:tcW w:w="49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氨氮</w:t>
            </w:r>
          </w:p>
        </w:tc>
        <w:tc>
          <w:tcPr>
            <w:tcW w:w="1729"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处理方式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45"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794"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sz w:val="24"/>
                <w:szCs w:val="24"/>
              </w:rPr>
            </w:pP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227"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c>
          <w:tcPr>
            <w:tcW w:w="316"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227"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227"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c>
          <w:tcPr>
            <w:tcW w:w="1729"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w:t>
            </w:r>
          </w:p>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污水</w:t>
            </w:r>
          </w:p>
        </w:tc>
        <w:tc>
          <w:tcPr>
            <w:tcW w:w="794"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4.8</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400</w:t>
            </w:r>
          </w:p>
        </w:tc>
        <w:tc>
          <w:tcPr>
            <w:tcW w:w="22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1.92</w:t>
            </w:r>
          </w:p>
        </w:tc>
        <w:tc>
          <w:tcPr>
            <w:tcW w:w="316"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0.96</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c>
          <w:tcPr>
            <w:tcW w:w="22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1.44</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22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0.192</w:t>
            </w:r>
          </w:p>
        </w:tc>
        <w:tc>
          <w:tcPr>
            <w:tcW w:w="172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生活废水通过污水管网进入长岭分公司第二污水处理厂，最终处理达标后排入长江</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pStyle w:val="5"/>
        <w:rPr>
          <w:rFonts w:eastAsiaTheme="minorEastAsia"/>
        </w:rPr>
      </w:pPr>
      <w:r>
        <w:rPr>
          <w:rFonts w:eastAsiaTheme="minorEastAsia"/>
        </w:rPr>
        <w:t>废气</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施工期使用外购商品混凝土，现场不设拌合站。施工期废气主要是各种施工机械、运输车辆产生的扬尘、临时建筑材料堆场在空气作用下的起尘，此外，还有施工机械、运输车辆排放的尾气等，废气中的污染物主要为CO、HC（碳氢化合物）、NOx和PM（颗粒物）。</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1、施工扬尘</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码头施工期间的场地平整、土方回填、建材装卸等产生的施工扬尘会使周围大气中的悬浮微粒浓度增加，局部地区污染加剧。根据同类工地现场监测，施工作业场地附近地面粉尘浓度可达1.5mg/m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~30mg/m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，距离施工现场约200m外的TSP浓度一般低于0.5mg/m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2、运输扬尘</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据有关文献资料介绍，施工车辆行驶产生的施工道路扬尘占总扬尘量的60%以上。车辆行驶产生的扬尘，在完全干燥情况下，可按下列经验公式计算。</w:t>
      </w:r>
    </w:p>
    <w:p>
      <w:pPr>
        <w:tabs>
          <w:tab w:val="left" w:pos="900"/>
        </w:tabs>
        <w:adjustRightInd w:val="0"/>
        <w:snapToGrid w:val="0"/>
        <w:spacing w:line="360" w:lineRule="auto"/>
        <w:jc w:val="center"/>
        <w:rPr>
          <w:rFonts w:ascii="Times New Roman" w:hAnsi="Times New Roman" w:eastAsiaTheme="minorEastAsia"/>
          <w:color w:val="000000"/>
          <w:sz w:val="24"/>
          <w:szCs w:val="24"/>
        </w:rPr>
      </w:pPr>
      <w:r>
        <w:rPr>
          <w:rFonts w:ascii="Times New Roman" w:hAnsi="Times New Roman" w:eastAsiaTheme="minorEastAsia"/>
          <w:color w:val="000000"/>
          <w:sz w:val="24"/>
          <w:szCs w:val="24"/>
        </w:rPr>
        <w:drawing>
          <wp:inline distT="0" distB="0" distL="0" distR="0">
            <wp:extent cx="2409825" cy="239395"/>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2466951" cy="245692"/>
                    </a:xfrm>
                    <a:prstGeom prst="rect">
                      <a:avLst/>
                    </a:prstGeom>
                  </pic:spPr>
                </pic:pic>
              </a:graphicData>
            </a:graphic>
          </wp:inline>
        </w:drawing>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式中：Q—车辆行驶产生的扬尘，kg/km；</w:t>
      </w:r>
    </w:p>
    <w:p>
      <w:pPr>
        <w:tabs>
          <w:tab w:val="left" w:pos="900"/>
        </w:tabs>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V—车辆行驶速度，km/h；</w:t>
      </w:r>
    </w:p>
    <w:p>
      <w:pPr>
        <w:tabs>
          <w:tab w:val="left" w:pos="900"/>
        </w:tabs>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W—车辆载重量，t；</w:t>
      </w:r>
    </w:p>
    <w:p>
      <w:pPr>
        <w:tabs>
          <w:tab w:val="left" w:pos="900"/>
        </w:tabs>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P—道路表面粉尘量，kg/m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本项目施工现场以单辆车行驶产生的扬尘量计算源强，结果见表3.3-6。</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表3.3-6  单辆运输车辆产生的扬尘计算结果表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60"/>
        <w:gridCol w:w="1858"/>
        <w:gridCol w:w="1840"/>
        <w:gridCol w:w="1791"/>
        <w:gridCol w:w="18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参数</w:t>
            </w:r>
          </w:p>
        </w:tc>
        <w:tc>
          <w:tcPr>
            <w:tcW w:w="102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Q（kg/km）</w:t>
            </w:r>
          </w:p>
        </w:tc>
        <w:tc>
          <w:tcPr>
            <w:tcW w:w="101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V（km/h）</w:t>
            </w:r>
          </w:p>
        </w:tc>
        <w:tc>
          <w:tcPr>
            <w:tcW w:w="9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W（t）</w:t>
            </w:r>
          </w:p>
        </w:tc>
        <w:tc>
          <w:tcPr>
            <w:tcW w:w="101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P（kg/m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计算结果</w:t>
            </w:r>
          </w:p>
        </w:tc>
        <w:tc>
          <w:tcPr>
            <w:tcW w:w="102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0.287</w:t>
            </w:r>
          </w:p>
        </w:tc>
        <w:tc>
          <w:tcPr>
            <w:tcW w:w="101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9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01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根据有关资料，一辆10</w:t>
      </w:r>
      <w:r>
        <w:rPr>
          <w:rFonts w:hint="eastAsia" w:ascii="Times New Roman" w:hAnsi="Times New Roman" w:eastAsiaTheme="minorEastAsia"/>
          <w:color w:val="000000"/>
          <w:sz w:val="24"/>
          <w:szCs w:val="24"/>
        </w:rPr>
        <w:t>t</w:t>
      </w:r>
      <w:r>
        <w:rPr>
          <w:rFonts w:ascii="Times New Roman" w:hAnsi="Times New Roman" w:eastAsiaTheme="minorEastAsia"/>
          <w:color w:val="000000"/>
          <w:sz w:val="24"/>
          <w:szCs w:val="24"/>
        </w:rPr>
        <w:t>卡车，通过一段长度为1km的路面时，在不同路面清洁程度，不同行驶速度情况下，产生的扬尘量见表3.3-7。</w:t>
      </w:r>
    </w:p>
    <w:p>
      <w:pPr>
        <w:tabs>
          <w:tab w:val="left" w:pos="900"/>
        </w:tabs>
        <w:wordWrap w:val="0"/>
        <w:adjustRightInd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表3.3-7  不同车速和地面清洁度程度的车辆扬尘表</w:t>
      </w:r>
      <w:r>
        <w:rPr>
          <w:rFonts w:ascii="Times New Roman" w:hAnsi="Times New Roman" w:eastAsiaTheme="minorEastAsia"/>
          <w:color w:val="000000"/>
          <w:sz w:val="24"/>
          <w:szCs w:val="24"/>
        </w:rPr>
        <w:t xml:space="preserve">   单位：kg/辆•km</w:t>
      </w:r>
    </w:p>
    <w:tbl>
      <w:tblPr>
        <w:tblStyle w:val="71"/>
        <w:tblW w:w="90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69"/>
        <w:gridCol w:w="1183"/>
        <w:gridCol w:w="1185"/>
        <w:gridCol w:w="1185"/>
        <w:gridCol w:w="1183"/>
        <w:gridCol w:w="1185"/>
        <w:gridCol w:w="11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tcBorders>
              <w:top w:val="single" w:color="000000" w:sz="12" w:space="0"/>
              <w:bottom w:val="single" w:color="000000" w:sz="4" w:space="0"/>
              <w:tl2br w:val="single" w:color="000000" w:sz="4" w:space="0"/>
            </w:tcBorders>
            <w:tcMar>
              <w:top w:w="0" w:type="dxa"/>
              <w:left w:w="0" w:type="dxa"/>
              <w:bottom w:w="0" w:type="dxa"/>
              <w:right w:w="0" w:type="dxa"/>
            </w:tcMar>
            <w:vAlign w:val="center"/>
          </w:tcPr>
          <w:p>
            <w:pPr>
              <w:autoSpaceDE w:val="0"/>
              <w:autoSpaceDN w:val="0"/>
              <w:adjustRightInd w:val="0"/>
              <w:snapToGrid w:val="0"/>
              <w:jc w:val="right"/>
              <w:rPr>
                <w:rFonts w:ascii="Times New Roman" w:hAnsi="Times New Roman" w:eastAsiaTheme="minorEastAsia"/>
                <w:b/>
                <w:color w:val="000000"/>
                <w:kern w:val="0"/>
              </w:rPr>
            </w:pPr>
            <w:r>
              <w:rPr>
                <w:rFonts w:ascii="Times New Roman" w:hAnsi="Times New Roman" w:eastAsiaTheme="minorEastAsia"/>
                <w:b/>
                <w:color w:val="000000"/>
                <w:kern w:val="0"/>
              </w:rPr>
              <w:t>P（kg/m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w:t>
            </w:r>
          </w:p>
          <w:p>
            <w:pPr>
              <w:autoSpaceDE w:val="0"/>
              <w:autoSpaceDN w:val="0"/>
              <w:adjustRightInd w:val="0"/>
              <w:snapToGrid w:val="0"/>
              <w:jc w:val="left"/>
              <w:rPr>
                <w:rFonts w:ascii="Times New Roman" w:hAnsi="Times New Roman" w:eastAsiaTheme="minorEastAsia"/>
                <w:b/>
                <w:color w:val="000000"/>
                <w:kern w:val="0"/>
              </w:rPr>
            </w:pPr>
            <w:r>
              <w:rPr>
                <w:rFonts w:ascii="Times New Roman" w:hAnsi="Times New Roman" w:eastAsiaTheme="minorEastAsia"/>
                <w:b/>
                <w:color w:val="000000"/>
                <w:kern w:val="0"/>
              </w:rPr>
              <w:t>车速km/h</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0.1</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0.2</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0.3</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0.4</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0.5</w:t>
            </w:r>
          </w:p>
        </w:tc>
        <w:tc>
          <w:tcPr>
            <w:tcW w:w="1180"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tcBorders>
              <w:top w:val="single" w:color="000000" w:sz="4" w:space="0"/>
            </w:tcBorders>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5</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0.0510</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0.0859</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0.1164</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0.1444</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0.1707</w:t>
            </w:r>
          </w:p>
        </w:tc>
        <w:tc>
          <w:tcPr>
            <w:tcW w:w="1180"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0.2871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0.1021</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0.1717</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0.2328</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0.2888</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0.3414</w:t>
            </w:r>
          </w:p>
        </w:tc>
        <w:tc>
          <w:tcPr>
            <w:tcW w:w="1180"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0.5742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0.1532</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0.2576</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0.3491</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0.4332</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0.5121</w:t>
            </w:r>
          </w:p>
        </w:tc>
        <w:tc>
          <w:tcPr>
            <w:tcW w:w="1180"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0.8613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0.2553</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0.4293</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0.5819</w:t>
            </w:r>
          </w:p>
        </w:tc>
        <w:tc>
          <w:tcPr>
            <w:tcW w:w="1183"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0.7220</w:t>
            </w:r>
          </w:p>
        </w:tc>
        <w:tc>
          <w:tcPr>
            <w:tcW w:w="118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0.8536</w:t>
            </w:r>
          </w:p>
        </w:tc>
        <w:tc>
          <w:tcPr>
            <w:tcW w:w="1180"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1.4355</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从表3.3-7可见，在同样路面清洁程度的条件下，车速越快，扬尘量越大；在同样车速条件下，路面越脏，则扬尘量越大。因此，限速行驶和保持路面的清洁是减少车辆行驶扬尘源强的有效措施。</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3、施工船舶、车辆和机械废气</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施工车辆废气：汽车的汽柴油发动机排放的尾气主要污染物为SO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、CO、CxHy和NOx。一般施工采用柴油汽车，按8t载重车型为例，其污染物排放情况具体见表3.3-8。</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表3.3-8  机动车污染物排放情况</w:t>
      </w:r>
    </w:p>
    <w:tbl>
      <w:tblPr>
        <w:tblStyle w:val="71"/>
        <w:tblW w:w="90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67"/>
        <w:gridCol w:w="2325"/>
        <w:gridCol w:w="2118"/>
        <w:gridCol w:w="28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97" w:hRule="atLeast"/>
          <w:tblHeader/>
          <w:jc w:val="center"/>
        </w:trPr>
        <w:tc>
          <w:tcPr>
            <w:tcW w:w="1767" w:type="dxa"/>
            <w:tcBorders>
              <w:top w:val="single" w:color="000000" w:sz="12" w:space="0"/>
              <w:bottom w:val="single" w:color="000000" w:sz="4" w:space="0"/>
              <w:tl2br w:val="single" w:color="000000" w:sz="4" w:space="0"/>
            </w:tcBorders>
            <w:tcMar>
              <w:top w:w="0" w:type="dxa"/>
              <w:left w:w="0" w:type="dxa"/>
              <w:bottom w:w="0" w:type="dxa"/>
              <w:right w:w="0" w:type="dxa"/>
            </w:tcMar>
          </w:tcPr>
          <w:p>
            <w:pPr>
              <w:autoSpaceDE w:val="0"/>
              <w:autoSpaceDN w:val="0"/>
              <w:adjustRightInd w:val="0"/>
              <w:snapToGrid w:val="0"/>
              <w:jc w:val="right"/>
              <w:rPr>
                <w:rFonts w:ascii="Times New Roman" w:hAnsi="Times New Roman" w:eastAsiaTheme="minorEastAsia"/>
                <w:b/>
                <w:color w:val="000000"/>
                <w:kern w:val="0"/>
              </w:rPr>
            </w:pPr>
            <w:r>
              <w:rPr>
                <w:rFonts w:ascii="Times New Roman" w:hAnsi="Times New Roman" w:eastAsiaTheme="minorEastAsia"/>
                <w:b/>
                <w:color w:val="000000"/>
                <w:kern w:val="0"/>
              </w:rPr>
              <w:t>类别</w:t>
            </w:r>
          </w:p>
          <w:p>
            <w:pPr>
              <w:autoSpaceDE w:val="0"/>
              <w:autoSpaceDN w:val="0"/>
              <w:adjustRightInd w:val="0"/>
              <w:snapToGrid w:val="0"/>
              <w:jc w:val="left"/>
              <w:rPr>
                <w:rFonts w:ascii="Times New Roman" w:hAnsi="Times New Roman" w:eastAsiaTheme="minorEastAsia"/>
                <w:b/>
                <w:color w:val="000000"/>
                <w:kern w:val="0"/>
              </w:rPr>
            </w:pPr>
            <w:r>
              <w:rPr>
                <w:rFonts w:ascii="Times New Roman" w:hAnsi="Times New Roman" w:eastAsiaTheme="minorEastAsia"/>
                <w:b/>
                <w:color w:val="000000"/>
                <w:kern w:val="0"/>
              </w:rPr>
              <w:t>污染物</w:t>
            </w:r>
          </w:p>
        </w:tc>
        <w:tc>
          <w:tcPr>
            <w:tcW w:w="232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污染物排放量</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（g/L汽油）</w:t>
            </w:r>
          </w:p>
        </w:tc>
        <w:tc>
          <w:tcPr>
            <w:tcW w:w="2118"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污染物排放量</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（g/L柴油）</w:t>
            </w:r>
          </w:p>
        </w:tc>
        <w:tc>
          <w:tcPr>
            <w:tcW w:w="286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8吨柴油载重车排放量</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（g/100km）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1767" w:type="dxa"/>
            <w:tcBorders>
              <w:top w:val="single" w:color="000000" w:sz="4" w:space="0"/>
            </w:tcBorders>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SO2</w:t>
            </w:r>
          </w:p>
        </w:tc>
        <w:tc>
          <w:tcPr>
            <w:tcW w:w="232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0.295</w:t>
            </w:r>
          </w:p>
        </w:tc>
        <w:tc>
          <w:tcPr>
            <w:tcW w:w="2118"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3.24</w:t>
            </w:r>
          </w:p>
        </w:tc>
        <w:tc>
          <w:tcPr>
            <w:tcW w:w="286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97.82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767"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w:t>
            </w:r>
          </w:p>
        </w:tc>
        <w:tc>
          <w:tcPr>
            <w:tcW w:w="232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169.0</w:t>
            </w:r>
          </w:p>
        </w:tc>
        <w:tc>
          <w:tcPr>
            <w:tcW w:w="2118"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27.0</w:t>
            </w:r>
          </w:p>
        </w:tc>
        <w:tc>
          <w:tcPr>
            <w:tcW w:w="286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815.13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0" w:hRule="atLeast"/>
          <w:jc w:val="center"/>
        </w:trPr>
        <w:tc>
          <w:tcPr>
            <w:tcW w:w="1767"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NO</w:t>
            </w:r>
            <w:r>
              <w:rPr>
                <w:rFonts w:ascii="Times New Roman" w:hAnsi="Times New Roman" w:eastAsiaTheme="minorEastAsia"/>
                <w:color w:val="000000"/>
                <w:kern w:val="0"/>
                <w:vertAlign w:val="subscript"/>
              </w:rPr>
              <w:t>X</w:t>
            </w:r>
          </w:p>
        </w:tc>
        <w:tc>
          <w:tcPr>
            <w:tcW w:w="232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21.1</w:t>
            </w:r>
          </w:p>
        </w:tc>
        <w:tc>
          <w:tcPr>
            <w:tcW w:w="2118"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44.4</w:t>
            </w:r>
          </w:p>
        </w:tc>
        <w:tc>
          <w:tcPr>
            <w:tcW w:w="286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1340.44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8" w:hRule="atLeast"/>
          <w:jc w:val="center"/>
        </w:trPr>
        <w:tc>
          <w:tcPr>
            <w:tcW w:w="1767"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烃类</w:t>
            </w:r>
          </w:p>
        </w:tc>
        <w:tc>
          <w:tcPr>
            <w:tcW w:w="232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33.3</w:t>
            </w:r>
          </w:p>
        </w:tc>
        <w:tc>
          <w:tcPr>
            <w:tcW w:w="2118"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4.44</w:t>
            </w:r>
          </w:p>
        </w:tc>
        <w:tc>
          <w:tcPr>
            <w:tcW w:w="2865" w:type="dxa"/>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134.04</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施工机械废气：施工燃油机械产生的含CO、NOx、烃类、SO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 xml:space="preserve"> 等废气对大气环境也将产生一定的影响。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施工船舶运行过程中排放少量燃油废气，主要污染因子为SO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、NO</w:t>
      </w:r>
      <w:r>
        <w:rPr>
          <w:rFonts w:ascii="Times New Roman" w:hAnsi="Times New Roman" w:eastAsiaTheme="minorEastAsia"/>
          <w:color w:val="000000"/>
          <w:sz w:val="24"/>
          <w:szCs w:val="24"/>
          <w:vertAlign w:val="subscript"/>
        </w:rPr>
        <w:t>X</w:t>
      </w:r>
      <w:r>
        <w:rPr>
          <w:rFonts w:ascii="Times New Roman" w:hAnsi="Times New Roman" w:eastAsiaTheme="minorEastAsia"/>
          <w:color w:val="000000"/>
          <w:sz w:val="24"/>
          <w:szCs w:val="24"/>
        </w:rPr>
        <w:t>和烃类等。</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hint="eastAsia" w:ascii="Times New Roman" w:hAnsi="Times New Roman" w:eastAsiaTheme="minorEastAsia"/>
          <w:b/>
          <w:color w:val="000000"/>
          <w:sz w:val="24"/>
          <w:szCs w:val="24"/>
        </w:rPr>
        <w:t>4、</w:t>
      </w:r>
      <w:r>
        <w:rPr>
          <w:rFonts w:ascii="Times New Roman" w:hAnsi="Times New Roman" w:eastAsiaTheme="minorEastAsia"/>
          <w:b/>
          <w:color w:val="000000"/>
          <w:sz w:val="24"/>
          <w:szCs w:val="24"/>
        </w:rPr>
        <w:t>恶臭气体</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施工期大气污染物增加疏浚底泥产生的恶臭，来自于无组织排放的面源污染。</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底泥在本码头</w:t>
      </w:r>
      <w:r>
        <w:rPr>
          <w:rFonts w:hint="eastAsia" w:ascii="Times New Roman" w:hAnsi="Times New Roman" w:eastAsiaTheme="minorEastAsia"/>
          <w:color w:val="000000"/>
          <w:sz w:val="24"/>
          <w:szCs w:val="24"/>
        </w:rPr>
        <w:t>东</w:t>
      </w:r>
      <w:r>
        <w:rPr>
          <w:rFonts w:ascii="Times New Roman" w:hAnsi="Times New Roman" w:eastAsiaTheme="minorEastAsia"/>
          <w:color w:val="000000"/>
          <w:sz w:val="24"/>
          <w:szCs w:val="24"/>
        </w:rPr>
        <w:t>侧区域进行临时堆存过程会产生NH</w:t>
      </w:r>
      <w:r>
        <w:rPr>
          <w:rFonts w:ascii="Times New Roman" w:hAnsi="Times New Roman" w:eastAsiaTheme="minorEastAsia"/>
          <w:color w:val="000000"/>
          <w:sz w:val="24"/>
          <w:szCs w:val="24"/>
          <w:vertAlign w:val="subscript"/>
        </w:rPr>
        <w:t>3</w:t>
      </w:r>
      <w:r>
        <w:rPr>
          <w:rFonts w:ascii="Times New Roman" w:hAnsi="Times New Roman" w:eastAsiaTheme="minorEastAsia"/>
          <w:color w:val="000000"/>
          <w:sz w:val="24"/>
          <w:szCs w:val="24"/>
        </w:rPr>
        <w:t>、H</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S等恶臭性气体，使人在嗅觉感官上产生不适，并对人体健康有一定影响。类比同类项目，由疏浚底泥产生的恶臭污染物源强见表3.3-9。</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表3.3-9  恶臭污染物源强</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34"/>
        <w:gridCol w:w="3034"/>
        <w:gridCol w:w="3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7" w:type="pct"/>
            <w:vMerge w:val="restar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b/>
                <w:color w:val="000000"/>
              </w:rPr>
            </w:pPr>
            <w:r>
              <w:rPr>
                <w:rFonts w:hint="eastAsia" w:ascii="Times New Roman" w:hAnsi="Times New Roman" w:eastAsiaTheme="minorEastAsia"/>
                <w:b/>
                <w:color w:val="000000"/>
              </w:rPr>
              <w:t>恶臭</w:t>
            </w:r>
            <w:r>
              <w:rPr>
                <w:rFonts w:ascii="Times New Roman" w:hAnsi="Times New Roman" w:eastAsiaTheme="minorEastAsia"/>
                <w:b/>
                <w:color w:val="000000"/>
              </w:rPr>
              <w:t>污染物因子</w:t>
            </w:r>
          </w:p>
        </w:tc>
        <w:tc>
          <w:tcPr>
            <w:tcW w:w="3333" w:type="pct"/>
            <w:gridSpan w:val="2"/>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b/>
                <w:color w:val="000000"/>
              </w:rPr>
            </w:pPr>
            <w:r>
              <w:rPr>
                <w:rFonts w:hint="eastAsia" w:ascii="Times New Roman" w:hAnsi="Times New Roman" w:eastAsiaTheme="minorEastAsia"/>
                <w:b/>
                <w:color w:val="000000"/>
              </w:rPr>
              <w:t>恶臭</w:t>
            </w:r>
            <w:r>
              <w:rPr>
                <w:rFonts w:ascii="Times New Roman" w:hAnsi="Times New Roman" w:eastAsiaTheme="minorEastAsia"/>
                <w:b/>
                <w:color w:val="000000"/>
              </w:rPr>
              <w:t>污染物源强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7" w:type="pct"/>
            <w:vMerge w:val="continue"/>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b/>
                <w:color w:val="000000"/>
              </w:rPr>
            </w:pPr>
          </w:p>
        </w:tc>
        <w:tc>
          <w:tcPr>
            <w:tcW w:w="1667"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b/>
                <w:color w:val="000000"/>
              </w:rPr>
            </w:pPr>
            <w:r>
              <w:rPr>
                <w:rFonts w:hint="eastAsia" w:ascii="Times New Roman" w:hAnsi="Times New Roman" w:eastAsiaTheme="minorEastAsia"/>
                <w:b/>
                <w:color w:val="000000"/>
              </w:rPr>
              <w:t>单位</w:t>
            </w:r>
          </w:p>
        </w:tc>
        <w:tc>
          <w:tcPr>
            <w:tcW w:w="1666"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b/>
                <w:color w:val="000000"/>
              </w:rPr>
            </w:pPr>
            <w:r>
              <w:rPr>
                <w:rFonts w:hint="eastAsia" w:ascii="Times New Roman" w:hAnsi="Times New Roman" w:eastAsiaTheme="minorEastAsia"/>
                <w:b/>
                <w:color w:val="000000"/>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7"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NH</w:t>
            </w:r>
            <w:r>
              <w:rPr>
                <w:rFonts w:ascii="Times New Roman" w:hAnsi="Times New Roman" w:eastAsiaTheme="minorEastAsia"/>
                <w:color w:val="000000"/>
                <w:vertAlign w:val="subscript"/>
              </w:rPr>
              <w:t>3</w:t>
            </w:r>
          </w:p>
        </w:tc>
        <w:tc>
          <w:tcPr>
            <w:tcW w:w="1667"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w:t>
            </w:r>
            <w:r>
              <w:rPr>
                <w:rFonts w:hint="eastAsia" w:ascii="Times New Roman" w:hAnsi="Times New Roman" w:eastAsiaTheme="minorEastAsia"/>
                <w:color w:val="000000"/>
              </w:rPr>
              <w:t>g</w:t>
            </w:r>
            <w:r>
              <w:rPr>
                <w:rFonts w:ascii="Times New Roman" w:hAnsi="Times New Roman" w:eastAsiaTheme="minorEastAsia"/>
                <w:color w:val="000000"/>
              </w:rPr>
              <w:t>/s</w:t>
            </w:r>
          </w:p>
        </w:tc>
        <w:tc>
          <w:tcPr>
            <w:tcW w:w="1666"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7"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H</w:t>
            </w:r>
            <w:r>
              <w:rPr>
                <w:rFonts w:ascii="Times New Roman" w:hAnsi="Times New Roman" w:eastAsiaTheme="minorEastAsia"/>
                <w:color w:val="000000"/>
                <w:vertAlign w:val="subscript"/>
              </w:rPr>
              <w:t>2</w:t>
            </w:r>
            <w:r>
              <w:rPr>
                <w:rFonts w:ascii="Times New Roman" w:hAnsi="Times New Roman" w:eastAsiaTheme="minorEastAsia"/>
                <w:color w:val="000000"/>
              </w:rPr>
              <w:t>S</w:t>
            </w:r>
          </w:p>
        </w:tc>
        <w:tc>
          <w:tcPr>
            <w:tcW w:w="1667"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w:t>
            </w:r>
            <w:r>
              <w:rPr>
                <w:rFonts w:hint="eastAsia" w:ascii="Times New Roman" w:hAnsi="Times New Roman" w:eastAsiaTheme="minorEastAsia"/>
                <w:color w:val="000000"/>
              </w:rPr>
              <w:t>g</w:t>
            </w:r>
            <w:r>
              <w:rPr>
                <w:rFonts w:ascii="Times New Roman" w:hAnsi="Times New Roman" w:eastAsiaTheme="minorEastAsia"/>
                <w:color w:val="000000"/>
              </w:rPr>
              <w:t>/s</w:t>
            </w:r>
          </w:p>
        </w:tc>
        <w:tc>
          <w:tcPr>
            <w:tcW w:w="1666" w:type="pct"/>
            <w:tcMar>
              <w:top w:w="0" w:type="dxa"/>
              <w:left w:w="0" w:type="dxa"/>
              <w:bottom w:w="0" w:type="dxa"/>
              <w:right w:w="0" w:type="dxa"/>
            </w:tcMar>
            <w:vAlign w:val="center"/>
          </w:tcPr>
          <w:p>
            <w:pPr>
              <w:tabs>
                <w:tab w:val="left" w:pos="900"/>
              </w:tabs>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1.4</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pStyle w:val="5"/>
        <w:rPr>
          <w:rFonts w:eastAsiaTheme="minorEastAsia"/>
        </w:rPr>
      </w:pPr>
      <w:r>
        <w:rPr>
          <w:rFonts w:eastAsiaTheme="minorEastAsia"/>
        </w:rPr>
        <w:t>噪声</w:t>
      </w:r>
    </w:p>
    <w:p>
      <w:pPr>
        <w:tabs>
          <w:tab w:val="left" w:pos="900"/>
        </w:tabs>
        <w:adjustRightInd w:val="0"/>
        <w:snapToGrid w:val="0"/>
        <w:spacing w:line="360" w:lineRule="auto"/>
        <w:ind w:firstLine="480" w:firstLineChars="200"/>
        <w:rPr>
          <w:rFonts w:ascii="Times New Roman" w:hAnsi="Times New Roman" w:eastAsiaTheme="minorEastAsia"/>
          <w:kern w:val="0"/>
          <w:sz w:val="20"/>
          <w:szCs w:val="20"/>
        </w:rPr>
      </w:pPr>
      <w:r>
        <w:rPr>
          <w:rFonts w:ascii="Times New Roman" w:hAnsi="Times New Roman" w:eastAsiaTheme="minorEastAsia"/>
          <w:color w:val="000000"/>
          <w:sz w:val="24"/>
          <w:szCs w:val="24"/>
        </w:rPr>
        <w:t>施工过程中，施工机械、车辆等将产生一定的噪声，参照《港口工程环境保护设计规范》（JTS 149-1-2007），噪声源强见表3.3-10</w:t>
      </w:r>
      <w:r>
        <w:rPr>
          <w:rFonts w:ascii="Times New Roman" w:hAnsi="Times New Roman" w:eastAsiaTheme="minorEastAsia"/>
          <w:kern w:val="0"/>
          <w:sz w:val="24"/>
          <w:szCs w:val="24"/>
        </w:rPr>
        <w:t>。</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表3.3-10  施工噪声源强一览表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990"/>
        <w:gridCol w:w="2259"/>
        <w:gridCol w:w="2214"/>
        <w:gridCol w:w="1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09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施工阶段</w:t>
            </w: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主要噪声源名称</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测点与机械距离</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声压级dB(A)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1</w:t>
            </w:r>
          </w:p>
        </w:tc>
        <w:tc>
          <w:tcPr>
            <w:tcW w:w="109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码头水域施工</w:t>
            </w: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8.8kw小型船舶</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62"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17.6kw小型船舶</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挖掘机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装载机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卡车</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2</w:t>
            </w:r>
          </w:p>
        </w:tc>
        <w:tc>
          <w:tcPr>
            <w:tcW w:w="109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陆域平整</w:t>
            </w: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压路机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62"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推土机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3</w:t>
            </w:r>
          </w:p>
        </w:tc>
        <w:tc>
          <w:tcPr>
            <w:tcW w:w="109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上部结构浇注</w:t>
            </w: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混凝土搅拌机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振捣机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4</w:t>
            </w:r>
          </w:p>
        </w:tc>
        <w:tc>
          <w:tcPr>
            <w:tcW w:w="109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设备及管道安装</w:t>
            </w: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切割机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电焊机</w:t>
            </w:r>
          </w:p>
        </w:tc>
        <w:tc>
          <w:tcPr>
            <w:tcW w:w="12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pStyle w:val="5"/>
        <w:rPr>
          <w:rFonts w:eastAsiaTheme="minorEastAsia"/>
        </w:rPr>
      </w:pPr>
      <w:r>
        <w:rPr>
          <w:rFonts w:eastAsiaTheme="minorEastAsia"/>
        </w:rPr>
        <w:t>固体废弃物</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本项目是在原有厂区内进行的提质改造，拟对原2#~4#码头进行拆除后重建，在此过程中不会涉及大型土石方工程，产生的</w:t>
      </w:r>
      <w:r>
        <w:rPr>
          <w:rFonts w:ascii="Times New Roman" w:hAnsi="Times New Roman" w:eastAsiaTheme="minorEastAsia"/>
          <w:sz w:val="24"/>
          <w:szCs w:val="24"/>
        </w:rPr>
        <w:t>固体废弃物主要为原有码头水工建筑物拆除产生建筑垃圾、码头桩基施工产生少量河流底泥、施工建筑材料垃圾及</w:t>
      </w:r>
      <w:r>
        <w:rPr>
          <w:rFonts w:ascii="Times New Roman" w:hAnsi="Times New Roman" w:eastAsiaTheme="minorEastAsia"/>
          <w:color w:val="000000"/>
          <w:sz w:val="24"/>
          <w:szCs w:val="24"/>
        </w:rPr>
        <w:t>施工人员生活垃圾。</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w:t>
      </w:r>
      <w:r>
        <w:rPr>
          <w:rFonts w:ascii="Times New Roman" w:hAnsi="Times New Roman" w:eastAsiaTheme="minorEastAsia"/>
          <w:b/>
          <w:sz w:val="24"/>
          <w:szCs w:val="24"/>
        </w:rPr>
        <w:t>原有码头水工建筑物拆除产生建筑垃圾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对原2#~4#码头进行拆除约产生建筑垃圾6800m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w:t>
      </w:r>
      <w:r>
        <w:rPr>
          <w:rFonts w:hint="eastAsia" w:ascii="Times New Roman" w:hAnsi="Times New Roman" w:eastAsiaTheme="minorEastAsia"/>
          <w:b/>
          <w:color w:val="000000"/>
          <w:sz w:val="24"/>
          <w:szCs w:val="24"/>
        </w:rPr>
        <w:t>、</w:t>
      </w:r>
      <w:r>
        <w:rPr>
          <w:rFonts w:ascii="Times New Roman" w:hAnsi="Times New Roman" w:eastAsiaTheme="minorEastAsia"/>
          <w:b/>
          <w:color w:val="000000"/>
          <w:sz w:val="24"/>
          <w:szCs w:val="24"/>
        </w:rPr>
        <w:t>港池疏浚量</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Times New Roman" w:hAnsi="Times New Roman" w:eastAsiaTheme="minorEastAsia"/>
          <w:color w:val="000000"/>
          <w:sz w:val="24"/>
          <w:szCs w:val="24"/>
        </w:rPr>
        <w:t>码头</w:t>
      </w:r>
      <w:r>
        <w:rPr>
          <w:rFonts w:ascii="Times New Roman" w:hAnsi="Times New Roman" w:eastAsiaTheme="minorEastAsia"/>
          <w:color w:val="000000"/>
          <w:sz w:val="24"/>
          <w:szCs w:val="24"/>
        </w:rPr>
        <w:t>前沿港池疏浚产生疏浚量约</w:t>
      </w:r>
      <w:r>
        <w:rPr>
          <w:rFonts w:hint="eastAsia" w:ascii="Times New Roman" w:hAnsi="Times New Roman" w:eastAsiaTheme="minorEastAsia"/>
          <w:color w:val="000000"/>
          <w:sz w:val="24"/>
          <w:szCs w:val="24"/>
        </w:rPr>
        <w:t>4.7万</w:t>
      </w:r>
      <w:r>
        <w:rPr>
          <w:rFonts w:ascii="Times New Roman" w:hAnsi="Times New Roman" w:eastAsiaTheme="minorEastAsia"/>
          <w:color w:val="000000"/>
          <w:sz w:val="24"/>
          <w:szCs w:val="24"/>
        </w:rPr>
        <w:t>m</w:t>
      </w:r>
      <w:r>
        <w:rPr>
          <w:rFonts w:ascii="Times New Roman" w:hAnsi="Times New Roman" w:eastAsiaTheme="minorEastAsia"/>
          <w:color w:val="000000"/>
          <w:sz w:val="24"/>
          <w:szCs w:val="24"/>
          <w:vertAlign w:val="superscript"/>
        </w:rPr>
        <w:t>3</w:t>
      </w:r>
      <w:r>
        <w:rPr>
          <w:rFonts w:hint="eastAsia" w:ascii="Times New Roman" w:hAnsi="Times New Roman" w:eastAsiaTheme="minorEastAsia"/>
          <w:color w:val="000000"/>
          <w:sz w:val="24"/>
          <w:szCs w:val="24"/>
        </w:rPr>
        <w:t>。</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3、桩基钻渣</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项目无需进行疏浚，本次提质改造需在4处撑杆墩设置直径0.8m钻孔灌注桩共8根，埋深约35m；在4处阀室平台设置直径1.0m钻孔灌注桩共24根，埋深约38m；在固定引桥设置直径1.0m钻孔灌注桩共46根，埋深约35m。据此，产生桩基钻渣约2120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4、施工建筑垃圾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根据国内港口建设项目施工现场调查资料估算，项目码头施工建筑垃圾发生总量约为157.5t。管线施工过程焊接作业中产生废焊条、防腐作业中产生废防腐材料，废焊条一般由施工单位当天清理带走。</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5、生活垃圾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施工期施工人员按50人/天计算，人均生活垃圾发生量按1.0kg/天估算，施工期生活垃圾发生量为0.05t/d，工程施工期为12个月，则整个施工期生活垃圾发生量为18.25t。</w:t>
      </w:r>
    </w:p>
    <w:p>
      <w:pPr>
        <w:pStyle w:val="5"/>
        <w:rPr>
          <w:rFonts w:eastAsiaTheme="minorEastAsia"/>
        </w:rPr>
      </w:pPr>
      <w:r>
        <w:rPr>
          <w:rFonts w:eastAsiaTheme="minorEastAsia"/>
        </w:rPr>
        <w:t>生态环境影响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码头建造时，施工作业产生的悬浮泥沙、施工船只以及其它施工机械排放的油污水、生活污水的排放会对水生生态造成一定程度的污染。</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施工过程中施工区域及邻近江段中的鱼类将受到惊吓而远离施工现场。</w:t>
      </w:r>
    </w:p>
    <w:p>
      <w:pPr>
        <w:pStyle w:val="4"/>
        <w:rPr>
          <w:rFonts w:eastAsiaTheme="minorEastAsia"/>
        </w:rPr>
      </w:pPr>
      <w:r>
        <w:rPr>
          <w:rFonts w:eastAsiaTheme="minorEastAsia"/>
        </w:rPr>
        <w:t>营运期污染源分析</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管线工程在营运期基本没有污染物产生，污染源主要来自码头工程。</w:t>
      </w:r>
    </w:p>
    <w:p>
      <w:pPr>
        <w:pStyle w:val="5"/>
        <w:rPr>
          <w:rFonts w:eastAsiaTheme="minorEastAsia"/>
        </w:rPr>
      </w:pPr>
      <w:r>
        <w:rPr>
          <w:rFonts w:eastAsiaTheme="minorEastAsia"/>
        </w:rPr>
        <w:t>废水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本项目产生的废水主要为船舶废水（船舶舱底油污水、船舶生活污水）、趸船冲洗废水、初期雨水以及码头员工生活污水。</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1、船舶废水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船舶舱底油污水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来港船舶机舱底由于机械运转等产生一定量的油污水，根据可研，本项目设计代表船型为5000DWT级和3000DWT船舶，码头营运天数为330天。根据《港口工程环境保护设计规范》（JTS149-1-2007）（中华人民共和国交通部发布）的相关资料及本项目可研中到港代表船型、到港次数，估算本项目全年含油污水发生量为1113.42t/a，舱底含油污水的平均含油浓度为5000mg/L，COD浓度约为400mg/L。</w:t>
      </w:r>
    </w:p>
    <w:p>
      <w:pPr>
        <w:tabs>
          <w:tab w:val="left" w:pos="900"/>
        </w:tabs>
        <w:adjustRightInd w:val="0"/>
        <w:snapToGrid w:val="0"/>
        <w:spacing w:line="276"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3.3-11</w:t>
      </w:r>
      <w:r>
        <w:rPr>
          <w:rFonts w:ascii="Times New Roman" w:hAnsi="Times New Roman" w:eastAsiaTheme="minorEastAsia"/>
          <w:b/>
          <w:color w:val="000000"/>
          <w:sz w:val="24"/>
          <w:szCs w:val="24"/>
        </w:rPr>
        <w:t xml:space="preserve">  到港船舶舱底油污水发生表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1485"/>
        <w:gridCol w:w="1626"/>
        <w:gridCol w:w="1446"/>
        <w:gridCol w:w="1566"/>
        <w:gridCol w:w="13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7"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船舶载重（t）</w:t>
            </w:r>
          </w:p>
        </w:tc>
        <w:tc>
          <w:tcPr>
            <w:tcW w:w="1485" w:type="dxa"/>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日到港次数</w:t>
            </w:r>
          </w:p>
        </w:tc>
        <w:tc>
          <w:tcPr>
            <w:tcW w:w="162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油污水产生量（t/d·艘）</w:t>
            </w:r>
          </w:p>
        </w:tc>
        <w:tc>
          <w:tcPr>
            <w:tcW w:w="1446" w:type="dxa"/>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油污水产生量</w:t>
            </w:r>
          </w:p>
        </w:tc>
        <w:tc>
          <w:tcPr>
            <w:tcW w:w="1566" w:type="dxa"/>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石油类浓度（mg/L）</w:t>
            </w:r>
          </w:p>
        </w:tc>
        <w:tc>
          <w:tcPr>
            <w:tcW w:w="134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COD浓度（mg/L）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7"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5000</w:t>
            </w:r>
          </w:p>
        </w:tc>
        <w:tc>
          <w:tcPr>
            <w:tcW w:w="1485"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1.6</w:t>
            </w:r>
          </w:p>
        </w:tc>
        <w:tc>
          <w:tcPr>
            <w:tcW w:w="162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1.4</w:t>
            </w:r>
          </w:p>
        </w:tc>
        <w:tc>
          <w:tcPr>
            <w:tcW w:w="144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2.24 t/d</w:t>
            </w:r>
          </w:p>
        </w:tc>
        <w:tc>
          <w:tcPr>
            <w:tcW w:w="156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5000</w:t>
            </w:r>
          </w:p>
        </w:tc>
        <w:tc>
          <w:tcPr>
            <w:tcW w:w="134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7"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3000</w:t>
            </w:r>
          </w:p>
        </w:tc>
        <w:tc>
          <w:tcPr>
            <w:tcW w:w="1485"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1.4</w:t>
            </w:r>
          </w:p>
        </w:tc>
        <w:tc>
          <w:tcPr>
            <w:tcW w:w="162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0.81</w:t>
            </w:r>
          </w:p>
        </w:tc>
        <w:tc>
          <w:tcPr>
            <w:tcW w:w="144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1.134t/d</w:t>
            </w:r>
          </w:p>
        </w:tc>
        <w:tc>
          <w:tcPr>
            <w:tcW w:w="156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5000</w:t>
            </w:r>
          </w:p>
        </w:tc>
        <w:tc>
          <w:tcPr>
            <w:tcW w:w="134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7"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合计</w:t>
            </w:r>
          </w:p>
        </w:tc>
        <w:tc>
          <w:tcPr>
            <w:tcW w:w="1485"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3</w:t>
            </w:r>
          </w:p>
        </w:tc>
        <w:tc>
          <w:tcPr>
            <w:tcW w:w="162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2.21</w:t>
            </w:r>
          </w:p>
        </w:tc>
        <w:tc>
          <w:tcPr>
            <w:tcW w:w="144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1113.42t/a</w:t>
            </w:r>
          </w:p>
        </w:tc>
        <w:tc>
          <w:tcPr>
            <w:tcW w:w="156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5.5671t/a</w:t>
            </w:r>
          </w:p>
        </w:tc>
        <w:tc>
          <w:tcPr>
            <w:tcW w:w="1346" w:type="dxa"/>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0.4454t/a</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船舶生活废水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themeColor="text1"/>
          <w:sz w:val="24"/>
          <w:szCs w:val="24"/>
          <w14:textFill>
            <w14:solidFill>
              <w14:schemeClr w14:val="tx1"/>
            </w14:solidFill>
          </w14:textFill>
        </w:rPr>
        <w:t>到港船舶的船员以6人/艘估算，用水量按150L/人·d，按日到港3艘船计算，则船舶生活用水量为2.7m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/d，891m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imes New Roman" w:eastAsiaTheme="minorEastAsia"/>
          <w:color w:val="000000"/>
          <w:sz w:val="24"/>
          <w:szCs w:val="24"/>
        </w:rPr>
        <w:t>生活污水排放量按用水量的80%计，则船舶生活污水的产生量为2.16m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/d，712.8m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/a。污水中COD、BOD</w:t>
      </w:r>
      <w:r>
        <w:rPr>
          <w:rFonts w:ascii="Times New Roman" w:hAnsi="Times New Roman" w:eastAsiaTheme="minorEastAsia"/>
          <w:color w:val="000000"/>
          <w:sz w:val="24"/>
          <w:szCs w:val="24"/>
          <w:vertAlign w:val="subscript"/>
        </w:rPr>
        <w:t>5</w:t>
      </w:r>
      <w:r>
        <w:rPr>
          <w:rFonts w:ascii="Times New Roman" w:hAnsi="Times New Roman" w:eastAsiaTheme="minorEastAsia"/>
          <w:color w:val="000000"/>
          <w:sz w:val="24"/>
          <w:szCs w:val="24"/>
        </w:rPr>
        <w:t>、SS、NH</w:t>
      </w:r>
      <w:r>
        <w:rPr>
          <w:rFonts w:ascii="Times New Roman" w:hAnsi="Times New Roman" w:eastAsiaTheme="minorEastAsia"/>
          <w:color w:val="000000"/>
          <w:sz w:val="24"/>
          <w:szCs w:val="24"/>
          <w:vertAlign w:val="subscript"/>
        </w:rPr>
        <w:t>3</w:t>
      </w:r>
      <w:r>
        <w:rPr>
          <w:rFonts w:ascii="Times New Roman" w:hAnsi="Times New Roman" w:eastAsiaTheme="minorEastAsia"/>
          <w:color w:val="000000"/>
          <w:sz w:val="24"/>
          <w:szCs w:val="24"/>
        </w:rPr>
        <w:t>-N浓度分别约为350mg/L、250mg/L、SS300mg/L、40mg/L。船舶生活污水污染源强见表3.3-12。</w:t>
      </w:r>
    </w:p>
    <w:p>
      <w:pPr>
        <w:tabs>
          <w:tab w:val="left" w:pos="900"/>
        </w:tabs>
        <w:adjustRightInd w:val="0"/>
        <w:snapToGrid w:val="0"/>
        <w:spacing w:line="276"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3.3-12</w:t>
      </w:r>
      <w:r>
        <w:rPr>
          <w:rFonts w:ascii="Times New Roman" w:hAnsi="Times New Roman" w:eastAsiaTheme="minorEastAsia"/>
          <w:b/>
          <w:color w:val="000000"/>
          <w:sz w:val="24"/>
          <w:szCs w:val="24"/>
        </w:rPr>
        <w:t xml:space="preserve">  船舶生活污水产生源强</w:t>
      </w:r>
    </w:p>
    <w:tbl>
      <w:tblPr>
        <w:tblStyle w:val="71"/>
        <w:tblW w:w="4997" w:type="pct"/>
        <w:jc w:val="center"/>
        <w:tblLayout w:type="autofit"/>
        <w:tblCellMar>
          <w:top w:w="0" w:type="dxa"/>
          <w:left w:w="0" w:type="dxa"/>
          <w:bottom w:w="0" w:type="dxa"/>
          <w:right w:w="0" w:type="dxa"/>
        </w:tblCellMar>
      </w:tblPr>
      <w:tblGrid>
        <w:gridCol w:w="1280"/>
        <w:gridCol w:w="929"/>
        <w:gridCol w:w="611"/>
        <w:gridCol w:w="817"/>
        <w:gridCol w:w="627"/>
        <w:gridCol w:w="773"/>
        <w:gridCol w:w="626"/>
        <w:gridCol w:w="853"/>
        <w:gridCol w:w="643"/>
        <w:gridCol w:w="778"/>
        <w:gridCol w:w="1158"/>
      </w:tblGrid>
      <w:tr>
        <w:tblPrEx>
          <w:tblCellMar>
            <w:top w:w="0" w:type="dxa"/>
            <w:left w:w="0" w:type="dxa"/>
            <w:bottom w:w="0" w:type="dxa"/>
            <w:right w:w="0" w:type="dxa"/>
          </w:tblCellMar>
        </w:tblPrEx>
        <w:trPr>
          <w:trHeight w:val="340" w:hRule="atLeast"/>
          <w:jc w:val="center"/>
        </w:trPr>
        <w:tc>
          <w:tcPr>
            <w:tcW w:w="494" w:type="pct"/>
            <w:vMerge w:val="restart"/>
            <w:tcBorders>
              <w:top w:val="single" w:color="auto" w:sz="12" w:space="0"/>
              <w:left w:val="single" w:color="auto" w:sz="12" w:space="0"/>
              <w:bottom w:val="single" w:color="000000"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439" w:type="pct"/>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废水量t/a</w:t>
            </w:r>
          </w:p>
        </w:tc>
        <w:tc>
          <w:tcPr>
            <w:tcW w:w="847" w:type="pct"/>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COD</w:t>
            </w:r>
          </w:p>
        </w:tc>
        <w:tc>
          <w:tcPr>
            <w:tcW w:w="832" w:type="pct"/>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BOD</w:t>
            </w:r>
            <w:r>
              <w:rPr>
                <w:rFonts w:ascii="Times New Roman" w:hAnsi="Times New Roman" w:eastAsiaTheme="minorEastAsia"/>
                <w:b/>
                <w:color w:val="000000"/>
                <w:kern w:val="0"/>
                <w:vertAlign w:val="subscript"/>
              </w:rPr>
              <w:t>5</w:t>
            </w:r>
          </w:p>
        </w:tc>
        <w:tc>
          <w:tcPr>
            <w:tcW w:w="875" w:type="pct"/>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SS</w:t>
            </w:r>
          </w:p>
        </w:tc>
        <w:tc>
          <w:tcPr>
            <w:tcW w:w="842" w:type="pct"/>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氨氮</w:t>
            </w:r>
          </w:p>
        </w:tc>
        <w:tc>
          <w:tcPr>
            <w:tcW w:w="667" w:type="pct"/>
            <w:vMerge w:val="restart"/>
            <w:tcBorders>
              <w:top w:val="single" w:color="auto" w:sz="12" w:space="0"/>
              <w:left w:val="single" w:color="auto" w:sz="4" w:space="0"/>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处理方式</w:t>
            </w:r>
          </w:p>
        </w:tc>
      </w:tr>
      <w:tr>
        <w:tblPrEx>
          <w:tblCellMar>
            <w:top w:w="0" w:type="dxa"/>
            <w:left w:w="0" w:type="dxa"/>
            <w:bottom w:w="0" w:type="dxa"/>
            <w:right w:w="0" w:type="dxa"/>
          </w:tblCellMar>
        </w:tblPrEx>
        <w:trPr>
          <w:trHeight w:val="340" w:hRule="atLeast"/>
          <w:jc w:val="center"/>
        </w:trPr>
        <w:tc>
          <w:tcPr>
            <w:tcW w:w="494" w:type="pct"/>
            <w:vMerge w:val="continue"/>
            <w:tcBorders>
              <w:top w:val="single" w:color="auto" w:sz="4" w:space="0"/>
              <w:left w:val="single" w:color="auto" w:sz="12" w:space="0"/>
              <w:bottom w:val="single" w:color="000000"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43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367"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479"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456"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375"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500"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384"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457"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667" w:type="pct"/>
            <w:vMerge w:val="continue"/>
            <w:tcBorders>
              <w:top w:val="single" w:color="auto" w:sz="4" w:space="0"/>
              <w:left w:val="single" w:color="auto" w:sz="4" w:space="0"/>
              <w:bottom w:val="single" w:color="auto" w:sz="4" w:space="0"/>
              <w:right w:val="single" w:color="auto" w:sz="12" w:space="0"/>
            </w:tcBorders>
            <w:vAlign w:val="center"/>
          </w:tcPr>
          <w:p>
            <w:pPr>
              <w:widowControl/>
              <w:adjustRightInd w:val="0"/>
              <w:snapToGrid w:val="0"/>
              <w:jc w:val="left"/>
              <w:rPr>
                <w:rFonts w:ascii="Times New Roman" w:hAnsi="Times New Roman" w:eastAsiaTheme="minorEastAsia"/>
                <w:b/>
                <w:color w:val="000000"/>
                <w:kern w:val="0"/>
              </w:rPr>
            </w:pPr>
          </w:p>
        </w:tc>
      </w:tr>
      <w:tr>
        <w:trPr>
          <w:trHeight w:val="340" w:hRule="atLeast"/>
          <w:jc w:val="center"/>
        </w:trPr>
        <w:tc>
          <w:tcPr>
            <w:tcW w:w="494" w:type="pct"/>
            <w:tcBorders>
              <w:top w:val="nil"/>
              <w:left w:val="single" w:color="auto" w:sz="12" w:space="0"/>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439"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712.8</w:t>
            </w:r>
          </w:p>
        </w:tc>
        <w:tc>
          <w:tcPr>
            <w:tcW w:w="367"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350</w:t>
            </w:r>
          </w:p>
        </w:tc>
        <w:tc>
          <w:tcPr>
            <w:tcW w:w="479"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0.2495</w:t>
            </w:r>
          </w:p>
        </w:tc>
        <w:tc>
          <w:tcPr>
            <w:tcW w:w="376"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c>
          <w:tcPr>
            <w:tcW w:w="456"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0.1782</w:t>
            </w:r>
          </w:p>
        </w:tc>
        <w:tc>
          <w:tcPr>
            <w:tcW w:w="375"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c>
          <w:tcPr>
            <w:tcW w:w="500"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0.2138</w:t>
            </w:r>
          </w:p>
        </w:tc>
        <w:tc>
          <w:tcPr>
            <w:tcW w:w="384"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457" w:type="pct"/>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0.0285</w:t>
            </w:r>
          </w:p>
        </w:tc>
        <w:tc>
          <w:tcPr>
            <w:tcW w:w="667" w:type="pct"/>
            <w:tcBorders>
              <w:top w:val="nil"/>
              <w:left w:val="nil"/>
              <w:bottom w:val="single" w:color="auto" w:sz="12" w:space="0"/>
              <w:right w:val="single" w:color="auto" w:sz="12" w:space="0"/>
            </w:tcBorders>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海事部门环保船舶带走</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根据《1973 年国际防止船舶造成污染公约及其1978议定》（交通部令2005年第11号）、《中华人民共和国防治船舶污染内河水域环境管理规定》 （2006年1月1日），船舶生活废水不得在码头水域随意排放，船舶生活污水应在指定有处理能力的码头排放。</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2、趸船冲洗废水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码头每次装卸作业完毕后，将对作业平台收集坎内区域进行冲洗，冲洗水量与收集坎面积和泄漏的废液量等因素有关，作业平台冲洗面积按9959.4m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计算，冲洗水按2L/m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•d进行估算，冲洗用水量约为19.9188m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/d，6573.204m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/a。排污系数取0.9，本项目趸船冲洗水的排放量为5915.88m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/a，趸船内设污水箱，收集到污水箱中，由防爆污水泵通过管道输送到后方港口部污水处理站，再通过污水管网进入长岭分公司第二污水处理厂。</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通过类比调查，确定废水主要污染物COD、SS、石油类，COD浓度约为600mgL、SS浓度为800mg/L、氨氮5mg/L、石油类浓度50mg/L。</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276"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3.3-13</w:t>
      </w:r>
      <w:r>
        <w:rPr>
          <w:rFonts w:ascii="Times New Roman" w:hAnsi="Times New Roman" w:eastAsiaTheme="minorEastAsia"/>
          <w:b/>
          <w:color w:val="000000"/>
          <w:sz w:val="24"/>
          <w:szCs w:val="24"/>
        </w:rPr>
        <w:t xml:space="preserve">  趸船冲洗废水产生源强</w:t>
      </w:r>
    </w:p>
    <w:tbl>
      <w:tblPr>
        <w:tblStyle w:val="71"/>
        <w:tblW w:w="5000" w:type="pct"/>
        <w:jc w:val="center"/>
        <w:tblLayout w:type="autofit"/>
        <w:tblCellMar>
          <w:top w:w="0" w:type="dxa"/>
          <w:left w:w="108" w:type="dxa"/>
          <w:bottom w:w="0" w:type="dxa"/>
          <w:right w:w="108" w:type="dxa"/>
        </w:tblCellMar>
      </w:tblPr>
      <w:tblGrid>
        <w:gridCol w:w="1280"/>
        <w:gridCol w:w="1127"/>
        <w:gridCol w:w="701"/>
        <w:gridCol w:w="937"/>
        <w:gridCol w:w="684"/>
        <w:gridCol w:w="963"/>
        <w:gridCol w:w="828"/>
        <w:gridCol w:w="963"/>
        <w:gridCol w:w="795"/>
        <w:gridCol w:w="822"/>
      </w:tblGrid>
      <w:tr>
        <w:tblPrEx>
          <w:tblCellMar>
            <w:top w:w="0" w:type="dxa"/>
            <w:left w:w="108" w:type="dxa"/>
            <w:bottom w:w="0" w:type="dxa"/>
            <w:right w:w="108" w:type="dxa"/>
          </w:tblCellMar>
        </w:tblPrEx>
        <w:trPr>
          <w:trHeight w:val="340" w:hRule="atLeast"/>
          <w:jc w:val="center"/>
        </w:trPr>
        <w:tc>
          <w:tcPr>
            <w:tcW w:w="660" w:type="pct"/>
            <w:vMerge w:val="restart"/>
            <w:tcBorders>
              <w:top w:val="single" w:color="auto" w:sz="12" w:space="0"/>
              <w:left w:val="single" w:color="auto" w:sz="12" w:space="0"/>
              <w:bottom w:val="single" w:color="000000"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624" w:type="pct"/>
            <w:vMerge w:val="restart"/>
            <w:tcBorders>
              <w:top w:val="single" w:color="auto" w:sz="12" w:space="0"/>
              <w:left w:val="single" w:color="auto" w:sz="4" w:space="0"/>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废水量t/a</w:t>
            </w:r>
          </w:p>
        </w:tc>
        <w:tc>
          <w:tcPr>
            <w:tcW w:w="910" w:type="pct"/>
            <w:gridSpan w:val="2"/>
            <w:tcBorders>
              <w:top w:val="single" w:color="auto" w:sz="12" w:space="0"/>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COD</w:t>
            </w:r>
          </w:p>
        </w:tc>
        <w:tc>
          <w:tcPr>
            <w:tcW w:w="914" w:type="pct"/>
            <w:gridSpan w:val="2"/>
            <w:tcBorders>
              <w:top w:val="single" w:color="auto" w:sz="12" w:space="0"/>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SS</w:t>
            </w:r>
          </w:p>
        </w:tc>
        <w:tc>
          <w:tcPr>
            <w:tcW w:w="993" w:type="pct"/>
            <w:gridSpan w:val="2"/>
            <w:tcBorders>
              <w:top w:val="single" w:color="auto" w:sz="12" w:space="0"/>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氨氮</w:t>
            </w:r>
          </w:p>
        </w:tc>
        <w:tc>
          <w:tcPr>
            <w:tcW w:w="897" w:type="pct"/>
            <w:gridSpan w:val="2"/>
            <w:tcBorders>
              <w:top w:val="single" w:color="auto" w:sz="12" w:space="0"/>
              <w:left w:val="nil"/>
              <w:bottom w:val="single" w:color="auto" w:sz="4" w:space="0"/>
              <w:right w:val="single" w:color="auto" w:sz="12"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石油类</w:t>
            </w:r>
          </w:p>
        </w:tc>
      </w:tr>
      <w:tr>
        <w:tblPrEx>
          <w:tblCellMar>
            <w:top w:w="0" w:type="dxa"/>
            <w:left w:w="108" w:type="dxa"/>
            <w:bottom w:w="0" w:type="dxa"/>
            <w:right w:w="108" w:type="dxa"/>
          </w:tblCellMar>
        </w:tblPrEx>
        <w:trPr>
          <w:trHeight w:val="340" w:hRule="atLeast"/>
          <w:jc w:val="center"/>
        </w:trPr>
        <w:tc>
          <w:tcPr>
            <w:tcW w:w="660" w:type="pct"/>
            <w:vMerge w:val="continue"/>
            <w:tcBorders>
              <w:top w:val="single" w:color="auto" w:sz="4" w:space="0"/>
              <w:left w:val="single" w:color="auto" w:sz="12" w:space="0"/>
              <w:bottom w:val="single" w:color="000000" w:sz="4" w:space="0"/>
              <w:right w:val="single" w:color="auto" w:sz="4" w:space="0"/>
            </w:tcBorders>
            <w:tcMar>
              <w:top w:w="0" w:type="dxa"/>
              <w:left w:w="0" w:type="dxa"/>
              <w:bottom w:w="0" w:type="dxa"/>
              <w:right w:w="0" w:type="dxa"/>
            </w:tcMar>
            <w:vAlign w:val="center"/>
          </w:tcPr>
          <w:p>
            <w:pPr>
              <w:widowControl/>
              <w:jc w:val="left"/>
              <w:rPr>
                <w:rFonts w:ascii="Times New Roman" w:hAnsi="Times New Roman" w:eastAsiaTheme="minorEastAsia"/>
                <w:b/>
                <w:color w:val="000000"/>
                <w:kern w:val="0"/>
              </w:rPr>
            </w:pPr>
          </w:p>
        </w:tc>
        <w:tc>
          <w:tcPr>
            <w:tcW w:w="624"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left"/>
              <w:rPr>
                <w:rFonts w:ascii="Times New Roman" w:hAnsi="Times New Roman" w:eastAsiaTheme="minorEastAsia"/>
                <w:b/>
                <w:color w:val="000000"/>
                <w:kern w:val="0"/>
              </w:rPr>
            </w:pPr>
          </w:p>
        </w:tc>
        <w:tc>
          <w:tcPr>
            <w:tcW w:w="390"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520"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381"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534"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460"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534"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441"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456" w:type="pct"/>
            <w:tcBorders>
              <w:top w:val="nil"/>
              <w:left w:val="nil"/>
              <w:bottom w:val="single" w:color="auto" w:sz="4" w:space="0"/>
              <w:right w:val="single" w:color="auto" w:sz="12"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r>
      <w:tr>
        <w:tblPrEx>
          <w:tblCellMar>
            <w:top w:w="0" w:type="dxa"/>
            <w:left w:w="108" w:type="dxa"/>
            <w:bottom w:w="0" w:type="dxa"/>
            <w:right w:w="108" w:type="dxa"/>
          </w:tblCellMar>
        </w:tblPrEx>
        <w:trPr>
          <w:trHeight w:val="340" w:hRule="atLeast"/>
          <w:jc w:val="center"/>
        </w:trPr>
        <w:tc>
          <w:tcPr>
            <w:tcW w:w="660" w:type="pct"/>
            <w:tcBorders>
              <w:top w:val="nil"/>
              <w:left w:val="single" w:color="auto" w:sz="12" w:space="0"/>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趸船冲洗废水</w:t>
            </w:r>
          </w:p>
        </w:tc>
        <w:tc>
          <w:tcPr>
            <w:tcW w:w="624"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5915.8836</w:t>
            </w:r>
          </w:p>
        </w:tc>
        <w:tc>
          <w:tcPr>
            <w:tcW w:w="390"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600</w:t>
            </w:r>
          </w:p>
        </w:tc>
        <w:tc>
          <w:tcPr>
            <w:tcW w:w="520"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3.5495</w:t>
            </w:r>
          </w:p>
        </w:tc>
        <w:tc>
          <w:tcPr>
            <w:tcW w:w="381"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800</w:t>
            </w:r>
          </w:p>
        </w:tc>
        <w:tc>
          <w:tcPr>
            <w:tcW w:w="534"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4.7327</w:t>
            </w:r>
          </w:p>
        </w:tc>
        <w:tc>
          <w:tcPr>
            <w:tcW w:w="460"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534"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0.02958</w:t>
            </w:r>
          </w:p>
        </w:tc>
        <w:tc>
          <w:tcPr>
            <w:tcW w:w="441"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c>
          <w:tcPr>
            <w:tcW w:w="456" w:type="pct"/>
            <w:tcBorders>
              <w:top w:val="nil"/>
              <w:left w:val="nil"/>
              <w:bottom w:val="single" w:color="auto" w:sz="12" w:space="0"/>
              <w:right w:val="single" w:color="auto" w:sz="12" w:space="0"/>
            </w:tcBorders>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0.2958</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3、初期雨水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初期雨水量按下式计算：</w:t>
      </w:r>
    </w:p>
    <w:p>
      <w:pPr>
        <w:tabs>
          <w:tab w:val="left" w:pos="900"/>
        </w:tabs>
        <w:adjustRightInd w:val="0"/>
        <w:snapToGrid w:val="0"/>
        <w:spacing w:line="360" w:lineRule="auto"/>
        <w:ind w:firstLine="480" w:firstLineChars="200"/>
        <w:jc w:val="center"/>
        <w:rPr>
          <w:rFonts w:ascii="Times New Roman" w:hAnsi="Times New Roman" w:eastAsiaTheme="minorEastAsia"/>
          <w:color w:val="000000"/>
          <w:sz w:val="24"/>
          <w:szCs w:val="24"/>
        </w:rPr>
      </w:pPr>
      <w:r>
        <w:rPr>
          <w:rFonts w:ascii="Times New Roman" w:hAnsi="Times New Roman" w:eastAsiaTheme="minorEastAsia"/>
          <w:i/>
          <w:color w:val="000000"/>
          <w:sz w:val="24"/>
          <w:szCs w:val="24"/>
        </w:rPr>
        <w:t>Q</w:t>
      </w:r>
      <w:r>
        <w:rPr>
          <w:rFonts w:ascii="Times New Roman" w:hAnsi="Times New Roman" w:eastAsiaTheme="minorEastAsia"/>
          <w:color w:val="000000"/>
          <w:sz w:val="24"/>
          <w:szCs w:val="24"/>
        </w:rPr>
        <w:t>=</w:t>
      </w:r>
      <w:r>
        <w:rPr>
          <w:rFonts w:ascii="Times New Roman" w:hAnsi="Times New Roman" w:eastAsiaTheme="minorEastAsia"/>
          <w:i/>
          <w:color w:val="000000" w:themeColor="text1"/>
          <w:kern w:val="0"/>
          <w:sz w:val="24"/>
          <w14:textFill>
            <w14:solidFill>
              <w14:schemeClr w14:val="tx1"/>
            </w14:solidFill>
          </w14:textFill>
        </w:rPr>
        <w:t>Ψ</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i/>
          <w:color w:val="000000"/>
          <w:sz w:val="24"/>
          <w:szCs w:val="24"/>
        </w:rPr>
        <w:t>q</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i/>
          <w:color w:val="000000"/>
          <w:sz w:val="24"/>
          <w:szCs w:val="24"/>
        </w:rPr>
        <w:t>F</w:t>
      </w:r>
    </w:p>
    <w:p>
      <w:pPr>
        <w:widowControl/>
        <w:spacing w:line="360" w:lineRule="auto"/>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式中：Qs—设计流量（L/s）；</w:t>
      </w:r>
    </w:p>
    <w:p>
      <w:pPr>
        <w:widowControl/>
        <w:spacing w:line="360" w:lineRule="auto"/>
        <w:ind w:firstLine="1200" w:firstLineChars="5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Ψ—径流系数，取0.15；</w:t>
      </w:r>
    </w:p>
    <w:p>
      <w:pPr>
        <w:widowControl/>
        <w:spacing w:line="360" w:lineRule="auto"/>
        <w:ind w:firstLine="1200" w:firstLineChars="5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q—设计暴雨强度[L/(s·hm</w:t>
      </w:r>
      <w:r>
        <w:rPr>
          <w:rFonts w:ascii="Times New Roman" w:hAnsi="Times New Roman" w:eastAsiaTheme="minorEastAsia"/>
          <w:color w:val="000000" w:themeColor="text1"/>
          <w:kern w:val="0"/>
          <w:sz w:val="24"/>
          <w:vertAlign w:val="superscript"/>
          <w14:textFill>
            <w14:solidFill>
              <w14:schemeClr w14:val="tx1"/>
            </w14:solidFill>
          </w14:textFill>
        </w:rPr>
        <w:t>2</w:t>
      </w:r>
      <w:r>
        <w:rPr>
          <w:rFonts w:ascii="Times New Roman" w:hAnsi="Times New Roman" w:eastAsiaTheme="minorEastAsia"/>
          <w:color w:val="000000" w:themeColor="text1"/>
          <w:kern w:val="0"/>
          <w:sz w:val="24"/>
          <w14:textFill>
            <w14:solidFill>
              <w14:schemeClr w14:val="tx1"/>
            </w14:solidFill>
          </w14:textFill>
        </w:rPr>
        <w:t>)]；</w:t>
      </w:r>
    </w:p>
    <w:p>
      <w:pPr>
        <w:widowControl/>
        <w:spacing w:line="360" w:lineRule="auto"/>
        <w:ind w:firstLine="1200" w:firstLineChars="5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F—汇流面积（hm</w:t>
      </w:r>
      <w:r>
        <w:rPr>
          <w:rFonts w:ascii="Times New Roman" w:hAnsi="Times New Roman" w:eastAsiaTheme="minorEastAsia"/>
          <w:color w:val="000000" w:themeColor="text1"/>
          <w:kern w:val="0"/>
          <w:sz w:val="24"/>
          <w:vertAlign w:val="superscript"/>
          <w14:textFill>
            <w14:solidFill>
              <w14:schemeClr w14:val="tx1"/>
            </w14:solidFill>
          </w14:textFill>
        </w:rPr>
        <w:t>2</w:t>
      </w:r>
      <w:r>
        <w:rPr>
          <w:rFonts w:ascii="Times New Roman" w:hAnsi="Times New Roman" w:eastAsiaTheme="minorEastAsia"/>
          <w:color w:val="000000" w:themeColor="text1"/>
          <w:kern w:val="0"/>
          <w:sz w:val="24"/>
          <w14:textFill>
            <w14:solidFill>
              <w14:schemeClr w14:val="tx1"/>
            </w14:solidFill>
          </w14:textFill>
        </w:rPr>
        <w:t>）。</w: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岳阳当地暴雨强度公式为：</w:t>
      </w:r>
    </w:p>
    <w:p>
      <w:pPr>
        <w:spacing w:line="360" w:lineRule="auto"/>
        <w:jc w:val="center"/>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position w:val="-24"/>
          <w:sz w:val="24"/>
          <w14:textFill>
            <w14:solidFill>
              <w14:schemeClr w14:val="tx1"/>
            </w14:solidFill>
          </w14:textFill>
        </w:rPr>
        <w:object>
          <v:shape id="_x0000_i1026" o:spt="75" type="#_x0000_t75" style="height:31.1pt;width:132.5pt;" o:ole="t" filled="f" o:preferrelative="t" stroked="f" coordsize="21600,21600">
            <v:path/>
            <v:fill on="f" focussize="0,0"/>
            <v:stroke on="f" joinstyle="miter"/>
            <v:imagedata r:id="rId40" o:title=""/>
            <o:lock v:ext="edit" aspectratio="t"/>
            <w10:wrap type="none"/>
            <w10:anchorlock/>
          </v:shape>
          <o:OLEObject Type="Embed" ProgID="Equation.3" ShapeID="_x0000_i1026" DrawAspect="Content" ObjectID="_1468075726" r:id="rId39">
            <o:LockedField>false</o:LockedField>
          </o:OLEObject>
        </w:objec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式中：q</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暴雨强度（L/s·ha）；</w:t>
      </w:r>
    </w:p>
    <w:p>
      <w:pPr>
        <w:spacing w:line="360" w:lineRule="auto"/>
        <w:ind w:firstLine="1200" w:firstLineChars="5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P</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重现期（a，本次取值20a）；</w:t>
      </w:r>
    </w:p>
    <w:p>
      <w:pPr>
        <w:spacing w:line="360" w:lineRule="auto"/>
        <w:ind w:firstLine="1200" w:firstLineChars="5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t</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降雨历时（min，本次取60min）；</w: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经计算，暴雨强度为208L/s</w:t>
      </w:r>
      <w:r>
        <w:rPr>
          <w:rFonts w:ascii="Times New Roman" w:hAnsi="Times New Roman" w:eastAsiaTheme="minorEastAsia"/>
          <w:color w:val="000000"/>
          <w:sz w:val="24"/>
          <w:szCs w:val="24"/>
        </w:rPr>
        <w:t>•</w:t>
      </w:r>
      <w:r>
        <w:rPr>
          <w:rFonts w:ascii="Times New Roman" w:hAnsi="Times New Roman" w:eastAsiaTheme="minorEastAsia"/>
          <w:color w:val="000000" w:themeColor="text1"/>
          <w:sz w:val="24"/>
          <w14:textFill>
            <w14:solidFill>
              <w14:schemeClr w14:val="tx1"/>
            </w14:solidFill>
          </w14:textFill>
        </w:rPr>
        <w:t>hm</w:t>
      </w:r>
      <w:r>
        <w:rPr>
          <w:rFonts w:ascii="Times New Roman" w:hAnsi="Times New Roman" w:eastAsiaTheme="minorEastAsia"/>
          <w:color w:val="000000" w:themeColor="text1"/>
          <w:sz w:val="24"/>
          <w:vertAlign w:val="superscript"/>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，汇流面积为0.9959hm</w:t>
      </w:r>
      <w:r>
        <w:rPr>
          <w:rFonts w:ascii="Times New Roman" w:hAnsi="Times New Roman" w:eastAsiaTheme="minorEastAsia"/>
          <w:color w:val="000000" w:themeColor="text1"/>
          <w:sz w:val="24"/>
          <w:vertAlign w:val="superscript"/>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，计算初期雨水量Q=31.07L/s，初期雨水产生量为111.864m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/次，初期雨水收集池有效容积为120m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。年暴雨次数按20次计，则项目运行期初期雨水总量为2237.28m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/a。初期雨水主要污染物因子为COD、SS和石油类，污染物浓度约为COD 100mg/L、SS 400mg/L、石油类50mg/L。</w: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趸船装卸区四周设收集坎，趸船内设污水箱，初期雨水经收集后，由防爆污水泵通过管道输送到</w:t>
      </w:r>
      <w:r>
        <w:rPr>
          <w:rFonts w:ascii="Times New Roman" w:hAnsi="Times New Roman" w:eastAsiaTheme="minorEastAsia"/>
          <w:color w:val="000000"/>
          <w:sz w:val="24"/>
          <w:szCs w:val="24"/>
        </w:rPr>
        <w:t>后方港口部污水处理站，再通过污水管网进入长岭分公司第二污水处理厂</w:t>
      </w:r>
      <w:r>
        <w:rPr>
          <w:rFonts w:ascii="Times New Roman" w:hAnsi="Times New Roman" w:eastAsiaTheme="minorEastAsia"/>
          <w:color w:val="000000" w:themeColor="text1"/>
          <w:sz w:val="24"/>
          <w14:textFill>
            <w14:solidFill>
              <w14:schemeClr w14:val="tx1"/>
            </w14:solidFill>
          </w14:textFill>
        </w:rPr>
        <w:t>。</w:t>
      </w:r>
    </w:p>
    <w:p>
      <w:pPr>
        <w:spacing w:line="360"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3.3-14</w:t>
      </w:r>
      <w:r>
        <w:rPr>
          <w:rFonts w:ascii="Times New Roman" w:hAnsi="Times New Roman" w:eastAsiaTheme="minorEastAsia"/>
          <w:b/>
          <w:color w:val="000000"/>
          <w:sz w:val="24"/>
          <w:szCs w:val="24"/>
        </w:rPr>
        <w:t xml:space="preserve">  初期雨水产生源强</w:t>
      </w:r>
    </w:p>
    <w:tbl>
      <w:tblPr>
        <w:tblStyle w:val="71"/>
        <w:tblW w:w="5000" w:type="pct"/>
        <w:jc w:val="center"/>
        <w:tblLayout w:type="autofit"/>
        <w:tblCellMar>
          <w:top w:w="0" w:type="dxa"/>
          <w:left w:w="108" w:type="dxa"/>
          <w:bottom w:w="0" w:type="dxa"/>
          <w:right w:w="108" w:type="dxa"/>
        </w:tblCellMar>
      </w:tblPr>
      <w:tblGrid>
        <w:gridCol w:w="1447"/>
        <w:gridCol w:w="1556"/>
        <w:gridCol w:w="948"/>
        <w:gridCol w:w="1085"/>
        <w:gridCol w:w="948"/>
        <w:gridCol w:w="1085"/>
        <w:gridCol w:w="948"/>
        <w:gridCol w:w="1083"/>
      </w:tblGrid>
      <w:tr>
        <w:tblPrEx>
          <w:tblCellMar>
            <w:top w:w="0" w:type="dxa"/>
            <w:left w:w="108" w:type="dxa"/>
            <w:bottom w:w="0" w:type="dxa"/>
            <w:right w:w="108" w:type="dxa"/>
          </w:tblCellMar>
        </w:tblPrEx>
        <w:trPr>
          <w:trHeight w:val="340" w:hRule="atLeast"/>
          <w:jc w:val="center"/>
        </w:trPr>
        <w:tc>
          <w:tcPr>
            <w:tcW w:w="795" w:type="pct"/>
            <w:vMerge w:val="restart"/>
            <w:tcBorders>
              <w:top w:val="single" w:color="auto" w:sz="12" w:space="0"/>
              <w:left w:val="single" w:color="auto" w:sz="12" w:space="0"/>
              <w:bottom w:val="single" w:color="000000" w:sz="4"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项目</w:t>
            </w:r>
          </w:p>
        </w:tc>
        <w:tc>
          <w:tcPr>
            <w:tcW w:w="855" w:type="pct"/>
            <w:vMerge w:val="restart"/>
            <w:tcBorders>
              <w:top w:val="single" w:color="auto" w:sz="12" w:space="0"/>
              <w:left w:val="single" w:color="auto" w:sz="4" w:space="0"/>
              <w:bottom w:val="single" w:color="000000" w:sz="4"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废水量t/a</w:t>
            </w:r>
          </w:p>
        </w:tc>
        <w:tc>
          <w:tcPr>
            <w:tcW w:w="1117" w:type="pct"/>
            <w:gridSpan w:val="2"/>
            <w:tcBorders>
              <w:top w:val="single" w:color="auto" w:sz="12" w:space="0"/>
              <w:left w:val="nil"/>
              <w:bottom w:val="single" w:color="auto" w:sz="4" w:space="0"/>
              <w:right w:val="single" w:color="000000"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COD</w:t>
            </w:r>
          </w:p>
        </w:tc>
        <w:tc>
          <w:tcPr>
            <w:tcW w:w="1117" w:type="pct"/>
            <w:gridSpan w:val="2"/>
            <w:tcBorders>
              <w:top w:val="single" w:color="auto" w:sz="12" w:space="0"/>
              <w:left w:val="nil"/>
              <w:bottom w:val="single" w:color="auto" w:sz="4" w:space="0"/>
              <w:right w:val="single" w:color="000000"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SS</w:t>
            </w:r>
          </w:p>
        </w:tc>
        <w:tc>
          <w:tcPr>
            <w:tcW w:w="1117" w:type="pct"/>
            <w:gridSpan w:val="2"/>
            <w:tcBorders>
              <w:top w:val="single" w:color="auto" w:sz="12" w:space="0"/>
              <w:left w:val="nil"/>
              <w:bottom w:val="single" w:color="auto" w:sz="4" w:space="0"/>
              <w:right w:val="single" w:color="auto" w:sz="12"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石油类</w:t>
            </w:r>
          </w:p>
        </w:tc>
      </w:tr>
      <w:tr>
        <w:tblPrEx>
          <w:tblCellMar>
            <w:top w:w="0" w:type="dxa"/>
            <w:left w:w="108" w:type="dxa"/>
            <w:bottom w:w="0" w:type="dxa"/>
            <w:right w:w="108" w:type="dxa"/>
          </w:tblCellMar>
        </w:tblPrEx>
        <w:trPr>
          <w:trHeight w:val="340" w:hRule="atLeast"/>
          <w:jc w:val="center"/>
        </w:trPr>
        <w:tc>
          <w:tcPr>
            <w:tcW w:w="795" w:type="pct"/>
            <w:vMerge w:val="continue"/>
            <w:tcBorders>
              <w:top w:val="single" w:color="auto" w:sz="4" w:space="0"/>
              <w:left w:val="single" w:color="auto" w:sz="12" w:space="0"/>
              <w:bottom w:val="single" w:color="000000" w:sz="4" w:space="0"/>
              <w:right w:val="single" w:color="auto" w:sz="4" w:space="0"/>
            </w:tcBorders>
            <w:tcMar>
              <w:top w:w="0" w:type="dxa"/>
              <w:left w:w="0" w:type="dxa"/>
              <w:bottom w:w="0" w:type="dxa"/>
              <w:right w:w="0" w:type="dxa"/>
            </w:tcMar>
            <w:vAlign w:val="center"/>
          </w:tcPr>
          <w:p>
            <w:pPr>
              <w:widowControl/>
              <w:adjustRightInd w:val="0"/>
              <w:snapToGrid w:val="0"/>
              <w:jc w:val="left"/>
              <w:rPr>
                <w:rFonts w:ascii="Times New Roman" w:hAnsi="Times New Roman" w:eastAsiaTheme="minorEastAsia"/>
                <w:b/>
                <w:color w:val="000000"/>
                <w:kern w:val="0"/>
                <w:sz w:val="22"/>
                <w:szCs w:val="22"/>
              </w:rPr>
            </w:pPr>
          </w:p>
        </w:tc>
        <w:tc>
          <w:tcPr>
            <w:tcW w:w="855" w:type="pct"/>
            <w:vMerge w:val="continue"/>
            <w:tcBorders>
              <w:top w:val="single" w:color="auto" w:sz="4" w:space="0"/>
              <w:left w:val="single" w:color="auto" w:sz="4" w:space="0"/>
              <w:bottom w:val="single" w:color="000000" w:sz="4" w:space="0"/>
              <w:right w:val="single" w:color="auto" w:sz="4" w:space="0"/>
            </w:tcBorders>
            <w:tcMar>
              <w:top w:w="0" w:type="dxa"/>
              <w:left w:w="0" w:type="dxa"/>
              <w:bottom w:w="0" w:type="dxa"/>
              <w:right w:w="0" w:type="dxa"/>
            </w:tcMar>
            <w:vAlign w:val="center"/>
          </w:tcPr>
          <w:p>
            <w:pPr>
              <w:widowControl/>
              <w:adjustRightInd w:val="0"/>
              <w:snapToGrid w:val="0"/>
              <w:jc w:val="left"/>
              <w:rPr>
                <w:rFonts w:ascii="Times New Roman" w:hAnsi="Times New Roman" w:eastAsiaTheme="minorEastAsia"/>
                <w:b/>
                <w:color w:val="000000"/>
                <w:kern w:val="0"/>
                <w:sz w:val="22"/>
                <w:szCs w:val="22"/>
              </w:rPr>
            </w:pPr>
          </w:p>
        </w:tc>
        <w:tc>
          <w:tcPr>
            <w:tcW w:w="521"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596"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521"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596"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521" w:type="pct"/>
            <w:tcBorders>
              <w:top w:val="nil"/>
              <w:left w:val="nil"/>
              <w:bottom w:val="single" w:color="auto" w:sz="4"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596" w:type="pct"/>
            <w:tcBorders>
              <w:top w:val="nil"/>
              <w:left w:val="nil"/>
              <w:bottom w:val="single" w:color="auto" w:sz="4" w:space="0"/>
              <w:right w:val="single" w:color="auto" w:sz="12"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r>
      <w:tr>
        <w:tblPrEx>
          <w:tblCellMar>
            <w:top w:w="0" w:type="dxa"/>
            <w:left w:w="108" w:type="dxa"/>
            <w:bottom w:w="0" w:type="dxa"/>
            <w:right w:w="108" w:type="dxa"/>
          </w:tblCellMar>
        </w:tblPrEx>
        <w:trPr>
          <w:trHeight w:val="340" w:hRule="atLeast"/>
          <w:jc w:val="center"/>
        </w:trPr>
        <w:tc>
          <w:tcPr>
            <w:tcW w:w="795" w:type="pct"/>
            <w:tcBorders>
              <w:top w:val="nil"/>
              <w:left w:val="single" w:color="auto" w:sz="12" w:space="0"/>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初期雨水</w:t>
            </w:r>
          </w:p>
        </w:tc>
        <w:tc>
          <w:tcPr>
            <w:tcW w:w="855"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2237.2796</w:t>
            </w:r>
          </w:p>
        </w:tc>
        <w:tc>
          <w:tcPr>
            <w:tcW w:w="521"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100</w:t>
            </w:r>
          </w:p>
        </w:tc>
        <w:tc>
          <w:tcPr>
            <w:tcW w:w="596"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0.2237</w:t>
            </w:r>
          </w:p>
        </w:tc>
        <w:tc>
          <w:tcPr>
            <w:tcW w:w="521"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400</w:t>
            </w:r>
          </w:p>
        </w:tc>
        <w:tc>
          <w:tcPr>
            <w:tcW w:w="596"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0.8949</w:t>
            </w:r>
          </w:p>
        </w:tc>
        <w:tc>
          <w:tcPr>
            <w:tcW w:w="521" w:type="pct"/>
            <w:tcBorders>
              <w:top w:val="nil"/>
              <w:left w:val="nil"/>
              <w:bottom w:val="single" w:color="auto" w:sz="12" w:space="0"/>
              <w:right w:val="single" w:color="auto" w:sz="4"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50</w:t>
            </w:r>
          </w:p>
        </w:tc>
        <w:tc>
          <w:tcPr>
            <w:tcW w:w="596" w:type="pct"/>
            <w:tcBorders>
              <w:top w:val="nil"/>
              <w:left w:val="nil"/>
              <w:bottom w:val="single" w:color="auto" w:sz="12" w:space="0"/>
              <w:right w:val="single" w:color="auto" w:sz="12" w:space="0"/>
            </w:tcBorders>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0.1117</w:t>
            </w:r>
          </w:p>
        </w:tc>
      </w:tr>
    </w:tbl>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p>
    <w:p>
      <w:pPr>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4、员工生活污水</w:t>
      </w:r>
    </w:p>
    <w:p>
      <w:pPr>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劳动定员72人，生活用水量取50L/d•人，生活用水量为1188m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/a，排污系数取0.8，生活污水排放量为950.4m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/a，码头设置简易环保型厕所，定期送至后方港口部污水处理设施集中处理。</w:t>
      </w:r>
    </w:p>
    <w:p>
      <w:pPr>
        <w:spacing w:line="360"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3.3-15</w:t>
      </w:r>
      <w:r>
        <w:rPr>
          <w:rFonts w:ascii="Times New Roman" w:hAnsi="Times New Roman" w:eastAsiaTheme="minorEastAsia"/>
          <w:b/>
          <w:color w:val="000000"/>
          <w:sz w:val="24"/>
          <w:szCs w:val="24"/>
        </w:rPr>
        <w:t xml:space="preserve">  港区生活废水产生源强</w:t>
      </w:r>
    </w:p>
    <w:tbl>
      <w:tblPr>
        <w:tblStyle w:val="71"/>
        <w:tblW w:w="5000" w:type="pct"/>
        <w:jc w:val="center"/>
        <w:tblLayout w:type="autofit"/>
        <w:tblCellMar>
          <w:top w:w="0" w:type="dxa"/>
          <w:left w:w="0" w:type="dxa"/>
          <w:bottom w:w="0" w:type="dxa"/>
          <w:right w:w="0" w:type="dxa"/>
        </w:tblCellMar>
      </w:tblPr>
      <w:tblGrid>
        <w:gridCol w:w="1183"/>
        <w:gridCol w:w="987"/>
        <w:gridCol w:w="769"/>
        <w:gridCol w:w="1099"/>
        <w:gridCol w:w="830"/>
        <w:gridCol w:w="1009"/>
        <w:gridCol w:w="690"/>
        <w:gridCol w:w="921"/>
        <w:gridCol w:w="690"/>
        <w:gridCol w:w="922"/>
      </w:tblGrid>
      <w:tr>
        <w:tblPrEx>
          <w:tblCellMar>
            <w:top w:w="0" w:type="dxa"/>
            <w:left w:w="0" w:type="dxa"/>
            <w:bottom w:w="0" w:type="dxa"/>
            <w:right w:w="0" w:type="dxa"/>
          </w:tblCellMar>
        </w:tblPrEx>
        <w:trPr>
          <w:trHeight w:val="340" w:hRule="atLeast"/>
          <w:jc w:val="center"/>
        </w:trPr>
        <w:tc>
          <w:tcPr>
            <w:tcW w:w="1207" w:type="dxa"/>
            <w:vMerge w:val="restart"/>
            <w:tcBorders>
              <w:top w:val="single" w:color="auto" w:sz="12" w:space="0"/>
              <w:left w:val="single" w:color="auto" w:sz="12" w:space="0"/>
              <w:bottom w:val="single" w:color="000000"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项目</w:t>
            </w:r>
          </w:p>
        </w:tc>
        <w:tc>
          <w:tcPr>
            <w:tcW w:w="1007"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废水量t/a</w:t>
            </w:r>
          </w:p>
        </w:tc>
        <w:tc>
          <w:tcPr>
            <w:tcW w:w="1907"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COD</w:t>
            </w:r>
          </w:p>
        </w:tc>
        <w:tc>
          <w:tcPr>
            <w:tcW w:w="1877"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BOD</w:t>
            </w:r>
            <w:r>
              <w:rPr>
                <w:rFonts w:ascii="Times New Roman" w:hAnsi="Times New Roman" w:eastAsiaTheme="minorEastAsia"/>
                <w:b/>
                <w:color w:val="000000"/>
                <w:kern w:val="0"/>
                <w:sz w:val="22"/>
                <w:szCs w:val="22"/>
                <w:vertAlign w:val="subscript"/>
              </w:rPr>
              <w:t>5</w:t>
            </w:r>
          </w:p>
        </w:tc>
        <w:tc>
          <w:tcPr>
            <w:tcW w:w="1644"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SS</w:t>
            </w:r>
          </w:p>
        </w:tc>
        <w:tc>
          <w:tcPr>
            <w:tcW w:w="1644" w:type="dxa"/>
            <w:gridSpan w:val="2"/>
            <w:tcBorders>
              <w:top w:val="single" w:color="auto" w:sz="12" w:space="0"/>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氨氮</w:t>
            </w:r>
          </w:p>
        </w:tc>
      </w:tr>
      <w:tr>
        <w:tblPrEx>
          <w:tblCellMar>
            <w:top w:w="0" w:type="dxa"/>
            <w:left w:w="0" w:type="dxa"/>
            <w:bottom w:w="0" w:type="dxa"/>
            <w:right w:w="0" w:type="dxa"/>
          </w:tblCellMar>
        </w:tblPrEx>
        <w:trPr>
          <w:trHeight w:val="340" w:hRule="atLeast"/>
          <w:jc w:val="center"/>
        </w:trPr>
        <w:tc>
          <w:tcPr>
            <w:tcW w:w="1207" w:type="dxa"/>
            <w:vMerge w:val="continue"/>
            <w:tcBorders>
              <w:top w:val="single" w:color="auto" w:sz="4" w:space="0"/>
              <w:left w:val="single" w:color="auto" w:sz="12" w:space="0"/>
              <w:bottom w:val="single" w:color="000000"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sz w:val="22"/>
                <w:szCs w:val="22"/>
              </w:rPr>
            </w:pPr>
          </w:p>
        </w:tc>
        <w:tc>
          <w:tcPr>
            <w:tcW w:w="100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sz w:val="22"/>
                <w:szCs w:val="22"/>
              </w:rPr>
            </w:pPr>
          </w:p>
        </w:tc>
        <w:tc>
          <w:tcPr>
            <w:tcW w:w="78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1122"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84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103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70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94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70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940" w:type="dxa"/>
            <w:tcBorders>
              <w:top w:val="nil"/>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r>
      <w:tr>
        <w:tblPrEx>
          <w:tblCellMar>
            <w:top w:w="0" w:type="dxa"/>
            <w:left w:w="0" w:type="dxa"/>
            <w:bottom w:w="0" w:type="dxa"/>
            <w:right w:w="0" w:type="dxa"/>
          </w:tblCellMar>
        </w:tblPrEx>
        <w:trPr>
          <w:trHeight w:val="340" w:hRule="atLeast"/>
          <w:jc w:val="center"/>
        </w:trPr>
        <w:tc>
          <w:tcPr>
            <w:tcW w:w="1207" w:type="dxa"/>
            <w:tcBorders>
              <w:top w:val="nil"/>
              <w:left w:val="single" w:color="auto" w:sz="12" w:space="0"/>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生活污水</w:t>
            </w:r>
          </w:p>
        </w:tc>
        <w:tc>
          <w:tcPr>
            <w:tcW w:w="1007"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950.4</w:t>
            </w:r>
          </w:p>
        </w:tc>
        <w:tc>
          <w:tcPr>
            <w:tcW w:w="785"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350</w:t>
            </w:r>
          </w:p>
        </w:tc>
        <w:tc>
          <w:tcPr>
            <w:tcW w:w="1122"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0.333</w:t>
            </w:r>
          </w:p>
        </w:tc>
        <w:tc>
          <w:tcPr>
            <w:tcW w:w="847"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250</w:t>
            </w:r>
          </w:p>
        </w:tc>
        <w:tc>
          <w:tcPr>
            <w:tcW w:w="1030"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0.238</w:t>
            </w:r>
          </w:p>
        </w:tc>
        <w:tc>
          <w:tcPr>
            <w:tcW w:w="704"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300</w:t>
            </w:r>
          </w:p>
        </w:tc>
        <w:tc>
          <w:tcPr>
            <w:tcW w:w="940"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0.285</w:t>
            </w:r>
          </w:p>
        </w:tc>
        <w:tc>
          <w:tcPr>
            <w:tcW w:w="704"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40</w:t>
            </w:r>
          </w:p>
        </w:tc>
        <w:tc>
          <w:tcPr>
            <w:tcW w:w="940" w:type="dxa"/>
            <w:tcBorders>
              <w:top w:val="nil"/>
              <w:left w:val="nil"/>
              <w:bottom w:val="single" w:color="auto" w:sz="12"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0.038</w:t>
            </w:r>
          </w:p>
        </w:tc>
      </w:tr>
    </w:tbl>
    <w:p>
      <w:pPr>
        <w:spacing w:line="360" w:lineRule="auto"/>
        <w:ind w:firstLine="480" w:firstLineChars="200"/>
        <w:rPr>
          <w:rFonts w:ascii="Times New Roman" w:hAnsi="Times New Roman" w:eastAsiaTheme="minorEastAsia"/>
          <w:color w:val="000000"/>
          <w:sz w:val="24"/>
          <w:szCs w:val="24"/>
        </w:rPr>
      </w:pPr>
    </w:p>
    <w:p>
      <w:pPr>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以上废</w:t>
      </w:r>
      <w:r>
        <w:rPr>
          <w:rFonts w:ascii="Times New Roman" w:hAnsi="Times New Roman" w:eastAsiaTheme="minorEastAsia"/>
          <w:color w:val="000000" w:themeColor="text1"/>
          <w:sz w:val="24"/>
          <w:szCs w:val="24"/>
          <w14:textFill>
            <w14:solidFill>
              <w14:schemeClr w14:val="tx1"/>
            </w14:solidFill>
          </w14:textFill>
        </w:rPr>
        <w:t>水中的船底油污水经船舶自配的油水分离器处理后和船舶生活污水交给海事部门的环</w:t>
      </w:r>
      <w:r>
        <w:rPr>
          <w:rFonts w:ascii="Times New Roman" w:hAnsi="Times New Roman" w:eastAsiaTheme="minorEastAsia"/>
          <w:color w:val="000000"/>
          <w:sz w:val="24"/>
          <w:szCs w:val="24"/>
        </w:rPr>
        <w:t>保船接收处理；码头生活污水定期由后方港口部污水处理设施集中处理后进入长岭分公司第二污水处理厂；码头初期雨水、趸船冲洗水经趸船上自建的污水箱收集后，由防爆污水泵通过管道输送到后方港口部污水处理设施集中处理后进入长岭分公司第二污水处理厂。项目用水平衡表见表3.3-16，用水平衡图见图3.3-3。</w:t>
      </w:r>
    </w:p>
    <w:p>
      <w:pPr>
        <w:wordWrap w:val="0"/>
        <w:spacing w:line="360" w:lineRule="auto"/>
        <w:ind w:firstLine="482" w:firstLineChars="200"/>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 xml:space="preserve">3.3-16 </w:t>
      </w:r>
      <w:r>
        <w:rPr>
          <w:rFonts w:ascii="Times New Roman" w:hAnsi="Times New Roman" w:eastAsiaTheme="minorEastAsia"/>
          <w:b/>
          <w:color w:val="000000"/>
          <w:sz w:val="24"/>
          <w:szCs w:val="24"/>
        </w:rPr>
        <w:t xml:space="preserve"> 本项目工程水平衡表              </w:t>
      </w:r>
      <w:r>
        <w:rPr>
          <w:rFonts w:ascii="Times New Roman" w:hAnsi="Times New Roman" w:eastAsiaTheme="minorEastAsia"/>
          <w:color w:val="000000"/>
          <w:sz w:val="24"/>
          <w:szCs w:val="24"/>
        </w:rPr>
        <w:t>单位：m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1119"/>
        <w:gridCol w:w="1145"/>
        <w:gridCol w:w="905"/>
        <w:gridCol w:w="906"/>
        <w:gridCol w:w="1010"/>
        <w:gridCol w:w="22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分类</w:t>
            </w:r>
          </w:p>
        </w:tc>
        <w:tc>
          <w:tcPr>
            <w:tcW w:w="61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总用水量</w:t>
            </w:r>
          </w:p>
        </w:tc>
        <w:tc>
          <w:tcPr>
            <w:tcW w:w="62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新鲜给水</w:t>
            </w:r>
          </w:p>
        </w:tc>
        <w:tc>
          <w:tcPr>
            <w:tcW w:w="49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损耗</w:t>
            </w:r>
          </w:p>
        </w:tc>
        <w:tc>
          <w:tcPr>
            <w:tcW w:w="4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回水量</w:t>
            </w:r>
          </w:p>
        </w:tc>
        <w:tc>
          <w:tcPr>
            <w:tcW w:w="55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排水</w:t>
            </w:r>
          </w:p>
        </w:tc>
        <w:tc>
          <w:tcPr>
            <w:tcW w:w="122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船舶舱底油污水</w:t>
            </w:r>
          </w:p>
        </w:tc>
        <w:tc>
          <w:tcPr>
            <w:tcW w:w="61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62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49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4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55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1113.42</w:t>
            </w:r>
          </w:p>
        </w:tc>
        <w:tc>
          <w:tcPr>
            <w:tcW w:w="1227" w:type="pct"/>
            <w:vMerge w:val="restar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由海事部门环保船回收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61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891</w:t>
            </w:r>
          </w:p>
        </w:tc>
        <w:tc>
          <w:tcPr>
            <w:tcW w:w="62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891</w:t>
            </w:r>
          </w:p>
        </w:tc>
        <w:tc>
          <w:tcPr>
            <w:tcW w:w="49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178.2</w:t>
            </w:r>
          </w:p>
        </w:tc>
        <w:tc>
          <w:tcPr>
            <w:tcW w:w="4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55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712.8</w:t>
            </w:r>
          </w:p>
        </w:tc>
        <w:tc>
          <w:tcPr>
            <w:tcW w:w="1227" w:type="pct"/>
            <w:vMerge w:val="continue"/>
            <w:tcMar>
              <w:top w:w="0" w:type="dxa"/>
              <w:left w:w="0" w:type="dxa"/>
              <w:bottom w:w="0" w:type="dxa"/>
              <w:right w:w="0" w:type="dxa"/>
            </w:tcMar>
            <w:vAlign w:val="center"/>
          </w:tcPr>
          <w:p>
            <w:pPr>
              <w:widowControl/>
              <w:adjustRightInd w:val="0"/>
              <w:snapToGrid w:val="0"/>
              <w:jc w:val="left"/>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码头生活污水</w:t>
            </w:r>
          </w:p>
        </w:tc>
        <w:tc>
          <w:tcPr>
            <w:tcW w:w="61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1188</w:t>
            </w:r>
          </w:p>
        </w:tc>
        <w:tc>
          <w:tcPr>
            <w:tcW w:w="62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1188</w:t>
            </w:r>
          </w:p>
        </w:tc>
        <w:tc>
          <w:tcPr>
            <w:tcW w:w="49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237.6</w:t>
            </w:r>
          </w:p>
        </w:tc>
        <w:tc>
          <w:tcPr>
            <w:tcW w:w="4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55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950.4</w:t>
            </w:r>
          </w:p>
        </w:tc>
        <w:tc>
          <w:tcPr>
            <w:tcW w:w="1227"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定期由槽罐车</w:t>
            </w:r>
            <w:r>
              <w:rPr>
                <w:rFonts w:hint="eastAsia" w:ascii="Times New Roman" w:hAnsi="Times New Roman" w:eastAsiaTheme="minorEastAsia"/>
                <w:color w:val="000000"/>
                <w:kern w:val="0"/>
              </w:rPr>
              <w:t>输送</w:t>
            </w:r>
            <w:r>
              <w:rPr>
                <w:rFonts w:ascii="Times New Roman" w:hAnsi="Times New Roman" w:eastAsiaTheme="minorEastAsia"/>
                <w:color w:val="000000"/>
                <w:kern w:val="0"/>
              </w:rPr>
              <w:t>至后方库区处理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趸船冲洗废水</w:t>
            </w:r>
          </w:p>
        </w:tc>
        <w:tc>
          <w:tcPr>
            <w:tcW w:w="61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6573.204</w:t>
            </w:r>
          </w:p>
        </w:tc>
        <w:tc>
          <w:tcPr>
            <w:tcW w:w="62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6573.204</w:t>
            </w:r>
          </w:p>
        </w:tc>
        <w:tc>
          <w:tcPr>
            <w:tcW w:w="49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657.32</w:t>
            </w:r>
          </w:p>
        </w:tc>
        <w:tc>
          <w:tcPr>
            <w:tcW w:w="4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55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5915.88</w:t>
            </w:r>
          </w:p>
        </w:tc>
        <w:tc>
          <w:tcPr>
            <w:tcW w:w="1227" w:type="pct"/>
            <w:vMerge w:val="restar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自建的污水箱收集后，由防爆污水泵通过管道输送到岸上，槽罐车</w:t>
            </w:r>
            <w:r>
              <w:rPr>
                <w:rFonts w:hint="eastAsia" w:ascii="Times New Roman" w:hAnsi="Times New Roman" w:eastAsiaTheme="minorEastAsia"/>
                <w:color w:val="000000"/>
                <w:kern w:val="0"/>
              </w:rPr>
              <w:t>输送</w:t>
            </w:r>
            <w:r>
              <w:rPr>
                <w:rFonts w:ascii="Times New Roman" w:hAnsi="Times New Roman" w:eastAsiaTheme="minorEastAsia"/>
                <w:color w:val="000000"/>
                <w:kern w:val="0"/>
              </w:rPr>
              <w:t>至后方库区处理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初期雨水</w:t>
            </w:r>
          </w:p>
        </w:tc>
        <w:tc>
          <w:tcPr>
            <w:tcW w:w="61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62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49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4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55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2237.28</w:t>
            </w:r>
          </w:p>
        </w:tc>
        <w:tc>
          <w:tcPr>
            <w:tcW w:w="1227" w:type="pct"/>
            <w:vMerge w:val="continue"/>
            <w:tcMar>
              <w:top w:w="0" w:type="dxa"/>
              <w:left w:w="0" w:type="dxa"/>
              <w:bottom w:w="0" w:type="dxa"/>
              <w:right w:w="0" w:type="dxa"/>
            </w:tcMar>
            <w:vAlign w:val="center"/>
          </w:tcPr>
          <w:p>
            <w:pPr>
              <w:widowControl/>
              <w:adjustRightInd w:val="0"/>
              <w:snapToGrid w:val="0"/>
              <w:jc w:val="left"/>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合计</w:t>
            </w:r>
          </w:p>
        </w:tc>
        <w:tc>
          <w:tcPr>
            <w:tcW w:w="61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8652.204</w:t>
            </w:r>
          </w:p>
        </w:tc>
        <w:tc>
          <w:tcPr>
            <w:tcW w:w="629"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8652.204</w:t>
            </w:r>
          </w:p>
        </w:tc>
        <w:tc>
          <w:tcPr>
            <w:tcW w:w="49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1073.12</w:t>
            </w:r>
          </w:p>
        </w:tc>
        <w:tc>
          <w:tcPr>
            <w:tcW w:w="4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555"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10929.78</w:t>
            </w:r>
          </w:p>
        </w:tc>
        <w:tc>
          <w:tcPr>
            <w:tcW w:w="1227"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bl>
    <w:p>
      <w:pPr>
        <w:spacing w:line="360" w:lineRule="auto"/>
        <w:ind w:firstLine="480" w:firstLineChars="200"/>
        <w:rPr>
          <w:rFonts w:ascii="Times New Roman" w:hAnsi="Times New Roman" w:eastAsiaTheme="minorEastAsia"/>
          <w:color w:val="000000"/>
          <w:sz w:val="24"/>
          <w:szCs w:val="24"/>
        </w:rPr>
      </w:pPr>
    </w:p>
    <w:p>
      <w:pPr>
        <w:spacing w:line="276" w:lineRule="auto"/>
        <w:jc w:val="righ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rPr>
        <w:object>
          <v:shape id="_x0000_i1027" o:spt="75" type="#_x0000_t75" style="height:201.6pt;width:467.15pt;" o:ole="t" filled="f" o:preferrelative="t" stroked="f" coordsize="21600,21600">
            <v:path/>
            <v:fill on="f" focussize="0,0"/>
            <v:stroke on="f" joinstyle="miter"/>
            <v:imagedata r:id="rId42" o:title=""/>
            <o:lock v:ext="edit" aspectratio="t"/>
            <w10:wrap type="none"/>
            <w10:anchorlock/>
          </v:shape>
          <o:OLEObject Type="Embed" ProgID="Visio.Drawing.11" ShapeID="_x0000_i1027" DrawAspect="Content" ObjectID="_1468075727" r:id="rId41">
            <o:LockedField>false</o:LockedField>
          </o:OLEObject>
        </w:object>
      </w:r>
      <w:r>
        <w:rPr>
          <w:rFonts w:ascii="Times New Roman" w:hAnsi="Times New Roman" w:eastAsiaTheme="minorEastAsia"/>
          <w:b/>
          <w:color w:val="000000" w:themeColor="text1"/>
          <w:sz w:val="24"/>
          <w:szCs w:val="24"/>
          <w14:textFill>
            <w14:solidFill>
              <w14:schemeClr w14:val="tx1"/>
            </w14:solidFill>
          </w14:textFill>
        </w:rPr>
        <w:t xml:space="preserve">图3.3-3   本项目水平衡图                </w:t>
      </w:r>
      <w:r>
        <w:rPr>
          <w:rFonts w:ascii="Times New Roman" w:hAnsi="Times New Roman" w:eastAsiaTheme="minorEastAsia"/>
          <w:color w:val="000000" w:themeColor="text1"/>
          <w:sz w:val="24"/>
          <w:szCs w:val="24"/>
          <w14:textFill>
            <w14:solidFill>
              <w14:schemeClr w14:val="tx1"/>
            </w14:solidFill>
          </w14:textFill>
        </w:rPr>
        <w:t>单位：m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/a</w:t>
      </w:r>
    </w:p>
    <w:p>
      <w:pPr>
        <w:pStyle w:val="5"/>
        <w:rPr>
          <w:rFonts w:eastAsiaTheme="minorEastAsia"/>
        </w:rPr>
      </w:pPr>
      <w:r>
        <w:rPr>
          <w:rFonts w:eastAsiaTheme="minorEastAsia"/>
        </w:rPr>
        <w:t>废气</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营运期影响大气质量的主要污染物主要为装卸船过程中液体化工品的无组织排放。此外，还有来往船舶燃油产生的废气。本环评选取年周转量较大、易挥发，对周边大气环境影响较大的几种物质计算其装卸时无组织排放量管线工程在营运期基本没有污染物产生。</w:t>
      </w:r>
    </w:p>
    <w:p>
      <w:pPr>
        <w:adjustRightInd w:val="0"/>
        <w:snapToGrid w:val="0"/>
        <w:spacing w:line="360" w:lineRule="auto"/>
        <w:ind w:firstLine="564" w:firstLineChars="234"/>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1、装卸船无组织呼吸废气排放</w:t>
      </w:r>
    </w:p>
    <w:p>
      <w:pPr>
        <w:adjustRightInd w:val="0"/>
        <w:snapToGrid w:val="0"/>
        <w:spacing w:line="360" w:lineRule="auto"/>
        <w:ind w:firstLine="561" w:firstLineChars="234"/>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原料装卸方式有2种，飞溅式和浸没式作业。本项目装卸船为浸没式作业，损失可用下式计算：</w:t>
      </w:r>
    </w:p>
    <w:p>
      <w:pPr>
        <w:adjustRightInd w:val="0"/>
        <w:snapToGrid w:val="0"/>
        <w:spacing w:line="360" w:lineRule="auto"/>
        <w:jc w:val="center"/>
        <w:rPr>
          <w:rFonts w:ascii="Times New Roman" w:hAnsi="Times New Roman" w:eastAsiaTheme="minorEastAsia"/>
          <w:color w:val="000000" w:themeColor="text1"/>
          <w:sz w:val="24"/>
          <w:szCs w:val="22"/>
          <w14:textFill>
            <w14:solidFill>
              <w14:schemeClr w14:val="tx1"/>
            </w14:solidFill>
          </w14:textFill>
        </w:rPr>
      </w:pPr>
      <w:r>
        <w:rPr>
          <w:rFonts w:ascii="Times New Roman" w:hAnsi="Times New Roman" w:eastAsiaTheme="minorEastAsia"/>
          <w:i/>
          <w:color w:val="000000" w:themeColor="text1"/>
          <w:sz w:val="24"/>
          <w:szCs w:val="22"/>
          <w14:textFill>
            <w14:solidFill>
              <w14:schemeClr w14:val="tx1"/>
            </w14:solidFill>
          </w14:textFill>
        </w:rPr>
        <w:t xml:space="preserve">F </w:t>
      </w:r>
      <w:r>
        <w:rPr>
          <w:rFonts w:ascii="Times New Roman" w:hAnsi="Times New Roman" w:eastAsiaTheme="minorEastAsia"/>
          <w:color w:val="000000" w:themeColor="text1"/>
          <w:sz w:val="24"/>
          <w:szCs w:val="22"/>
          <w14:textFill>
            <w14:solidFill>
              <w14:schemeClr w14:val="tx1"/>
            </w14:solidFill>
          </w14:textFill>
        </w:rPr>
        <w:t>= 0.063</w:t>
      </w:r>
      <w:r>
        <w:rPr>
          <w:rFonts w:ascii="Times New Roman" w:hAnsi="Times New Roman" w:eastAsiaTheme="minorEastAsia"/>
          <w:i/>
          <w:color w:val="000000" w:themeColor="text1"/>
          <w:sz w:val="24"/>
          <w:szCs w:val="22"/>
          <w14:textFill>
            <w14:solidFill>
              <w14:schemeClr w14:val="tx1"/>
            </w14:solidFill>
          </w14:textFill>
        </w:rPr>
        <w:t>PV</w:t>
      </w:r>
    </w:p>
    <w:p>
      <w:pPr>
        <w:adjustRightInd w:val="0"/>
        <w:snapToGrid w:val="0"/>
        <w:spacing w:line="360" w:lineRule="auto"/>
        <w:ind w:firstLine="480" w:firstLineChars="200"/>
        <w:rPr>
          <w:rFonts w:ascii="Times New Roman" w:hAnsi="Times New Roman" w:eastAsiaTheme="minorEastAsia"/>
          <w:color w:val="000000" w:themeColor="text1"/>
          <w:sz w:val="24"/>
          <w:szCs w:val="22"/>
          <w14:textFill>
            <w14:solidFill>
              <w14:schemeClr w14:val="tx1"/>
            </w14:solidFill>
          </w14:textFill>
        </w:rPr>
      </w:pPr>
      <w:r>
        <w:rPr>
          <w:rFonts w:ascii="Times New Roman" w:hAnsi="Times New Roman" w:eastAsiaTheme="minorEastAsia"/>
          <w:color w:val="000000" w:themeColor="text1"/>
          <w:sz w:val="24"/>
          <w:szCs w:val="22"/>
          <w14:textFill>
            <w14:solidFill>
              <w14:schemeClr w14:val="tx1"/>
            </w14:solidFill>
          </w14:textFill>
        </w:rPr>
        <w:t>式中：F—原料蒸发损失量（kg）；</w:t>
      </w:r>
    </w:p>
    <w:p>
      <w:pPr>
        <w:adjustRightInd w:val="0"/>
        <w:snapToGrid w:val="0"/>
        <w:spacing w:line="360" w:lineRule="auto"/>
        <w:ind w:firstLine="1200" w:firstLineChars="500"/>
        <w:rPr>
          <w:rFonts w:ascii="Times New Roman" w:hAnsi="Times New Roman" w:eastAsiaTheme="minorEastAsia"/>
          <w:color w:val="000000" w:themeColor="text1"/>
          <w:sz w:val="24"/>
          <w:szCs w:val="22"/>
          <w14:textFill>
            <w14:solidFill>
              <w14:schemeClr w14:val="tx1"/>
            </w14:solidFill>
          </w14:textFill>
        </w:rPr>
      </w:pPr>
      <w:r>
        <w:rPr>
          <w:rFonts w:ascii="Times New Roman" w:hAnsi="Times New Roman" w:eastAsiaTheme="minorEastAsia"/>
          <w:color w:val="000000" w:themeColor="text1"/>
          <w:sz w:val="24"/>
          <w:szCs w:val="22"/>
          <w14:textFill>
            <w14:solidFill>
              <w14:schemeClr w14:val="tx1"/>
            </w14:solidFill>
          </w14:textFill>
        </w:rPr>
        <w:t>P—15.56</w:t>
      </w:r>
      <w:r>
        <w:rPr>
          <w:rFonts w:hint="eastAsia" w:ascii="宋体" w:hAnsi="宋体" w:cs="宋体"/>
          <w:color w:val="000000" w:themeColor="text1"/>
          <w:sz w:val="24"/>
          <w:szCs w:val="22"/>
          <w14:textFill>
            <w14:solidFill>
              <w14:schemeClr w14:val="tx1"/>
            </w14:solidFill>
          </w14:textFill>
        </w:rPr>
        <w:t>℃</w:t>
      </w:r>
      <w:r>
        <w:rPr>
          <w:rFonts w:ascii="Times New Roman" w:hAnsi="Times New Roman" w:eastAsiaTheme="minorEastAsia"/>
          <w:color w:val="000000" w:themeColor="text1"/>
          <w:sz w:val="24"/>
          <w:szCs w:val="22"/>
          <w14:textFill>
            <w14:solidFill>
              <w14:schemeClr w14:val="tx1"/>
            </w14:solidFill>
          </w14:textFill>
        </w:rPr>
        <w:t>空气-原料混和物中烃气蒸汽压（通常是认为装车前在容器中剩余液体的真实蒸汽压），kg/cm</w:t>
      </w:r>
      <w:r>
        <w:rPr>
          <w:rFonts w:ascii="Times New Roman" w:hAnsi="Times New Roman" w:eastAsiaTheme="minorEastAsia"/>
          <w:color w:val="000000" w:themeColor="text1"/>
          <w:sz w:val="24"/>
          <w:szCs w:val="22"/>
          <w:vertAlign w:val="superscript"/>
          <w14:textFill>
            <w14:solidFill>
              <w14:schemeClr w14:val="tx1"/>
            </w14:solidFill>
          </w14:textFill>
        </w:rPr>
        <w:t>2</w:t>
      </w:r>
      <w:r>
        <w:rPr>
          <w:rFonts w:ascii="Times New Roman" w:hAnsi="Times New Roman" w:eastAsiaTheme="minorEastAsia"/>
          <w:color w:val="000000" w:themeColor="text1"/>
          <w:sz w:val="24"/>
          <w:szCs w:val="22"/>
          <w14:textFill>
            <w14:solidFill>
              <w14:schemeClr w14:val="tx1"/>
            </w14:solidFill>
          </w14:textFill>
        </w:rPr>
        <w:t>；</w:t>
      </w:r>
    </w:p>
    <w:p>
      <w:pPr>
        <w:adjustRightInd w:val="0"/>
        <w:snapToGrid w:val="0"/>
        <w:spacing w:line="360" w:lineRule="auto"/>
        <w:ind w:firstLine="1161" w:firstLineChars="484"/>
        <w:rPr>
          <w:rFonts w:ascii="Times New Roman" w:hAnsi="Times New Roman" w:eastAsiaTheme="minorEastAsia"/>
          <w:color w:val="000000" w:themeColor="text1"/>
          <w:sz w:val="24"/>
          <w:szCs w:val="22"/>
          <w14:textFill>
            <w14:solidFill>
              <w14:schemeClr w14:val="tx1"/>
            </w14:solidFill>
          </w14:textFill>
        </w:rPr>
      </w:pPr>
      <w:r>
        <w:rPr>
          <w:rFonts w:ascii="Times New Roman" w:hAnsi="Times New Roman" w:eastAsiaTheme="minorEastAsia"/>
          <w:color w:val="000000" w:themeColor="text1"/>
          <w:sz w:val="24"/>
          <w:szCs w:val="22"/>
          <w14:textFill>
            <w14:solidFill>
              <w14:schemeClr w14:val="tx1"/>
            </w14:solidFill>
          </w14:textFill>
        </w:rPr>
        <w:t>V—装入油品的体积，m</w:t>
      </w:r>
      <w:r>
        <w:rPr>
          <w:rFonts w:ascii="Times New Roman" w:hAnsi="Times New Roman" w:eastAsiaTheme="minorEastAsia"/>
          <w:color w:val="000000" w:themeColor="text1"/>
          <w:sz w:val="24"/>
          <w:szCs w:val="22"/>
          <w:vertAlign w:val="superscript"/>
          <w14:textFill>
            <w14:solidFill>
              <w14:schemeClr w14:val="tx1"/>
            </w14:solidFill>
          </w14:textFill>
        </w:rPr>
        <w:t>3</w:t>
      </w:r>
      <w:r>
        <w:rPr>
          <w:rFonts w:ascii="Times New Roman" w:hAnsi="Times New Roman" w:eastAsiaTheme="minorEastAsia"/>
          <w:color w:val="000000" w:themeColor="text1"/>
          <w:sz w:val="24"/>
          <w:szCs w:val="2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1" w:firstLineChars="234"/>
        <w:textAlignment w:val="auto"/>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根据同类项目类比调查，未采取污染防治措施的情况下，项目挥发性大的汽油、石脑油等损耗以吞吐量的0.00</w:t>
      </w:r>
      <w:r>
        <w:rPr>
          <w:rFonts w:hint="eastAsia" w:ascii="Times New Roman" w:hAnsi="Times New Roman" w:eastAsiaTheme="minorEastAsia"/>
          <w:color w:val="000000" w:themeColor="text1"/>
          <w:sz w:val="24"/>
          <w:szCs w:val="24"/>
          <w14:textFill>
            <w14:solidFill>
              <w14:schemeClr w14:val="tx1"/>
            </w14:solidFill>
          </w14:textFill>
        </w:rPr>
        <w:t>03</w:t>
      </w:r>
      <w:r>
        <w:rPr>
          <w:rFonts w:ascii="Times New Roman" w:hAnsi="Times New Roman" w:eastAsiaTheme="minorEastAsia"/>
          <w:color w:val="000000" w:themeColor="text1"/>
          <w:sz w:val="24"/>
          <w:szCs w:val="24"/>
          <w14:textFill>
            <w14:solidFill>
              <w14:schemeClr w14:val="tx1"/>
            </w14:solidFill>
          </w14:textFill>
        </w:rPr>
        <w:t>%计，挥发性较小的的柴油</w:t>
      </w:r>
      <w:r>
        <w:rPr>
          <w:rFonts w:hint="eastAsia" w:ascii="Times New Roman" w:hAnsi="Times New Roman" w:eastAsiaTheme="minorEastAsia"/>
          <w:color w:val="000000" w:themeColor="text1"/>
          <w:sz w:val="24"/>
          <w:szCs w:val="24"/>
          <w14:textFill>
            <w14:solidFill>
              <w14:schemeClr w14:val="tx1"/>
            </w14:solidFill>
          </w14:textFill>
        </w:rPr>
        <w:t>、乙酸仲丁酯等</w:t>
      </w:r>
      <w:r>
        <w:rPr>
          <w:rFonts w:ascii="Times New Roman" w:hAnsi="Times New Roman" w:eastAsiaTheme="minorEastAsia"/>
          <w:color w:val="000000" w:themeColor="text1"/>
          <w:sz w:val="24"/>
          <w:szCs w:val="24"/>
          <w14:textFill>
            <w14:solidFill>
              <w14:schemeClr w14:val="tx1"/>
            </w14:solidFill>
          </w14:textFill>
        </w:rPr>
        <w:t>按0.0002%计。</w:t>
      </w:r>
      <w:r>
        <w:rPr>
          <w:rFonts w:hint="eastAsia" w:ascii="Times New Roman" w:hAnsi="Times New Roman" w:eastAsiaTheme="minorEastAsia"/>
          <w:color w:val="000000" w:themeColor="text1"/>
          <w:sz w:val="24"/>
          <w:szCs w:val="24"/>
          <w14:textFill>
            <w14:solidFill>
              <w14:schemeClr w14:val="tx1"/>
            </w14:solidFill>
          </w14:textFill>
        </w:rPr>
        <w:t>项目装卸区有机废气产生量计算统计</w:t>
      </w:r>
      <w:r>
        <w:rPr>
          <w:rFonts w:ascii="Times New Roman" w:hAnsi="Times New Roman" w:eastAsiaTheme="minorEastAsia"/>
          <w:color w:val="000000" w:themeColor="text1"/>
          <w:sz w:val="24"/>
          <w:szCs w:val="24"/>
          <w14:textFill>
            <w14:solidFill>
              <w14:schemeClr w14:val="tx1"/>
            </w14:solidFill>
          </w14:textFill>
        </w:rPr>
        <w:t>情况见表3.3-15。项目</w:t>
      </w:r>
      <w:r>
        <w:rPr>
          <w:rFonts w:ascii="Times New Roman" w:hAnsi="Times New Roman"/>
          <w:color w:val="000000"/>
          <w:sz w:val="24"/>
          <w:szCs w:val="24"/>
          <w:lang w:val="zh-CN"/>
        </w:rPr>
        <w:t>新建油气回收装置1套，油气回收装置处理量为1×1500Nm</w:t>
      </w:r>
      <w:r>
        <w:rPr>
          <w:rFonts w:ascii="Times New Roman" w:hAnsi="Times New Roman" w:eastAsia="Times New Roman"/>
          <w:color w:val="000000"/>
          <w:sz w:val="24"/>
          <w:szCs w:val="24"/>
          <w:vertAlign w:val="superscript"/>
          <w:lang w:val="zh-CN"/>
        </w:rPr>
        <w:t>3</w:t>
      </w:r>
      <w:r>
        <w:rPr>
          <w:rFonts w:ascii="Times New Roman" w:hAnsi="Times New Roman" w:eastAsia="Times New Roman"/>
          <w:color w:val="000000"/>
          <w:sz w:val="24"/>
          <w:szCs w:val="24"/>
          <w:lang w:val="zh-CN"/>
        </w:rPr>
        <w:t>/h</w:t>
      </w:r>
      <w:r>
        <w:rPr>
          <w:rFonts w:ascii="Times New Roman" w:hAnsi="Times New Roman"/>
          <w:color w:val="000000"/>
          <w:sz w:val="24"/>
          <w:szCs w:val="24"/>
          <w:lang w:val="zh-CN"/>
        </w:rPr>
        <w:t>，采用“压缩+冷凝吸收+膜分离+吸附”工艺技术路线，液环式压缩机液环液及吸收部分吸收液采用成品柴油及回收液浅冷循环使用。根据设计单位提供的资料，油气回收装置收集效率为</w:t>
      </w:r>
      <w:r>
        <w:rPr>
          <w:rFonts w:ascii="Times New Roman" w:hAnsi="Times New Roman"/>
          <w:color w:val="000000"/>
          <w:sz w:val="24"/>
          <w:szCs w:val="24"/>
        </w:rPr>
        <w:t>98%，处理效率97%，有机废气经处理后通过15m高排气筒排放。有机</w:t>
      </w:r>
      <w:r>
        <w:rPr>
          <w:rFonts w:ascii="Times New Roman" w:hAnsi="Times New Roman" w:eastAsiaTheme="minorEastAsia"/>
          <w:color w:val="000000" w:themeColor="text1"/>
          <w:sz w:val="24"/>
          <w:szCs w:val="24"/>
          <w14:textFill>
            <w14:solidFill>
              <w14:schemeClr w14:val="tx1"/>
            </w14:solidFill>
          </w14:textFill>
        </w:rPr>
        <w:t>废气排放情况见表</w:t>
      </w:r>
      <w:r>
        <w:rPr>
          <w:rFonts w:hint="eastAsia" w:ascii="Times New Roman" w:hAnsi="Times New Roman" w:eastAsiaTheme="minorEastAsia"/>
          <w:color w:val="000000" w:themeColor="text1"/>
          <w:sz w:val="24"/>
          <w:szCs w:val="24"/>
          <w14:textFill>
            <w14:solidFill>
              <w14:schemeClr w14:val="tx1"/>
            </w14:solidFill>
          </w14:textFill>
        </w:rPr>
        <w:t>3.3-16。</w:t>
      </w: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center"/>
        <w:textAlignment w:val="auto"/>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表3.3-15  本项目装卸区</w:t>
      </w:r>
      <w:r>
        <w:rPr>
          <w:rFonts w:hint="eastAsia" w:ascii="Times New Roman" w:hAnsi="Times New Roman" w:eastAsiaTheme="minorEastAsia"/>
          <w:b/>
          <w:color w:val="000000" w:themeColor="text1"/>
          <w:sz w:val="24"/>
          <w:szCs w:val="24"/>
          <w14:textFill>
            <w14:solidFill>
              <w14:schemeClr w14:val="tx1"/>
            </w14:solidFill>
          </w14:textFill>
        </w:rPr>
        <w:t>有机废气产生量</w:t>
      </w:r>
      <w:r>
        <w:rPr>
          <w:rFonts w:ascii="Times New Roman" w:hAnsi="Times New Roman" w:eastAsiaTheme="minorEastAsia"/>
          <w:b/>
          <w:color w:val="000000" w:themeColor="text1"/>
          <w:sz w:val="24"/>
          <w:szCs w:val="24"/>
          <w14:textFill>
            <w14:solidFill>
              <w14:schemeClr w14:val="tx1"/>
            </w14:solidFill>
          </w14:textFill>
        </w:rPr>
        <w:t>计算统计表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511"/>
        <w:gridCol w:w="1279"/>
        <w:gridCol w:w="1279"/>
        <w:gridCol w:w="1037"/>
        <w:gridCol w:w="1596"/>
        <w:gridCol w:w="1199"/>
        <w:gridCol w:w="11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830"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储存介质</w:t>
            </w:r>
          </w:p>
        </w:tc>
        <w:tc>
          <w:tcPr>
            <w:tcW w:w="703"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P（kg/cm</w:t>
            </w:r>
            <w:r>
              <w:rPr>
                <w:rFonts w:ascii="Times New Roman" w:hAnsi="Times New Roman" w:eastAsiaTheme="minorEastAsia"/>
                <w:b/>
                <w:color w:val="000000" w:themeColor="text1"/>
                <w:kern w:val="0"/>
                <w:vertAlign w:val="superscript"/>
                <w14:textFill>
                  <w14:solidFill>
                    <w14:schemeClr w14:val="tx1"/>
                  </w14:solidFill>
                </w14:textFill>
              </w:rPr>
              <w:t>2</w:t>
            </w:r>
            <w:r>
              <w:rPr>
                <w:rFonts w:ascii="Times New Roman" w:hAnsi="Times New Roman" w:eastAsiaTheme="minorEastAsia"/>
                <w:b/>
                <w:color w:val="000000" w:themeColor="text1"/>
                <w:kern w:val="0"/>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年周转量（t）</w:t>
            </w:r>
          </w:p>
        </w:tc>
        <w:tc>
          <w:tcPr>
            <w:tcW w:w="570"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污染物</w:t>
            </w:r>
          </w:p>
        </w:tc>
        <w:tc>
          <w:tcPr>
            <w:tcW w:w="877"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年产生量（kg）</w:t>
            </w:r>
          </w:p>
        </w:tc>
        <w:tc>
          <w:tcPr>
            <w:tcW w:w="659"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产生</w:t>
            </w:r>
            <w:r>
              <w:rPr>
                <w:rFonts w:ascii="Times New Roman" w:hAnsi="Times New Roman" w:eastAsiaTheme="minorEastAsia"/>
                <w:b/>
                <w:color w:val="000000" w:themeColor="text1"/>
                <w14:textFill>
                  <w14:solidFill>
                    <w14:schemeClr w14:val="tx1"/>
                  </w14:solidFill>
                </w14:textFill>
              </w:rPr>
              <w:t>速率</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（kg/h）</w:t>
            </w:r>
          </w:p>
        </w:tc>
        <w:tc>
          <w:tcPr>
            <w:tcW w:w="658"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介质密度</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（kg/m</w:t>
            </w:r>
            <w:r>
              <w:rPr>
                <w:rFonts w:ascii="Times New Roman" w:hAnsi="Times New Roman" w:eastAsiaTheme="minorEastAsia"/>
                <w:b/>
                <w:color w:val="000000" w:themeColor="text1"/>
                <w:vertAlign w:val="superscript"/>
                <w14:textFill>
                  <w14:solidFill>
                    <w14:schemeClr w14:val="tx1"/>
                  </w14:solidFill>
                </w14:textFill>
              </w:rPr>
              <w:t>3</w:t>
            </w:r>
            <w:r>
              <w:rPr>
                <w:rFonts w:ascii="Times New Roman" w:hAnsi="Times New Roman" w:eastAsiaTheme="minorEastAsia"/>
                <w:b/>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绥中油</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1100000</w:t>
            </w:r>
          </w:p>
        </w:tc>
        <w:tc>
          <w:tcPr>
            <w:tcW w:w="570"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VOCs</w:t>
            </w: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2200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0.2778</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柴油</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1400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0.1768</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汽油</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850000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2550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0.3220</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乙烯石脑油</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450000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1350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0.1705</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重整石脑油</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300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0.0379</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蜡油/渣油</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220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0.0278</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二甲苯</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500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0.0631</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乙酸甲酯</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0.0126</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醋酸</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0.0126</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丁酮</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120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0.0152</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乙酸仲丁酯</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100000</w:t>
            </w:r>
          </w:p>
        </w:tc>
        <w:tc>
          <w:tcPr>
            <w:tcW w:w="57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200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0.0253</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合计</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w:t>
            </w:r>
          </w:p>
        </w:tc>
        <w:tc>
          <w:tcPr>
            <w:tcW w:w="70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3820000</w:t>
            </w:r>
          </w:p>
        </w:tc>
        <w:tc>
          <w:tcPr>
            <w:tcW w:w="57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w:t>
            </w:r>
          </w:p>
        </w:tc>
        <w:tc>
          <w:tcPr>
            <w:tcW w:w="8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9040</w:t>
            </w:r>
          </w:p>
        </w:tc>
        <w:tc>
          <w:tcPr>
            <w:tcW w:w="65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1.1414</w:t>
            </w:r>
          </w:p>
        </w:tc>
        <w:tc>
          <w:tcPr>
            <w:tcW w:w="65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w:t>
            </w:r>
          </w:p>
        </w:tc>
      </w:tr>
    </w:tbl>
    <w:p>
      <w:pPr>
        <w:spacing w:line="360" w:lineRule="auto"/>
        <w:rPr>
          <w:rFonts w:ascii="Times New Roman" w:hAnsi="Times New Roman" w:eastAsiaTheme="minorEastAsia"/>
          <w:b/>
          <w:color w:val="0000FF"/>
          <w:sz w:val="24"/>
          <w:szCs w:val="24"/>
        </w:rPr>
      </w:pPr>
    </w:p>
    <w:p>
      <w:pPr>
        <w:spacing w:line="360" w:lineRule="auto"/>
        <w:ind w:firstLine="482" w:firstLineChars="200"/>
        <w:jc w:val="center"/>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表3.3-16 项目有机废气产排情况一览表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61"/>
        <w:gridCol w:w="1001"/>
        <w:gridCol w:w="1043"/>
        <w:gridCol w:w="974"/>
        <w:gridCol w:w="1019"/>
        <w:gridCol w:w="1041"/>
        <w:gridCol w:w="1052"/>
        <w:gridCol w:w="1061"/>
        <w:gridCol w:w="11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418"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污染物</w:t>
            </w:r>
          </w:p>
        </w:tc>
        <w:tc>
          <w:tcPr>
            <w:tcW w:w="550"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年产生量（kg）</w:t>
            </w:r>
          </w:p>
        </w:tc>
        <w:tc>
          <w:tcPr>
            <w:tcW w:w="573"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产生</w:t>
            </w:r>
            <w:r>
              <w:rPr>
                <w:rFonts w:ascii="Times New Roman" w:hAnsi="Times New Roman" w:eastAsiaTheme="minorEastAsia"/>
                <w:b/>
                <w:color w:val="000000" w:themeColor="text1"/>
                <w14:textFill>
                  <w14:solidFill>
                    <w14:schemeClr w14:val="tx1"/>
                  </w14:solidFill>
                </w14:textFill>
              </w:rPr>
              <w:t>速率</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（kg/h）</w:t>
            </w:r>
          </w:p>
        </w:tc>
        <w:tc>
          <w:tcPr>
            <w:tcW w:w="535"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收集效率%</w:t>
            </w:r>
          </w:p>
        </w:tc>
        <w:tc>
          <w:tcPr>
            <w:tcW w:w="560"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污染物量</w:t>
            </w:r>
          </w:p>
        </w:tc>
        <w:tc>
          <w:tcPr>
            <w:tcW w:w="572"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处理措施</w:t>
            </w:r>
          </w:p>
        </w:tc>
        <w:tc>
          <w:tcPr>
            <w:tcW w:w="578"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处理效率%</w:t>
            </w:r>
          </w:p>
        </w:tc>
        <w:tc>
          <w:tcPr>
            <w:tcW w:w="583"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年</w:t>
            </w:r>
            <w:r>
              <w:rPr>
                <w:rFonts w:hint="eastAsia" w:ascii="Times New Roman" w:hAnsi="Times New Roman" w:eastAsiaTheme="minorEastAsia"/>
                <w:b/>
                <w:color w:val="000000" w:themeColor="text1"/>
                <w14:textFill>
                  <w14:solidFill>
                    <w14:schemeClr w14:val="tx1"/>
                  </w14:solidFill>
                </w14:textFill>
              </w:rPr>
              <w:t>排放</w:t>
            </w:r>
            <w:r>
              <w:rPr>
                <w:rFonts w:ascii="Times New Roman" w:hAnsi="Times New Roman" w:eastAsiaTheme="minorEastAsia"/>
                <w:b/>
                <w:color w:val="000000" w:themeColor="text1"/>
                <w14:textFill>
                  <w14:solidFill>
                    <w14:schemeClr w14:val="tx1"/>
                  </w14:solidFill>
                </w14:textFill>
              </w:rPr>
              <w:t>量（kg）</w:t>
            </w:r>
          </w:p>
        </w:tc>
        <w:tc>
          <w:tcPr>
            <w:tcW w:w="631"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排放速率</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8"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VOCs</w:t>
            </w:r>
          </w:p>
        </w:tc>
        <w:tc>
          <w:tcPr>
            <w:tcW w:w="550"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9040</w:t>
            </w:r>
          </w:p>
        </w:tc>
        <w:tc>
          <w:tcPr>
            <w:tcW w:w="573"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 xml:space="preserve">1.1414 </w:t>
            </w:r>
          </w:p>
        </w:tc>
        <w:tc>
          <w:tcPr>
            <w:tcW w:w="535"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98</w:t>
            </w:r>
          </w:p>
        </w:tc>
        <w:tc>
          <w:tcPr>
            <w:tcW w:w="56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1.119（有组织）</w:t>
            </w:r>
          </w:p>
        </w:tc>
        <w:tc>
          <w:tcPr>
            <w:tcW w:w="572"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油气回收装置</w:t>
            </w:r>
          </w:p>
        </w:tc>
        <w:tc>
          <w:tcPr>
            <w:tcW w:w="57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97</w:t>
            </w:r>
          </w:p>
        </w:tc>
        <w:tc>
          <w:tcPr>
            <w:tcW w:w="58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265.776</w:t>
            </w:r>
          </w:p>
        </w:tc>
        <w:tc>
          <w:tcPr>
            <w:tcW w:w="631"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18"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550"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573"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535"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560"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0.023（无组织）</w:t>
            </w:r>
          </w:p>
        </w:tc>
        <w:tc>
          <w:tcPr>
            <w:tcW w:w="57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57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w:t>
            </w:r>
          </w:p>
        </w:tc>
        <w:tc>
          <w:tcPr>
            <w:tcW w:w="58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180.8</w:t>
            </w:r>
          </w:p>
        </w:tc>
        <w:tc>
          <w:tcPr>
            <w:tcW w:w="631"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0.023</w:t>
            </w:r>
          </w:p>
        </w:tc>
      </w:tr>
    </w:tbl>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2、船舶燃油废气</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船舶产生的燃油废气，排放的废气污染物主要是二氧化硫、氮氧化物、一氧化碳和烃类等。由于车辆、船舶停留时间较短，废气产生量很小，对周围大气环境影响很小，可以不予考虑。</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3、吹扫废气</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装卸主管及装卸臂扫线时，根据扫线流程，项目采用氮气将金属软管中的残余物料扫入趸船储油舱，可有效地减少有机废气的产生。扫线用的氮气来自库区氮气站，扫线方向为由库区储罐向码头储油舱吹扫。扫线结束后装卸主管及装卸臂内大部分为氮气，断开装卸主管和装卸臂的连接后立即关紧装卸主管末端的阀门，防止管内残留的有机废气逸出。装卸主管阀门紧闭后有机废气逸出量较小，损耗量可以忽略。</w:t>
      </w:r>
    </w:p>
    <w:p>
      <w:pPr>
        <w:pStyle w:val="5"/>
        <w:rPr>
          <w:rFonts w:eastAsiaTheme="minorEastAsia"/>
        </w:rPr>
      </w:pPr>
      <w:r>
        <w:rPr>
          <w:rFonts w:eastAsiaTheme="minorEastAsia"/>
        </w:rPr>
        <w:t>噪声</w:t>
      </w:r>
    </w:p>
    <w:p>
      <w:pPr>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本项目营运期间的噪声主要来源于码头机械噪声、船舶鸣笛产生的交通噪声等，其单机噪声值见下表。</w:t>
      </w:r>
    </w:p>
    <w:p>
      <w:pPr>
        <w:spacing w:line="360"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表3.3-17  营运期噪声源估算表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81"/>
        <w:gridCol w:w="3613"/>
        <w:gridCol w:w="2422"/>
        <w:gridCol w:w="1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94" w:type="pct"/>
            <w:vAlign w:val="center"/>
          </w:tcPr>
          <w:p>
            <w:pPr>
              <w:overflowPunct w:val="0"/>
              <w:autoSpaceDE w:val="0"/>
              <w:autoSpaceDN w:val="0"/>
              <w:adjustRightInd w:val="0"/>
              <w:snapToGrid w:val="0"/>
              <w:jc w:val="center"/>
              <w:textAlignment w:val="baseline"/>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985" w:type="pct"/>
            <w:vAlign w:val="center"/>
          </w:tcPr>
          <w:p>
            <w:pPr>
              <w:overflowPunct w:val="0"/>
              <w:autoSpaceDE w:val="0"/>
              <w:autoSpaceDN w:val="0"/>
              <w:adjustRightInd w:val="0"/>
              <w:snapToGrid w:val="0"/>
              <w:jc w:val="center"/>
              <w:textAlignment w:val="baseline"/>
              <w:rPr>
                <w:rFonts w:ascii="Times New Roman" w:hAnsi="Times New Roman" w:eastAsiaTheme="minorEastAsia"/>
                <w:b/>
                <w:color w:val="000000"/>
                <w:kern w:val="0"/>
              </w:rPr>
            </w:pPr>
            <w:r>
              <w:rPr>
                <w:rFonts w:ascii="Times New Roman" w:hAnsi="Times New Roman" w:eastAsiaTheme="minorEastAsia"/>
                <w:b/>
                <w:color w:val="000000"/>
                <w:kern w:val="0"/>
              </w:rPr>
              <w:t>设备名称</w:t>
            </w:r>
          </w:p>
        </w:tc>
        <w:tc>
          <w:tcPr>
            <w:tcW w:w="1331" w:type="pct"/>
            <w:vAlign w:val="center"/>
          </w:tcPr>
          <w:p>
            <w:pPr>
              <w:overflowPunct w:val="0"/>
              <w:autoSpaceDE w:val="0"/>
              <w:autoSpaceDN w:val="0"/>
              <w:adjustRightInd w:val="0"/>
              <w:snapToGrid w:val="0"/>
              <w:jc w:val="center"/>
              <w:textAlignment w:val="baseline"/>
              <w:rPr>
                <w:rFonts w:ascii="Times New Roman" w:hAnsi="Times New Roman" w:eastAsiaTheme="minorEastAsia"/>
                <w:b/>
                <w:color w:val="000000"/>
                <w:kern w:val="0"/>
              </w:rPr>
            </w:pPr>
            <w:r>
              <w:rPr>
                <w:rFonts w:ascii="Times New Roman" w:hAnsi="Times New Roman" w:eastAsiaTheme="minorEastAsia"/>
                <w:b/>
                <w:color w:val="000000"/>
                <w:kern w:val="0"/>
              </w:rPr>
              <w:t>数量</w:t>
            </w:r>
          </w:p>
        </w:tc>
        <w:tc>
          <w:tcPr>
            <w:tcW w:w="1090" w:type="pct"/>
            <w:vAlign w:val="center"/>
          </w:tcPr>
          <w:p>
            <w:pPr>
              <w:overflowPunct w:val="0"/>
              <w:autoSpaceDE w:val="0"/>
              <w:autoSpaceDN w:val="0"/>
              <w:adjustRightInd w:val="0"/>
              <w:snapToGrid w:val="0"/>
              <w:jc w:val="center"/>
              <w:textAlignment w:val="baseline"/>
              <w:rPr>
                <w:rFonts w:ascii="Times New Roman" w:hAnsi="Times New Roman" w:eastAsiaTheme="minorEastAsia"/>
                <w:b/>
                <w:color w:val="000000"/>
                <w:kern w:val="0"/>
              </w:rPr>
            </w:pPr>
            <w:r>
              <w:rPr>
                <w:rFonts w:ascii="Times New Roman" w:hAnsi="Times New Roman" w:eastAsiaTheme="minorEastAsia"/>
                <w:b/>
                <w:color w:val="000000"/>
                <w:kern w:val="0"/>
              </w:rPr>
              <w:t>Lmax(dB(A</w:t>
            </w:r>
            <w:r>
              <w:rPr>
                <w:rFonts w:hint="eastAsia" w:ascii="Times New Roman" w:hAnsi="Times New Roman" w:eastAsiaTheme="minorEastAsia"/>
                <w:b/>
                <w:color w:val="000000"/>
                <w:kern w:val="0"/>
              </w:rPr>
              <w:t>)</w:t>
            </w:r>
            <w:r>
              <w:rPr>
                <w:rFonts w:ascii="Times New Roman" w:hAnsi="Times New Roman" w:eastAsiaTheme="minorEastAsia"/>
                <w:b/>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9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w:t>
            </w:r>
          </w:p>
        </w:tc>
        <w:tc>
          <w:tcPr>
            <w:tcW w:w="198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卸油泵</w:t>
            </w:r>
          </w:p>
        </w:tc>
        <w:tc>
          <w:tcPr>
            <w:tcW w:w="133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109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9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w:t>
            </w:r>
          </w:p>
        </w:tc>
        <w:tc>
          <w:tcPr>
            <w:tcW w:w="1985"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船舶鸣笛</w:t>
            </w:r>
          </w:p>
        </w:tc>
        <w:tc>
          <w:tcPr>
            <w:tcW w:w="133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109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9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w:t>
            </w:r>
          </w:p>
        </w:tc>
        <w:tc>
          <w:tcPr>
            <w:tcW w:w="1985" w:type="pct"/>
            <w:vAlign w:val="center"/>
          </w:tcPr>
          <w:p>
            <w:pPr>
              <w:overflowPunct w:val="0"/>
              <w:autoSpaceDE w:val="0"/>
              <w:autoSpaceDN w:val="0"/>
              <w:adjustRightInd w:val="0"/>
              <w:snapToGrid w:val="0"/>
              <w:jc w:val="center"/>
              <w:textAlignment w:val="baseline"/>
              <w:rPr>
                <w:rFonts w:ascii="Times New Roman" w:hAnsi="Times New Roman" w:eastAsiaTheme="minorEastAsia"/>
                <w:color w:val="000000"/>
                <w:kern w:val="0"/>
              </w:rPr>
            </w:pPr>
            <w:r>
              <w:rPr>
                <w:rFonts w:ascii="Times New Roman" w:hAnsi="Times New Roman" w:eastAsiaTheme="minorEastAsia"/>
                <w:color w:val="000000"/>
              </w:rPr>
              <w:t>船舶发动机</w:t>
            </w:r>
          </w:p>
        </w:tc>
        <w:tc>
          <w:tcPr>
            <w:tcW w:w="133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3艘/天</w:t>
            </w:r>
          </w:p>
        </w:tc>
        <w:tc>
          <w:tcPr>
            <w:tcW w:w="109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105</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pStyle w:val="5"/>
        <w:rPr>
          <w:rFonts w:eastAsiaTheme="minorEastAsia"/>
        </w:rPr>
      </w:pPr>
      <w:r>
        <w:rPr>
          <w:rFonts w:eastAsiaTheme="minorEastAsia"/>
        </w:rPr>
        <w:t>固体废弃物</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项目产生的固体废物主要包括港区工作人员生活垃圾、到港船舶生活垃圾、装卸作业废油以及机修废物（废油渣和废含油抹布）。</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1、港区工作人员生活垃圾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码头定员72人。工作人员生活垃圾产生量按0.5kg/天·人计算，工作人员生活垃圾产生量为36kg/d，11.88t/a，交由环卫处理部门清运。</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2、到港船舶生活垃圾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码头年营运天数为330天，到港船舶的船员以6人/艘估算，船员生活垃圾产生量按1kg/天·人计算，则到港船舶生活垃圾产生约为18kg/d，5.94t/a，由海事部门指定的船舶接收统一处理。</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3、废含油抹布</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废含油抹布等机修废物约为3t/a，对照《国家危险废物名录》（2016年版），“废弃的含油抹布、劳保”用品可全部混入生活垃圾，全过程不按危险废物管理，因此本项目含油抹布纳入到生活垃圾处理系统，收集上岸后委托环卫部门统一清运。</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4、废油</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类比同类型项目，码头设备修理会产生少量废油渣，产生量约为0.2t/a，另外装卸作业也会产生废油，产生量约为15t/a，该类废物属于危险废物（HW08废矿物油与含矿物油废物，废物代码为900-249-08），交由有资质的危废处置单位统一处理。</w:t>
      </w:r>
    </w:p>
    <w:p>
      <w:pPr>
        <w:wordWrap w:val="0"/>
        <w:spacing w:line="360" w:lineRule="auto"/>
        <w:ind w:firstLine="482" w:firstLineChars="200"/>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表3.3-18  本项目固体废物产排情况一览表           </w:t>
      </w:r>
      <w:r>
        <w:rPr>
          <w:rFonts w:ascii="Times New Roman" w:hAnsi="Times New Roman" w:eastAsiaTheme="minorEastAsia"/>
          <w:color w:val="000000"/>
          <w:sz w:val="24"/>
          <w:szCs w:val="24"/>
        </w:rPr>
        <w:t>单位：t/a</w:t>
      </w:r>
    </w:p>
    <w:tbl>
      <w:tblPr>
        <w:tblStyle w:val="71"/>
        <w:tblW w:w="5000" w:type="pct"/>
        <w:jc w:val="center"/>
        <w:tblLayout w:type="autofit"/>
        <w:tblCellMar>
          <w:top w:w="0" w:type="dxa"/>
          <w:left w:w="0" w:type="dxa"/>
          <w:bottom w:w="0" w:type="dxa"/>
          <w:right w:w="0" w:type="dxa"/>
        </w:tblCellMar>
      </w:tblPr>
      <w:tblGrid>
        <w:gridCol w:w="1558"/>
        <w:gridCol w:w="1081"/>
        <w:gridCol w:w="866"/>
        <w:gridCol w:w="866"/>
        <w:gridCol w:w="866"/>
        <w:gridCol w:w="866"/>
        <w:gridCol w:w="866"/>
        <w:gridCol w:w="2131"/>
      </w:tblGrid>
      <w:tr>
        <w:tblPrEx>
          <w:tblCellMar>
            <w:top w:w="0" w:type="dxa"/>
            <w:left w:w="0" w:type="dxa"/>
            <w:bottom w:w="0" w:type="dxa"/>
            <w:right w:w="0" w:type="dxa"/>
          </w:tblCellMar>
        </w:tblPrEx>
        <w:trPr>
          <w:trHeight w:val="340" w:hRule="atLeast"/>
          <w:tblHeader/>
          <w:jc w:val="center"/>
        </w:trPr>
        <w:tc>
          <w:tcPr>
            <w:tcW w:w="1485" w:type="dxa"/>
            <w:vMerge w:val="restart"/>
            <w:tcBorders>
              <w:top w:val="single" w:color="auto" w:sz="12" w:space="0"/>
              <w:left w:val="single" w:color="auto" w:sz="12"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工序</w:t>
            </w:r>
          </w:p>
        </w:tc>
        <w:tc>
          <w:tcPr>
            <w:tcW w:w="1030"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装置</w:t>
            </w:r>
          </w:p>
        </w:tc>
        <w:tc>
          <w:tcPr>
            <w:tcW w:w="825"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固体废物名称</w:t>
            </w:r>
          </w:p>
        </w:tc>
        <w:tc>
          <w:tcPr>
            <w:tcW w:w="825"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属性</w:t>
            </w:r>
          </w:p>
        </w:tc>
        <w:tc>
          <w:tcPr>
            <w:tcW w:w="1650"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产生情况</w:t>
            </w:r>
          </w:p>
        </w:tc>
        <w:tc>
          <w:tcPr>
            <w:tcW w:w="2855" w:type="dxa"/>
            <w:gridSpan w:val="2"/>
            <w:tcBorders>
              <w:top w:val="single" w:color="auto" w:sz="12" w:space="0"/>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处置情况</w:t>
            </w:r>
          </w:p>
        </w:tc>
      </w:tr>
      <w:tr>
        <w:tblPrEx>
          <w:tblCellMar>
            <w:top w:w="0" w:type="dxa"/>
            <w:left w:w="0" w:type="dxa"/>
            <w:bottom w:w="0" w:type="dxa"/>
            <w:right w:w="0" w:type="dxa"/>
          </w:tblCellMar>
        </w:tblPrEx>
        <w:trPr>
          <w:trHeight w:val="340" w:hRule="atLeast"/>
          <w:tblHeader/>
          <w:jc w:val="center"/>
        </w:trPr>
        <w:tc>
          <w:tcPr>
            <w:tcW w:w="1485" w:type="dxa"/>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核算方法</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产生量</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处理量</w:t>
            </w:r>
          </w:p>
        </w:tc>
        <w:tc>
          <w:tcPr>
            <w:tcW w:w="2030" w:type="dxa"/>
            <w:tcBorders>
              <w:top w:val="nil"/>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最终去向</w:t>
            </w:r>
          </w:p>
        </w:tc>
      </w:tr>
      <w:tr>
        <w:tblPrEx>
          <w:tblCellMar>
            <w:top w:w="0" w:type="dxa"/>
            <w:left w:w="0" w:type="dxa"/>
            <w:bottom w:w="0" w:type="dxa"/>
            <w:right w:w="0" w:type="dxa"/>
          </w:tblCellMar>
        </w:tblPrEx>
        <w:trPr>
          <w:trHeight w:val="340" w:hRule="atLeast"/>
          <w:jc w:val="center"/>
        </w:trPr>
        <w:tc>
          <w:tcPr>
            <w:tcW w:w="1485" w:type="dxa"/>
            <w:tcBorders>
              <w:top w:val="nil"/>
              <w:left w:val="single" w:color="auto" w:sz="12"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员工生活垃圾</w:t>
            </w:r>
          </w:p>
        </w:tc>
        <w:tc>
          <w:tcPr>
            <w:tcW w:w="103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产污系数</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lang w:val="zh-CN"/>
              </w:rPr>
              <w:t>11.88</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11.88</w:t>
            </w:r>
          </w:p>
        </w:tc>
        <w:tc>
          <w:tcPr>
            <w:tcW w:w="2030" w:type="dxa"/>
            <w:tcBorders>
              <w:top w:val="nil"/>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环卫部门清运</w:t>
            </w:r>
          </w:p>
        </w:tc>
      </w:tr>
      <w:tr>
        <w:tblPrEx>
          <w:tblCellMar>
            <w:top w:w="0" w:type="dxa"/>
            <w:left w:w="0" w:type="dxa"/>
            <w:bottom w:w="0" w:type="dxa"/>
            <w:right w:w="0" w:type="dxa"/>
          </w:tblCellMar>
        </w:tblPrEx>
        <w:trPr>
          <w:trHeight w:val="340" w:hRule="atLeast"/>
          <w:jc w:val="center"/>
        </w:trPr>
        <w:tc>
          <w:tcPr>
            <w:tcW w:w="1485" w:type="dxa"/>
            <w:tcBorders>
              <w:top w:val="nil"/>
              <w:left w:val="single" w:color="auto" w:sz="12"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到港船舶生活垃圾</w:t>
            </w:r>
          </w:p>
        </w:tc>
        <w:tc>
          <w:tcPr>
            <w:tcW w:w="103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产污系数</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lang w:val="zh-CN"/>
              </w:rPr>
              <w:t>5.94</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5.94</w:t>
            </w:r>
          </w:p>
        </w:tc>
        <w:tc>
          <w:tcPr>
            <w:tcW w:w="2030" w:type="dxa"/>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由海事部门指定的船舶接收统一处理</w:t>
            </w:r>
          </w:p>
        </w:tc>
      </w:tr>
      <w:tr>
        <w:tblPrEx>
          <w:tblCellMar>
            <w:top w:w="0" w:type="dxa"/>
            <w:left w:w="0" w:type="dxa"/>
            <w:bottom w:w="0" w:type="dxa"/>
            <w:right w:w="0" w:type="dxa"/>
          </w:tblCellMar>
        </w:tblPrEx>
        <w:trPr>
          <w:trHeight w:val="340" w:hRule="atLeast"/>
          <w:jc w:val="center"/>
        </w:trPr>
        <w:tc>
          <w:tcPr>
            <w:tcW w:w="1485" w:type="dxa"/>
            <w:vMerge w:val="restart"/>
            <w:tcBorders>
              <w:top w:val="nil"/>
              <w:left w:val="single" w:color="auto" w:sz="12"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设备维修</w:t>
            </w:r>
          </w:p>
        </w:tc>
        <w:tc>
          <w:tcPr>
            <w:tcW w:w="103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含油抹布</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危险废物</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类比法</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2030" w:type="dxa"/>
            <w:tcBorders>
              <w:top w:val="nil"/>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环卫部门清运</w:t>
            </w:r>
          </w:p>
        </w:tc>
      </w:tr>
      <w:tr>
        <w:tblPrEx>
          <w:tblCellMar>
            <w:top w:w="0" w:type="dxa"/>
            <w:left w:w="0" w:type="dxa"/>
            <w:bottom w:w="0" w:type="dxa"/>
            <w:right w:w="0" w:type="dxa"/>
          </w:tblCellMar>
        </w:tblPrEx>
        <w:trPr>
          <w:trHeight w:val="340" w:hRule="atLeast"/>
          <w:jc w:val="center"/>
        </w:trPr>
        <w:tc>
          <w:tcPr>
            <w:tcW w:w="1485" w:type="dxa"/>
            <w:vMerge w:val="continue"/>
            <w:tcBorders>
              <w:top w:val="nil"/>
              <w:left w:val="single" w:color="auto" w:sz="12"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color w:val="000000"/>
                <w:kern w:val="0"/>
              </w:rPr>
            </w:pPr>
          </w:p>
        </w:tc>
        <w:tc>
          <w:tcPr>
            <w:tcW w:w="103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油泵等设备</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危险废物</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类比法</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82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2030" w:type="dxa"/>
            <w:vMerge w:val="restart"/>
            <w:tcBorders>
              <w:top w:val="nil"/>
              <w:left w:val="single" w:color="auto" w:sz="4" w:space="0"/>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交由有资质的危废处置单位</w:t>
            </w:r>
          </w:p>
        </w:tc>
      </w:tr>
      <w:tr>
        <w:tblPrEx>
          <w:tblCellMar>
            <w:top w:w="0" w:type="dxa"/>
            <w:left w:w="0" w:type="dxa"/>
            <w:bottom w:w="0" w:type="dxa"/>
            <w:right w:w="0" w:type="dxa"/>
          </w:tblCellMar>
        </w:tblPrEx>
        <w:trPr>
          <w:trHeight w:val="340" w:hRule="atLeast"/>
          <w:jc w:val="center"/>
        </w:trPr>
        <w:tc>
          <w:tcPr>
            <w:tcW w:w="1485" w:type="dxa"/>
            <w:tcBorders>
              <w:top w:val="nil"/>
              <w:left w:val="single" w:color="auto" w:sz="12" w:space="0"/>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装卸作业</w:t>
            </w:r>
          </w:p>
        </w:tc>
        <w:tc>
          <w:tcPr>
            <w:tcW w:w="1030"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装卸及管道等</w:t>
            </w:r>
          </w:p>
        </w:tc>
        <w:tc>
          <w:tcPr>
            <w:tcW w:w="825"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装卸废油</w:t>
            </w:r>
          </w:p>
        </w:tc>
        <w:tc>
          <w:tcPr>
            <w:tcW w:w="825"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危险废物</w:t>
            </w:r>
          </w:p>
        </w:tc>
        <w:tc>
          <w:tcPr>
            <w:tcW w:w="825"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类比法</w:t>
            </w:r>
          </w:p>
        </w:tc>
        <w:tc>
          <w:tcPr>
            <w:tcW w:w="825"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825"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2030" w:type="dxa"/>
            <w:vMerge w:val="continue"/>
            <w:tcBorders>
              <w:top w:val="nil"/>
              <w:left w:val="single" w:color="auto" w:sz="4" w:space="0"/>
              <w:bottom w:val="single" w:color="auto" w:sz="12" w:space="0"/>
              <w:right w:val="single" w:color="auto" w:sz="12" w:space="0"/>
            </w:tcBorders>
            <w:vAlign w:val="center"/>
          </w:tcPr>
          <w:p>
            <w:pPr>
              <w:widowControl/>
              <w:adjustRightInd w:val="0"/>
              <w:snapToGrid w:val="0"/>
              <w:jc w:val="left"/>
              <w:rPr>
                <w:rFonts w:ascii="Times New Roman" w:hAnsi="Times New Roman" w:eastAsiaTheme="minorEastAsia"/>
                <w:color w:val="000000"/>
                <w:kern w:val="0"/>
              </w:rPr>
            </w:pP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p>
    <w:p>
      <w:pPr>
        <w:wordWrap w:val="0"/>
        <w:spacing w:line="360" w:lineRule="auto"/>
        <w:ind w:firstLine="482" w:firstLineChars="200"/>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表3.3-19  本项目危险废物具体情况一览表          </w:t>
      </w:r>
      <w:r>
        <w:rPr>
          <w:rFonts w:ascii="Times New Roman" w:hAnsi="Times New Roman" w:eastAsiaTheme="minorEastAsia"/>
          <w:color w:val="000000"/>
          <w:sz w:val="24"/>
          <w:szCs w:val="24"/>
        </w:rPr>
        <w:t xml:space="preserve"> 单位：t/a</w:t>
      </w:r>
    </w:p>
    <w:tbl>
      <w:tblPr>
        <w:tblStyle w:val="71"/>
        <w:tblW w:w="907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72"/>
        <w:gridCol w:w="832"/>
        <w:gridCol w:w="832"/>
        <w:gridCol w:w="900"/>
        <w:gridCol w:w="750"/>
        <w:gridCol w:w="970"/>
        <w:gridCol w:w="640"/>
        <w:gridCol w:w="668"/>
        <w:gridCol w:w="640"/>
        <w:gridCol w:w="793"/>
        <w:gridCol w:w="668"/>
        <w:gridCol w:w="9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72"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832"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危险废物名称</w:t>
            </w:r>
          </w:p>
        </w:tc>
        <w:tc>
          <w:tcPr>
            <w:tcW w:w="832"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危险废物类别</w:t>
            </w:r>
          </w:p>
        </w:tc>
        <w:tc>
          <w:tcPr>
            <w:tcW w:w="90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危险废物代码</w:t>
            </w:r>
          </w:p>
        </w:tc>
        <w:tc>
          <w:tcPr>
            <w:tcW w:w="75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产生量</w:t>
            </w:r>
          </w:p>
        </w:tc>
        <w:tc>
          <w:tcPr>
            <w:tcW w:w="97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产生工序及装置</w:t>
            </w:r>
          </w:p>
        </w:tc>
        <w:tc>
          <w:tcPr>
            <w:tcW w:w="64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形态</w:t>
            </w:r>
          </w:p>
        </w:tc>
        <w:tc>
          <w:tcPr>
            <w:tcW w:w="668"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主要成分</w:t>
            </w:r>
          </w:p>
        </w:tc>
        <w:tc>
          <w:tcPr>
            <w:tcW w:w="64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有害成分</w:t>
            </w:r>
          </w:p>
        </w:tc>
        <w:tc>
          <w:tcPr>
            <w:tcW w:w="793"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产废周期</w:t>
            </w:r>
          </w:p>
        </w:tc>
        <w:tc>
          <w:tcPr>
            <w:tcW w:w="668"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危险特性</w:t>
            </w:r>
          </w:p>
        </w:tc>
        <w:tc>
          <w:tcPr>
            <w:tcW w:w="91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污染防治措施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7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83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83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HW08</w:t>
            </w:r>
          </w:p>
        </w:tc>
        <w:tc>
          <w:tcPr>
            <w:tcW w:w="90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900-24 9-08</w:t>
            </w:r>
          </w:p>
        </w:tc>
        <w:tc>
          <w:tcPr>
            <w:tcW w:w="75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97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设备维修</w:t>
            </w:r>
          </w:p>
        </w:tc>
        <w:tc>
          <w:tcPr>
            <w:tcW w:w="64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液态</w:t>
            </w:r>
          </w:p>
        </w:tc>
        <w:tc>
          <w:tcPr>
            <w:tcW w:w="66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矿物油</w:t>
            </w:r>
          </w:p>
        </w:tc>
        <w:tc>
          <w:tcPr>
            <w:tcW w:w="64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矿物油</w:t>
            </w:r>
          </w:p>
        </w:tc>
        <w:tc>
          <w:tcPr>
            <w:tcW w:w="79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1d</w:t>
            </w:r>
          </w:p>
        </w:tc>
        <w:tc>
          <w:tcPr>
            <w:tcW w:w="66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T,I</w:t>
            </w:r>
          </w:p>
        </w:tc>
        <w:tc>
          <w:tcPr>
            <w:tcW w:w="910" w:type="dxa"/>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交由有资质单位处理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7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83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w:t>
            </w:r>
          </w:p>
        </w:tc>
        <w:tc>
          <w:tcPr>
            <w:tcW w:w="83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HW08</w:t>
            </w:r>
          </w:p>
        </w:tc>
        <w:tc>
          <w:tcPr>
            <w:tcW w:w="90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900-24 9-08</w:t>
            </w:r>
          </w:p>
        </w:tc>
        <w:tc>
          <w:tcPr>
            <w:tcW w:w="75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97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装卸、管道等</w:t>
            </w:r>
          </w:p>
        </w:tc>
        <w:tc>
          <w:tcPr>
            <w:tcW w:w="64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液态</w:t>
            </w:r>
          </w:p>
        </w:tc>
        <w:tc>
          <w:tcPr>
            <w:tcW w:w="66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矿物油</w:t>
            </w:r>
          </w:p>
        </w:tc>
        <w:tc>
          <w:tcPr>
            <w:tcW w:w="64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矿物油</w:t>
            </w:r>
          </w:p>
        </w:tc>
        <w:tc>
          <w:tcPr>
            <w:tcW w:w="79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1d</w:t>
            </w:r>
          </w:p>
        </w:tc>
        <w:tc>
          <w:tcPr>
            <w:tcW w:w="66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T,I</w:t>
            </w:r>
          </w:p>
        </w:tc>
        <w:tc>
          <w:tcPr>
            <w:tcW w:w="910" w:type="dxa"/>
            <w:vMerge w:val="continue"/>
            <w:vAlign w:val="center"/>
          </w:tcPr>
          <w:p>
            <w:pPr>
              <w:autoSpaceDE w:val="0"/>
              <w:autoSpaceDN w:val="0"/>
              <w:adjustRightInd w:val="0"/>
              <w:snapToGrid w:val="0"/>
              <w:jc w:val="left"/>
              <w:rPr>
                <w:rFonts w:ascii="Times New Roman" w:hAnsi="Times New Roman" w:eastAsiaTheme="minorEastAsia"/>
                <w:kern w:val="0"/>
              </w:rPr>
            </w:pP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p>
    <w:p>
      <w:pPr>
        <w:pStyle w:val="5"/>
        <w:rPr>
          <w:rFonts w:eastAsiaTheme="minorEastAsia"/>
        </w:rPr>
      </w:pPr>
      <w:r>
        <w:rPr>
          <w:rFonts w:eastAsiaTheme="minorEastAsia"/>
        </w:rPr>
        <w:t>项目污染物产排情况汇总</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本项目主要污染物产排情况汇总见下表。</w:t>
      </w:r>
    </w:p>
    <w:p>
      <w:pPr>
        <w:spacing w:line="360"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表3.3-20  项目主要污染物产排情况汇总一览表</w:t>
      </w:r>
    </w:p>
    <w:tbl>
      <w:tblPr>
        <w:tblStyle w:val="7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2"/>
        <w:gridCol w:w="2110"/>
        <w:gridCol w:w="536"/>
        <w:gridCol w:w="640"/>
        <w:gridCol w:w="929"/>
        <w:gridCol w:w="929"/>
        <w:gridCol w:w="929"/>
        <w:gridCol w:w="25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239" w:type="pct"/>
            <w:tcBorders>
              <w:tl2br w:val="nil"/>
              <w:tr2bl w:val="nil"/>
            </w:tcBorders>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795" w:type="pct"/>
            <w:gridSpan w:val="3"/>
            <w:tcBorders>
              <w:tl2br w:val="nil"/>
              <w:tr2bl w:val="nil"/>
            </w:tcBorders>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产生量t/a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削减量t/a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排放量t/a</w:t>
            </w:r>
          </w:p>
        </w:tc>
        <w:tc>
          <w:tcPr>
            <w:tcW w:w="1450" w:type="pct"/>
            <w:tcBorders>
              <w:tl2br w:val="nil"/>
              <w:tr2bl w:val="nil"/>
            </w:tcBorders>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拟采取的措施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39"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1154"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装卸船无组织呼吸废气</w:t>
            </w:r>
          </w:p>
        </w:tc>
        <w:tc>
          <w:tcPr>
            <w:tcW w:w="289"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VOCs</w:t>
            </w:r>
          </w:p>
        </w:tc>
        <w:tc>
          <w:tcPr>
            <w:tcW w:w="351"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有组织</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8.859</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8.593</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0.266</w:t>
            </w:r>
          </w:p>
        </w:tc>
        <w:tc>
          <w:tcPr>
            <w:tcW w:w="1450" w:type="pct"/>
            <w:vMerge w:val="restar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rPr>
              <w:t>配备一套油气回收治理设备，</w:t>
            </w:r>
            <w:r>
              <w:rPr>
                <w:rFonts w:ascii="Times New Roman" w:hAnsi="Times New Roman" w:eastAsiaTheme="minorEastAsia"/>
                <w:color w:val="000000"/>
                <w:kern w:val="0"/>
              </w:rPr>
              <w:t>采用先进的装卸设备设施与材料，确保阀门、法兰片、管道之间的密封性，并加强装卸设备设施的使用、管理和维护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39" w:type="pct"/>
            <w:vMerge w:val="continue"/>
            <w:tcBorders>
              <w:tl2br w:val="nil"/>
              <w:tr2bl w:val="nil"/>
            </w:tcBorders>
            <w:shd w:val="clear" w:color="auto" w:fill="auto"/>
            <w:noWrap/>
            <w:vAlign w:val="center"/>
          </w:tcPr>
          <w:p>
            <w:pPr>
              <w:widowControl/>
              <w:snapToGrid w:val="0"/>
              <w:jc w:val="center"/>
            </w:pPr>
          </w:p>
        </w:tc>
        <w:tc>
          <w:tcPr>
            <w:tcW w:w="1154" w:type="pct"/>
            <w:vMerge w:val="continue"/>
            <w:tcBorders>
              <w:tl2br w:val="nil"/>
              <w:tr2bl w:val="nil"/>
            </w:tcBorders>
            <w:shd w:val="clear" w:color="auto" w:fill="auto"/>
            <w:noWrap/>
            <w:vAlign w:val="center"/>
          </w:tcPr>
          <w:p>
            <w:pPr>
              <w:widowControl/>
              <w:snapToGrid w:val="0"/>
              <w:jc w:val="center"/>
              <w:rPr>
                <w:color w:val="000000" w:themeColor="text1"/>
                <w14:textFill>
                  <w14:solidFill>
                    <w14:schemeClr w14:val="tx1"/>
                  </w14:solidFill>
                </w14:textFill>
              </w:rPr>
            </w:pPr>
          </w:p>
        </w:tc>
        <w:tc>
          <w:tcPr>
            <w:tcW w:w="289" w:type="pct"/>
            <w:vMerge w:val="continue"/>
            <w:tcBorders>
              <w:tl2br w:val="nil"/>
              <w:tr2bl w:val="nil"/>
            </w:tcBorders>
            <w:shd w:val="clear" w:color="auto" w:fill="auto"/>
            <w:noWrap/>
            <w:vAlign w:val="center"/>
          </w:tcPr>
          <w:p>
            <w:pPr>
              <w:widowControl/>
              <w:snapToGrid w:val="0"/>
              <w:jc w:val="center"/>
              <w:rPr>
                <w:color w:val="000000" w:themeColor="text1"/>
                <w14:textFill>
                  <w14:solidFill>
                    <w14:schemeClr w14:val="tx1"/>
                  </w14:solidFill>
                </w14:textFill>
              </w:rPr>
            </w:pPr>
          </w:p>
        </w:tc>
        <w:tc>
          <w:tcPr>
            <w:tcW w:w="351"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无组织</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0.181</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0</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0.181</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FF"/>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废水</w:t>
            </w:r>
          </w:p>
        </w:tc>
        <w:tc>
          <w:tcPr>
            <w:tcW w:w="1154"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船舱油污水1113.42t/a</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5.5671</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5.5671</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restar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由海事部门环保船回收，交由海事部门指定单位进行处理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石油类</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0.4454</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0.4454</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0.2495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0.2495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BOD</w:t>
            </w:r>
            <w:r>
              <w:rPr>
                <w:rFonts w:ascii="Times New Roman" w:hAnsi="Times New Roman" w:eastAsiaTheme="minorEastAsia"/>
                <w:color w:val="000000"/>
                <w:kern w:val="0"/>
                <w:vertAlign w:val="subscript"/>
              </w:rPr>
              <w:t>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0.1782</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0.1782</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0.2138</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0.2138</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0.0285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0.0285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趸船冲洗废水5915.88</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3.5495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3.1945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0.3550</w:t>
            </w:r>
          </w:p>
        </w:tc>
        <w:tc>
          <w:tcPr>
            <w:tcW w:w="1450" w:type="pct"/>
            <w:vMerge w:val="restar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经自建的污水箱收集后，由防爆污水泵通过管道输送到岸上，槽罐车</w:t>
            </w:r>
            <w:r>
              <w:rPr>
                <w:rFonts w:hint="eastAsia" w:ascii="Times New Roman" w:hAnsi="Times New Roman" w:eastAsiaTheme="minorEastAsia"/>
                <w:color w:val="000000"/>
                <w:kern w:val="0"/>
              </w:rPr>
              <w:t>输送</w:t>
            </w:r>
            <w:r>
              <w:rPr>
                <w:rFonts w:ascii="Times New Roman" w:hAnsi="Times New Roman" w:eastAsiaTheme="minorEastAsia"/>
                <w:color w:val="000000"/>
                <w:kern w:val="0"/>
              </w:rPr>
              <w:t>至后方库区油污水处理设施处理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4.7327</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4.3777</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0.3550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0.02958</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0.0118</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0.0177</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石油类</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0.2958</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0.2662</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0.0296</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初期雨水2237.28</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0.2237</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0.2013</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0.0224</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0.8949</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0.7607</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0.1342</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石油类</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0.1117</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0.1005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0.0112</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码头员工生</w:t>
            </w:r>
            <w:r>
              <w:rPr>
                <w:rFonts w:hint="eastAsia" w:ascii="Times New Roman" w:hAnsi="Times New Roman" w:eastAsiaTheme="minorEastAsia"/>
                <w:color w:val="000000"/>
                <w:kern w:val="0"/>
              </w:rPr>
              <w:t>活</w:t>
            </w:r>
            <w:r>
              <w:rPr>
                <w:rFonts w:ascii="Times New Roman" w:hAnsi="Times New Roman" w:eastAsiaTheme="minorEastAsia"/>
                <w:color w:val="000000"/>
                <w:kern w:val="0"/>
              </w:rPr>
              <w:t>用水</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0.2548</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0.2184</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0.0364</w:t>
            </w:r>
          </w:p>
        </w:tc>
        <w:tc>
          <w:tcPr>
            <w:tcW w:w="1450" w:type="pct"/>
            <w:vMerge w:val="restar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码头生活污水</w:t>
            </w:r>
            <w:r>
              <w:rPr>
                <w:rFonts w:hint="eastAsia" w:ascii="Times New Roman" w:hAnsi="Times New Roman" w:eastAsiaTheme="minorEastAsia"/>
                <w:color w:val="000000"/>
                <w:kern w:val="0"/>
              </w:rPr>
              <w:t>送至</w:t>
            </w:r>
            <w:r>
              <w:rPr>
                <w:rFonts w:ascii="Times New Roman" w:hAnsi="Times New Roman" w:eastAsiaTheme="minorEastAsia"/>
                <w:color w:val="000000"/>
                <w:kern w:val="0"/>
              </w:rPr>
              <w:t>后方</w:t>
            </w:r>
            <w:r>
              <w:rPr>
                <w:rFonts w:hint="eastAsia" w:ascii="Times New Roman" w:hAnsi="Times New Roman" w:eastAsiaTheme="minorEastAsia"/>
                <w:color w:val="000000"/>
                <w:kern w:val="0"/>
              </w:rPr>
              <w:t>码头部</w:t>
            </w:r>
            <w:r>
              <w:rPr>
                <w:rFonts w:ascii="Times New Roman" w:hAnsi="Times New Roman" w:eastAsiaTheme="minorEastAsia"/>
                <w:color w:val="000000"/>
                <w:kern w:val="0"/>
              </w:rPr>
              <w:t>一体化模压式净化槽处理后</w:t>
            </w:r>
            <w:r>
              <w:rPr>
                <w:rFonts w:hint="eastAsia" w:ascii="Times New Roman" w:hAnsi="Times New Roman" w:eastAsiaTheme="minorEastAsia"/>
                <w:color w:val="000000"/>
                <w:kern w:val="0"/>
              </w:rPr>
              <w:t>，</w:t>
            </w:r>
            <w:r>
              <w:rPr>
                <w:rFonts w:ascii="Times New Roman" w:hAnsi="Times New Roman" w:eastAsiaTheme="minorEastAsia"/>
                <w:color w:val="000000"/>
                <w:kern w:val="0"/>
              </w:rPr>
              <w:t>再进入港口部污水处理站集中处理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BOD</w:t>
            </w:r>
            <w:r>
              <w:rPr>
                <w:rFonts w:ascii="Times New Roman" w:hAnsi="Times New Roman" w:eastAsiaTheme="minorEastAsia"/>
                <w:color w:val="000000"/>
                <w:kern w:val="0"/>
                <w:vertAlign w:val="subscript"/>
              </w:rPr>
              <w:t>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0.182</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0.1310</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0.0510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0.2184</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0.1747</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0.0437</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0.029</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0.0268</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0.0022</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39"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c>
          <w:tcPr>
            <w:tcW w:w="1154" w:type="pct"/>
            <w:tcBorders>
              <w:tl2br w:val="nil"/>
              <w:tr2bl w:val="nil"/>
            </w:tcBorders>
            <w:shd w:val="clear" w:color="auto" w:fill="auto"/>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卸油泵</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Leq</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95dB(A)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15dB(A)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80dB(A)</w:t>
            </w:r>
          </w:p>
        </w:tc>
        <w:tc>
          <w:tcPr>
            <w:tcW w:w="1450" w:type="pc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距离衰减、隔声减震消声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tcBorders>
              <w:tl2br w:val="nil"/>
              <w:tr2bl w:val="nil"/>
            </w:tcBorders>
            <w:shd w:val="clear" w:color="auto" w:fill="auto"/>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船舶鸣笛</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Leq</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90dB(A)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15dB(A)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75dB(A)</w:t>
            </w:r>
          </w:p>
        </w:tc>
        <w:tc>
          <w:tcPr>
            <w:tcW w:w="1450" w:type="pct"/>
            <w:vMerge w:val="restar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加强管理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154" w:type="pct"/>
            <w:tcBorders>
              <w:tl2br w:val="nil"/>
              <w:tr2bl w:val="nil"/>
            </w:tcBorders>
            <w:shd w:val="clear" w:color="auto" w:fill="auto"/>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船舶发动机</w:t>
            </w:r>
          </w:p>
        </w:tc>
        <w:tc>
          <w:tcPr>
            <w:tcW w:w="640" w:type="pct"/>
            <w:gridSpan w:val="2"/>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Leq</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105dB(A)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15dB(A)</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90dB(A)</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restar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固废</w:t>
            </w:r>
          </w:p>
        </w:tc>
        <w:tc>
          <w:tcPr>
            <w:tcW w:w="1795" w:type="pct"/>
            <w:gridSpan w:val="3"/>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员工生活垃圾</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11.55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11.55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由海事部门指定的船舶接收处理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795" w:type="pct"/>
            <w:gridSpan w:val="3"/>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到港船舶生活垃圾</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5.94</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5.94</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restar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795" w:type="pct"/>
            <w:gridSpan w:val="3"/>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含油抹布</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795" w:type="pct"/>
            <w:gridSpan w:val="3"/>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restart"/>
            <w:tcBorders>
              <w:tl2br w:val="nil"/>
              <w:tr2bl w:val="nil"/>
            </w:tcBorders>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9"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c>
          <w:tcPr>
            <w:tcW w:w="1795" w:type="pct"/>
            <w:gridSpan w:val="3"/>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装卸废油</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505" w:type="pct"/>
            <w:tcBorders>
              <w:tl2br w:val="nil"/>
              <w:tr2bl w:val="nil"/>
            </w:tcBorders>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50" w:type="pct"/>
            <w:vMerge w:val="continue"/>
            <w:tcBorders>
              <w:tl2br w:val="nil"/>
              <w:tr2bl w:val="nil"/>
            </w:tcBorders>
            <w:vAlign w:val="center"/>
          </w:tcPr>
          <w:p>
            <w:pPr>
              <w:widowControl/>
              <w:snapToGrid w:val="0"/>
              <w:jc w:val="center"/>
              <w:rPr>
                <w:rFonts w:ascii="Times New Roman" w:hAnsi="Times New Roman" w:eastAsiaTheme="minorEastAsia"/>
                <w:color w:val="000000"/>
                <w:kern w:val="0"/>
              </w:rPr>
            </w:pP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pStyle w:val="4"/>
        <w:rPr>
          <w:rFonts w:eastAsiaTheme="minorEastAsia"/>
        </w:rPr>
      </w:pPr>
      <w:r>
        <w:rPr>
          <w:rFonts w:eastAsiaTheme="minorEastAsia"/>
        </w:rPr>
        <w:t>生态环境的影响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1、拟建码头采用浮码头结构型式，趸船吃水水深&lt;1.5m，本项目江段平均水深7~8</w:t>
      </w:r>
      <w:r>
        <w:rPr>
          <w:rFonts w:hint="eastAsia" w:ascii="Times New Roman" w:hAnsi="Times New Roman" w:eastAsiaTheme="minorEastAsia"/>
          <w:color w:val="000000"/>
          <w:sz w:val="24"/>
          <w:szCs w:val="24"/>
          <w:lang w:val="zh-CN"/>
        </w:rPr>
        <w:t>m</w:t>
      </w:r>
      <w:r>
        <w:rPr>
          <w:rFonts w:ascii="Times New Roman" w:hAnsi="Times New Roman" w:eastAsiaTheme="minorEastAsia"/>
          <w:color w:val="000000"/>
          <w:sz w:val="24"/>
          <w:szCs w:val="24"/>
          <w:lang w:val="zh-CN"/>
        </w:rPr>
        <w:t>，鱼类仍可在浮码头平台下面游动。但是随着到港船舶数量的大幅增加，压缩了鱼类的生存空间，强大的噪声污染干扰了它们的正常生活，将会对鱼类产生一定影响。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2、本项目位于长江监利段四大家鱼国家级水产种质资源保护区实验区内，工程建设和营运会给保护区带来一定影响。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3、本项目位于白泥湖湿地公园范围外，项目与湿地公园边界最近直线距离约2.4km；本项目位于白鱀豚国家级自然保护区上游，自然保护区的范围外，项目与自然保护区最近的为实验区，与实验区上边界最近距离约4.0km；本项目位于东洞庭国家级自然保护区下游，自然保护区的范围外，项目与自然保护区最近的为实验区，与实验区下边界最近距离约8.4km。工程建设和营运可能会给湿地公园和保护区带来一定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4、由于船舶的操作不当、碰撞、搁浅，从而引起船舶溢油事故，造成船舶燃料油溢漏入河，将影响码头及当地的河流生态环境。</w:t>
      </w:r>
    </w:p>
    <w:p>
      <w:pPr>
        <w:tabs>
          <w:tab w:val="left" w:pos="900"/>
        </w:tabs>
        <w:adjustRightInd w:val="0"/>
        <w:snapToGrid w:val="0"/>
        <w:spacing w:line="360" w:lineRule="auto"/>
        <w:rPr>
          <w:rFonts w:ascii="Times New Roman" w:hAnsi="Times New Roman" w:eastAsiaTheme="minorEastAsia"/>
          <w:color w:val="000000"/>
          <w:sz w:val="24"/>
          <w:szCs w:val="24"/>
          <w:lang w:val="zh-CN"/>
        </w:rPr>
      </w:pPr>
    </w:p>
    <w:p>
      <w:pPr>
        <w:pStyle w:val="69"/>
        <w:ind w:firstLine="480"/>
        <w:rPr>
          <w:rFonts w:cs="Times New Roman" w:eastAsiaTheme="minorEastAsia"/>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bookmarkStart w:id="51" w:name="_Toc1647842"/>
      <w:bookmarkEnd w:id="51"/>
    </w:p>
    <w:p>
      <w:pPr>
        <w:pStyle w:val="2"/>
        <w:spacing w:line="480" w:lineRule="auto"/>
        <w:ind w:left="431" w:hanging="431"/>
        <w:jc w:val="center"/>
        <w:rPr>
          <w:rFonts w:eastAsiaTheme="minorEastAsia"/>
          <w:b/>
          <w:sz w:val="32"/>
          <w:szCs w:val="32"/>
        </w:rPr>
      </w:pPr>
      <w:bookmarkStart w:id="52" w:name="_Toc298750557"/>
      <w:bookmarkEnd w:id="52"/>
      <w:bookmarkStart w:id="53" w:name="_Toc298750356"/>
      <w:bookmarkEnd w:id="53"/>
      <w:bookmarkStart w:id="54" w:name="_Toc12452"/>
      <w:r>
        <w:rPr>
          <w:rFonts w:eastAsiaTheme="minorEastAsia"/>
          <w:b/>
          <w:sz w:val="32"/>
          <w:szCs w:val="32"/>
        </w:rPr>
        <w:t>环境质量现状调查与评价</w:t>
      </w:r>
      <w:bookmarkEnd w:id="54"/>
    </w:p>
    <w:p>
      <w:pPr>
        <w:pStyle w:val="3"/>
        <w:rPr>
          <w:rFonts w:ascii="Times New Roman" w:hAnsi="Times New Roman" w:eastAsiaTheme="minorEastAsia"/>
          <w:b/>
        </w:rPr>
      </w:pPr>
      <w:bookmarkStart w:id="55" w:name="_Toc187830035"/>
      <w:bookmarkEnd w:id="55"/>
      <w:bookmarkStart w:id="56" w:name="_Toc516882498"/>
      <w:bookmarkEnd w:id="56"/>
      <w:bookmarkStart w:id="57" w:name="_Toc286754878"/>
      <w:bookmarkEnd w:id="57"/>
      <w:bookmarkStart w:id="58" w:name="_Toc298750357"/>
      <w:bookmarkEnd w:id="58"/>
      <w:bookmarkStart w:id="59" w:name="_Toc75346460"/>
      <w:bookmarkEnd w:id="59"/>
      <w:bookmarkStart w:id="60" w:name="_Toc106965861"/>
      <w:bookmarkEnd w:id="60"/>
      <w:bookmarkStart w:id="61" w:name="_Toc514130103"/>
      <w:bookmarkEnd w:id="61"/>
      <w:bookmarkStart w:id="62" w:name="_Toc22716456"/>
      <w:bookmarkEnd w:id="62"/>
      <w:bookmarkStart w:id="63" w:name="_Toc66000288"/>
      <w:bookmarkEnd w:id="63"/>
      <w:bookmarkStart w:id="64" w:name="_Toc22716342"/>
      <w:bookmarkEnd w:id="64"/>
      <w:bookmarkStart w:id="65" w:name="_Toc65582253"/>
      <w:bookmarkEnd w:id="65"/>
      <w:bookmarkStart w:id="66" w:name="_Toc292191926"/>
      <w:bookmarkEnd w:id="66"/>
      <w:bookmarkStart w:id="67" w:name="_Toc501441545"/>
      <w:bookmarkEnd w:id="67"/>
      <w:bookmarkStart w:id="68" w:name="_Toc503927716"/>
      <w:bookmarkEnd w:id="68"/>
      <w:bookmarkStart w:id="69" w:name="_Toc198447153"/>
      <w:bookmarkEnd w:id="69"/>
      <w:bookmarkStart w:id="70" w:name="_Toc51421588"/>
      <w:bookmarkEnd w:id="70"/>
      <w:bookmarkStart w:id="71" w:name="_Toc51482818"/>
      <w:bookmarkEnd w:id="71"/>
      <w:bookmarkStart w:id="72" w:name="_Toc237075125"/>
      <w:bookmarkEnd w:id="72"/>
      <w:bookmarkStart w:id="73" w:name="_Toc516646380"/>
      <w:bookmarkEnd w:id="73"/>
      <w:bookmarkStart w:id="74" w:name="_Toc54065368"/>
      <w:bookmarkEnd w:id="74"/>
      <w:bookmarkStart w:id="75" w:name="_Toc511395686"/>
      <w:bookmarkEnd w:id="75"/>
      <w:bookmarkStart w:id="76" w:name="_Toc298750558"/>
      <w:bookmarkEnd w:id="76"/>
      <w:bookmarkStart w:id="77" w:name="_Toc533797477"/>
      <w:bookmarkEnd w:id="77"/>
      <w:bookmarkStart w:id="78" w:name="_Toc19090"/>
      <w:bookmarkStart w:id="79" w:name="_Toc298750358"/>
      <w:r>
        <w:rPr>
          <w:rFonts w:ascii="Times New Roman" w:hAnsi="Times New Roman" w:eastAsiaTheme="minorEastAsia"/>
          <w:b/>
        </w:rPr>
        <w:t>自然环境概况</w:t>
      </w:r>
      <w:bookmarkEnd w:id="78"/>
    </w:p>
    <w:p>
      <w:pPr>
        <w:pStyle w:val="4"/>
        <w:rPr>
          <w:rFonts w:eastAsiaTheme="minorEastAsia"/>
        </w:rPr>
      </w:pPr>
      <w:r>
        <w:rPr>
          <w:rFonts w:eastAsiaTheme="minorEastAsia"/>
        </w:rPr>
        <w:t>地理位置</w:t>
      </w:r>
    </w:p>
    <w:bookmarkEnd w:id="79"/>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岳阳地处湖南东北部，东邻湖北赤壁、崇阳、通城、江西铜鼓、修水，南抵长沙、浏阳、望城，西接沅江、南县、安乡县，北界湖北的石首、监利、洪湖、蒲圻市。市境北滨“黄金水道”长江，南抱洞庭，纳湘资沅澧四水，沿长江水路逆江而上247km可达沙市，再达枝江、宜昌、重庆和宜宾；顺长江而下231km可抵武汉，再抵九江、南京和上海等大中城市；南上洞庭湖经171km湘江可至长沙，再至株洲、湘潭；沿资水可至益阳，沿沅水可至常德，经澧水可至津市等省内重要城市。</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本项目位于岳阳港云溪港区陆城作业区、长江中游杨林岩水道与螺山水道衔接段右岸，中游航道里程约为209km，其上游距离城陵矶约20km。地理位置示意图见附图1。</w:t>
      </w:r>
    </w:p>
    <w:p>
      <w:pPr>
        <w:pStyle w:val="4"/>
        <w:rPr>
          <w:rFonts w:eastAsiaTheme="minorEastAsia"/>
        </w:rPr>
      </w:pPr>
      <w:r>
        <w:rPr>
          <w:rFonts w:eastAsiaTheme="minorEastAsia"/>
        </w:rPr>
        <w:t>地形地貌</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岳阳市云溪区属幕阜山余脉向江汉平原过渡地带，境内群峰起伏，矮丘遍布，河港纵横，湖泊众多，整个地势由东南至西北呈阶梯状向长江倾斜。境内最高海拔点为云溪乡上清溪村之小木岭，海拔497.6m；最低海拔点为永济乡之臣子湖，海拔21.4m。一般海拔在40~60m之间。</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本项目位于地处江北长江中游江汉冲湖积平原和江南低山丘陵过渡地带，北岸以平原为主，在沿江一带零星分布低山残丘（白螺矶、杨林山），南岸主要是低山丘陵地形。</w:t>
      </w:r>
    </w:p>
    <w:p>
      <w:pPr>
        <w:pStyle w:val="4"/>
        <w:rPr>
          <w:rFonts w:eastAsiaTheme="minorEastAsia"/>
        </w:rPr>
      </w:pPr>
      <w:r>
        <w:rPr>
          <w:rFonts w:eastAsiaTheme="minorEastAsia"/>
        </w:rPr>
        <w:t>气候气象</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本项目处属亚热带季风气候区，冬季寒冷干燥，降雨偏少；夏季炎热，春秋季雨量偏多。</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岳阳国家基本气象站位于北纬29°23′、东经113°05′，海拔53.0</w:t>
      </w:r>
      <w:r>
        <w:rPr>
          <w:rFonts w:hint="eastAsia" w:ascii="Times New Roman" w:hAnsi="Times New Roman" w:eastAsiaTheme="minorEastAsia"/>
          <w:color w:val="000000"/>
          <w:sz w:val="24"/>
        </w:rPr>
        <w:t>m</w:t>
      </w:r>
      <w:r>
        <w:rPr>
          <w:rFonts w:ascii="Times New Roman" w:hAnsi="Times New Roman" w:eastAsiaTheme="minorEastAsia"/>
          <w:color w:val="000000"/>
          <w:sz w:val="24"/>
        </w:rPr>
        <w:t>，始建于1952年，具有建站以来50多年气象原始资料。根据岳阳气象站1952年以来统计资料，工程处气象条件如下：</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⑴</w:t>
      </w:r>
      <w:r>
        <w:rPr>
          <w:rFonts w:ascii="Times New Roman" w:hAnsi="Times New Roman" w:eastAsiaTheme="minorEastAsia"/>
          <w:color w:val="000000"/>
          <w:sz w:val="24"/>
        </w:rPr>
        <w:t xml:space="preserve"> 气温：多年平均气温16.4</w:t>
      </w:r>
      <w:r>
        <w:rPr>
          <w:rFonts w:hint="eastAsia" w:ascii="宋体" w:hAnsi="宋体" w:cs="宋体"/>
          <w:color w:val="000000"/>
          <w:sz w:val="24"/>
        </w:rPr>
        <w:t>℃</w:t>
      </w:r>
      <w:r>
        <w:rPr>
          <w:rFonts w:ascii="Times New Roman" w:hAnsi="Times New Roman" w:eastAsiaTheme="minorEastAsia"/>
          <w:color w:val="000000"/>
          <w:sz w:val="24"/>
        </w:rPr>
        <w:t>，1月份气温最低，7月份气温最高，温差不大。极端最高气温40.4</w:t>
      </w:r>
      <w:r>
        <w:rPr>
          <w:rFonts w:hint="eastAsia" w:ascii="宋体" w:hAnsi="宋体" w:cs="宋体"/>
          <w:color w:val="000000"/>
          <w:sz w:val="24"/>
        </w:rPr>
        <w:t>℃</w:t>
      </w:r>
      <w:r>
        <w:rPr>
          <w:rFonts w:ascii="Times New Roman" w:hAnsi="Times New Roman" w:eastAsiaTheme="minorEastAsia"/>
          <w:color w:val="000000"/>
          <w:sz w:val="24"/>
        </w:rPr>
        <w:t>（1966年8月1日），极端最低气温为-18.0</w:t>
      </w:r>
      <w:r>
        <w:rPr>
          <w:rFonts w:hint="eastAsia" w:ascii="宋体" w:hAnsi="宋体" w:cs="宋体"/>
          <w:color w:val="000000"/>
          <w:sz w:val="24"/>
        </w:rPr>
        <w:t>℃</w:t>
      </w:r>
      <w:r>
        <w:rPr>
          <w:rFonts w:ascii="Times New Roman" w:hAnsi="Times New Roman" w:eastAsiaTheme="minorEastAsia"/>
          <w:color w:val="000000"/>
          <w:sz w:val="24"/>
        </w:rPr>
        <w:t>（1969年1月31日）。</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⑵</w:t>
      </w:r>
      <w:r>
        <w:rPr>
          <w:rFonts w:ascii="Times New Roman" w:hAnsi="Times New Roman" w:eastAsiaTheme="minorEastAsia"/>
          <w:color w:val="000000"/>
          <w:sz w:val="24"/>
        </w:rPr>
        <w:t xml:space="preserve"> 降水：本地区降水量较丰富，多年平均降水量1307mm，降水年际间变化大，年内分布不均。年降水多集中在4~7月，4~6月三个月降水一般占全年降水40%以上。平均年降雨天数为139天。</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⑶</w:t>
      </w:r>
      <w:r>
        <w:rPr>
          <w:rFonts w:ascii="Times New Roman" w:hAnsi="Times New Roman" w:eastAsiaTheme="minorEastAsia"/>
          <w:color w:val="000000"/>
          <w:sz w:val="24"/>
        </w:rPr>
        <w:t xml:space="preserve"> 风：强风向和常风向为NE向,多年平均风速3m/s，最大风速28m/s（1965年7月21日）。</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⑷</w:t>
      </w:r>
      <w:r>
        <w:rPr>
          <w:rFonts w:ascii="Times New Roman" w:hAnsi="Times New Roman" w:eastAsiaTheme="minorEastAsia"/>
          <w:color w:val="000000"/>
          <w:sz w:val="24"/>
        </w:rPr>
        <w:t xml:space="preserve"> 雾：雾日多发生在冬春两季，雾的出现多在清晨和夜间。多年平均雾日16.5天（能见度小于1000m以下的雾日）。最多年雾日数为29天；最少年雾日数为7天。</w:t>
      </w:r>
    </w:p>
    <w:p>
      <w:pPr>
        <w:pStyle w:val="4"/>
        <w:rPr>
          <w:rFonts w:eastAsiaTheme="minorEastAsia"/>
        </w:rPr>
      </w:pPr>
      <w:r>
        <w:rPr>
          <w:rFonts w:eastAsiaTheme="minorEastAsia"/>
        </w:rPr>
        <w:t>地质地震</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⑴</w:t>
      </w:r>
      <w:r>
        <w:rPr>
          <w:rFonts w:ascii="Times New Roman" w:hAnsi="Times New Roman" w:eastAsiaTheme="minorEastAsia"/>
          <w:color w:val="000000"/>
          <w:sz w:val="24"/>
        </w:rPr>
        <w:t xml:space="preserve"> 地质</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本次设计参考1996年10月岳阳长岭炼油化工总厂6号码头工程地质勘察报告（施工图设计阶段勘察）。</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勘区地貌为河漫滩，上游有寡妇矶，对江北岸为杨林山，下游有田螺山。河漫滩地面大堤内标高+27~+28m，大堤外标高+29~+30m，大堤顶面标高+34m以上。</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勘区上游一公里多处的马鞍山形与长江流向近垂直，主要由古老震旦系千枚岩及千枚板状岩和石英岩组成。千枚岩及千枚板状岩与石英岩不整合接触，千枚岩及千枚板状岩产状N25°~85°E，NE，角度55°~-75°。石英岩产状N50E，NW，角度20°。马鞍山及相应的江北杨林山，均为本区长江的节点，其地理特征类似于武汉龟蛇锁大江之势。上游寡妇矶为清朝建成，现为岳阳市文物保护对象。勘区下游500</w:t>
      </w:r>
      <w:r>
        <w:rPr>
          <w:rFonts w:hint="eastAsia" w:ascii="Times New Roman" w:hAnsi="Times New Roman" w:eastAsiaTheme="minorEastAsia"/>
          <w:color w:val="000000"/>
          <w:sz w:val="24"/>
        </w:rPr>
        <w:t>m</w:t>
      </w:r>
      <w:r>
        <w:rPr>
          <w:rFonts w:ascii="Times New Roman" w:hAnsi="Times New Roman" w:eastAsiaTheme="minorEastAsia"/>
          <w:color w:val="000000"/>
          <w:sz w:val="24"/>
        </w:rPr>
        <w:t>处有一孤丘田螺山，由古老的震旦系千枚岩组成。</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勘区上覆地层主要为第四系全新冲积层，陆域地质主要是粘性土，淤泥质粘性土夹砂类土；水域以砂类土为主夹有淤泥质粘性土及粘性土，基底为古老的震旦系千枚岩，千枚状板岩及石英岩组成。</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地质构造对勘区的稳定性无明显影响。勘区上游有寡妇矶，下游有田螺山，拟建码头岸线位于两个基岩形成的矶头中间，岸线比较稳定。勘区下伏基岩为震旦千枚岩，上覆图层分布，大致以8403为界，由此向江以砂土为主，向陆域以粘性土为主。勘区下伏基岩为震旦系千枚岩，是码头基础良好持力层。</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⑵</w:t>
      </w:r>
      <w:r>
        <w:rPr>
          <w:rFonts w:ascii="Times New Roman" w:hAnsi="Times New Roman" w:eastAsiaTheme="minorEastAsia"/>
          <w:color w:val="000000"/>
          <w:sz w:val="24"/>
        </w:rPr>
        <w:t xml:space="preserve"> 地震</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根据国家标准《中国地震动参数区划图》（GB18306-2015），勘区地震动反应谱特征周期为0.35S，地震加速度峰值为0.05g/s，根据该标准附录D“关于地震基本烈度向地震动参数过渡的说明”，本项目区域地震动参数对应的地震基本烈度为</w:t>
      </w:r>
      <w:r>
        <w:rPr>
          <w:rFonts w:hint="eastAsia" w:ascii="宋体" w:hAnsi="宋体" w:cs="宋体"/>
          <w:color w:val="000000"/>
          <w:sz w:val="24"/>
        </w:rPr>
        <w:t>Ⅵ</w:t>
      </w:r>
      <w:r>
        <w:rPr>
          <w:rFonts w:ascii="Times New Roman" w:hAnsi="Times New Roman" w:eastAsiaTheme="minorEastAsia"/>
          <w:color w:val="000000"/>
          <w:sz w:val="24"/>
        </w:rPr>
        <w:t>度区。</w:t>
      </w:r>
    </w:p>
    <w:p>
      <w:pPr>
        <w:pStyle w:val="4"/>
        <w:rPr>
          <w:rFonts w:eastAsiaTheme="minorEastAsia"/>
        </w:rPr>
      </w:pPr>
      <w:r>
        <w:rPr>
          <w:rFonts w:eastAsiaTheme="minorEastAsia"/>
        </w:rPr>
        <w:t>地表水文动力环境与冲淤环境</w:t>
      </w:r>
    </w:p>
    <w:p>
      <w:pPr>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eastAsiaTheme="minorEastAsia"/>
          <w:b/>
          <w:color w:val="000000"/>
          <w:sz w:val="24"/>
        </w:rPr>
        <w:t>1、径流、泥沙、水位</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位于岳阳港云溪港区陆城作业区、长江中游杨林岩水道与螺山水道衔接段右岸，其上游20km处有莲花塘水位站，上游23km湘江处有七里山水文站，下游8km处有长江螺山水文站，其间无大的分汇流，工程所处河段河段上承荆江和洞庭湖来水，河床演变主要受上游来水来沙影响，可采用螺山水文站多年实测水文泥沙资料分析工程河段来水来沙特征。</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⑴</w:t>
      </w:r>
      <w:r>
        <w:rPr>
          <w:rFonts w:ascii="Times New Roman" w:hAnsi="Times New Roman" w:eastAsiaTheme="minorEastAsia"/>
          <w:color w:val="000000"/>
          <w:sz w:val="24"/>
        </w:rPr>
        <w:t xml:space="preserve"> 三峡水库蓄水运用前</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根据螺山站1950~2002年的资料统计，螺山站水文泥沙特征值见表4.1-1，多年平均径流量、输沙量年内分配，情况见表4.1-2。</w:t>
      </w:r>
    </w:p>
    <w:p>
      <w:pPr>
        <w:pStyle w:val="343"/>
        <w:tabs>
          <w:tab w:val="left" w:pos="2820"/>
        </w:tabs>
        <w:spacing w:line="276" w:lineRule="auto"/>
        <w:ind w:firstLine="0" w:firstLineChars="0"/>
        <w:jc w:val="center"/>
        <w:rPr>
          <w:rFonts w:cs="Times New Roman" w:eastAsiaTheme="minorEastAsia"/>
          <w:b/>
          <w:bCs/>
          <w:sz w:val="24"/>
        </w:rPr>
      </w:pPr>
      <w:r>
        <w:rPr>
          <w:rFonts w:cs="Times New Roman" w:eastAsiaTheme="minorEastAsia"/>
          <w:b/>
          <w:bCs/>
          <w:sz w:val="24"/>
        </w:rPr>
        <w:t>表4.1-1  螺山站水文泥沙特征值统计表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2371"/>
        <w:gridCol w:w="1172"/>
        <w:gridCol w:w="1272"/>
        <w:gridCol w:w="1232"/>
        <w:gridCol w:w="1063"/>
        <w:gridCol w:w="1117"/>
        <w:gridCol w:w="8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1303" w:type="pct"/>
            <w:vMerge w:val="restart"/>
            <w:vAlign w:val="center"/>
          </w:tcPr>
          <w:p>
            <w:pPr>
              <w:pStyle w:val="341"/>
              <w:adjustRightInd w:val="0"/>
              <w:snapToGrid w:val="0"/>
              <w:rPr>
                <w:rFonts w:eastAsiaTheme="minorEastAsia"/>
                <w:b/>
                <w:bCs/>
              </w:rPr>
            </w:pPr>
            <w:r>
              <w:rPr>
                <w:rFonts w:eastAsiaTheme="minorEastAsia"/>
                <w:b/>
                <w:bCs/>
              </w:rPr>
              <w:t>项目</w:t>
            </w:r>
          </w:p>
        </w:tc>
        <w:tc>
          <w:tcPr>
            <w:tcW w:w="644" w:type="pct"/>
            <w:vMerge w:val="restart"/>
            <w:vAlign w:val="center"/>
          </w:tcPr>
          <w:p>
            <w:pPr>
              <w:pStyle w:val="341"/>
              <w:adjustRightInd w:val="0"/>
              <w:snapToGrid w:val="0"/>
              <w:rPr>
                <w:rFonts w:eastAsiaTheme="minorEastAsia"/>
                <w:b/>
                <w:bCs/>
              </w:rPr>
            </w:pPr>
            <w:r>
              <w:rPr>
                <w:rFonts w:eastAsiaTheme="minorEastAsia"/>
                <w:b/>
                <w:bCs/>
              </w:rPr>
              <w:t>多年平均</w:t>
            </w:r>
          </w:p>
        </w:tc>
        <w:tc>
          <w:tcPr>
            <w:tcW w:w="1376" w:type="pct"/>
            <w:gridSpan w:val="2"/>
            <w:vAlign w:val="center"/>
          </w:tcPr>
          <w:p>
            <w:pPr>
              <w:pStyle w:val="341"/>
              <w:adjustRightInd w:val="0"/>
              <w:snapToGrid w:val="0"/>
              <w:rPr>
                <w:rFonts w:eastAsiaTheme="minorEastAsia"/>
                <w:b/>
                <w:bCs/>
              </w:rPr>
            </w:pPr>
            <w:r>
              <w:rPr>
                <w:rFonts w:eastAsiaTheme="minorEastAsia"/>
                <w:b/>
                <w:bCs/>
              </w:rPr>
              <w:t>历年最大</w:t>
            </w:r>
          </w:p>
        </w:tc>
        <w:tc>
          <w:tcPr>
            <w:tcW w:w="1198" w:type="pct"/>
            <w:gridSpan w:val="2"/>
            <w:vAlign w:val="center"/>
          </w:tcPr>
          <w:p>
            <w:pPr>
              <w:pStyle w:val="341"/>
              <w:adjustRightInd w:val="0"/>
              <w:snapToGrid w:val="0"/>
              <w:rPr>
                <w:rFonts w:eastAsiaTheme="minorEastAsia"/>
                <w:b/>
                <w:bCs/>
              </w:rPr>
            </w:pPr>
            <w:r>
              <w:rPr>
                <w:rFonts w:eastAsiaTheme="minorEastAsia"/>
                <w:b/>
                <w:bCs/>
              </w:rPr>
              <w:t>历年最小</w:t>
            </w:r>
          </w:p>
        </w:tc>
        <w:tc>
          <w:tcPr>
            <w:tcW w:w="480" w:type="pct"/>
            <w:vMerge w:val="restart"/>
            <w:vAlign w:val="center"/>
          </w:tcPr>
          <w:p>
            <w:pPr>
              <w:pStyle w:val="341"/>
              <w:adjustRightInd w:val="0"/>
              <w:snapToGrid w:val="0"/>
              <w:rPr>
                <w:rFonts w:eastAsiaTheme="minorEastAsia"/>
                <w:b/>
                <w:bCs/>
              </w:rPr>
            </w:pPr>
            <w:r>
              <w:rPr>
                <w:rFonts w:eastAsiaTheme="minorEastAsia"/>
                <w:b/>
                <w:bCs/>
              </w:rPr>
              <w:t>统计</w:t>
            </w:r>
          </w:p>
          <w:p>
            <w:pPr>
              <w:pStyle w:val="341"/>
              <w:adjustRightInd w:val="0"/>
              <w:snapToGrid w:val="0"/>
              <w:rPr>
                <w:rFonts w:eastAsiaTheme="minorEastAsia"/>
              </w:rPr>
            </w:pPr>
            <w:r>
              <w:rPr>
                <w:rFonts w:eastAsiaTheme="minorEastAsia"/>
                <w:b/>
                <w:bCs/>
              </w:rPr>
              <w:t>年份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exact"/>
          <w:jc w:val="center"/>
        </w:trPr>
        <w:tc>
          <w:tcPr>
            <w:tcW w:w="1303" w:type="pct"/>
            <w:vMerge w:val="continue"/>
            <w:vAlign w:val="center"/>
          </w:tcPr>
          <w:p>
            <w:pPr>
              <w:pStyle w:val="341"/>
              <w:adjustRightInd w:val="0"/>
              <w:snapToGrid w:val="0"/>
              <w:rPr>
                <w:rFonts w:eastAsiaTheme="minorEastAsia"/>
                <w:b/>
                <w:bCs/>
              </w:rPr>
            </w:pPr>
          </w:p>
        </w:tc>
        <w:tc>
          <w:tcPr>
            <w:tcW w:w="644" w:type="pct"/>
            <w:vMerge w:val="continue"/>
            <w:vAlign w:val="center"/>
          </w:tcPr>
          <w:p>
            <w:pPr>
              <w:pStyle w:val="341"/>
              <w:adjustRightInd w:val="0"/>
              <w:snapToGrid w:val="0"/>
              <w:rPr>
                <w:rFonts w:eastAsiaTheme="minorEastAsia"/>
                <w:b/>
                <w:bCs/>
              </w:rPr>
            </w:pPr>
          </w:p>
        </w:tc>
        <w:tc>
          <w:tcPr>
            <w:tcW w:w="699" w:type="pct"/>
            <w:vAlign w:val="center"/>
          </w:tcPr>
          <w:p>
            <w:pPr>
              <w:pStyle w:val="341"/>
              <w:adjustRightInd w:val="0"/>
              <w:snapToGrid w:val="0"/>
              <w:rPr>
                <w:rFonts w:eastAsiaTheme="minorEastAsia"/>
                <w:b/>
                <w:bCs/>
              </w:rPr>
            </w:pPr>
            <w:r>
              <w:rPr>
                <w:rFonts w:eastAsiaTheme="minorEastAsia"/>
                <w:b/>
                <w:bCs/>
              </w:rPr>
              <w:t>数值</w:t>
            </w:r>
          </w:p>
        </w:tc>
        <w:tc>
          <w:tcPr>
            <w:tcW w:w="677" w:type="pct"/>
            <w:vAlign w:val="center"/>
          </w:tcPr>
          <w:p>
            <w:pPr>
              <w:pStyle w:val="341"/>
              <w:adjustRightInd w:val="0"/>
              <w:snapToGrid w:val="0"/>
              <w:rPr>
                <w:rFonts w:eastAsiaTheme="minorEastAsia"/>
                <w:b/>
                <w:bCs/>
              </w:rPr>
            </w:pPr>
            <w:r>
              <w:rPr>
                <w:rFonts w:eastAsiaTheme="minorEastAsia"/>
                <w:b/>
                <w:bCs/>
              </w:rPr>
              <w:t>日期</w:t>
            </w:r>
          </w:p>
        </w:tc>
        <w:tc>
          <w:tcPr>
            <w:tcW w:w="584" w:type="pct"/>
            <w:vAlign w:val="center"/>
          </w:tcPr>
          <w:p>
            <w:pPr>
              <w:pStyle w:val="341"/>
              <w:adjustRightInd w:val="0"/>
              <w:snapToGrid w:val="0"/>
              <w:rPr>
                <w:rFonts w:eastAsiaTheme="minorEastAsia"/>
                <w:b/>
                <w:bCs/>
              </w:rPr>
            </w:pPr>
            <w:r>
              <w:rPr>
                <w:rFonts w:eastAsiaTheme="minorEastAsia"/>
                <w:b/>
                <w:bCs/>
              </w:rPr>
              <w:t>数值</w:t>
            </w:r>
          </w:p>
        </w:tc>
        <w:tc>
          <w:tcPr>
            <w:tcW w:w="614" w:type="pct"/>
            <w:vAlign w:val="center"/>
          </w:tcPr>
          <w:p>
            <w:pPr>
              <w:pStyle w:val="341"/>
              <w:adjustRightInd w:val="0"/>
              <w:snapToGrid w:val="0"/>
              <w:rPr>
                <w:rFonts w:eastAsiaTheme="minorEastAsia"/>
                <w:b/>
                <w:bCs/>
              </w:rPr>
            </w:pPr>
            <w:r>
              <w:rPr>
                <w:rFonts w:eastAsiaTheme="minorEastAsia"/>
                <w:b/>
                <w:bCs/>
              </w:rPr>
              <w:t>日期</w:t>
            </w:r>
          </w:p>
        </w:tc>
        <w:tc>
          <w:tcPr>
            <w:tcW w:w="480" w:type="pct"/>
            <w:vMerge w:val="continue"/>
            <w:vAlign w:val="center"/>
          </w:tcPr>
          <w:p>
            <w:pPr>
              <w:pStyle w:val="341"/>
              <w:adjustRightInd w:val="0"/>
              <w:snapToGrid w:val="0"/>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1303" w:type="pct"/>
            <w:vAlign w:val="center"/>
          </w:tcPr>
          <w:p>
            <w:pPr>
              <w:pStyle w:val="341"/>
              <w:adjustRightInd w:val="0"/>
              <w:snapToGrid w:val="0"/>
              <w:rPr>
                <w:rFonts w:eastAsiaTheme="minorEastAsia"/>
              </w:rPr>
            </w:pPr>
            <w:r>
              <w:rPr>
                <w:rFonts w:eastAsiaTheme="minorEastAsia"/>
              </w:rPr>
              <w:t>水位（黄海高程m）</w:t>
            </w:r>
          </w:p>
        </w:tc>
        <w:tc>
          <w:tcPr>
            <w:tcW w:w="644" w:type="pct"/>
            <w:vAlign w:val="center"/>
          </w:tcPr>
          <w:p>
            <w:pPr>
              <w:pStyle w:val="341"/>
              <w:adjustRightInd w:val="0"/>
              <w:snapToGrid w:val="0"/>
              <w:rPr>
                <w:rFonts w:eastAsiaTheme="minorEastAsia"/>
              </w:rPr>
            </w:pPr>
            <w:r>
              <w:rPr>
                <w:rFonts w:eastAsiaTheme="minorEastAsia"/>
              </w:rPr>
              <w:t>21.41</w:t>
            </w:r>
          </w:p>
        </w:tc>
        <w:tc>
          <w:tcPr>
            <w:tcW w:w="699" w:type="pct"/>
            <w:vAlign w:val="center"/>
          </w:tcPr>
          <w:p>
            <w:pPr>
              <w:pStyle w:val="341"/>
              <w:adjustRightInd w:val="0"/>
              <w:snapToGrid w:val="0"/>
              <w:rPr>
                <w:rFonts w:eastAsiaTheme="minorEastAsia"/>
              </w:rPr>
            </w:pPr>
            <w:r>
              <w:rPr>
                <w:rFonts w:eastAsiaTheme="minorEastAsia"/>
              </w:rPr>
              <w:t>32.74</w:t>
            </w:r>
          </w:p>
        </w:tc>
        <w:tc>
          <w:tcPr>
            <w:tcW w:w="677" w:type="pct"/>
            <w:vAlign w:val="center"/>
          </w:tcPr>
          <w:p>
            <w:pPr>
              <w:pStyle w:val="341"/>
              <w:adjustRightInd w:val="0"/>
              <w:snapToGrid w:val="0"/>
              <w:rPr>
                <w:rFonts w:eastAsiaTheme="minorEastAsia"/>
              </w:rPr>
            </w:pPr>
            <w:r>
              <w:rPr>
                <w:rFonts w:eastAsiaTheme="minorEastAsia"/>
              </w:rPr>
              <w:t>1998.8.20</w:t>
            </w:r>
          </w:p>
        </w:tc>
        <w:tc>
          <w:tcPr>
            <w:tcW w:w="584" w:type="pct"/>
            <w:vAlign w:val="center"/>
          </w:tcPr>
          <w:p>
            <w:pPr>
              <w:pStyle w:val="341"/>
              <w:adjustRightInd w:val="0"/>
              <w:snapToGrid w:val="0"/>
              <w:rPr>
                <w:rFonts w:eastAsiaTheme="minorEastAsia"/>
              </w:rPr>
            </w:pPr>
            <w:r>
              <w:rPr>
                <w:rFonts w:eastAsiaTheme="minorEastAsia"/>
              </w:rPr>
              <w:t>13.52</w:t>
            </w:r>
          </w:p>
        </w:tc>
        <w:tc>
          <w:tcPr>
            <w:tcW w:w="614" w:type="pct"/>
            <w:vAlign w:val="center"/>
          </w:tcPr>
          <w:p>
            <w:pPr>
              <w:pStyle w:val="341"/>
              <w:adjustRightInd w:val="0"/>
              <w:snapToGrid w:val="0"/>
              <w:rPr>
                <w:rFonts w:eastAsiaTheme="minorEastAsia"/>
              </w:rPr>
            </w:pPr>
            <w:r>
              <w:rPr>
                <w:rFonts w:eastAsiaTheme="minorEastAsia"/>
              </w:rPr>
              <w:t>1960.2.16</w:t>
            </w:r>
          </w:p>
        </w:tc>
        <w:tc>
          <w:tcPr>
            <w:tcW w:w="480" w:type="pct"/>
            <w:vMerge w:val="restart"/>
            <w:vAlign w:val="center"/>
          </w:tcPr>
          <w:p>
            <w:pPr>
              <w:pStyle w:val="341"/>
              <w:adjustRightInd w:val="0"/>
              <w:snapToGrid w:val="0"/>
              <w:rPr>
                <w:rFonts w:eastAsiaTheme="minorEastAsia"/>
              </w:rPr>
            </w:pPr>
            <w:r>
              <w:rPr>
                <w:rFonts w:eastAsiaTheme="minorEastAsia"/>
              </w:rPr>
              <w:t>1950</w:t>
            </w:r>
          </w:p>
          <w:p>
            <w:pPr>
              <w:pStyle w:val="341"/>
              <w:adjustRightInd w:val="0"/>
              <w:snapToGrid w:val="0"/>
              <w:rPr>
                <w:rFonts w:eastAsiaTheme="minorEastAsia"/>
              </w:rPr>
            </w:pPr>
            <w:r>
              <w:rPr>
                <w:rFonts w:eastAsiaTheme="minorEastAsia"/>
              </w:rPr>
              <w:t>~2002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exact"/>
          <w:jc w:val="center"/>
        </w:trPr>
        <w:tc>
          <w:tcPr>
            <w:tcW w:w="1303" w:type="pct"/>
            <w:vAlign w:val="center"/>
          </w:tcPr>
          <w:p>
            <w:pPr>
              <w:pStyle w:val="341"/>
              <w:adjustRightInd w:val="0"/>
              <w:snapToGrid w:val="0"/>
              <w:rPr>
                <w:rFonts w:eastAsiaTheme="minorEastAsia"/>
              </w:rPr>
            </w:pPr>
            <w:r>
              <w:rPr>
                <w:rFonts w:eastAsiaTheme="minorEastAsia"/>
              </w:rPr>
              <w:t>流量（m</w:t>
            </w:r>
            <w:r>
              <w:rPr>
                <w:rFonts w:eastAsiaTheme="minorEastAsia"/>
                <w:vertAlign w:val="superscript"/>
              </w:rPr>
              <w:t>3</w:t>
            </w:r>
            <w:r>
              <w:rPr>
                <w:rFonts w:eastAsiaTheme="minorEastAsia"/>
              </w:rPr>
              <w:t>/s）</w:t>
            </w:r>
          </w:p>
        </w:tc>
        <w:tc>
          <w:tcPr>
            <w:tcW w:w="644" w:type="pct"/>
            <w:vAlign w:val="center"/>
          </w:tcPr>
          <w:p>
            <w:pPr>
              <w:pStyle w:val="341"/>
              <w:adjustRightInd w:val="0"/>
              <w:snapToGrid w:val="0"/>
              <w:rPr>
                <w:rFonts w:eastAsiaTheme="minorEastAsia"/>
              </w:rPr>
            </w:pPr>
            <w:r>
              <w:rPr>
                <w:rFonts w:eastAsiaTheme="minorEastAsia"/>
              </w:rPr>
              <w:t>20300</w:t>
            </w:r>
          </w:p>
        </w:tc>
        <w:tc>
          <w:tcPr>
            <w:tcW w:w="699" w:type="pct"/>
            <w:vAlign w:val="center"/>
          </w:tcPr>
          <w:p>
            <w:pPr>
              <w:pStyle w:val="341"/>
              <w:adjustRightInd w:val="0"/>
              <w:snapToGrid w:val="0"/>
              <w:rPr>
                <w:rFonts w:eastAsiaTheme="minorEastAsia"/>
              </w:rPr>
            </w:pPr>
            <w:r>
              <w:rPr>
                <w:rFonts w:eastAsiaTheme="minorEastAsia"/>
              </w:rPr>
              <w:t>78800</w:t>
            </w:r>
          </w:p>
        </w:tc>
        <w:tc>
          <w:tcPr>
            <w:tcW w:w="677" w:type="pct"/>
            <w:vAlign w:val="center"/>
          </w:tcPr>
          <w:p>
            <w:pPr>
              <w:pStyle w:val="341"/>
              <w:adjustRightInd w:val="0"/>
              <w:snapToGrid w:val="0"/>
              <w:rPr>
                <w:rFonts w:eastAsiaTheme="minorEastAsia"/>
              </w:rPr>
            </w:pPr>
            <w:r>
              <w:rPr>
                <w:rFonts w:eastAsiaTheme="minorEastAsia"/>
              </w:rPr>
              <w:t>1954.8.7</w:t>
            </w:r>
          </w:p>
        </w:tc>
        <w:tc>
          <w:tcPr>
            <w:tcW w:w="584" w:type="pct"/>
            <w:vAlign w:val="center"/>
          </w:tcPr>
          <w:p>
            <w:pPr>
              <w:pStyle w:val="341"/>
              <w:adjustRightInd w:val="0"/>
              <w:snapToGrid w:val="0"/>
              <w:rPr>
                <w:rFonts w:eastAsiaTheme="minorEastAsia"/>
              </w:rPr>
            </w:pPr>
            <w:r>
              <w:rPr>
                <w:rFonts w:eastAsiaTheme="minorEastAsia"/>
              </w:rPr>
              <w:t>4060</w:t>
            </w:r>
          </w:p>
        </w:tc>
        <w:tc>
          <w:tcPr>
            <w:tcW w:w="614" w:type="pct"/>
            <w:vAlign w:val="center"/>
          </w:tcPr>
          <w:p>
            <w:pPr>
              <w:pStyle w:val="341"/>
              <w:adjustRightInd w:val="0"/>
              <w:snapToGrid w:val="0"/>
              <w:rPr>
                <w:rFonts w:eastAsiaTheme="minorEastAsia"/>
              </w:rPr>
            </w:pPr>
            <w:r>
              <w:rPr>
                <w:rFonts w:eastAsiaTheme="minorEastAsia"/>
              </w:rPr>
              <w:t>1963.2.5</w:t>
            </w:r>
          </w:p>
        </w:tc>
        <w:tc>
          <w:tcPr>
            <w:tcW w:w="480" w:type="pct"/>
            <w:vMerge w:val="continue"/>
            <w:vAlign w:val="center"/>
          </w:tcPr>
          <w:p>
            <w:pPr>
              <w:pStyle w:val="341"/>
              <w:adjustRightInd w:val="0"/>
              <w:snapToGrid w:val="0"/>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1303" w:type="pct"/>
            <w:vAlign w:val="center"/>
          </w:tcPr>
          <w:p>
            <w:pPr>
              <w:pStyle w:val="341"/>
              <w:adjustRightInd w:val="0"/>
              <w:snapToGrid w:val="0"/>
              <w:rPr>
                <w:rFonts w:eastAsiaTheme="minorEastAsia"/>
              </w:rPr>
            </w:pPr>
            <w:r>
              <w:rPr>
                <w:rFonts w:eastAsiaTheme="minorEastAsia"/>
              </w:rPr>
              <w:t>输沙量（亿t）</w:t>
            </w:r>
          </w:p>
        </w:tc>
        <w:tc>
          <w:tcPr>
            <w:tcW w:w="644" w:type="pct"/>
            <w:vAlign w:val="center"/>
          </w:tcPr>
          <w:p>
            <w:pPr>
              <w:pStyle w:val="341"/>
              <w:adjustRightInd w:val="0"/>
              <w:snapToGrid w:val="0"/>
              <w:rPr>
                <w:rFonts w:eastAsiaTheme="minorEastAsia"/>
              </w:rPr>
            </w:pPr>
            <w:r>
              <w:rPr>
                <w:rFonts w:eastAsiaTheme="minorEastAsia"/>
              </w:rPr>
              <w:t>4.15</w:t>
            </w:r>
          </w:p>
        </w:tc>
        <w:tc>
          <w:tcPr>
            <w:tcW w:w="699" w:type="pct"/>
            <w:vAlign w:val="center"/>
          </w:tcPr>
          <w:p>
            <w:pPr>
              <w:pStyle w:val="341"/>
              <w:adjustRightInd w:val="0"/>
              <w:snapToGrid w:val="0"/>
              <w:rPr>
                <w:rFonts w:eastAsiaTheme="minorEastAsia"/>
              </w:rPr>
            </w:pPr>
            <w:r>
              <w:rPr>
                <w:rFonts w:eastAsiaTheme="minorEastAsia"/>
              </w:rPr>
              <w:t>6.15</w:t>
            </w:r>
          </w:p>
        </w:tc>
        <w:tc>
          <w:tcPr>
            <w:tcW w:w="677" w:type="pct"/>
            <w:vAlign w:val="center"/>
          </w:tcPr>
          <w:p>
            <w:pPr>
              <w:pStyle w:val="341"/>
              <w:adjustRightInd w:val="0"/>
              <w:snapToGrid w:val="0"/>
              <w:rPr>
                <w:rFonts w:eastAsiaTheme="minorEastAsia"/>
              </w:rPr>
            </w:pPr>
            <w:r>
              <w:rPr>
                <w:rFonts w:eastAsiaTheme="minorEastAsia"/>
              </w:rPr>
              <w:t>1981</w:t>
            </w:r>
          </w:p>
        </w:tc>
        <w:tc>
          <w:tcPr>
            <w:tcW w:w="584" w:type="pct"/>
            <w:vAlign w:val="center"/>
          </w:tcPr>
          <w:p>
            <w:pPr>
              <w:pStyle w:val="341"/>
              <w:adjustRightInd w:val="0"/>
              <w:snapToGrid w:val="0"/>
              <w:rPr>
                <w:rFonts w:eastAsiaTheme="minorEastAsia"/>
              </w:rPr>
            </w:pPr>
            <w:r>
              <w:rPr>
                <w:rFonts w:eastAsiaTheme="minorEastAsia"/>
              </w:rPr>
              <w:t>2.48</w:t>
            </w:r>
          </w:p>
        </w:tc>
        <w:tc>
          <w:tcPr>
            <w:tcW w:w="614" w:type="pct"/>
            <w:vAlign w:val="center"/>
          </w:tcPr>
          <w:p>
            <w:pPr>
              <w:pStyle w:val="341"/>
              <w:adjustRightInd w:val="0"/>
              <w:snapToGrid w:val="0"/>
              <w:rPr>
                <w:rFonts w:eastAsiaTheme="minorEastAsia"/>
              </w:rPr>
            </w:pPr>
            <w:r>
              <w:rPr>
                <w:rFonts w:eastAsiaTheme="minorEastAsia"/>
              </w:rPr>
              <w:t>1994</w:t>
            </w:r>
          </w:p>
        </w:tc>
        <w:tc>
          <w:tcPr>
            <w:tcW w:w="480" w:type="pct"/>
            <w:vMerge w:val="continue"/>
            <w:vAlign w:val="center"/>
          </w:tcPr>
          <w:p>
            <w:pPr>
              <w:pStyle w:val="341"/>
              <w:adjustRightInd w:val="0"/>
              <w:snapToGrid w:val="0"/>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1303" w:type="pct"/>
            <w:vAlign w:val="center"/>
          </w:tcPr>
          <w:p>
            <w:pPr>
              <w:pStyle w:val="341"/>
              <w:adjustRightInd w:val="0"/>
              <w:snapToGrid w:val="0"/>
              <w:rPr>
                <w:rFonts w:eastAsiaTheme="minorEastAsia"/>
              </w:rPr>
            </w:pPr>
            <w:r>
              <w:rPr>
                <w:rFonts w:eastAsiaTheme="minorEastAsia"/>
              </w:rPr>
              <w:t>含沙量（kg/m</w:t>
            </w:r>
            <w:r>
              <w:rPr>
                <w:rFonts w:eastAsiaTheme="minorEastAsia"/>
                <w:vertAlign w:val="superscript"/>
              </w:rPr>
              <w:t>3</w:t>
            </w:r>
            <w:r>
              <w:rPr>
                <w:rFonts w:eastAsiaTheme="minorEastAsia"/>
              </w:rPr>
              <w:t>）</w:t>
            </w:r>
          </w:p>
        </w:tc>
        <w:tc>
          <w:tcPr>
            <w:tcW w:w="644" w:type="pct"/>
            <w:vAlign w:val="center"/>
          </w:tcPr>
          <w:p>
            <w:pPr>
              <w:pStyle w:val="341"/>
              <w:adjustRightInd w:val="0"/>
              <w:snapToGrid w:val="0"/>
              <w:rPr>
                <w:rFonts w:eastAsiaTheme="minorEastAsia"/>
              </w:rPr>
            </w:pPr>
            <w:r>
              <w:rPr>
                <w:rFonts w:eastAsiaTheme="minorEastAsia"/>
              </w:rPr>
              <w:t>0.65</w:t>
            </w:r>
          </w:p>
        </w:tc>
        <w:tc>
          <w:tcPr>
            <w:tcW w:w="699" w:type="pct"/>
            <w:vAlign w:val="center"/>
          </w:tcPr>
          <w:p>
            <w:pPr>
              <w:pStyle w:val="341"/>
              <w:adjustRightInd w:val="0"/>
              <w:snapToGrid w:val="0"/>
              <w:rPr>
                <w:rFonts w:eastAsiaTheme="minorEastAsia"/>
              </w:rPr>
            </w:pPr>
            <w:r>
              <w:rPr>
                <w:rFonts w:eastAsiaTheme="minorEastAsia"/>
              </w:rPr>
              <w:t>5.66</w:t>
            </w:r>
          </w:p>
        </w:tc>
        <w:tc>
          <w:tcPr>
            <w:tcW w:w="677" w:type="pct"/>
            <w:vAlign w:val="center"/>
          </w:tcPr>
          <w:p>
            <w:pPr>
              <w:pStyle w:val="341"/>
              <w:adjustRightInd w:val="0"/>
              <w:snapToGrid w:val="0"/>
              <w:rPr>
                <w:rFonts w:eastAsiaTheme="minorEastAsia"/>
              </w:rPr>
            </w:pPr>
            <w:r>
              <w:rPr>
                <w:rFonts w:eastAsiaTheme="minorEastAsia"/>
              </w:rPr>
              <w:t>1975.8.12</w:t>
            </w:r>
          </w:p>
        </w:tc>
        <w:tc>
          <w:tcPr>
            <w:tcW w:w="584" w:type="pct"/>
            <w:vAlign w:val="center"/>
          </w:tcPr>
          <w:p>
            <w:pPr>
              <w:pStyle w:val="341"/>
              <w:adjustRightInd w:val="0"/>
              <w:snapToGrid w:val="0"/>
              <w:rPr>
                <w:rFonts w:eastAsiaTheme="minorEastAsia"/>
              </w:rPr>
            </w:pPr>
            <w:r>
              <w:rPr>
                <w:rFonts w:eastAsiaTheme="minorEastAsia"/>
              </w:rPr>
              <w:t>0.048</w:t>
            </w:r>
          </w:p>
        </w:tc>
        <w:tc>
          <w:tcPr>
            <w:tcW w:w="614" w:type="pct"/>
            <w:vAlign w:val="center"/>
          </w:tcPr>
          <w:p>
            <w:pPr>
              <w:pStyle w:val="341"/>
              <w:adjustRightInd w:val="0"/>
              <w:snapToGrid w:val="0"/>
              <w:rPr>
                <w:rFonts w:eastAsiaTheme="minorEastAsia"/>
              </w:rPr>
            </w:pPr>
            <w:r>
              <w:rPr>
                <w:rFonts w:eastAsiaTheme="minorEastAsia"/>
              </w:rPr>
              <w:t>1954.2.1</w:t>
            </w:r>
          </w:p>
        </w:tc>
        <w:tc>
          <w:tcPr>
            <w:tcW w:w="480" w:type="pct"/>
            <w:vMerge w:val="continue"/>
            <w:vAlign w:val="center"/>
          </w:tcPr>
          <w:p>
            <w:pPr>
              <w:pStyle w:val="341"/>
              <w:adjustRightInd w:val="0"/>
              <w:snapToGrid w:val="0"/>
              <w:rPr>
                <w:rFonts w:eastAsiaTheme="minorEastAsia"/>
              </w:rPr>
            </w:pPr>
          </w:p>
        </w:tc>
      </w:tr>
    </w:tbl>
    <w:p>
      <w:pPr>
        <w:adjustRightInd w:val="0"/>
        <w:snapToGrid w:val="0"/>
        <w:spacing w:line="360" w:lineRule="auto"/>
        <w:ind w:firstLine="480" w:firstLineChars="200"/>
        <w:rPr>
          <w:rFonts w:ascii="Times New Roman" w:hAnsi="Times New Roman" w:eastAsiaTheme="minorEastAsia"/>
          <w:bCs/>
          <w:sz w:val="24"/>
        </w:rPr>
      </w:pPr>
    </w:p>
    <w:p>
      <w:pPr>
        <w:pStyle w:val="343"/>
        <w:tabs>
          <w:tab w:val="left" w:pos="2820"/>
        </w:tabs>
        <w:spacing w:line="276" w:lineRule="auto"/>
        <w:ind w:firstLine="0" w:firstLineChars="0"/>
        <w:jc w:val="center"/>
        <w:rPr>
          <w:rFonts w:cs="Times New Roman" w:eastAsiaTheme="minorEastAsia"/>
          <w:b/>
          <w:bCs/>
          <w:sz w:val="24"/>
        </w:rPr>
      </w:pPr>
      <w:r>
        <w:rPr>
          <w:rFonts w:cs="Times New Roman" w:eastAsiaTheme="minorEastAsia"/>
          <w:b/>
          <w:bCs/>
          <w:sz w:val="24"/>
        </w:rPr>
        <w:t>表4.1-2  螺山站多年平均径流量、输沙量年内分配表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57" w:type="dxa"/>
          <w:bottom w:w="0" w:type="dxa"/>
          <w:right w:w="57" w:type="dxa"/>
        </w:tblCellMar>
      </w:tblPr>
      <w:tblGrid>
        <w:gridCol w:w="1403"/>
        <w:gridCol w:w="641"/>
        <w:gridCol w:w="633"/>
        <w:gridCol w:w="633"/>
        <w:gridCol w:w="633"/>
        <w:gridCol w:w="633"/>
        <w:gridCol w:w="633"/>
        <w:gridCol w:w="633"/>
        <w:gridCol w:w="633"/>
        <w:gridCol w:w="633"/>
        <w:gridCol w:w="634"/>
        <w:gridCol w:w="722"/>
        <w:gridCol w:w="6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tblHeader/>
          <w:jc w:val="center"/>
        </w:trPr>
        <w:tc>
          <w:tcPr>
            <w:tcW w:w="771"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项目</w:t>
            </w:r>
          </w:p>
        </w:tc>
        <w:tc>
          <w:tcPr>
            <w:tcW w:w="352"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1月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2月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3月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4月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5月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6月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7月</w:t>
            </w:r>
          </w:p>
        </w:tc>
        <w:tc>
          <w:tcPr>
            <w:tcW w:w="348" w:type="pct"/>
            <w:tcMar>
              <w:top w:w="0" w:type="dxa"/>
              <w:left w:w="0" w:type="dxa"/>
              <w:bottom w:w="0" w:type="dxa"/>
              <w:right w:w="0" w:type="dxa"/>
            </w:tcMar>
            <w:vAlign w:val="center"/>
          </w:tcPr>
          <w:p>
            <w:pPr>
              <w:pStyle w:val="341"/>
              <w:adjustRightInd w:val="0"/>
              <w:snapToGrid w:val="0"/>
              <w:jc w:val="both"/>
              <w:rPr>
                <w:rFonts w:eastAsiaTheme="minorEastAsia"/>
                <w:b/>
                <w:bCs/>
                <w:szCs w:val="21"/>
              </w:rPr>
            </w:pPr>
            <w:r>
              <w:rPr>
                <w:rFonts w:eastAsiaTheme="minorEastAsia"/>
                <w:b/>
                <w:bCs/>
                <w:szCs w:val="21"/>
              </w:rPr>
              <w:t>8月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9月</w:t>
            </w:r>
          </w:p>
        </w:tc>
        <w:tc>
          <w:tcPr>
            <w:tcW w:w="348"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10月</w:t>
            </w:r>
          </w:p>
        </w:tc>
        <w:tc>
          <w:tcPr>
            <w:tcW w:w="396"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11月</w:t>
            </w:r>
          </w:p>
        </w:tc>
        <w:tc>
          <w:tcPr>
            <w:tcW w:w="350" w:type="pct"/>
            <w:tcMar>
              <w:top w:w="0" w:type="dxa"/>
              <w:left w:w="0" w:type="dxa"/>
              <w:bottom w:w="0" w:type="dxa"/>
              <w:right w:w="0" w:type="dxa"/>
            </w:tcMar>
            <w:vAlign w:val="center"/>
          </w:tcPr>
          <w:p>
            <w:pPr>
              <w:pStyle w:val="341"/>
              <w:adjustRightInd w:val="0"/>
              <w:snapToGrid w:val="0"/>
              <w:rPr>
                <w:rFonts w:eastAsiaTheme="minorEastAsia"/>
                <w:b/>
                <w:bCs/>
                <w:szCs w:val="21"/>
              </w:rPr>
            </w:pPr>
            <w:r>
              <w:rPr>
                <w:rFonts w:eastAsiaTheme="minorEastAsia"/>
                <w:b/>
                <w:bCs/>
                <w:szCs w:val="21"/>
              </w:rPr>
              <w:t>12月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tblHeader/>
          <w:jc w:val="center"/>
        </w:trPr>
        <w:tc>
          <w:tcPr>
            <w:tcW w:w="771"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径流量（亿m</w:t>
            </w:r>
            <w:r>
              <w:rPr>
                <w:rFonts w:eastAsiaTheme="minorEastAsia"/>
                <w:szCs w:val="21"/>
                <w:vertAlign w:val="superscript"/>
              </w:rPr>
              <w:t>3</w:t>
            </w:r>
            <w:r>
              <w:rPr>
                <w:rFonts w:eastAsiaTheme="minorEastAsia"/>
                <w:szCs w:val="21"/>
              </w:rPr>
              <w:t>）</w:t>
            </w:r>
          </w:p>
        </w:tc>
        <w:tc>
          <w:tcPr>
            <w:tcW w:w="352"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187</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180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261</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396</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604</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735</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1065</w:t>
            </w:r>
          </w:p>
        </w:tc>
        <w:tc>
          <w:tcPr>
            <w:tcW w:w="348" w:type="pct"/>
            <w:tcMar>
              <w:top w:w="0" w:type="dxa"/>
              <w:left w:w="0" w:type="dxa"/>
              <w:bottom w:w="0" w:type="dxa"/>
              <w:right w:w="0" w:type="dxa"/>
            </w:tcMar>
            <w:vAlign w:val="center"/>
          </w:tcPr>
          <w:p>
            <w:pPr>
              <w:pStyle w:val="341"/>
              <w:adjustRightInd w:val="0"/>
              <w:snapToGrid w:val="0"/>
              <w:jc w:val="both"/>
              <w:rPr>
                <w:rFonts w:eastAsiaTheme="minorEastAsia"/>
                <w:szCs w:val="21"/>
              </w:rPr>
            </w:pPr>
            <w:r>
              <w:rPr>
                <w:rFonts w:eastAsiaTheme="minorEastAsia"/>
                <w:szCs w:val="21"/>
              </w:rPr>
              <w:t>897</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802</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636</w:t>
            </w:r>
          </w:p>
        </w:tc>
        <w:tc>
          <w:tcPr>
            <w:tcW w:w="396"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389</w:t>
            </w:r>
          </w:p>
        </w:tc>
        <w:tc>
          <w:tcPr>
            <w:tcW w:w="350"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243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tblHeader/>
          <w:jc w:val="center"/>
        </w:trPr>
        <w:tc>
          <w:tcPr>
            <w:tcW w:w="771"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占年均量（%）</w:t>
            </w:r>
          </w:p>
        </w:tc>
        <w:tc>
          <w:tcPr>
            <w:tcW w:w="352"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2.92</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2.81</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4.08</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6.19</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9.44</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11.5</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16.7</w:t>
            </w:r>
          </w:p>
        </w:tc>
        <w:tc>
          <w:tcPr>
            <w:tcW w:w="348" w:type="pct"/>
            <w:tcMar>
              <w:top w:w="0" w:type="dxa"/>
              <w:left w:w="0" w:type="dxa"/>
              <w:bottom w:w="0" w:type="dxa"/>
              <w:right w:w="0" w:type="dxa"/>
            </w:tcMar>
            <w:vAlign w:val="center"/>
          </w:tcPr>
          <w:p>
            <w:pPr>
              <w:pStyle w:val="341"/>
              <w:adjustRightInd w:val="0"/>
              <w:snapToGrid w:val="0"/>
              <w:jc w:val="both"/>
              <w:rPr>
                <w:rFonts w:eastAsiaTheme="minorEastAsia"/>
                <w:szCs w:val="21"/>
              </w:rPr>
            </w:pPr>
            <w:r>
              <w:rPr>
                <w:rFonts w:eastAsiaTheme="minorEastAsia"/>
                <w:szCs w:val="21"/>
              </w:rPr>
              <w:t>14.0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12.5</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9.95</w:t>
            </w:r>
          </w:p>
        </w:tc>
        <w:tc>
          <w:tcPr>
            <w:tcW w:w="396"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6.08</w:t>
            </w:r>
          </w:p>
        </w:tc>
        <w:tc>
          <w:tcPr>
            <w:tcW w:w="350"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3.80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tblHeader/>
          <w:jc w:val="center"/>
        </w:trPr>
        <w:tc>
          <w:tcPr>
            <w:tcW w:w="771"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输沙量（万t）</w:t>
            </w:r>
          </w:p>
        </w:tc>
        <w:tc>
          <w:tcPr>
            <w:tcW w:w="352"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528</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506</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831</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1550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2580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4400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9550</w:t>
            </w:r>
          </w:p>
        </w:tc>
        <w:tc>
          <w:tcPr>
            <w:tcW w:w="348" w:type="pct"/>
            <w:tcMar>
              <w:top w:w="0" w:type="dxa"/>
              <w:left w:w="0" w:type="dxa"/>
              <w:bottom w:w="0" w:type="dxa"/>
              <w:right w:w="0" w:type="dxa"/>
            </w:tcMar>
            <w:vAlign w:val="center"/>
          </w:tcPr>
          <w:p>
            <w:pPr>
              <w:pStyle w:val="341"/>
              <w:adjustRightInd w:val="0"/>
              <w:snapToGrid w:val="0"/>
              <w:jc w:val="both"/>
              <w:rPr>
                <w:rFonts w:eastAsiaTheme="minorEastAsia"/>
                <w:szCs w:val="21"/>
              </w:rPr>
            </w:pPr>
            <w:r>
              <w:rPr>
                <w:rFonts w:eastAsiaTheme="minorEastAsia"/>
                <w:szCs w:val="21"/>
              </w:rPr>
              <w:t>8150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6840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3970</w:t>
            </w:r>
          </w:p>
        </w:tc>
        <w:tc>
          <w:tcPr>
            <w:tcW w:w="396"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1780</w:t>
            </w:r>
          </w:p>
        </w:tc>
        <w:tc>
          <w:tcPr>
            <w:tcW w:w="350"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816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tblHeader/>
          <w:jc w:val="center"/>
        </w:trPr>
        <w:tc>
          <w:tcPr>
            <w:tcW w:w="771"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占年均量（%）</w:t>
            </w:r>
          </w:p>
        </w:tc>
        <w:tc>
          <w:tcPr>
            <w:tcW w:w="352"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1.27</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1.22</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2.00</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3.73</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6.22</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10.6</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23.0</w:t>
            </w:r>
          </w:p>
        </w:tc>
        <w:tc>
          <w:tcPr>
            <w:tcW w:w="348" w:type="pct"/>
            <w:tcMar>
              <w:top w:w="0" w:type="dxa"/>
              <w:left w:w="0" w:type="dxa"/>
              <w:bottom w:w="0" w:type="dxa"/>
              <w:right w:w="0" w:type="dxa"/>
            </w:tcMar>
            <w:vAlign w:val="center"/>
          </w:tcPr>
          <w:p>
            <w:pPr>
              <w:pStyle w:val="341"/>
              <w:adjustRightInd w:val="0"/>
              <w:snapToGrid w:val="0"/>
              <w:jc w:val="both"/>
              <w:rPr>
                <w:rFonts w:eastAsiaTheme="minorEastAsia"/>
                <w:szCs w:val="21"/>
              </w:rPr>
            </w:pPr>
            <w:r>
              <w:rPr>
                <w:rFonts w:eastAsiaTheme="minorEastAsia"/>
                <w:szCs w:val="21"/>
              </w:rPr>
              <w:t>19.6</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16.5</w:t>
            </w:r>
          </w:p>
        </w:tc>
        <w:tc>
          <w:tcPr>
            <w:tcW w:w="348"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9.57</w:t>
            </w:r>
          </w:p>
        </w:tc>
        <w:tc>
          <w:tcPr>
            <w:tcW w:w="396"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4.29</w:t>
            </w:r>
          </w:p>
        </w:tc>
        <w:tc>
          <w:tcPr>
            <w:tcW w:w="350"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1.97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40" w:hRule="atLeast"/>
          <w:tblHeader/>
          <w:jc w:val="center"/>
        </w:trPr>
        <w:tc>
          <w:tcPr>
            <w:tcW w:w="771" w:type="pct"/>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备注</w:t>
            </w:r>
          </w:p>
        </w:tc>
        <w:tc>
          <w:tcPr>
            <w:tcW w:w="4229" w:type="pct"/>
            <w:gridSpan w:val="12"/>
            <w:tcMar>
              <w:top w:w="0" w:type="dxa"/>
              <w:left w:w="0" w:type="dxa"/>
              <w:bottom w:w="0" w:type="dxa"/>
              <w:right w:w="0" w:type="dxa"/>
            </w:tcMar>
            <w:vAlign w:val="center"/>
          </w:tcPr>
          <w:p>
            <w:pPr>
              <w:pStyle w:val="341"/>
              <w:adjustRightInd w:val="0"/>
              <w:snapToGrid w:val="0"/>
              <w:rPr>
                <w:rFonts w:eastAsiaTheme="minorEastAsia"/>
                <w:szCs w:val="21"/>
              </w:rPr>
            </w:pPr>
            <w:r>
              <w:rPr>
                <w:rFonts w:eastAsiaTheme="minorEastAsia"/>
                <w:szCs w:val="21"/>
              </w:rPr>
              <w:t>统计年份：1950~2002，年均径流量6395亿m</w:t>
            </w:r>
            <w:r>
              <w:rPr>
                <w:rFonts w:eastAsiaTheme="minorEastAsia"/>
                <w:szCs w:val="21"/>
                <w:vertAlign w:val="superscript"/>
              </w:rPr>
              <w:t>3</w:t>
            </w:r>
            <w:r>
              <w:rPr>
                <w:rFonts w:eastAsiaTheme="minorEastAsia"/>
                <w:szCs w:val="21"/>
              </w:rPr>
              <w:t>，年均输沙量41501万t</w:t>
            </w:r>
          </w:p>
        </w:tc>
      </w:tr>
    </w:tbl>
    <w:p>
      <w:pPr>
        <w:adjustRightInd w:val="0"/>
        <w:snapToGrid w:val="0"/>
        <w:spacing w:line="360" w:lineRule="auto"/>
        <w:ind w:firstLine="480" w:firstLineChars="200"/>
        <w:rPr>
          <w:rFonts w:ascii="Times New Roman" w:hAnsi="Times New Roman" w:eastAsiaTheme="minorEastAsia"/>
          <w:bCs/>
          <w:sz w:val="24"/>
        </w:rPr>
      </w:pP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根据螺山站1998~2002年资料统计，悬移质平均中值粒径为0.015mm，在悬移质泥沙总量中，粒径d&gt;0.10mm的沙重占19%，粒径d&gt;0.07mm的沙重占27%左右。</w:t>
      </w:r>
    </w:p>
    <w:p>
      <w:pPr>
        <w:adjustRightInd w:val="0"/>
        <w:snapToGrid w:val="0"/>
        <w:spacing w:line="360" w:lineRule="auto"/>
        <w:ind w:firstLine="480" w:firstLineChars="200"/>
        <w:rPr>
          <w:rFonts w:ascii="Times New Roman" w:hAnsi="Times New Roman" w:eastAsiaTheme="minorEastAsia"/>
          <w:bCs/>
          <w:sz w:val="24"/>
        </w:rPr>
      </w:pPr>
      <w:r>
        <w:rPr>
          <w:rFonts w:hint="eastAsia" w:ascii="宋体" w:hAnsi="宋体" w:cs="宋体"/>
          <w:bCs/>
          <w:sz w:val="24"/>
        </w:rPr>
        <w:t>⑵</w:t>
      </w:r>
      <w:r>
        <w:rPr>
          <w:rFonts w:ascii="Times New Roman" w:hAnsi="Times New Roman" w:eastAsiaTheme="minorEastAsia"/>
          <w:bCs/>
          <w:sz w:val="24"/>
        </w:rPr>
        <w:t xml:space="preserve"> 三峡水库蓄水运用后</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据螺山站2003~2010年资料统计，三峡水库蓄水运用以来，螺山站一直出现中小水沙年份，年均来水量较蓄水前减少约9%，来沙量减少75%，特别是2006年来水量减少最多，达27%，来沙量减少86%</w:t>
      </w:r>
      <w:r>
        <w:rPr>
          <w:rFonts w:hint="eastAsia" w:ascii="Times New Roman" w:hAnsi="Times New Roman" w:eastAsiaTheme="minorEastAsia"/>
          <w:bCs/>
          <w:sz w:val="24"/>
        </w:rPr>
        <w:t>，见</w:t>
      </w:r>
      <w:r>
        <w:rPr>
          <w:rFonts w:ascii="Times New Roman" w:hAnsi="Times New Roman" w:eastAsiaTheme="minorEastAsia"/>
          <w:bCs/>
          <w:sz w:val="24"/>
        </w:rPr>
        <w:t>表4.1-3。</w:t>
      </w:r>
    </w:p>
    <w:p>
      <w:pPr>
        <w:pStyle w:val="343"/>
        <w:tabs>
          <w:tab w:val="left" w:pos="2820"/>
        </w:tabs>
        <w:spacing w:line="276" w:lineRule="auto"/>
        <w:ind w:firstLine="0" w:firstLineChars="0"/>
        <w:jc w:val="center"/>
        <w:rPr>
          <w:rFonts w:cs="Times New Roman" w:eastAsiaTheme="minorEastAsia"/>
          <w:b/>
          <w:bCs/>
          <w:sz w:val="24"/>
        </w:rPr>
      </w:pPr>
      <w:r>
        <w:rPr>
          <w:rFonts w:cs="Times New Roman" w:eastAsiaTheme="minorEastAsia"/>
          <w:b/>
          <w:bCs/>
          <w:sz w:val="24"/>
        </w:rPr>
        <w:t>表4.1-3  三峡水库蓄水后螺山水文站径流量和输沙量统计表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21"/>
        <w:gridCol w:w="713"/>
        <w:gridCol w:w="713"/>
        <w:gridCol w:w="713"/>
        <w:gridCol w:w="774"/>
        <w:gridCol w:w="774"/>
        <w:gridCol w:w="774"/>
        <w:gridCol w:w="774"/>
        <w:gridCol w:w="774"/>
        <w:gridCol w:w="7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7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年份</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2003</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2004</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2005</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2006</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2007</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2008</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2009</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2010</w:t>
            </w:r>
          </w:p>
        </w:tc>
        <w:tc>
          <w:tcPr>
            <w:tcW w:w="423"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平均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76"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径流量（10</w:t>
            </w:r>
            <w:r>
              <w:rPr>
                <w:rFonts w:ascii="Times New Roman" w:hAnsi="Times New Roman" w:eastAsiaTheme="minorEastAsia"/>
                <w:vertAlign w:val="superscript"/>
              </w:rPr>
              <w:t>8</w:t>
            </w:r>
            <w:r>
              <w:rPr>
                <w:rFonts w:ascii="Times New Roman" w:hAnsi="Times New Roman" w:eastAsiaTheme="minorEastAsia"/>
              </w:rPr>
              <w:t>m</w:t>
            </w:r>
            <w:r>
              <w:rPr>
                <w:rFonts w:ascii="Times New Roman" w:hAnsi="Times New Roman" w:eastAsiaTheme="minorEastAsia"/>
                <w:vertAlign w:val="superscript"/>
              </w:rPr>
              <w:t>3</w:t>
            </w:r>
            <w:r>
              <w:rPr>
                <w:rFonts w:ascii="Times New Roman" w:hAnsi="Times New Roman" w:eastAsiaTheme="minorEastAsia"/>
              </w:rPr>
              <w:t>）</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6371</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5980</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6429</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4647</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5687</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6085</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5536</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6480</w:t>
            </w:r>
          </w:p>
        </w:tc>
        <w:tc>
          <w:tcPr>
            <w:tcW w:w="423"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5902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76"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与蓄水前相比（%）</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-7</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-27</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-11</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-5</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-13</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w:t>
            </w:r>
          </w:p>
        </w:tc>
        <w:tc>
          <w:tcPr>
            <w:tcW w:w="423"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76"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输沙量（10</w:t>
            </w:r>
            <w:r>
              <w:rPr>
                <w:rFonts w:ascii="Times New Roman" w:hAnsi="Times New Roman" w:eastAsiaTheme="minorEastAsia"/>
                <w:vertAlign w:val="superscript"/>
              </w:rPr>
              <w:t>8</w:t>
            </w:r>
            <w:r>
              <w:rPr>
                <w:rFonts w:ascii="Times New Roman" w:hAnsi="Times New Roman" w:eastAsiaTheme="minorEastAsia"/>
              </w:rPr>
              <w:t>t）</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1.46</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1.23</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1.47</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0.581</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0.952</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0.914</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0.772</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0.837</w:t>
            </w:r>
          </w:p>
        </w:tc>
        <w:tc>
          <w:tcPr>
            <w:tcW w:w="423"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76"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rPr>
              <w:t>与蓄水前相比（%）</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-65</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-70</w:t>
            </w:r>
          </w:p>
        </w:tc>
        <w:tc>
          <w:tcPr>
            <w:tcW w:w="39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-65</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-86</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-77</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-78</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-81</w:t>
            </w:r>
          </w:p>
        </w:tc>
        <w:tc>
          <w:tcPr>
            <w:tcW w:w="425"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-80</w:t>
            </w:r>
          </w:p>
        </w:tc>
        <w:tc>
          <w:tcPr>
            <w:tcW w:w="423"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7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备注</w:t>
            </w:r>
          </w:p>
        </w:tc>
        <w:tc>
          <w:tcPr>
            <w:tcW w:w="3724" w:type="pct"/>
            <w:gridSpan w:val="9"/>
            <w:tcMar>
              <w:top w:w="0" w:type="dxa"/>
              <w:left w:w="0" w:type="dxa"/>
              <w:bottom w:w="0" w:type="dxa"/>
              <w:right w:w="0" w:type="dxa"/>
            </w:tcMar>
            <w:vAlign w:val="center"/>
          </w:tcPr>
          <w:p>
            <w:pPr>
              <w:adjustRightInd w:val="0"/>
              <w:snapToGrid w:val="0"/>
              <w:rPr>
                <w:rFonts w:ascii="Times New Roman" w:hAnsi="Times New Roman" w:eastAsiaTheme="minorEastAsia"/>
                <w:bCs/>
                <w:kern w:val="0"/>
              </w:rPr>
            </w:pPr>
            <w:r>
              <w:rPr>
                <w:rFonts w:ascii="Times New Roman" w:hAnsi="Times New Roman" w:eastAsiaTheme="minorEastAsia"/>
                <w:bCs/>
                <w:kern w:val="0"/>
              </w:rPr>
              <w:t>表中“-”值为水库运用后螺山站径流量或输沙量减少百分数</w:t>
            </w:r>
          </w:p>
        </w:tc>
      </w:tr>
    </w:tbl>
    <w:p>
      <w:pPr>
        <w:adjustRightInd w:val="0"/>
        <w:snapToGrid w:val="0"/>
        <w:spacing w:line="360" w:lineRule="auto"/>
        <w:ind w:firstLine="480" w:firstLineChars="200"/>
        <w:rPr>
          <w:rFonts w:ascii="Times New Roman" w:hAnsi="Times New Roman" w:eastAsiaTheme="minorEastAsia"/>
          <w:bCs/>
          <w:sz w:val="24"/>
        </w:rPr>
      </w:pP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由于三峡水库的蓄水运用，使下泄沙量锐减，虽然下游河段沿程含沙量有所恢复，但至螺山站总的来沙量仅是建库前的33.9%，粒径大于0.1mm的沙量仅为建库前的57.1%，粒径大于0.07mm的沙量约为建库前的47.9%，也就是说，床沙质仅为建库前的一半，远未恢复到建库前的水平</w:t>
      </w:r>
      <w:r>
        <w:rPr>
          <w:rFonts w:hint="eastAsia" w:ascii="Times New Roman" w:hAnsi="Times New Roman" w:eastAsiaTheme="minorEastAsia"/>
          <w:bCs/>
          <w:sz w:val="24"/>
        </w:rPr>
        <w:t>，见</w:t>
      </w:r>
      <w:r>
        <w:rPr>
          <w:rFonts w:ascii="Times New Roman" w:hAnsi="Times New Roman" w:eastAsiaTheme="minorEastAsia"/>
          <w:bCs/>
          <w:sz w:val="24"/>
        </w:rPr>
        <w:t>表4.1-4。</w:t>
      </w:r>
    </w:p>
    <w:p>
      <w:pPr>
        <w:pStyle w:val="343"/>
        <w:tabs>
          <w:tab w:val="left" w:pos="2820"/>
        </w:tabs>
        <w:spacing w:line="276" w:lineRule="auto"/>
        <w:ind w:firstLine="0" w:firstLineChars="0"/>
        <w:jc w:val="center"/>
        <w:rPr>
          <w:rFonts w:cs="Times New Roman" w:eastAsiaTheme="minorEastAsia"/>
          <w:b/>
          <w:bCs/>
          <w:sz w:val="24"/>
        </w:rPr>
      </w:pPr>
      <w:r>
        <w:rPr>
          <w:rFonts w:cs="Times New Roman" w:eastAsiaTheme="minorEastAsia"/>
          <w:b/>
          <w:bCs/>
          <w:sz w:val="24"/>
        </w:rPr>
        <w:t>表4.1-4  三峡水库运用前后螺山站悬移质来沙量变化情况对比</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2"/>
        <w:gridCol w:w="1198"/>
        <w:gridCol w:w="1316"/>
        <w:gridCol w:w="1265"/>
        <w:gridCol w:w="1316"/>
        <w:gridCol w:w="1265"/>
        <w:gridCol w:w="12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04"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工况</w:t>
            </w:r>
          </w:p>
        </w:tc>
        <w:tc>
          <w:tcPr>
            <w:tcW w:w="658"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年均沙量</w:t>
            </w:r>
          </w:p>
          <w:p>
            <w:pPr>
              <w:adjustRightInd w:val="0"/>
              <w:snapToGrid w:val="0"/>
              <w:jc w:val="center"/>
              <w:rPr>
                <w:rFonts w:ascii="Times New Roman" w:hAnsi="Times New Roman" w:eastAsiaTheme="minorEastAsia"/>
                <w:b/>
              </w:rPr>
            </w:pPr>
            <w:r>
              <w:rPr>
                <w:rFonts w:ascii="Times New Roman" w:hAnsi="Times New Roman" w:eastAsiaTheme="minorEastAsia"/>
                <w:b/>
              </w:rPr>
              <w:t>（10</w:t>
            </w:r>
            <w:r>
              <w:rPr>
                <w:rFonts w:ascii="Times New Roman" w:hAnsi="Times New Roman" w:eastAsiaTheme="minorEastAsia"/>
                <w:b/>
                <w:vertAlign w:val="superscript"/>
              </w:rPr>
              <w:t>8</w:t>
            </w:r>
            <w:r>
              <w:rPr>
                <w:rFonts w:ascii="Times New Roman" w:hAnsi="Times New Roman" w:eastAsiaTheme="minorEastAsia"/>
                <w:b/>
              </w:rPr>
              <w:t>t）</w:t>
            </w:r>
          </w:p>
        </w:tc>
        <w:tc>
          <w:tcPr>
            <w:tcW w:w="1418" w:type="pct"/>
            <w:gridSpan w:val="2"/>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粒径d&gt;0.1mm</w:t>
            </w:r>
          </w:p>
        </w:tc>
        <w:tc>
          <w:tcPr>
            <w:tcW w:w="1418" w:type="pct"/>
            <w:gridSpan w:val="2"/>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粒径d&gt;0.07mm</w:t>
            </w:r>
          </w:p>
        </w:tc>
        <w:tc>
          <w:tcPr>
            <w:tcW w:w="702" w:type="pct"/>
            <w:vMerge w:val="restart"/>
            <w:tcMar>
              <w:top w:w="0" w:type="dxa"/>
              <w:left w:w="0" w:type="dxa"/>
              <w:bottom w:w="0" w:type="dxa"/>
              <w:right w:w="0" w:type="dxa"/>
            </w:tcMar>
            <w:vAlign w:val="center"/>
          </w:tcPr>
          <w:p>
            <w:pPr>
              <w:pStyle w:val="6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eastAsiaTheme="minorEastAsia"/>
                <w:b/>
                <w:bCs/>
                <w:szCs w:val="21"/>
              </w:rPr>
            </w:pPr>
            <w:r>
              <w:rPr>
                <w:rFonts w:ascii="Times New Roman" w:hAnsi="Times New Roman" w:cs="Times New Roman" w:eastAsiaTheme="minorEastAsia"/>
                <w:b/>
                <w:szCs w:val="21"/>
              </w:rPr>
              <w:t>统计年份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04" w:type="pct"/>
            <w:vMerge w:val="continue"/>
            <w:tcMar>
              <w:top w:w="0" w:type="dxa"/>
              <w:left w:w="0" w:type="dxa"/>
              <w:bottom w:w="0" w:type="dxa"/>
              <w:right w:w="0" w:type="dxa"/>
            </w:tcMar>
            <w:vAlign w:val="center"/>
          </w:tcPr>
          <w:p>
            <w:pPr>
              <w:pStyle w:val="6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eastAsiaTheme="minorEastAsia"/>
                <w:b/>
                <w:bCs/>
                <w:szCs w:val="21"/>
              </w:rPr>
            </w:pPr>
          </w:p>
        </w:tc>
        <w:tc>
          <w:tcPr>
            <w:tcW w:w="658" w:type="pct"/>
            <w:vMerge w:val="continue"/>
            <w:tcMar>
              <w:top w:w="0" w:type="dxa"/>
              <w:left w:w="0" w:type="dxa"/>
              <w:bottom w:w="0" w:type="dxa"/>
              <w:right w:w="0" w:type="dxa"/>
            </w:tcMar>
            <w:vAlign w:val="center"/>
          </w:tcPr>
          <w:p>
            <w:pPr>
              <w:pStyle w:val="6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eastAsiaTheme="minorEastAsia"/>
                <w:b/>
                <w:bCs/>
                <w:szCs w:val="21"/>
              </w:rPr>
            </w:pP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百分比(%)</w:t>
            </w: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沙重(10</w:t>
            </w:r>
            <w:r>
              <w:rPr>
                <w:rFonts w:ascii="Times New Roman" w:hAnsi="Times New Roman" w:eastAsiaTheme="minorEastAsia"/>
                <w:b/>
                <w:vertAlign w:val="superscript"/>
              </w:rPr>
              <w:t>8</w:t>
            </w:r>
            <w:r>
              <w:rPr>
                <w:rFonts w:ascii="Times New Roman" w:hAnsi="Times New Roman" w:eastAsiaTheme="minorEastAsia"/>
                <w:b/>
              </w:rPr>
              <w:t>t)</w:t>
            </w: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百分比(%)</w:t>
            </w: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沙重(10</w:t>
            </w:r>
            <w:r>
              <w:rPr>
                <w:rFonts w:ascii="Times New Roman" w:hAnsi="Times New Roman" w:eastAsiaTheme="minorEastAsia"/>
                <w:b/>
                <w:vertAlign w:val="superscript"/>
              </w:rPr>
              <w:t>8</w:t>
            </w:r>
            <w:r>
              <w:rPr>
                <w:rFonts w:ascii="Times New Roman" w:hAnsi="Times New Roman" w:eastAsiaTheme="minorEastAsia"/>
                <w:b/>
              </w:rPr>
              <w:t>t)</w:t>
            </w:r>
          </w:p>
        </w:tc>
        <w:tc>
          <w:tcPr>
            <w:tcW w:w="702" w:type="pct"/>
            <w:vMerge w:val="continue"/>
            <w:tcMar>
              <w:top w:w="0" w:type="dxa"/>
              <w:left w:w="0" w:type="dxa"/>
              <w:bottom w:w="0" w:type="dxa"/>
              <w:right w:w="0" w:type="dxa"/>
            </w:tcMar>
            <w:vAlign w:val="center"/>
          </w:tcPr>
          <w:p>
            <w:pPr>
              <w:pStyle w:val="6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eastAsiaTheme="minorEastAsia"/>
                <w:b/>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04"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水库运用前</w:t>
            </w:r>
          </w:p>
        </w:tc>
        <w:tc>
          <w:tcPr>
            <w:tcW w:w="65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3.105</w:t>
            </w: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19</w:t>
            </w: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0.590</w:t>
            </w: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27</w:t>
            </w: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0.838</w:t>
            </w:r>
          </w:p>
        </w:tc>
        <w:tc>
          <w:tcPr>
            <w:tcW w:w="702"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1997-2002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04"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水库运用后</w:t>
            </w:r>
          </w:p>
        </w:tc>
        <w:tc>
          <w:tcPr>
            <w:tcW w:w="65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1.054</w:t>
            </w: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32</w:t>
            </w: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0.337</w:t>
            </w: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38</w:t>
            </w: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0.401</w:t>
            </w:r>
          </w:p>
        </w:tc>
        <w:tc>
          <w:tcPr>
            <w:tcW w:w="702"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2003-2010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04"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后/前（%）</w:t>
            </w:r>
          </w:p>
        </w:tc>
        <w:tc>
          <w:tcPr>
            <w:tcW w:w="658"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33.9</w:t>
            </w: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57.1</w:t>
            </w:r>
          </w:p>
        </w:tc>
        <w:tc>
          <w:tcPr>
            <w:tcW w:w="723"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p>
        </w:tc>
        <w:tc>
          <w:tcPr>
            <w:tcW w:w="6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47.9</w:t>
            </w:r>
          </w:p>
        </w:tc>
        <w:tc>
          <w:tcPr>
            <w:tcW w:w="702"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p>
        </w:tc>
      </w:tr>
    </w:tbl>
    <w:p>
      <w:pPr>
        <w:adjustRightInd w:val="0"/>
        <w:snapToGrid w:val="0"/>
        <w:spacing w:line="360" w:lineRule="auto"/>
        <w:ind w:firstLine="480" w:firstLineChars="200"/>
        <w:rPr>
          <w:rFonts w:ascii="Times New Roman" w:hAnsi="Times New Roman" w:eastAsiaTheme="minorEastAsia"/>
          <w:bCs/>
          <w:sz w:val="24"/>
        </w:rPr>
      </w:pP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水位：根据莲花塘、七里山和螺山站多年水位资料统计分析，拟建码头区域水位特征值如下(黄海高程基面，下同)：多年平均水位：21.41m；历年最高水位：32.74m；码头设计高水位：30.79m（50年一遇），30.19m（20年一遇）；历年最低水位：13.525m；码头设计低水位：16.85m（保证率98%），计算出相应港址处航道通航基准面水位值为16.76m。</w:t>
      </w:r>
    </w:p>
    <w:p>
      <w:pPr>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2、河道概况</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工程所在的长江城螺河段上起城陵矶，下迄螺山镇，全长29.8km，为顺直分汊河段。城螺河段沿岸有城陵矶、白螺矶与道人矶、杨林山与寡妇矶、螺山等节点的控制，杨林山与寡妇矶为河道束窄的锁口。河段内主要有南洋洲，在南洋洲以上和以下均为顺直河段，河段进口上承洞庭湖来水，其左岸为洪湖分蓄洪区。</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工程河段为顺直分汊型河段，上段被南洋洲分为左右两汊，右汊为主通航汊道。右岸从上到下存在城陵矶、擂鼓台、仙峰礁、烟灯矶、道人矶、土矶头、临江矶、龙头山等多处突出矶头，河道左岸依次存在近江州、白螺矶、杨林山等节点。特别是河段进口擂鼓台-近江州、中段道人矶-白螺矶、出口龙头山-杨林山等对峙节点对河段河势的总体约束，使得河段平面形态呈宽窄相间的藕节状。进口擂鼓台-近江州河宽1.95km，中段道人矶-白螺矶河宽为1.75km，出口龙头山-杨林山河宽为1.12km（工程所在位置）。</w:t>
      </w:r>
    </w:p>
    <w:p>
      <w:pPr>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3、平面变化</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根据多年实测地形资料分析，本河段崩岸情况发生较少，岸线较稳定。研究河段属于藕节状顺直分汊河型，在两岸堤防及护节点的控制作用下，河道岸线稳定，历年摆动幅度大多小于30m，变化稍大的位置位于城螺河段上段附近及杨林山下游至螺山水文站断面之间的右岸边滩位置。</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城螺河段深泓线的变化主要表现在南阳洲位置分流点和汇流点的上提下挫，其他位置深泓较稳定。进口段（进口～道人矶）深泓线居右，1981~2011年深泓较稳定，左右摆动幅度不到100m。出口段（龙头山～螺山站）除1993年深泓居中外，其他年份深泓靠近左岸，深泓摆动不大。</w:t>
      </w:r>
    </w:p>
    <w:p>
      <w:pPr>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4、洲滩变化</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本河段下游有两个小洲——苏家洲和鸭栏洲，大的江心洲有南阳洲。</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苏家洲：苏家洲位于龙头山下游3.5km处，近年来洲滩处边滩逐步淤积扩大，洲滩面积不断增大，形态基本不变。</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鸭栏洲：鸭栏洲位于螺山站上游，自1981年以来不断淤积，到2001年淤积形成小洲，多年来此小洲位置先后向上游和下游移动，位置基本不变，但由于洲滩不断向上下游延伸，因此洲滩面积进一步增大。</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南阳洲：多年来南阳洲平面位置较为稳定，虽有所淤长，但淤长速度较为缓慢，其洲体的变化主要表现在洲头和洲体北缘的冲淤交替，而其南缘则相对稳定，对本河段河势影响有限。</w:t>
      </w:r>
    </w:p>
    <w:p>
      <w:pPr>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5、深槽的变化</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本河段在右岸城陵矶、道仁矶及左岸杨林山三处附近形成了较大的深槽。受上游来水来沙的影响，河段深槽的变化主要表现在深槽的分合上，汛期冲刷扩宽，枯季淤积还原；中、小水年淤积缩窄，大水年则冲刷发展。多年来河段深槽的平面位置保持稳定，其规模呈减小的趋势。</w:t>
      </w:r>
    </w:p>
    <w:p>
      <w:pPr>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6、河床形态变化</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通从断面形态来看，多年来河段断面均较为稳定，主流线位置变动较小，大部分断面河床横向变形冲淤交替进行，单侧节点的河段断面河床变化较为剧烈，而在两岸对峙节点的河段，断面变化较为稳定。</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从典型断面分析来看，受水流泥沙共同作用，多年来本河段河床年际间呈现冲淤交替变化，而从空间上来看，断面横向变化以右岸河床冲淤变化为主，但整体而言，本河段河床横向变形呈微淤状态。</w:t>
      </w:r>
    </w:p>
    <w:p>
      <w:pPr>
        <w:pStyle w:val="4"/>
        <w:rPr>
          <w:rFonts w:eastAsiaTheme="minorEastAsia"/>
        </w:rPr>
      </w:pPr>
      <w:r>
        <w:rPr>
          <w:rFonts w:eastAsiaTheme="minorEastAsia"/>
        </w:rPr>
        <w:t>地下水</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地下水根据其赋存特征和埋藏条件可分为孔隙潜水和季节性承压水。</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潜水：主要为孔隙水，埋藏于上部的第四系粉质粘土层中，受大气降水与地表水的补给，随季节变化与地表水呈互补关系，枯水期地下水向江、渠排泄，洪水期接受江河水补给。</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季节性承压水：埋藏于第四系粘性土层之下的砂性土层中，与江水相通，承压水头的大小随补给区江水位的变化而变化。枯水期，河水位降低，地下水向河床方向运移，并排泄于河床之中；洪水期，河水位抬高，地下水沿透水层向远离河床方向运移，补给地下水。</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根据区域水文地质资料，工程区地下水排泄通畅，地下水位主要受江水制约，随江水升降而变化；一般在地表以下0.5~2.5m，水位多受地表水塘、沟渠控制。</w:t>
      </w:r>
    </w:p>
    <w:p>
      <w:pPr>
        <w:pStyle w:val="3"/>
        <w:rPr>
          <w:rFonts w:ascii="Times New Roman" w:hAnsi="Times New Roman" w:eastAsiaTheme="minorEastAsia"/>
          <w:b/>
        </w:rPr>
      </w:pPr>
      <w:bookmarkStart w:id="80" w:name="_Toc10581"/>
      <w:r>
        <w:rPr>
          <w:rFonts w:ascii="Times New Roman" w:hAnsi="Times New Roman" w:eastAsiaTheme="minorEastAsia"/>
          <w:b/>
        </w:rPr>
        <w:t>生态敏感区环境概况</w:t>
      </w:r>
      <w:bookmarkEnd w:id="80"/>
    </w:p>
    <w:p>
      <w:pPr>
        <w:pStyle w:val="4"/>
        <w:rPr>
          <w:rFonts w:eastAsiaTheme="minorEastAsia"/>
        </w:rPr>
      </w:pPr>
      <w:r>
        <w:rPr>
          <w:rFonts w:eastAsiaTheme="minorEastAsia"/>
        </w:rPr>
        <w:t>长江监利段四大家鱼国家级水产种质资源保护区</w:t>
      </w:r>
    </w:p>
    <w:p>
      <w:pPr>
        <w:pStyle w:val="5"/>
        <w:rPr>
          <w:rFonts w:eastAsiaTheme="minorEastAsia"/>
        </w:rPr>
      </w:pPr>
      <w:r>
        <w:rPr>
          <w:rFonts w:eastAsiaTheme="minorEastAsia"/>
        </w:rPr>
        <w:t>地理位置</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长江监利段四大家鱼国家级水产种质资源保护区是2009年12月经原农业部（农业部公告第1308号）批准成立的第三批国家级水产种质资源保护区之一。保护区位于长江湖北监利段，保护区由老江河长江故道和长江干流部分水域组成。</w:t>
      </w:r>
    </w:p>
    <w:p>
      <w:pPr>
        <w:pStyle w:val="5"/>
        <w:rPr>
          <w:rFonts w:eastAsiaTheme="minorEastAsia"/>
        </w:rPr>
      </w:pPr>
      <w:bookmarkStart w:id="81" w:name="_Toc515895844"/>
      <w:r>
        <w:rPr>
          <w:rFonts w:eastAsiaTheme="minorEastAsia"/>
        </w:rPr>
        <w:t>功能区划</w:t>
      </w:r>
      <w:bookmarkEnd w:id="81"/>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kern w:val="0"/>
          <w:sz w:val="24"/>
          <w:szCs w:val="24"/>
        </w:rPr>
        <w:t>长江监利段四大家鱼国家级水产种质资源保护区</w:t>
      </w:r>
      <w:r>
        <w:rPr>
          <w:rFonts w:ascii="Times New Roman" w:hAnsi="Times New Roman" w:eastAsiaTheme="minorEastAsia"/>
          <w:sz w:val="24"/>
          <w:szCs w:val="24"/>
        </w:rPr>
        <w:t>总面积15996</w:t>
      </w:r>
      <w:r>
        <w:rPr>
          <w:rFonts w:hint="eastAsia" w:ascii="Times New Roman" w:hAnsi="Times New Roman" w:eastAsiaTheme="minorEastAsia"/>
          <w:sz w:val="24"/>
          <w:szCs w:val="24"/>
        </w:rPr>
        <w:t>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，其中核心区6294</w:t>
      </w:r>
      <w:r>
        <w:rPr>
          <w:rFonts w:hint="eastAsia" w:ascii="Times New Roman" w:hAnsi="Times New Roman" w:eastAsiaTheme="minorEastAsia"/>
          <w:sz w:val="24"/>
          <w:szCs w:val="24"/>
        </w:rPr>
        <w:t>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，占总面积的39.35%，实验区9702hm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，占总面积的60.65%。核心区特别保护期为每年4月1日至6月30日，现已全面禁捕。保护区划分为3段核心区和4段实验区。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bCs/>
          <w:sz w:val="24"/>
          <w:szCs w:val="24"/>
        </w:rPr>
        <w:t>核心区：</w:t>
      </w:r>
      <w:r>
        <w:rPr>
          <w:rFonts w:hint="eastAsia" w:ascii="宋体" w:hAnsi="宋体" w:cs="宋体"/>
          <w:sz w:val="24"/>
          <w:szCs w:val="24"/>
        </w:rPr>
        <w:t>⑴</w:t>
      </w:r>
      <w:r>
        <w:rPr>
          <w:rFonts w:ascii="Times New Roman" w:hAnsi="Times New Roman" w:eastAsiaTheme="minorEastAsia"/>
          <w:sz w:val="24"/>
          <w:szCs w:val="24"/>
        </w:rPr>
        <w:t xml:space="preserve"> 监利县红城乡杨家湾至容城镇新洲沙咀轮渡码头长江江段，长度15.80km，面积3634hm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。坐标位：112°49'51"E，29°45'52"N至112°55'26"E，29°43'7" N。</w:t>
      </w:r>
      <w:r>
        <w:rPr>
          <w:rFonts w:hint="eastAsia" w:ascii="宋体" w:hAnsi="宋体" w:cs="宋体"/>
          <w:sz w:val="24"/>
          <w:szCs w:val="24"/>
        </w:rPr>
        <w:t>⑵</w:t>
      </w:r>
      <w:r>
        <w:rPr>
          <w:rFonts w:ascii="Times New Roman" w:hAnsi="Times New Roman" w:eastAsiaTheme="minorEastAsia"/>
          <w:sz w:val="24"/>
          <w:szCs w:val="24"/>
        </w:rPr>
        <w:t xml:space="preserve"> 三洲镇盐船轮渡口至上沙村江段，长度6.00km，面积960hm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。坐标位：112°55'38"E，29°32'31"N至112°56'25"E，29°29'3"N。</w:t>
      </w:r>
      <w:r>
        <w:rPr>
          <w:rFonts w:hint="eastAsia" w:ascii="宋体" w:hAnsi="宋体" w:cs="宋体"/>
          <w:sz w:val="24"/>
          <w:szCs w:val="24"/>
        </w:rPr>
        <w:t>⑶</w:t>
      </w:r>
      <w:r>
        <w:rPr>
          <w:rFonts w:ascii="Times New Roman" w:hAnsi="Times New Roman" w:eastAsiaTheme="minorEastAsia"/>
          <w:sz w:val="24"/>
          <w:szCs w:val="24"/>
        </w:rPr>
        <w:t xml:space="preserve"> 老江河长江故道（三洲镇熊洲闸至柘木乡孙梁洲闸），长度20.00km，面积1700hm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。坐标位：112°59'45"E，29°30'51"N至113°4'13"E，29°30'46" N。</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bCs/>
          <w:sz w:val="24"/>
          <w:szCs w:val="24"/>
        </w:rPr>
        <w:t>实验区：</w:t>
      </w:r>
      <w:r>
        <w:rPr>
          <w:rFonts w:hint="eastAsia" w:ascii="宋体" w:hAnsi="宋体" w:cs="宋体"/>
          <w:sz w:val="24"/>
          <w:szCs w:val="24"/>
        </w:rPr>
        <w:t>⑴</w:t>
      </w:r>
      <w:r>
        <w:rPr>
          <w:rFonts w:ascii="Times New Roman" w:hAnsi="Times New Roman" w:eastAsiaTheme="minorEastAsia"/>
          <w:sz w:val="24"/>
          <w:szCs w:val="24"/>
        </w:rPr>
        <w:t xml:space="preserve"> 监利县大垸农场管理区柳口至红城乡杨家湾江段，长度12.93km，面积1294hm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。坐标位：112°42'47"E，29°44'14"N至112°49'51"E，29°45'52" N。</w:t>
      </w:r>
      <w:r>
        <w:rPr>
          <w:rFonts w:hint="eastAsia" w:ascii="宋体" w:hAnsi="宋体" w:cs="宋体"/>
          <w:sz w:val="24"/>
          <w:szCs w:val="24"/>
        </w:rPr>
        <w:t>⑵</w:t>
      </w:r>
      <w:r>
        <w:rPr>
          <w:rFonts w:ascii="Times New Roman" w:hAnsi="Times New Roman" w:eastAsiaTheme="minorEastAsia"/>
          <w:sz w:val="24"/>
          <w:szCs w:val="24"/>
        </w:rPr>
        <w:t xml:space="preserve"> 三洲镇左家滩至三洲镇盐船轮渡口江段，长度12.64km，面积1896hm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。坐标位：112°55'59"E，29°38'44"N至112°55'38"E，29°32'31" N。</w:t>
      </w:r>
      <w:r>
        <w:rPr>
          <w:rFonts w:hint="eastAsia" w:ascii="宋体" w:hAnsi="宋体" w:cs="宋体"/>
          <w:sz w:val="24"/>
          <w:szCs w:val="24"/>
        </w:rPr>
        <w:t>⑶</w:t>
      </w:r>
      <w:r>
        <w:rPr>
          <w:rFonts w:ascii="Times New Roman" w:hAnsi="Times New Roman" w:eastAsiaTheme="minorEastAsia"/>
          <w:sz w:val="24"/>
          <w:szCs w:val="24"/>
        </w:rPr>
        <w:t xml:space="preserve"> 三洲镇上沙村至柘木乡孙梁洲江段，长度17.18km，面积3780hm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。坐标位：112°56'25"E，29°29'3"N至113°3'47"E，29°30'16" N。</w:t>
      </w:r>
      <w:r>
        <w:rPr>
          <w:rFonts w:hint="eastAsia" w:ascii="宋体" w:hAnsi="宋体" w:cs="宋体"/>
          <w:sz w:val="24"/>
          <w:szCs w:val="24"/>
        </w:rPr>
        <w:t>⑷</w:t>
      </w:r>
      <w:r>
        <w:rPr>
          <w:rFonts w:ascii="Times New Roman" w:hAnsi="Times New Roman" w:eastAsiaTheme="minorEastAsia"/>
          <w:sz w:val="24"/>
          <w:szCs w:val="24"/>
        </w:rPr>
        <w:t xml:space="preserve"> 白螺镇白螺矶至白螺镇韩家埠江段，长度13.93km，面积2732hm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。坐标位：113°12'37"E，29°32'8.58"N至113°18'11"E，29°37'51" N。</w:t>
      </w:r>
    </w:p>
    <w:p>
      <w:pPr>
        <w:adjustRightInd w:val="0"/>
        <w:snapToGrid w:val="0"/>
        <w:spacing w:line="276" w:lineRule="auto"/>
        <w:jc w:val="center"/>
        <w:rPr>
          <w:rFonts w:ascii="Times New Roman" w:hAnsi="Times New Roman" w:eastAsiaTheme="minorEastAsia"/>
          <w:sz w:val="24"/>
          <w:szCs w:val="24"/>
        </w:rPr>
      </w:pPr>
      <w:r>
        <w:rPr>
          <w:rFonts w:ascii="Times New Roman" w:hAnsi="Times New Roman" w:eastAsiaTheme="minorEastAsia"/>
          <w:b/>
          <w:sz w:val="24"/>
          <w:szCs w:val="24"/>
        </w:rPr>
        <w:t>表4.2-1  保护区功能区起讫坐标及位置</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464"/>
        <w:gridCol w:w="1707"/>
        <w:gridCol w:w="1669"/>
        <w:gridCol w:w="985"/>
        <w:gridCol w:w="1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功能区</w:t>
            </w:r>
          </w:p>
        </w:tc>
        <w:tc>
          <w:tcPr>
            <w:tcW w:w="1354" w:type="pct"/>
            <w:vMerge w:val="restart"/>
            <w:tcMar>
              <w:top w:w="0" w:type="dxa"/>
              <w:left w:w="0" w:type="dxa"/>
              <w:bottom w:w="0" w:type="dxa"/>
              <w:right w:w="0" w:type="dxa"/>
            </w:tcMar>
            <w:vAlign w:val="center"/>
          </w:tcPr>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起点和终点</w:t>
            </w:r>
          </w:p>
        </w:tc>
        <w:tc>
          <w:tcPr>
            <w:tcW w:w="1855" w:type="pct"/>
            <w:gridSpan w:val="2"/>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地理坐标</w:t>
            </w:r>
          </w:p>
        </w:tc>
        <w:tc>
          <w:tcPr>
            <w:tcW w:w="541" w:type="pct"/>
            <w:vMerge w:val="restart"/>
            <w:tcMar>
              <w:top w:w="0" w:type="dxa"/>
              <w:left w:w="0" w:type="dxa"/>
              <w:bottom w:w="0" w:type="dxa"/>
              <w:right w:w="0" w:type="dxa"/>
            </w:tcMar>
            <w:vAlign w:val="center"/>
          </w:tcPr>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长度</w:t>
            </w:r>
          </w:p>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（km）</w:t>
            </w:r>
          </w:p>
        </w:tc>
        <w:tc>
          <w:tcPr>
            <w:tcW w:w="625" w:type="pct"/>
            <w:vMerge w:val="restart"/>
            <w:tcMar>
              <w:top w:w="0" w:type="dxa"/>
              <w:left w:w="0" w:type="dxa"/>
              <w:bottom w:w="0" w:type="dxa"/>
              <w:right w:w="0" w:type="dxa"/>
            </w:tcMar>
            <w:vAlign w:val="center"/>
          </w:tcPr>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面积</w:t>
            </w:r>
          </w:p>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（hm</w:t>
            </w:r>
            <w:r>
              <w:rPr>
                <w:rFonts w:ascii="Times New Roman" w:hAnsi="Times New Roman" w:eastAsiaTheme="minorEastAsia"/>
                <w:b/>
                <w:vertAlign w:val="superscript"/>
              </w:rPr>
              <w:t>2</w:t>
            </w:r>
            <w:r>
              <w:rPr>
                <w:rFonts w:ascii="Times New Roman" w:hAnsi="Times New Roman" w:eastAsiaTheme="minorEastAsia"/>
                <w:b/>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p>
        </w:tc>
        <w:tc>
          <w:tcPr>
            <w:tcW w:w="1354" w:type="pct"/>
            <w:vMerge w:val="continue"/>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p>
        </w:tc>
        <w:tc>
          <w:tcPr>
            <w:tcW w:w="938"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起点</w:t>
            </w:r>
          </w:p>
        </w:tc>
        <w:tc>
          <w:tcPr>
            <w:tcW w:w="917"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终点</w:t>
            </w:r>
          </w:p>
        </w:tc>
        <w:tc>
          <w:tcPr>
            <w:tcW w:w="541" w:type="pct"/>
            <w:vMerge w:val="continue"/>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p>
        </w:tc>
        <w:tc>
          <w:tcPr>
            <w:tcW w:w="625" w:type="pct"/>
            <w:vMerge w:val="continue"/>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1354"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柳口至杨家湾</w:t>
            </w:r>
          </w:p>
        </w:tc>
        <w:tc>
          <w:tcPr>
            <w:tcW w:w="938"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E112°42'47"</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N29°44'14"</w:t>
            </w:r>
          </w:p>
        </w:tc>
        <w:tc>
          <w:tcPr>
            <w:tcW w:w="917"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E112°49'51"</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N29°45'52"</w:t>
            </w:r>
          </w:p>
        </w:tc>
        <w:tc>
          <w:tcPr>
            <w:tcW w:w="541"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12.93</w:t>
            </w:r>
          </w:p>
        </w:tc>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1294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核心区</w:t>
            </w:r>
          </w:p>
        </w:tc>
        <w:tc>
          <w:tcPr>
            <w:tcW w:w="1354" w:type="pct"/>
            <w:tcMar>
              <w:top w:w="0" w:type="dxa"/>
              <w:left w:w="0" w:type="dxa"/>
              <w:bottom w:w="0" w:type="dxa"/>
              <w:right w:w="0" w:type="dxa"/>
            </w:tcMar>
            <w:vAlign w:val="center"/>
          </w:tcPr>
          <w:p>
            <w:pPr>
              <w:tabs>
                <w:tab w:val="left" w:pos="0"/>
              </w:tabs>
              <w:adjustRightInd w:val="0"/>
              <w:snapToGrid w:val="0"/>
              <w:jc w:val="center"/>
              <w:rPr>
                <w:rFonts w:ascii="Times New Roman" w:hAnsi="Times New Roman" w:eastAsiaTheme="minorEastAsia"/>
              </w:rPr>
            </w:pPr>
            <w:r>
              <w:rPr>
                <w:rFonts w:ascii="Times New Roman" w:hAnsi="Times New Roman" w:eastAsiaTheme="minorEastAsia"/>
              </w:rPr>
              <w:t>杨家湾至沙咀轮渡码头</w:t>
            </w:r>
          </w:p>
        </w:tc>
        <w:tc>
          <w:tcPr>
            <w:tcW w:w="938"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E112°49'51"</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 29°45'52"</w:t>
            </w:r>
          </w:p>
        </w:tc>
        <w:tc>
          <w:tcPr>
            <w:tcW w:w="917"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E112°55'26"</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N29°43'7"</w:t>
            </w:r>
          </w:p>
        </w:tc>
        <w:tc>
          <w:tcPr>
            <w:tcW w:w="541"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15.80</w:t>
            </w:r>
          </w:p>
        </w:tc>
        <w:tc>
          <w:tcPr>
            <w:tcW w:w="625"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3634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1354"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左家滩至盐船轮渡口</w:t>
            </w:r>
          </w:p>
        </w:tc>
        <w:tc>
          <w:tcPr>
            <w:tcW w:w="938"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E112°55'59"</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N29°38'44"</w:t>
            </w:r>
          </w:p>
        </w:tc>
        <w:tc>
          <w:tcPr>
            <w:tcW w:w="917"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E112°55'38</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N29°32'31"</w:t>
            </w:r>
          </w:p>
        </w:tc>
        <w:tc>
          <w:tcPr>
            <w:tcW w:w="541"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12.64</w:t>
            </w:r>
          </w:p>
        </w:tc>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核心区</w:t>
            </w:r>
          </w:p>
        </w:tc>
        <w:tc>
          <w:tcPr>
            <w:tcW w:w="1354"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盐船轮渡口至上沙村</w:t>
            </w:r>
          </w:p>
        </w:tc>
        <w:tc>
          <w:tcPr>
            <w:tcW w:w="938"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E112°55'38"</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N29°32'31"</w:t>
            </w:r>
          </w:p>
        </w:tc>
        <w:tc>
          <w:tcPr>
            <w:tcW w:w="917"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E112°56'25"</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N29°29'3"</w:t>
            </w:r>
          </w:p>
        </w:tc>
        <w:tc>
          <w:tcPr>
            <w:tcW w:w="541"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6.00</w:t>
            </w:r>
          </w:p>
        </w:tc>
        <w:tc>
          <w:tcPr>
            <w:tcW w:w="625"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960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1354"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上沙村至孙梁洲</w:t>
            </w:r>
          </w:p>
        </w:tc>
        <w:tc>
          <w:tcPr>
            <w:tcW w:w="938"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E112°56'25"</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N29°29'3"</w:t>
            </w:r>
          </w:p>
        </w:tc>
        <w:tc>
          <w:tcPr>
            <w:tcW w:w="917"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E113°3'47"</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N29°30'16"</w:t>
            </w:r>
          </w:p>
        </w:tc>
        <w:tc>
          <w:tcPr>
            <w:tcW w:w="541"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17.18</w:t>
            </w:r>
          </w:p>
        </w:tc>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3780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核心区</w:t>
            </w:r>
          </w:p>
        </w:tc>
        <w:tc>
          <w:tcPr>
            <w:tcW w:w="1354"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熊洲闸至孙梁洲闸（老江河故道）</w:t>
            </w:r>
          </w:p>
        </w:tc>
        <w:tc>
          <w:tcPr>
            <w:tcW w:w="938"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E112°59'45"</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N29°30'51"</w:t>
            </w:r>
          </w:p>
        </w:tc>
        <w:tc>
          <w:tcPr>
            <w:tcW w:w="917"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E113°4'13"</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N29°30'46"</w:t>
            </w:r>
          </w:p>
        </w:tc>
        <w:tc>
          <w:tcPr>
            <w:tcW w:w="541"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20.00</w:t>
            </w:r>
          </w:p>
        </w:tc>
        <w:tc>
          <w:tcPr>
            <w:tcW w:w="625"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1354"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白螺矶至韩家埠</w:t>
            </w:r>
          </w:p>
        </w:tc>
        <w:tc>
          <w:tcPr>
            <w:tcW w:w="938"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E113°12'37"</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N29°32'8"</w:t>
            </w:r>
          </w:p>
        </w:tc>
        <w:tc>
          <w:tcPr>
            <w:tcW w:w="917"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E113°18'11"</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N29°37'51"</w:t>
            </w:r>
          </w:p>
        </w:tc>
        <w:tc>
          <w:tcPr>
            <w:tcW w:w="541"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13.93</w:t>
            </w:r>
          </w:p>
        </w:tc>
        <w:tc>
          <w:tcPr>
            <w:tcW w:w="625" w:type="pct"/>
            <w:shd w:val="clear" w:color="auto" w:fill="E6E6E6"/>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2732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34" w:type="pct"/>
            <w:gridSpan w:val="4"/>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合计</w:t>
            </w:r>
          </w:p>
        </w:tc>
        <w:tc>
          <w:tcPr>
            <w:tcW w:w="541"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98.48</w:t>
            </w:r>
          </w:p>
        </w:tc>
        <w:tc>
          <w:tcPr>
            <w:tcW w:w="625" w:type="pct"/>
            <w:tcMar>
              <w:top w:w="0" w:type="dxa"/>
              <w:left w:w="0" w:type="dxa"/>
              <w:bottom w:w="0" w:type="dxa"/>
              <w:right w:w="0" w:type="dxa"/>
            </w:tcMar>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15996</w:t>
            </w:r>
          </w:p>
        </w:tc>
      </w:tr>
    </w:tbl>
    <w:p>
      <w:pPr>
        <w:adjustRightInd w:val="0"/>
        <w:snapToGrid w:val="0"/>
        <w:spacing w:line="360" w:lineRule="auto"/>
        <w:ind w:firstLine="480" w:firstLineChars="200"/>
        <w:rPr>
          <w:rFonts w:ascii="Times New Roman" w:hAnsi="Times New Roman" w:eastAsiaTheme="minorEastAsia"/>
          <w:bCs/>
          <w:sz w:val="24"/>
          <w:szCs w:val="24"/>
        </w:rPr>
      </w:pPr>
    </w:p>
    <w:p>
      <w:pPr>
        <w:pStyle w:val="5"/>
        <w:rPr>
          <w:rFonts w:eastAsiaTheme="minorEastAsia"/>
        </w:rPr>
      </w:pPr>
      <w:r>
        <w:rPr>
          <w:rFonts w:eastAsiaTheme="minorEastAsia"/>
        </w:rPr>
        <w:t>保护区的主要功能</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水产种质资源保护区是以鱼类和其它水生动植物及其生态系统为主要保护对象，保护鱼虾类产卵场、索饵场、越冬场、洄游通道及其生态环境，防治渔业水域污染；保护珍稀野生水生生物栖息地与集中分布区；维护渔业水域的生物多样性。属于集生物多样性保护、科学研究、宣传教育为一体的综合性生态系统类型的保护区。主导功能是保护水产种质资源、维护生物多样性。</w:t>
      </w:r>
    </w:p>
    <w:p>
      <w:pPr>
        <w:pStyle w:val="5"/>
        <w:rPr>
          <w:rFonts w:eastAsiaTheme="minorEastAsia"/>
        </w:rPr>
      </w:pPr>
      <w:bookmarkStart w:id="82" w:name="_Toc376247206"/>
      <w:bookmarkStart w:id="83" w:name="_Toc515895853"/>
      <w:r>
        <w:rPr>
          <w:rFonts w:eastAsiaTheme="minorEastAsia"/>
        </w:rPr>
        <w:t>保护区主要保护对象</w:t>
      </w:r>
      <w:bookmarkEnd w:id="82"/>
      <w:bookmarkEnd w:id="83"/>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保护区主要保护对象为青鱼、草鱼、鲢、鳙“四大家鱼”，其他保护对象为保护区内的其它水生生物。</w:t>
      </w:r>
    </w:p>
    <w:p>
      <w:pPr>
        <w:pStyle w:val="5"/>
        <w:rPr>
          <w:rFonts w:eastAsiaTheme="minorEastAsia"/>
        </w:rPr>
      </w:pPr>
      <w:r>
        <w:rPr>
          <w:rFonts w:eastAsiaTheme="minorEastAsia"/>
        </w:rPr>
        <w:t>建设项目与国家级水产种质资源保护区位置关系</w:t>
      </w:r>
    </w:p>
    <w:p>
      <w:pPr>
        <w:adjustRightInd w:val="0"/>
        <w:snapToGrid w:val="0"/>
        <w:spacing w:line="360" w:lineRule="auto"/>
        <w:ind w:firstLine="480" w:firstLineChars="200"/>
        <w:rPr>
          <w:rFonts w:ascii="Times New Roman" w:hAnsi="Times New Roman" w:eastAsiaTheme="minorEastAsia"/>
          <w:bCs/>
          <w:sz w:val="24"/>
          <w:szCs w:val="24"/>
        </w:rPr>
      </w:pPr>
      <w:bookmarkStart w:id="84" w:name="_Hlk535680052"/>
      <w:r>
        <w:rPr>
          <w:rFonts w:ascii="Times New Roman" w:hAnsi="Times New Roman" w:eastAsiaTheme="minorEastAsia"/>
          <w:bCs/>
          <w:sz w:val="24"/>
          <w:szCs w:val="24"/>
        </w:rPr>
        <w:t>长岭分公司提质改造码头位于长江监利段四大家鱼国家级水产种质资源保护区实验区内，拟对原2#~4#码头（6个3000吨级危化品泊位）拆除后重建，从上游往下游建设3个5000吨级油品化工品泊位（2#、3#、4#泊位）和2个3000吨级油品化工品泊位（5#、6#泊位）及相应的配套设施，码头占用岸线长度768m。从岸边向河道延伸约94m。</w:t>
      </w:r>
    </w:p>
    <w:bookmarkEnd w:id="84"/>
    <w:p>
      <w:pPr>
        <w:pStyle w:val="4"/>
        <w:rPr>
          <w:rFonts w:eastAsiaTheme="minorEastAsia"/>
        </w:rPr>
      </w:pPr>
      <w:r>
        <w:rPr>
          <w:rFonts w:eastAsiaTheme="minorEastAsia"/>
        </w:rPr>
        <w:t>湖南云溪白泥湖国家湿地公园</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白泥湖是一个位于中国湖南省岳阳市云溪区的淡水湖，面积约为15.09</w:t>
      </w:r>
      <w:r>
        <w:rPr>
          <w:rFonts w:hint="eastAsia" w:ascii="Times New Roman" w:hAnsi="Times New Roman" w:eastAsiaTheme="minorEastAsia"/>
          <w:bCs/>
          <w:sz w:val="24"/>
          <w:szCs w:val="24"/>
        </w:rPr>
        <w:t>k</w:t>
      </w:r>
      <w:r>
        <w:rPr>
          <w:rFonts w:ascii="Times New Roman" w:hAnsi="Times New Roman" w:eastAsiaTheme="minorEastAsia"/>
          <w:bCs/>
          <w:sz w:val="24"/>
          <w:szCs w:val="24"/>
        </w:rPr>
        <w:t>m</w:t>
      </w:r>
      <w:r>
        <w:rPr>
          <w:rFonts w:ascii="Times New Roman" w:hAnsi="Times New Roman" w:eastAsiaTheme="minorEastAsia"/>
          <w:bCs/>
          <w:sz w:val="24"/>
          <w:szCs w:val="24"/>
          <w:vertAlign w:val="superscript"/>
        </w:rPr>
        <w:t>2</w:t>
      </w:r>
      <w:r>
        <w:rPr>
          <w:rFonts w:ascii="Times New Roman" w:hAnsi="Times New Roman" w:eastAsiaTheme="minorEastAsia"/>
          <w:bCs/>
          <w:sz w:val="24"/>
          <w:szCs w:val="24"/>
        </w:rPr>
        <w:t>，属于长江区。它的一级流域为长江流域，二级流域为长江干流水系。</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白泥湖国家湿地公园总面积1195.2hm</w:t>
      </w:r>
      <w:r>
        <w:rPr>
          <w:rFonts w:ascii="Times New Roman" w:hAnsi="Times New Roman" w:eastAsiaTheme="minorEastAsia"/>
          <w:bCs/>
          <w:sz w:val="24"/>
          <w:szCs w:val="24"/>
          <w:vertAlign w:val="superscript"/>
        </w:rPr>
        <w:t>2</w:t>
      </w:r>
      <w:r>
        <w:rPr>
          <w:rFonts w:ascii="Times New Roman" w:hAnsi="Times New Roman" w:eastAsiaTheme="minorEastAsia"/>
          <w:bCs/>
          <w:sz w:val="24"/>
          <w:szCs w:val="24"/>
        </w:rPr>
        <w:t>，湿地率达89.95%。园内湿地类型多样，有湖泊湿地、沼泽湿地和人工湿地3大湿地类，永久性淡水湖、草本沼泽等6种湿地型，有国家</w:t>
      </w:r>
      <w:r>
        <w:rPr>
          <w:rFonts w:hint="eastAsia" w:ascii="宋体" w:hAnsi="宋体" w:cs="宋体"/>
          <w:bCs/>
          <w:sz w:val="24"/>
          <w:szCs w:val="24"/>
        </w:rPr>
        <w:t>Ⅱ</w:t>
      </w:r>
      <w:r>
        <w:rPr>
          <w:rFonts w:ascii="Times New Roman" w:hAnsi="Times New Roman" w:eastAsiaTheme="minorEastAsia"/>
          <w:bCs/>
          <w:sz w:val="24"/>
          <w:szCs w:val="24"/>
        </w:rPr>
        <w:t>级重点保护野生植物4种，国家</w:t>
      </w:r>
      <w:r>
        <w:rPr>
          <w:rFonts w:hint="eastAsia" w:ascii="宋体" w:hAnsi="宋体" w:cs="宋体"/>
          <w:bCs/>
          <w:sz w:val="24"/>
          <w:szCs w:val="24"/>
        </w:rPr>
        <w:t>Ⅱ</w:t>
      </w:r>
      <w:r>
        <w:rPr>
          <w:rFonts w:ascii="Times New Roman" w:hAnsi="Times New Roman" w:eastAsiaTheme="minorEastAsia"/>
          <w:bCs/>
          <w:sz w:val="24"/>
          <w:szCs w:val="24"/>
        </w:rPr>
        <w:t>级重点保护野生动物7种。</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本项目位于白泥湖湿地公园范围外，项目与湿地公园边界最近直线距离约2.4km，见附图11。</w:t>
      </w:r>
    </w:p>
    <w:p>
      <w:pPr>
        <w:pStyle w:val="4"/>
        <w:rPr>
          <w:rFonts w:eastAsiaTheme="minorEastAsia"/>
        </w:rPr>
      </w:pPr>
      <w:r>
        <w:rPr>
          <w:rFonts w:eastAsiaTheme="minorEastAsia"/>
        </w:rPr>
        <w:t>湖北长江新螺段白鱀豚国家级自然保护区</w:t>
      </w:r>
    </w:p>
    <w:p>
      <w:pPr>
        <w:pStyle w:val="5"/>
        <w:rPr>
          <w:rFonts w:eastAsiaTheme="minorEastAsia"/>
        </w:rPr>
      </w:pPr>
      <w:r>
        <w:rPr>
          <w:rFonts w:eastAsiaTheme="minorEastAsia"/>
        </w:rPr>
        <w:t>保护区面积范围</w:t>
      </w:r>
    </w:p>
    <w:p>
      <w:pPr>
        <w:widowControl/>
        <w:shd w:val="clear" w:color="auto"/>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保护区上起洪湖市螺山镇（左岸：螺山保护区标志碑上游5km，北纬29°38'10.14"，东经113°17'19.14"；右岸：临湘市儒溪宝塔，北纬29°37'14.59"，东经113°18'46.45"），下至洪湖市新滩镇（左岸：保护区标志碑下游4.5km，北纬30°12'40.83"，东经113°51'20.17"；右岸：嘉鱼县簰洲镇下游3.2km，北纬30°13'6.93"，东经113°53'26.20"）。保护河段的横向边界以长江大堤为界（在没有大堤的山体或矶头江段以历史最高水位线为界，同时存在大堤和民堤的江段以民堤为界）。</w:t>
      </w:r>
    </w:p>
    <w:p>
      <w:pPr>
        <w:widowControl/>
        <w:shd w:val="clear" w:color="auto"/>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保护区涉及湖北省洪湖市、赤壁市、嘉鱼县和湖南省临湘市4市县。保护河段总长度128.5km（长江中游航道里程76km~204.5km），保护区总面积413.87km</w:t>
      </w:r>
      <w:r>
        <w:rPr>
          <w:rFonts w:ascii="Times New Roman" w:hAnsi="Times New Roman" w:eastAsiaTheme="minorEastAsia"/>
          <w:color w:val="000000" w:themeColor="text1"/>
          <w:kern w:val="0"/>
          <w:sz w:val="24"/>
          <w:szCs w:val="24"/>
          <w:vertAlign w:val="superscript"/>
          <w14:textFill>
            <w14:solidFill>
              <w14:schemeClr w14:val="tx1"/>
            </w14:solidFill>
          </w14:textFill>
        </w:rPr>
        <w:t>2</w:t>
      </w:r>
      <w:r>
        <w:rPr>
          <w:rFonts w:ascii="Times New Roman" w:hAnsi="Times New Roman" w:eastAsiaTheme="minorEastAsia"/>
          <w:color w:val="000000" w:themeColor="text1"/>
          <w:kern w:val="0"/>
          <w:sz w:val="24"/>
          <w:szCs w:val="24"/>
          <w14:textFill>
            <w14:solidFill>
              <w14:schemeClr w14:val="tx1"/>
            </w14:solidFill>
          </w14:textFill>
        </w:rPr>
        <w:t>。其中核心区长度69.5km，面积236.60km</w:t>
      </w:r>
      <w:r>
        <w:rPr>
          <w:rFonts w:ascii="Times New Roman" w:hAnsi="Times New Roman" w:eastAsiaTheme="minorEastAsia"/>
          <w:color w:val="000000" w:themeColor="text1"/>
          <w:kern w:val="0"/>
          <w:sz w:val="24"/>
          <w:szCs w:val="24"/>
          <w:vertAlign w:val="superscript"/>
          <w14:textFill>
            <w14:solidFill>
              <w14:schemeClr w14:val="tx1"/>
            </w14:solidFill>
          </w14:textFill>
        </w:rPr>
        <w:t>2</w:t>
      </w:r>
      <w:r>
        <w:rPr>
          <w:rFonts w:ascii="Times New Roman" w:hAnsi="Times New Roman" w:eastAsiaTheme="minorEastAsia"/>
          <w:color w:val="000000" w:themeColor="text1"/>
          <w:kern w:val="0"/>
          <w:sz w:val="24"/>
          <w:szCs w:val="24"/>
          <w14:textFill>
            <w14:solidFill>
              <w14:schemeClr w14:val="tx1"/>
            </w14:solidFill>
          </w14:textFill>
        </w:rPr>
        <w:t>；缓冲区长度4.4km，面积11.04km</w:t>
      </w:r>
      <w:r>
        <w:rPr>
          <w:rFonts w:ascii="Times New Roman" w:hAnsi="Times New Roman" w:eastAsiaTheme="minorEastAsia"/>
          <w:color w:val="000000" w:themeColor="text1"/>
          <w:kern w:val="0"/>
          <w:sz w:val="24"/>
          <w:szCs w:val="24"/>
          <w:vertAlign w:val="superscript"/>
          <w14:textFill>
            <w14:solidFill>
              <w14:schemeClr w14:val="tx1"/>
            </w14:solidFill>
          </w14:textFill>
        </w:rPr>
        <w:t>2</w:t>
      </w:r>
      <w:r>
        <w:rPr>
          <w:rFonts w:ascii="Times New Roman" w:hAnsi="Times New Roman" w:eastAsiaTheme="minorEastAsia"/>
          <w:color w:val="000000" w:themeColor="text1"/>
          <w:kern w:val="0"/>
          <w:sz w:val="24"/>
          <w:szCs w:val="24"/>
          <w14:textFill>
            <w14:solidFill>
              <w14:schemeClr w14:val="tx1"/>
            </w14:solidFill>
          </w14:textFill>
        </w:rPr>
        <w:t>；实验区长度54.6km，总面积为166.23km</w:t>
      </w:r>
      <w:r>
        <w:rPr>
          <w:rFonts w:ascii="Times New Roman" w:hAnsi="Times New Roman" w:eastAsiaTheme="minorEastAsia"/>
          <w:color w:val="000000" w:themeColor="text1"/>
          <w:kern w:val="0"/>
          <w:sz w:val="24"/>
          <w:szCs w:val="24"/>
          <w:vertAlign w:val="superscript"/>
          <w14:textFill>
            <w14:solidFill>
              <w14:schemeClr w14:val="tx1"/>
            </w14:solidFill>
          </w14:textFill>
        </w:rPr>
        <w:t>2</w:t>
      </w:r>
      <w:r>
        <w:rPr>
          <w:rFonts w:ascii="Times New Roman" w:hAnsi="Times New Roman" w:eastAsiaTheme="minorEastAsia"/>
          <w:color w:val="000000" w:themeColor="text1"/>
          <w:kern w:val="0"/>
          <w:sz w:val="24"/>
          <w:szCs w:val="24"/>
          <w14:textFill>
            <w14:solidFill>
              <w14:schemeClr w14:val="tx1"/>
            </w14:solidFill>
          </w14:textFill>
        </w:rPr>
        <w:t>。</w:t>
      </w:r>
    </w:p>
    <w:p>
      <w:pPr>
        <w:pStyle w:val="5"/>
        <w:rPr>
          <w:rFonts w:eastAsiaTheme="minorEastAsia"/>
        </w:rPr>
      </w:pPr>
      <w:r>
        <w:rPr>
          <w:rFonts w:eastAsiaTheme="minorEastAsia"/>
        </w:rPr>
        <w:t>保护区功能区划</w:t>
      </w:r>
    </w:p>
    <w:p>
      <w:pPr>
        <w:widowControl/>
        <w:shd w:val="clear" w:color="auto"/>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保护区设8个核心区，16个缓冲区和9个实验区。核心区从上游到下游依次为：螺山核心区、南门洲核心区、腰口核心区、中洲核心区、护县洲核心区、复兴洲核心区、土地洲核心区和团洲核心区。</w:t>
      </w:r>
    </w:p>
    <w:p>
      <w:pPr>
        <w:widowControl/>
        <w:shd w:val="clear" w:color="auto"/>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shd w:val="clea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表4.2-2  国家级自然保护区功能区起讫坐标及位置</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264"/>
        <w:gridCol w:w="1138"/>
        <w:gridCol w:w="1569"/>
        <w:gridCol w:w="1436"/>
        <w:gridCol w:w="1285"/>
        <w:gridCol w:w="1270"/>
        <w:gridCol w:w="1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blHeader/>
        </w:trPr>
        <w:tc>
          <w:tcPr>
            <w:tcW w:w="2182" w:type="pct"/>
            <w:gridSpan w:val="3"/>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左岸</w:t>
            </w: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功能区名称</w:t>
            </w:r>
          </w:p>
        </w:tc>
        <w:tc>
          <w:tcPr>
            <w:tcW w:w="2029" w:type="pct"/>
            <w:gridSpan w:val="3"/>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右岸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blHeader/>
        </w:trPr>
        <w:tc>
          <w:tcPr>
            <w:tcW w:w="695" w:type="pc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东经</w:t>
            </w:r>
          </w:p>
        </w:tc>
        <w:tc>
          <w:tcPr>
            <w:tcW w:w="625"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北纬</w:t>
            </w:r>
          </w:p>
        </w:tc>
        <w:tc>
          <w:tcPr>
            <w:tcW w:w="862"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堤防桩号</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堤防桩号</w:t>
            </w:r>
          </w:p>
        </w:tc>
        <w:tc>
          <w:tcPr>
            <w:tcW w:w="698"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东经</w:t>
            </w:r>
          </w:p>
        </w:tc>
        <w:tc>
          <w:tcPr>
            <w:tcW w:w="625"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b/>
                <w:bCs/>
                <w:color w:val="000000" w:themeColor="text1"/>
                <w:kern w:val="0"/>
                <w14:textFill>
                  <w14:solidFill>
                    <w14:schemeClr w14:val="tx1"/>
                  </w14:solidFill>
                </w14:textFill>
              </w:rPr>
              <w:t>北纬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113°51'20.17"</w:t>
            </w:r>
          </w:p>
        </w:tc>
        <w:tc>
          <w:tcPr>
            <w:tcW w:w="625"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30°12'40.83"</w:t>
            </w:r>
          </w:p>
        </w:tc>
        <w:tc>
          <w:tcPr>
            <w:tcW w:w="862"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团州实验区</w:t>
            </w:r>
          </w:p>
        </w:tc>
        <w:tc>
          <w:tcPr>
            <w:tcW w:w="706"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簰堤17+000</w:t>
            </w:r>
          </w:p>
        </w:tc>
        <w:tc>
          <w:tcPr>
            <w:tcW w:w="698"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113°53′26.20″</w:t>
            </w:r>
          </w:p>
        </w:tc>
        <w:tc>
          <w:tcPr>
            <w:tcW w:w="625"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30°13′06.93″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113°50'28.09"</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30°12'17.08"</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簰堤16+300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113°53′32.58″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30°12′48.99″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团州缓冲区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113°50'30.52"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30°12'06.97"</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簰堤16+100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113°53'37.32"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30°12'43.87"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团州核心区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113°50'44.24"</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30°11'04.87"</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簰堤14+900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113°54′11.12″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30°12′15.87″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团州缓冲区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113°50'46.06"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30°10'56.19"</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簰堤14+600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113°54′13.93″</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30°12′12.20″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土地州实验区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113°56′19.14″</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30°10′51.40″</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鄂江左405+500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簰堤10+000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113°56′27.56″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30°12′56.54″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土地州缓冲区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113°56′26.79″</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30°10′51.79″</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鄂江左405+700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簰堤09+800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113°56′35.35″</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30°12′54.15″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土地州核心区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114°03′14.42″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30°06′55.86″</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鄂江左420+950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鄂江右270+800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114°05′50.27″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30°06′45.24″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土地州缓冲区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114°03′18.38″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30°06′49.31″</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鄂江左421+150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鄂江右271+200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114°05′40.27″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30°06′40.77″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复兴州实验区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113°57′39.78″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30°03′24.60″</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鄂江左437+000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鄂江右287+400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113°59′00.57″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30°01′27.28″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复兴州缓冲区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113°57′32.96″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30°03′19.44″</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鄂江左437+250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鄂江右287+600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113°58′52.70″</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30°01′24.26″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复兴州核心区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113°53′09.67″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30°01′37.78″</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鄂江左444+700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神州堤与公堤交汇点下游200m</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113°55'00.09"</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29°59'35.37"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复兴州缓冲区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113°53′04.32″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30°01′32.06″</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鄂江左444+900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神州堤与公堤交汇点</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113°54'48.52"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29°59'33.64"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护县洲实验区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113°52′27.09″</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30°00′51.69″</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鄂江左446+600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神州堤</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113°54'05.55"</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29°59'27.75"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护县洲缓冲区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113°52′21.92″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30°00′47.12″</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鄂江左446+800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神州堤</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113°54'00.07"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29°59'22.84"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护县洲核心区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113°49'52.94"</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29°57'19.66"</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鄂江左454+900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鄂江右304+600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113°50'38.06"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29°56'49.94"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护县洲缓冲区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113°49'48.28"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29°57'13.99"</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鄂江左455+100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鄂江右304+800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113°50'30.80"</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29°56'46.12"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中州实验区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113°47′20.09″</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29°56′00.41″</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鄂江左460+900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鄂江右312+700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113°47′22.57″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29°55′05.61″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中州缓冲区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113°47′12.38″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29°56′00.03″</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鄂江左461+100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鄂江右312+900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113°47′15.16″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29°55′05.41″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中州核心区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113°37′25.58″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29°55′16.68″</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鄂江左484+300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鄂江右340+100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113°38′43.52″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29°54′15.08″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中州缓冲区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113°37′23.36″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29°55′10.79″</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鄂江左484+600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鄂江右340+300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113°38′36.37″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29°54′12.69″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腰口实验区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113°36′41.02″</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29°54′17.63″</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鄂江左486+700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鄂江右342+100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113°37′42.04″</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29°53′41.46″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腰口缓冲区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113°36′38.67″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29°54′10.23″</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鄂江左487+000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鄂江右342+500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113°37′32.77″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29°53′34.80″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腰口核心区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113°34′44.94″</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29°52′19.14″</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鄂江左491+900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鄂江右348+300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113°36′10.50″</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29°50′52.98″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腰口缓冲区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113°34′38.81″</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29°52′15.57″</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鄂江左492+200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鄂江右348+500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113°36′03.40″</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29°50′50.91″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南门洲实验区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113°31′21.61″</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29°50′07.55″</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鄂江左499+100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湘江右136+200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113°31′53.47″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29°49′13.24″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南门洲缓冲区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113°31′15.08″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29°50′04.74″</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鄂江左499+300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湘江右136+000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113°31′45.96″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29°49′11.12″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南门洲核心区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113°27'29.77"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29°48'01.55"</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鄂江左507+000边滩界</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湘江右130+000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113°29′13.80″</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29°46′58.80″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南门洲缓冲区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113°27'25.16"</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29°47'56.89"</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鄂江左507+200</w:t>
            </w:r>
          </w:p>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边滩界</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湘江右129+700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113°29′15.53″</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29°46′50.33″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螺山实验区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113°22′56.84″</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29°44′15.56″</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鄂江左517+700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湘江右119+600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113°24′29.65″</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29°43′26.74″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螺山缓冲区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113°22′54.09″</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29°44′09.20″</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鄂江左518+000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湘江右119+400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113°24′23.27″</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29°43′22.51″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螺山核心区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113°20′11.43″</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29°40′54.46″</w:t>
            </w:r>
          </w:p>
        </w:tc>
        <w:tc>
          <w:tcPr>
            <w:tcW w:w="862"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鄂江左525+700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湘江右111+200</w:t>
            </w:r>
          </w:p>
        </w:tc>
        <w:tc>
          <w:tcPr>
            <w:tcW w:w="698"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113°21′13.28″</w:t>
            </w:r>
          </w:p>
        </w:tc>
        <w:tc>
          <w:tcPr>
            <w:tcW w:w="62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29°40′14.81″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螺山缓冲区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95"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113°20′07.92″</w:t>
            </w:r>
          </w:p>
        </w:tc>
        <w:tc>
          <w:tcPr>
            <w:tcW w:w="625" w:type="pct"/>
            <w:vMerge w:val="restar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29°40′49.12″</w:t>
            </w:r>
          </w:p>
        </w:tc>
        <w:tc>
          <w:tcPr>
            <w:tcW w:w="862" w:type="pct"/>
            <w:vMerge w:val="restar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鄂江左526+000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vMerge w:val="restar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湘江右111+000</w:t>
            </w:r>
          </w:p>
        </w:tc>
        <w:tc>
          <w:tcPr>
            <w:tcW w:w="698" w:type="pct"/>
            <w:vMerge w:val="restar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113°21′08.00″</w:t>
            </w:r>
          </w:p>
        </w:tc>
        <w:tc>
          <w:tcPr>
            <w:tcW w:w="625" w:type="pct"/>
            <w:vMerge w:val="restar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29°40′10.09″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9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862"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89" w:type="pct"/>
            <w:vMerge w:val="restar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螺山实验区</w:t>
            </w:r>
          </w:p>
        </w:tc>
        <w:tc>
          <w:tcPr>
            <w:tcW w:w="706"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98"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625"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4" w:hRule="atLeast"/>
        </w:trPr>
        <w:tc>
          <w:tcPr>
            <w:tcW w:w="695" w:type="pct"/>
            <w:shd w:val="clear" w:color="auto" w:fill="FFFFFF"/>
            <w:vAlign w:val="center"/>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113°17′19.14″</w:t>
            </w:r>
          </w:p>
        </w:tc>
        <w:tc>
          <w:tcPr>
            <w:tcW w:w="625" w:type="pc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29°38′10.14″</w:t>
            </w:r>
          </w:p>
        </w:tc>
        <w:tc>
          <w:tcPr>
            <w:tcW w:w="862" w:type="pc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鄂江左533+600</w:t>
            </w:r>
          </w:p>
        </w:tc>
        <w:tc>
          <w:tcPr>
            <w:tcW w:w="789" w:type="pct"/>
            <w:vMerge w:val="continue"/>
            <w:shd w:val="clear" w:color="auto" w:fill="FFFFFF"/>
            <w:vAlign w:val="center"/>
          </w:tcPr>
          <w:p>
            <w:pPr>
              <w:widowControl/>
              <w:shd w:val="clear"/>
              <w:adjustRightInd w:val="0"/>
              <w:snapToGrid w:val="0"/>
              <w:rPr>
                <w:rFonts w:ascii="Times New Roman" w:hAnsi="Times New Roman" w:eastAsiaTheme="minorEastAsia"/>
                <w:color w:val="000000" w:themeColor="text1"/>
                <w:kern w:val="0"/>
                <w14:textFill>
                  <w14:solidFill>
                    <w14:schemeClr w14:val="tx1"/>
                  </w14:solidFill>
                </w14:textFill>
              </w:rPr>
            </w:pPr>
          </w:p>
        </w:tc>
        <w:tc>
          <w:tcPr>
            <w:tcW w:w="706" w:type="pc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湘江右103+770</w:t>
            </w:r>
          </w:p>
        </w:tc>
        <w:tc>
          <w:tcPr>
            <w:tcW w:w="698" w:type="pc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113°18′46.45″</w:t>
            </w:r>
          </w:p>
        </w:tc>
        <w:tc>
          <w:tcPr>
            <w:tcW w:w="625" w:type="pct"/>
            <w:shd w:val="clear" w:color="auto" w:fill="FFFFFF"/>
          </w:tcPr>
          <w:p>
            <w:pPr>
              <w:widowControl/>
              <w:shd w:val="clea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29°37′14.59</w:t>
            </w:r>
          </w:p>
        </w:tc>
      </w:tr>
    </w:tbl>
    <w:p>
      <w:pPr>
        <w:widowControl/>
        <w:shd w:val="clear" w:color="auto"/>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pStyle w:val="5"/>
        <w:shd w:val="clear"/>
        <w:rPr>
          <w:rFonts w:eastAsiaTheme="minorEastAsia"/>
        </w:rPr>
      </w:pPr>
      <w:r>
        <w:rPr>
          <w:rFonts w:eastAsiaTheme="minorEastAsia"/>
        </w:rPr>
        <w:t>保护区主要保护对象</w:t>
      </w:r>
    </w:p>
    <w:p>
      <w:pPr>
        <w:widowControl/>
        <w:shd w:val="clear" w:color="auto"/>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保护区主要保护对象是国家一级保护野生水生动物白鱀豚。</w:t>
      </w:r>
    </w:p>
    <w:p>
      <w:pPr>
        <w:pStyle w:val="5"/>
        <w:shd w:val="clear"/>
        <w:rPr>
          <w:rFonts w:eastAsiaTheme="minorEastAsia"/>
        </w:rPr>
      </w:pPr>
      <w:r>
        <w:rPr>
          <w:rFonts w:eastAsiaTheme="minorEastAsia"/>
        </w:rPr>
        <w:t>建设项目与</w:t>
      </w:r>
      <w:r>
        <w:rPr>
          <w:rFonts w:eastAsiaTheme="minorEastAsia"/>
          <w:color w:val="auto"/>
          <w:kern w:val="0"/>
          <w:szCs w:val="32"/>
        </w:rPr>
        <w:t>国家级自然保护区</w:t>
      </w:r>
      <w:r>
        <w:rPr>
          <w:rFonts w:eastAsiaTheme="minorEastAsia"/>
        </w:rPr>
        <w:t>位置关系</w:t>
      </w:r>
    </w:p>
    <w:p>
      <w:pPr>
        <w:widowControl/>
        <w:adjustRightInd w:val="0"/>
        <w:snapToGrid w:val="0"/>
        <w:spacing w:line="360" w:lineRule="auto"/>
        <w:ind w:firstLine="480" w:firstLineChars="200"/>
        <w:jc w:val="left"/>
        <w:rPr>
          <w:rFonts w:ascii="Times New Roman" w:hAnsi="Times New Roman" w:eastAsiaTheme="minorEastAsia"/>
          <w:color w:val="000000" w:themeColor="text1"/>
          <w:kern w:val="0"/>
          <w:sz w:val="24"/>
          <w:szCs w:val="24"/>
          <w:lang w:bidi="ar"/>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本项目位于</w:t>
      </w:r>
      <w:r>
        <w:rPr>
          <w:rFonts w:ascii="Times New Roman" w:hAnsi="Times New Roman" w:eastAsiaTheme="minorEastAsia"/>
          <w:kern w:val="0"/>
          <w:sz w:val="24"/>
          <w:szCs w:val="32"/>
        </w:rPr>
        <w:t>白鱀豚国家级自然保护区上游，</w:t>
      </w:r>
      <w:r>
        <w:rPr>
          <w:rFonts w:ascii="Times New Roman" w:hAnsi="Times New Roman" w:eastAsiaTheme="minorEastAsia"/>
          <w:color w:val="000000" w:themeColor="text1"/>
          <w:sz w:val="24"/>
          <w:szCs w:val="24"/>
          <w14:textFill>
            <w14:solidFill>
              <w14:schemeClr w14:val="tx1"/>
            </w14:solidFill>
          </w14:textFill>
        </w:rPr>
        <w:t>自然保护区的范围外，项目与自然保护区最近的为实验区，与实验区上边界最近距离约</w:t>
      </w:r>
      <w:r>
        <w:rPr>
          <w:rFonts w:ascii="Times New Roman" w:hAnsi="Times New Roman" w:eastAsiaTheme="minorEastAsia"/>
          <w:color w:val="000000" w:themeColor="text1"/>
          <w:kern w:val="0"/>
          <w:sz w:val="24"/>
          <w:szCs w:val="24"/>
          <w:lang w:bidi="ar"/>
          <w14:textFill>
            <w14:solidFill>
              <w14:schemeClr w14:val="tx1"/>
            </w14:solidFill>
          </w14:textFill>
        </w:rPr>
        <w:t>4.0km</w:t>
      </w:r>
      <w:r>
        <w:rPr>
          <w:rFonts w:ascii="Times New Roman" w:hAnsi="Times New Roman" w:eastAsiaTheme="minorEastAsia"/>
          <w:color w:val="000000" w:themeColor="text1"/>
          <w:sz w:val="24"/>
          <w:szCs w:val="24"/>
          <w14:textFill>
            <w14:solidFill>
              <w14:schemeClr w14:val="tx1"/>
            </w14:solidFill>
          </w14:textFill>
        </w:rPr>
        <w:t>，见附图12。</w:t>
      </w:r>
    </w:p>
    <w:p>
      <w:pPr>
        <w:pStyle w:val="4"/>
        <w:rPr>
          <w:rFonts w:eastAsiaTheme="minorEastAsia"/>
        </w:rPr>
      </w:pPr>
      <w:r>
        <w:rPr>
          <w:rFonts w:eastAsiaTheme="minorEastAsia"/>
        </w:rPr>
        <w:t>湖南东洞庭湖国家级自然保护区</w:t>
      </w:r>
    </w:p>
    <w:p>
      <w:pPr>
        <w:pStyle w:val="5"/>
        <w:rPr>
          <w:rFonts w:eastAsiaTheme="minorEastAsia"/>
        </w:rPr>
      </w:pPr>
      <w:r>
        <w:rPr>
          <w:rFonts w:eastAsiaTheme="minorEastAsia"/>
        </w:rPr>
        <w:t>地理位置</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湖南东洞庭湖国家级自然保护区位于长江中下游荆江江段南侧，地处湖南省东北部岳阳市境内，地理坐标介于东经112°43′-113°14′，北纬29°00′-29°38′之间。总面积19万hm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主要保护东洞庭湖特有湿地生态系统和生物多样性。保护区成立于1982年，1992年加入“国际重要湿地公约”，被列为我国首批加入“国际重要湿地公约”的六个国际重要湿地之一，1994年经国务院批准升格为国家级自然保护区。湖南东洞庭湖国家级自然保护区管理局是保护区的行政主管部门。</w:t>
      </w:r>
    </w:p>
    <w:p>
      <w:pPr>
        <w:pStyle w:val="5"/>
        <w:rPr>
          <w:rFonts w:eastAsiaTheme="minorEastAsia"/>
        </w:rPr>
      </w:pPr>
      <w:bookmarkStart w:id="85" w:name="_Toc483985416"/>
      <w:bookmarkStart w:id="86" w:name="_Toc9798"/>
      <w:bookmarkStart w:id="87" w:name="_Toc26350"/>
      <w:r>
        <w:rPr>
          <w:rFonts w:eastAsiaTheme="minorEastAsia"/>
        </w:rPr>
        <w:t>保护区类型</w:t>
      </w:r>
      <w:bookmarkEnd w:id="85"/>
      <w:bookmarkEnd w:id="86"/>
      <w:bookmarkEnd w:id="87"/>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湖南东洞庭湖国家级自然保护区境内湿地生态环境保存完好，珍稀濒危水禽种类、数量丰富，为迁徙水禽特别重要的越冬地和歇息地，并具有良好的自然属性。根据《自然保护区类型与级别区分原则》（GB/T14529-93），该保护区类别为自然生态系统类、内陆湿地和水域生态系统类型的国家级自然保护区。</w:t>
      </w:r>
    </w:p>
    <w:p>
      <w:pPr>
        <w:pStyle w:val="5"/>
        <w:rPr>
          <w:rFonts w:eastAsiaTheme="minorEastAsia"/>
        </w:rPr>
      </w:pPr>
      <w:bookmarkStart w:id="88" w:name="_Toc10889"/>
      <w:bookmarkStart w:id="89" w:name="_Toc30001"/>
      <w:bookmarkStart w:id="90" w:name="_Toc492139797"/>
      <w:bookmarkStart w:id="91" w:name="_Toc4343"/>
      <w:bookmarkStart w:id="92" w:name="_Toc15540"/>
      <w:r>
        <w:rPr>
          <w:rFonts w:eastAsiaTheme="minorEastAsia"/>
        </w:rPr>
        <w:t>功能区划</w:t>
      </w:r>
      <w:bookmarkEnd w:id="88"/>
      <w:bookmarkEnd w:id="89"/>
      <w:bookmarkEnd w:id="90"/>
      <w:bookmarkEnd w:id="91"/>
      <w:bookmarkEnd w:id="92"/>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根据《湖南东洞庭湖国家级自然保护区总体规划》将保护区划分为核心区、缓冲区、实验区三大功能区。</w:t>
      </w:r>
    </w:p>
    <w:p>
      <w:pPr>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eastAsiaTheme="minorEastAsia"/>
          <w:b/>
          <w:color w:val="000000"/>
          <w:sz w:val="24"/>
        </w:rPr>
        <w:t>1、核心区</w:t>
      </w:r>
    </w:p>
    <w:p>
      <w:pPr>
        <w:adjustRightInd w:val="0"/>
        <w:snapToGrid w:val="0"/>
        <w:spacing w:line="360" w:lineRule="auto"/>
        <w:ind w:firstLine="480" w:firstLineChars="200"/>
        <w:rPr>
          <w:rFonts w:ascii="Times New Roman" w:hAnsi="Times New Roman" w:eastAsiaTheme="minorEastAsia"/>
          <w:b/>
          <w:color w:val="000000"/>
          <w:sz w:val="24"/>
        </w:rPr>
      </w:pPr>
      <w:r>
        <w:rPr>
          <w:rFonts w:ascii="Times New Roman" w:hAnsi="Times New Roman" w:eastAsiaTheme="minorEastAsia"/>
          <w:color w:val="000000"/>
          <w:sz w:val="24"/>
        </w:rPr>
        <w:t>该保护区内将湿地生态系统完整、生物资源丰富、白鹤、黑鹳、东方白鹳、小天鹅、鸿雁等珍稀濒危鸟类集中栖息的地段作为核心区，总面积2.90万hm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。依据功能区划原则，又将保护区核心区分为3大块。即大小西湖-君山后湖核心区：从大小西湖、三坝、四坝至君山后湖包括黑嘴在内的定权发证区域，面积1.60万hm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；红旗湖核心区：上、下红旗湖、天鹅段定权发证区域，面积0.80万hm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；春风湖核心区：包括春风湖及其大片洲滩在内的0.50万hm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定权发证区域（详细区划见保护区功能区划图）。核心区内，实行封闭式管理，严格控制外界人员随意进入或从事捕鱼、放牧等生产经营活动，并对湖水水位进行严格的管理和调控。</w:t>
      </w:r>
    </w:p>
    <w:p>
      <w:pPr>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eastAsiaTheme="minorEastAsia"/>
          <w:b/>
          <w:color w:val="000000"/>
          <w:sz w:val="24"/>
        </w:rPr>
        <w:t>2、缓冲区</w:t>
      </w:r>
    </w:p>
    <w:p>
      <w:pPr>
        <w:adjustRightInd w:val="0"/>
        <w:snapToGrid w:val="0"/>
        <w:spacing w:line="360" w:lineRule="auto"/>
        <w:ind w:firstLine="480" w:firstLineChars="200"/>
        <w:rPr>
          <w:rFonts w:ascii="Times New Roman" w:hAnsi="Times New Roman" w:eastAsiaTheme="minorEastAsia"/>
          <w:b/>
          <w:color w:val="000000"/>
          <w:sz w:val="24"/>
        </w:rPr>
      </w:pPr>
      <w:r>
        <w:rPr>
          <w:rFonts w:ascii="Times New Roman" w:hAnsi="Times New Roman" w:eastAsiaTheme="minorEastAsia"/>
          <w:color w:val="000000"/>
          <w:sz w:val="24"/>
        </w:rPr>
        <w:t>核心区外围所有东洞庭湖区域，面积3.64万hm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。缓冲区是指环绕核心区的周围地区。是试验性和生产性的科研基地，如饲养、繁殖和发展本地特有生物，是对各生态系统物质循环和能量流动等进行研究的地区，也是保护区的主要设施基地和教育基地。</w:t>
      </w:r>
    </w:p>
    <w:p>
      <w:pPr>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eastAsiaTheme="minorEastAsia"/>
          <w:b/>
          <w:color w:val="000000"/>
          <w:sz w:val="24"/>
        </w:rPr>
        <w:t>3、实验区</w:t>
      </w:r>
    </w:p>
    <w:p>
      <w:pPr>
        <w:adjustRightInd w:val="0"/>
        <w:snapToGrid w:val="0"/>
        <w:spacing w:line="360" w:lineRule="auto"/>
        <w:ind w:firstLine="480" w:firstLineChars="200"/>
        <w:rPr>
          <w:rFonts w:ascii="Times New Roman" w:hAnsi="Times New Roman" w:eastAsiaTheme="minorEastAsia"/>
          <w:b/>
          <w:color w:val="000000"/>
          <w:sz w:val="24"/>
        </w:rPr>
      </w:pPr>
      <w:r>
        <w:rPr>
          <w:rFonts w:ascii="Times New Roman" w:hAnsi="Times New Roman" w:eastAsiaTheme="minorEastAsia"/>
          <w:color w:val="000000"/>
          <w:sz w:val="24"/>
        </w:rPr>
        <w:t>保护区区界以内缓冲区以外的广大区域，包括采桑湖、团湖、方台湖、南湖、芭蕉湖等在内的湖泊和农业用地，面积12.46万hm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w:t>
      </w:r>
    </w:p>
    <w:p>
      <w:pPr>
        <w:adjustRightInd w:val="0"/>
        <w:snapToGrid w:val="0"/>
        <w:spacing w:line="360" w:lineRule="auto"/>
        <w:ind w:firstLine="480" w:firstLineChars="200"/>
        <w:rPr>
          <w:rFonts w:ascii="Times New Roman" w:hAnsi="Times New Roman" w:eastAsiaTheme="minorEastAsia"/>
          <w:b/>
          <w:color w:val="000000"/>
          <w:sz w:val="24"/>
        </w:rPr>
      </w:pPr>
      <w:r>
        <w:rPr>
          <w:rFonts w:ascii="Times New Roman" w:hAnsi="Times New Roman" w:eastAsiaTheme="minorEastAsia"/>
          <w:color w:val="000000"/>
          <w:sz w:val="24"/>
        </w:rPr>
        <w:t>在缓冲区和实验区内，保护区将依法取缔各种非法渔具，全面禁止偷猎或毒杀珍禽的违法活动。</w:t>
      </w:r>
    </w:p>
    <w:p>
      <w:pPr>
        <w:adjustRightInd w:val="0"/>
        <w:snapToGrid w:val="0"/>
        <w:spacing w:line="360" w:lineRule="auto"/>
        <w:ind w:firstLine="480" w:firstLineChars="200"/>
        <w:rPr>
          <w:rFonts w:ascii="Times New Roman" w:hAnsi="Times New Roman" w:eastAsiaTheme="minorEastAsia"/>
          <w:b/>
          <w:color w:val="000000"/>
          <w:sz w:val="24"/>
        </w:rPr>
      </w:pPr>
      <w:r>
        <w:rPr>
          <w:rFonts w:ascii="Times New Roman" w:hAnsi="Times New Roman" w:eastAsiaTheme="minorEastAsia"/>
          <w:color w:val="000000"/>
          <w:sz w:val="24"/>
        </w:rPr>
        <w:t>保护区的核心区和缓冲区，是珍稀濒危野生动物的主要栖息地，又是湿地生态系统的典型区域。在该范围内以保护为主，除开展科研、调查活动外，尽量减少人为影响和干扰，绝对禁止在该区域开展经营活动和一切生产活动。</w:t>
      </w:r>
    </w:p>
    <w:p>
      <w:pPr>
        <w:adjustRightInd w:val="0"/>
        <w:snapToGrid w:val="0"/>
        <w:spacing w:line="360" w:lineRule="auto"/>
        <w:ind w:firstLine="480" w:firstLineChars="200"/>
        <w:rPr>
          <w:rFonts w:ascii="Times New Roman" w:hAnsi="Times New Roman" w:eastAsiaTheme="minorEastAsia"/>
          <w:b/>
          <w:color w:val="000000"/>
          <w:sz w:val="24"/>
        </w:rPr>
      </w:pPr>
      <w:r>
        <w:rPr>
          <w:rFonts w:ascii="Times New Roman" w:hAnsi="Times New Roman" w:eastAsiaTheme="minorEastAsia"/>
          <w:color w:val="000000"/>
          <w:sz w:val="24"/>
        </w:rPr>
        <w:t>实验区实际上应该为可持续发展示范区，且实验区内在有利于保护的基础上，该区域内可以开展自然资源的合理利用，特别是应开展非消耗性资源利用，如开展生态旅游业（观鸟、观荷花等），以减少人们对自然资源的直接消耗和过分依赖。</w:t>
      </w:r>
    </w:p>
    <w:p>
      <w:pPr>
        <w:pStyle w:val="5"/>
        <w:rPr>
          <w:rFonts w:eastAsiaTheme="minorEastAsia"/>
        </w:rPr>
      </w:pPr>
      <w:bookmarkStart w:id="93" w:name="_Toc492139798"/>
      <w:r>
        <w:rPr>
          <w:rFonts w:eastAsiaTheme="minorEastAsia"/>
        </w:rPr>
        <w:t>主要保护对象及分布</w:t>
      </w:r>
      <w:bookmarkEnd w:id="93"/>
    </w:p>
    <w:p>
      <w:pPr>
        <w:pStyle w:val="15"/>
        <w:adjustRightInd w:val="0"/>
        <w:snapToGrid w:val="0"/>
        <w:spacing w:line="360" w:lineRule="auto"/>
        <w:ind w:firstLine="480"/>
        <w:rPr>
          <w:rFonts w:ascii="Times New Roman" w:hAnsi="Times New Roman" w:eastAsiaTheme="minorEastAsia"/>
          <w:color w:val="000000"/>
          <w:sz w:val="24"/>
          <w:szCs w:val="24"/>
        </w:rPr>
      </w:pPr>
      <w:r>
        <w:rPr>
          <w:rFonts w:ascii="Times New Roman" w:hAnsi="Times New Roman" w:eastAsiaTheme="minorEastAsia"/>
          <w:color w:val="000000"/>
          <w:sz w:val="24"/>
          <w:szCs w:val="24"/>
        </w:rPr>
        <w:t>东洞庭湖国家级自然保护区的主要保护对象为：湿地生态系统和生物多样性；珍稀濒危水禽；自然生态环境和自然资源；自然、人文景观等。</w:t>
      </w:r>
    </w:p>
    <w:p>
      <w:pPr>
        <w:pStyle w:val="15"/>
        <w:adjustRightInd w:val="0"/>
        <w:snapToGrid w:val="0"/>
        <w:spacing w:line="360" w:lineRule="auto"/>
        <w:ind w:firstLine="480"/>
        <w:rPr>
          <w:rFonts w:ascii="Times New Roman" w:hAnsi="Times New Roman" w:eastAsiaTheme="minorEastAsia"/>
          <w:color w:val="000000"/>
          <w:sz w:val="24"/>
          <w:szCs w:val="24"/>
        </w:rPr>
      </w:pPr>
      <w:r>
        <w:rPr>
          <w:rFonts w:ascii="Times New Roman" w:hAnsi="Times New Roman" w:eastAsiaTheme="minorEastAsia"/>
          <w:color w:val="000000"/>
          <w:sz w:val="24"/>
          <w:szCs w:val="24"/>
        </w:rPr>
        <w:t>东洞庭湖国家级自然保护区湿地洲滩发育，是我国珍稀候鸟越冬栖息地和繁殖地。鸟类数量、种类，水生生物数量、种类，淡水鱼类数量、种类都十分丰富。鱼类有114种、贝类40余种、鸟类80余种、兽类10余种，野生植物有873种。其中属于国家一类保护的水禽有白鹤、丹顶鹤、白头鹤、白枕鹤、白图、黑鹤、斑嘴鸦鹏等7种，属于国家二类保护的水禽有大鸨、灰鹤、白琵鸳、天鹅等多种；还有属于国家一类保护的中华鲟、白鳍豚，属于国家二类保护的江豚、扬子鳄、麋鹿、具有十分重要的研究和保护价值。</w:t>
      </w:r>
    </w:p>
    <w:p>
      <w:pPr>
        <w:pStyle w:val="5"/>
        <w:rPr>
          <w:rFonts w:eastAsiaTheme="minorEastAsia"/>
        </w:rPr>
      </w:pPr>
      <w:r>
        <w:rPr>
          <w:rFonts w:eastAsiaTheme="minorEastAsia"/>
        </w:rPr>
        <w:t>建设项目与国家级自然保护区位置关系</w:t>
      </w:r>
    </w:p>
    <w:p>
      <w:pPr>
        <w:widowControl/>
        <w:adjustRightInd w:val="0"/>
        <w:snapToGrid w:val="0"/>
        <w:spacing w:line="360" w:lineRule="auto"/>
        <w:ind w:firstLine="480" w:firstLineChars="200"/>
        <w:jc w:val="left"/>
        <w:rPr>
          <w:rFonts w:ascii="Times New Roman" w:hAnsi="Times New Roman" w:eastAsiaTheme="minorEastAsia"/>
          <w:color w:val="000000" w:themeColor="text1"/>
          <w:kern w:val="0"/>
          <w:sz w:val="24"/>
          <w:szCs w:val="24"/>
          <w:lang w:bidi="ar"/>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本项目位于</w:t>
      </w:r>
      <w:r>
        <w:rPr>
          <w:rFonts w:ascii="Times New Roman" w:hAnsi="Times New Roman" w:eastAsiaTheme="minorEastAsia"/>
          <w:color w:val="000000"/>
          <w:sz w:val="24"/>
          <w:szCs w:val="24"/>
        </w:rPr>
        <w:t>东洞庭</w:t>
      </w:r>
      <w:r>
        <w:rPr>
          <w:rFonts w:ascii="Times New Roman" w:hAnsi="Times New Roman" w:eastAsiaTheme="minorEastAsia"/>
          <w:kern w:val="0"/>
          <w:sz w:val="24"/>
          <w:szCs w:val="32"/>
        </w:rPr>
        <w:t>国家级自然保护区下游，</w:t>
      </w:r>
      <w:r>
        <w:rPr>
          <w:rFonts w:ascii="Times New Roman" w:hAnsi="Times New Roman" w:eastAsiaTheme="minorEastAsia"/>
          <w:color w:val="000000" w:themeColor="text1"/>
          <w:sz w:val="24"/>
          <w:szCs w:val="24"/>
          <w14:textFill>
            <w14:solidFill>
              <w14:schemeClr w14:val="tx1"/>
            </w14:solidFill>
          </w14:textFill>
        </w:rPr>
        <w:t>自然保护区的范围外，项目与自然保护区最近的为实验区，与实验区下边界最近距离约</w:t>
      </w:r>
      <w:r>
        <w:rPr>
          <w:rFonts w:ascii="Times New Roman" w:hAnsi="Times New Roman" w:eastAsiaTheme="minorEastAsia"/>
          <w:color w:val="000000" w:themeColor="text1"/>
          <w:kern w:val="0"/>
          <w:sz w:val="24"/>
          <w:szCs w:val="24"/>
          <w:lang w:bidi="ar"/>
          <w14:textFill>
            <w14:solidFill>
              <w14:schemeClr w14:val="tx1"/>
            </w14:solidFill>
          </w14:textFill>
        </w:rPr>
        <w:t>8.4km</w:t>
      </w:r>
      <w:r>
        <w:rPr>
          <w:rFonts w:ascii="Times New Roman" w:hAnsi="Times New Roman" w:eastAsiaTheme="minorEastAsia"/>
          <w:color w:val="000000" w:themeColor="text1"/>
          <w:sz w:val="24"/>
          <w:szCs w:val="24"/>
          <w14:textFill>
            <w14:solidFill>
              <w14:schemeClr w14:val="tx1"/>
            </w14:solidFill>
          </w14:textFill>
        </w:rPr>
        <w:t>，见附图13。</w:t>
      </w:r>
    </w:p>
    <w:p>
      <w:pPr>
        <w:pStyle w:val="3"/>
        <w:rPr>
          <w:rFonts w:ascii="Times New Roman" w:hAnsi="Times New Roman" w:eastAsiaTheme="minorEastAsia"/>
          <w:b/>
        </w:rPr>
      </w:pPr>
      <w:bookmarkStart w:id="94" w:name="_Toc29590"/>
      <w:r>
        <w:rPr>
          <w:rFonts w:ascii="Times New Roman" w:hAnsi="Times New Roman" w:eastAsiaTheme="minorEastAsia"/>
          <w:b/>
        </w:rPr>
        <w:t>区域污染源调查</w:t>
      </w:r>
      <w:bookmarkEnd w:id="94"/>
    </w:p>
    <w:p>
      <w:pPr>
        <w:widowControl/>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湖北一侧：白螺镇至杨林山主要通向长江的排水管线有九大河涵闸、杨林山泵站。镇内主要河流有九大河（镇中）和公路河。九大河通过沟渠和涵闸与长江连接，枯水期涵闸河水自流排江，在洪水期，涵闸关闭，河水通过杨林山泵站排入长江。农田灌溉以九大河为主，公路河（镇南）接纳城镇排水，通往杨林山泵站，并从该处排江。镇区的生活污水日发生量在2000吨以下，一年排放72万吨。</w:t>
      </w:r>
    </w:p>
    <w:p>
      <w:pPr>
        <w:widowControl/>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湖南一侧：从道仁矶至下游马鞍山之间主要的通向长江的排水灌渠包括：枫桥湖涵闸、彭家湾排水泵站（排道仁矶镇和枫桥湖水）、道仁矶汽渡码头下游300m的岳化排水管道系统、白泥湖泵站。工程工点上游没有大型排污口，枫桥湖通过沟渠和涵闸与长江连接，枯水期涵闸打开，湖水经控制自流排江，在洪水期，涵闸关闭，湖水通过彭家湾排水泵站排入长江。白泥湖泵站主要用于白泥湖的排水。</w:t>
      </w:r>
    </w:p>
    <w:p>
      <w:pPr>
        <w:pStyle w:val="4"/>
        <w:rPr>
          <w:rFonts w:eastAsiaTheme="minorEastAsia"/>
        </w:rPr>
      </w:pPr>
      <w:r>
        <w:rPr>
          <w:rFonts w:eastAsiaTheme="minorEastAsia"/>
        </w:rPr>
        <w:t>点源</w:t>
      </w:r>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1、工业或生活排污口</w:t>
      </w:r>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经现场调查，拟建码头上游10km范围内存在一个企业综合排污口，无其他工业企业等点源，详细情况见下表：</w:t>
      </w:r>
    </w:p>
    <w:p>
      <w:pPr>
        <w:pStyle w:val="132"/>
        <w:spacing w:line="276" w:lineRule="auto"/>
        <w:jc w:val="center"/>
        <w:rPr>
          <w:rFonts w:cs="Times New Roman"/>
          <w:bCs w:val="0"/>
          <w:sz w:val="24"/>
          <w:szCs w:val="24"/>
        </w:rPr>
      </w:pPr>
      <w:r>
        <w:rPr>
          <w:rFonts w:cs="Times New Roman"/>
          <w:bCs w:val="0"/>
          <w:sz w:val="24"/>
          <w:szCs w:val="24"/>
        </w:rPr>
        <w:t>表4.3-1  工业或生活排污口情况一览表</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28" w:type="dxa"/>
          <w:bottom w:w="0" w:type="dxa"/>
          <w:right w:w="28" w:type="dxa"/>
        </w:tblCellMar>
      </w:tblPr>
      <w:tblGrid>
        <w:gridCol w:w="2188"/>
        <w:gridCol w:w="1445"/>
        <w:gridCol w:w="1396"/>
        <w:gridCol w:w="1265"/>
        <w:gridCol w:w="1249"/>
        <w:gridCol w:w="15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202"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排污口名称</w:t>
            </w:r>
          </w:p>
        </w:tc>
        <w:tc>
          <w:tcPr>
            <w:tcW w:w="794"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入河排污</w:t>
            </w:r>
          </w:p>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口编码</w:t>
            </w:r>
          </w:p>
        </w:tc>
        <w:tc>
          <w:tcPr>
            <w:tcW w:w="767"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位置关系</w:t>
            </w:r>
          </w:p>
        </w:tc>
        <w:tc>
          <w:tcPr>
            <w:tcW w:w="695"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污水排</w:t>
            </w:r>
          </w:p>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放量</w:t>
            </w:r>
          </w:p>
        </w:tc>
        <w:tc>
          <w:tcPr>
            <w:tcW w:w="686"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主要</w:t>
            </w:r>
          </w:p>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污染物</w:t>
            </w:r>
          </w:p>
        </w:tc>
        <w:tc>
          <w:tcPr>
            <w:tcW w:w="855"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污染物</w:t>
            </w:r>
          </w:p>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排放量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87" w:hRule="atLeast"/>
        </w:trPr>
        <w:tc>
          <w:tcPr>
            <w:tcW w:w="1202" w:type="pct"/>
            <w:vMerge w:val="restar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云溪区中国石油化工股份有限公司长岭分公司工业入河排污口</w:t>
            </w:r>
          </w:p>
        </w:tc>
        <w:tc>
          <w:tcPr>
            <w:tcW w:w="794" w:type="pct"/>
            <w:vMerge w:val="restar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430603004</w:t>
            </w:r>
          </w:p>
        </w:tc>
        <w:tc>
          <w:tcPr>
            <w:tcW w:w="767" w:type="pct"/>
            <w:vMerge w:val="restar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长炼4</w:t>
            </w:r>
            <w:r>
              <w:rPr>
                <w:rFonts w:ascii="Times New Roman" w:hAnsi="Times New Roman" w:cs="Times New Roman" w:eastAsiaTheme="minorEastAsia"/>
                <w:sz w:val="21"/>
                <w:szCs w:val="21"/>
              </w:rPr>
              <w:t>#码头下游</w:t>
            </w:r>
            <w:r>
              <w:rPr>
                <w:rFonts w:hint="eastAsia" w:ascii="Times New Roman" w:hAnsi="Times New Roman" w:cs="Times New Roman" w:eastAsiaTheme="minorEastAsia"/>
                <w:sz w:val="21"/>
                <w:szCs w:val="21"/>
              </w:rPr>
              <w:t>650</w:t>
            </w:r>
            <w:r>
              <w:rPr>
                <w:rFonts w:ascii="Times New Roman" w:hAnsi="Times New Roman" w:cs="Times New Roman" w:eastAsiaTheme="minorEastAsia"/>
                <w:sz w:val="21"/>
                <w:szCs w:val="21"/>
              </w:rPr>
              <w:t>m</w:t>
            </w:r>
          </w:p>
        </w:tc>
        <w:tc>
          <w:tcPr>
            <w:tcW w:w="695" w:type="pct"/>
            <w:vMerge w:val="restar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200万吨/年</w:t>
            </w:r>
          </w:p>
        </w:tc>
        <w:tc>
          <w:tcPr>
            <w:tcW w:w="686"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COD</w:t>
            </w:r>
          </w:p>
        </w:tc>
        <w:tc>
          <w:tcPr>
            <w:tcW w:w="855"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536吨/年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1202" w:type="pct"/>
            <w:vMerge w:val="continue"/>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794" w:type="pct"/>
            <w:vMerge w:val="continue"/>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767" w:type="pct"/>
            <w:vMerge w:val="continue"/>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95" w:type="pct"/>
            <w:vMerge w:val="continue"/>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86"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氨氮</w:t>
            </w:r>
          </w:p>
        </w:tc>
        <w:tc>
          <w:tcPr>
            <w:tcW w:w="855"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134吨/年</w:t>
            </w:r>
          </w:p>
        </w:tc>
      </w:tr>
    </w:tbl>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2、规模化畜禽养殖</w:t>
      </w:r>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经现场调查，评价区域内无规模化畜禽养殖。</w:t>
      </w:r>
    </w:p>
    <w:p>
      <w:pPr>
        <w:pStyle w:val="4"/>
        <w:rPr>
          <w:rFonts w:eastAsiaTheme="minorEastAsia"/>
        </w:rPr>
      </w:pPr>
      <w:bookmarkStart w:id="95" w:name="_Toc19785827"/>
      <w:r>
        <w:rPr>
          <w:rFonts w:eastAsiaTheme="minorEastAsia"/>
        </w:rPr>
        <w:t>非点源</w:t>
      </w:r>
      <w:bookmarkEnd w:id="95"/>
    </w:p>
    <w:p>
      <w:pPr>
        <w:widowControl/>
        <w:adjustRightInd w:val="0"/>
        <w:snapToGrid w:val="0"/>
        <w:spacing w:line="360" w:lineRule="auto"/>
        <w:ind w:firstLine="480" w:firstLineChars="200"/>
        <w:jc w:val="left"/>
        <w:rPr>
          <w:rFonts w:ascii="Times New Roman" w:hAnsi="Times New Roman" w:eastAsiaTheme="minorEastAsia"/>
          <w:b w:val="0"/>
          <w:bCs/>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1、种植业污染源</w:t>
      </w:r>
    </w:p>
    <w:p>
      <w:pPr>
        <w:widowControl/>
        <w:adjustRightInd w:val="0"/>
        <w:snapToGrid w:val="0"/>
        <w:spacing w:line="360" w:lineRule="auto"/>
        <w:ind w:firstLine="480" w:firstLineChars="200"/>
        <w:jc w:val="left"/>
        <w:rPr>
          <w:rFonts w:ascii="Times New Roman" w:hAnsi="Times New Roman" w:eastAsiaTheme="minorEastAsia"/>
          <w:b w:val="0"/>
          <w:bCs/>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经现场调查，评价区域内无种植业污染源。</w:t>
      </w:r>
    </w:p>
    <w:p>
      <w:pPr>
        <w:widowControl/>
        <w:adjustRightInd w:val="0"/>
        <w:snapToGrid w:val="0"/>
        <w:spacing w:line="360" w:lineRule="auto"/>
        <w:ind w:firstLine="480" w:firstLineChars="200"/>
        <w:jc w:val="left"/>
        <w:rPr>
          <w:rFonts w:ascii="Times New Roman" w:hAnsi="Times New Roman" w:eastAsiaTheme="minorEastAsia"/>
          <w:b w:val="0"/>
          <w:bCs/>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2、农村生活污水及固体废物</w:t>
      </w:r>
    </w:p>
    <w:p>
      <w:pPr>
        <w:widowControl/>
        <w:adjustRightInd w:val="0"/>
        <w:snapToGrid w:val="0"/>
        <w:spacing w:line="360" w:lineRule="auto"/>
        <w:ind w:firstLine="480" w:firstLineChars="200"/>
        <w:jc w:val="left"/>
        <w:rPr>
          <w:rFonts w:ascii="Times New Roman" w:hAnsi="Times New Roman" w:eastAsiaTheme="minorEastAsia"/>
          <w:b w:val="0"/>
          <w:bCs/>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经现场调查，评价区域内无居民居住，无农村生活污水及固体废物产生。</w:t>
      </w:r>
    </w:p>
    <w:p>
      <w:pPr>
        <w:widowControl/>
        <w:adjustRightInd w:val="0"/>
        <w:snapToGrid w:val="0"/>
        <w:spacing w:line="360" w:lineRule="auto"/>
        <w:ind w:firstLine="480" w:firstLineChars="200"/>
        <w:jc w:val="left"/>
        <w:rPr>
          <w:rFonts w:ascii="Times New Roman" w:hAnsi="Times New Roman" w:eastAsiaTheme="minorEastAsia"/>
          <w:b w:val="0"/>
          <w:bCs/>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3、分散式畜禽养殖污染源</w:t>
      </w:r>
    </w:p>
    <w:p>
      <w:pPr>
        <w:widowControl/>
        <w:adjustRightInd w:val="0"/>
        <w:snapToGrid w:val="0"/>
        <w:spacing w:line="360" w:lineRule="auto"/>
        <w:ind w:firstLine="480" w:firstLineChars="200"/>
        <w:jc w:val="left"/>
        <w:rPr>
          <w:rFonts w:ascii="Times New Roman" w:hAnsi="Times New Roman" w:eastAsiaTheme="minorEastAsia"/>
          <w:b w:val="0"/>
          <w:bCs/>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经现场调查，评价区域内无居民居住，无分散式畜禽养殖污染源。</w:t>
      </w:r>
    </w:p>
    <w:p>
      <w:pPr>
        <w:widowControl/>
        <w:adjustRightInd w:val="0"/>
        <w:snapToGrid w:val="0"/>
        <w:spacing w:line="360" w:lineRule="auto"/>
        <w:ind w:firstLine="480" w:firstLineChars="200"/>
        <w:jc w:val="left"/>
        <w:rPr>
          <w:rFonts w:ascii="Times New Roman" w:hAnsi="Times New Roman" w:eastAsiaTheme="minorEastAsia"/>
          <w:b w:val="0"/>
          <w:bCs/>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4、涉及重金属的矿产资源、放射性矿产资源和油田等分布情况调查</w:t>
      </w:r>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b w:val="0"/>
          <w:bCs/>
          <w:color w:val="000000" w:themeColor="text1"/>
          <w:sz w:val="24"/>
          <w:szCs w:val="24"/>
          <w14:textFill>
            <w14:solidFill>
              <w14:schemeClr w14:val="tx1"/>
            </w14:solidFill>
          </w14:textFill>
        </w:rPr>
        <w:t>经现场调查，</w:t>
      </w:r>
      <w:r>
        <w:rPr>
          <w:rFonts w:ascii="Times New Roman" w:hAnsi="Times New Roman" w:eastAsiaTheme="minorEastAsia"/>
          <w:color w:val="000000" w:themeColor="text1"/>
          <w:sz w:val="24"/>
          <w:szCs w:val="24"/>
          <w14:textFill>
            <w14:solidFill>
              <w14:schemeClr w14:val="tx1"/>
            </w14:solidFill>
          </w14:textFill>
        </w:rPr>
        <w:t>评价区域内无涉及重金属的矿产资源、放射性矿产资源和油田等分布情况调查。</w:t>
      </w:r>
    </w:p>
    <w:p>
      <w:pPr>
        <w:pStyle w:val="4"/>
        <w:rPr>
          <w:rFonts w:eastAsiaTheme="minorEastAsia"/>
        </w:rPr>
      </w:pPr>
      <w:bookmarkStart w:id="96" w:name="_Toc19785828"/>
      <w:r>
        <w:rPr>
          <w:rFonts w:eastAsiaTheme="minorEastAsia"/>
        </w:rPr>
        <w:t>固体废物堆放（填埋）场调查</w:t>
      </w:r>
      <w:bookmarkEnd w:id="96"/>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经现场调查，评价区域内无固体废物堆放（填埋）场。</w:t>
      </w:r>
    </w:p>
    <w:p>
      <w:pPr>
        <w:pStyle w:val="4"/>
        <w:rPr>
          <w:rFonts w:eastAsiaTheme="minorEastAsia"/>
        </w:rPr>
      </w:pPr>
      <w:bookmarkStart w:id="97" w:name="_Toc19785829"/>
      <w:r>
        <w:rPr>
          <w:rFonts w:eastAsiaTheme="minorEastAsia"/>
        </w:rPr>
        <w:t>流动源</w:t>
      </w:r>
      <w:bookmarkEnd w:id="97"/>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经现场调查，评价区域内存在港城工作船码头，详细情况见下表：</w:t>
      </w:r>
    </w:p>
    <w:p>
      <w:pPr>
        <w:pStyle w:val="132"/>
        <w:spacing w:line="276" w:lineRule="auto"/>
        <w:jc w:val="center"/>
        <w:rPr>
          <w:rFonts w:cs="Times New Roman"/>
          <w:bCs w:val="0"/>
          <w:sz w:val="24"/>
          <w:szCs w:val="24"/>
        </w:rPr>
      </w:pPr>
      <w:r>
        <w:rPr>
          <w:rFonts w:cs="Times New Roman"/>
          <w:bCs w:val="0"/>
          <w:sz w:val="24"/>
          <w:szCs w:val="24"/>
        </w:rPr>
        <w:t>表4.3-2  保护区内流动源情况表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66"/>
        <w:gridCol w:w="1063"/>
        <w:gridCol w:w="1396"/>
        <w:gridCol w:w="59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66"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序号</w:t>
            </w:r>
          </w:p>
        </w:tc>
        <w:tc>
          <w:tcPr>
            <w:tcW w:w="584"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名称</w:t>
            </w:r>
          </w:p>
        </w:tc>
        <w:tc>
          <w:tcPr>
            <w:tcW w:w="767"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位置关系</w:t>
            </w:r>
          </w:p>
        </w:tc>
        <w:tc>
          <w:tcPr>
            <w:tcW w:w="3283"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流动源基本情况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66"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584"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港城工作船码头</w:t>
            </w:r>
          </w:p>
        </w:tc>
        <w:tc>
          <w:tcPr>
            <w:tcW w:w="767" w:type="pct"/>
            <w:tcMar>
              <w:top w:w="0" w:type="dxa"/>
              <w:left w:w="0" w:type="dxa"/>
              <w:bottom w:w="0" w:type="dxa"/>
              <w:right w:w="0" w:type="dxa"/>
            </w:tcMar>
            <w:vAlign w:val="center"/>
          </w:tcPr>
          <w:p>
            <w:pPr>
              <w:pStyle w:val="64"/>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本项目上游上游580m</w:t>
            </w:r>
          </w:p>
        </w:tc>
        <w:tc>
          <w:tcPr>
            <w:tcW w:w="3283" w:type="pct"/>
            <w:tcMar>
              <w:top w:w="0" w:type="dxa"/>
              <w:left w:w="0" w:type="dxa"/>
              <w:bottom w:w="0" w:type="dxa"/>
              <w:right w:w="0" w:type="dxa"/>
            </w:tcMar>
            <w:vAlign w:val="center"/>
          </w:tcPr>
          <w:p>
            <w:pPr>
              <w:pStyle w:val="64"/>
              <w:adjustRightInd w:val="0"/>
              <w:snapToGrid w:val="0"/>
              <w:spacing w:before="0" w:beforeAutospacing="0" w:after="0" w:afterAutospacing="0"/>
              <w:rPr>
                <w:rFonts w:ascii="Times New Roman" w:hAnsi="Times New Roman" w:cs="Times New Roman" w:eastAsiaTheme="minorEastAsia"/>
                <w:sz w:val="21"/>
                <w:szCs w:val="21"/>
              </w:rPr>
            </w:pPr>
            <w:r>
              <w:rPr>
                <w:rFonts w:ascii="Times New Roman" w:hAnsi="Times New Roman" w:cs="Times New Roman" w:eastAsiaTheme="minorEastAsia"/>
                <w:sz w:val="21"/>
                <w:szCs w:val="21"/>
              </w:rPr>
              <w:t>码头级别为：50吨级；</w:t>
            </w:r>
          </w:p>
          <w:p>
            <w:pPr>
              <w:pStyle w:val="64"/>
              <w:adjustRightInd w:val="0"/>
              <w:snapToGrid w:val="0"/>
              <w:spacing w:before="0" w:beforeAutospacing="0" w:after="0" w:afterAutospacing="0"/>
              <w:rPr>
                <w:rFonts w:ascii="Times New Roman" w:hAnsi="Times New Roman" w:cs="Times New Roman" w:eastAsiaTheme="minorEastAsia"/>
                <w:sz w:val="21"/>
                <w:szCs w:val="21"/>
              </w:rPr>
            </w:pPr>
            <w:r>
              <w:rPr>
                <w:rFonts w:ascii="Times New Roman" w:hAnsi="Times New Roman" w:cs="Times New Roman" w:eastAsiaTheme="minorEastAsia"/>
                <w:sz w:val="21"/>
                <w:szCs w:val="21"/>
              </w:rPr>
              <w:t>码头类型：生活码头，仅供人员渡河，无其余生产生活设施；</w:t>
            </w:r>
          </w:p>
          <w:p>
            <w:pPr>
              <w:pStyle w:val="64"/>
              <w:adjustRightInd w:val="0"/>
              <w:snapToGrid w:val="0"/>
              <w:spacing w:before="0" w:beforeAutospacing="0" w:after="0" w:afterAutospacing="0"/>
              <w:rPr>
                <w:rFonts w:ascii="Times New Roman" w:hAnsi="Times New Roman" w:cs="Times New Roman" w:eastAsiaTheme="minorEastAsia"/>
                <w:sz w:val="21"/>
                <w:szCs w:val="21"/>
              </w:rPr>
            </w:pPr>
            <w:r>
              <w:rPr>
                <w:rFonts w:ascii="Times New Roman" w:hAnsi="Times New Roman" w:cs="Times New Roman" w:eastAsiaTheme="minorEastAsia"/>
                <w:sz w:val="21"/>
                <w:szCs w:val="21"/>
              </w:rPr>
              <w:t>废水排放情况：不设置生活设施，无废水排放。</w:t>
            </w:r>
          </w:p>
        </w:tc>
      </w:tr>
    </w:tbl>
    <w:p>
      <w:pPr>
        <w:snapToGrid w:val="0"/>
        <w:spacing w:line="360" w:lineRule="auto"/>
        <w:ind w:firstLine="480" w:firstLineChars="200"/>
        <w:rPr>
          <w:rFonts w:ascii="Times New Roman" w:hAnsi="Times New Roman" w:eastAsiaTheme="minorEastAsia"/>
          <w:sz w:val="24"/>
          <w:szCs w:val="24"/>
        </w:rPr>
      </w:pPr>
    </w:p>
    <w:p>
      <w:pPr>
        <w:pStyle w:val="3"/>
        <w:rPr>
          <w:rFonts w:ascii="Times New Roman" w:hAnsi="Times New Roman" w:eastAsiaTheme="minorEastAsia"/>
          <w:b/>
        </w:rPr>
      </w:pPr>
      <w:bookmarkStart w:id="98" w:name="_Toc23723"/>
      <w:r>
        <w:rPr>
          <w:rFonts w:ascii="Times New Roman" w:hAnsi="Times New Roman" w:eastAsiaTheme="minorEastAsia"/>
          <w:b/>
        </w:rPr>
        <w:t>地表水环境现状调查与评价</w:t>
      </w:r>
      <w:bookmarkEnd w:id="98"/>
    </w:p>
    <w:p>
      <w:pPr>
        <w:pStyle w:val="4"/>
        <w:rPr>
          <w:rFonts w:eastAsiaTheme="minorEastAsia"/>
        </w:rPr>
      </w:pPr>
      <w:r>
        <w:rPr>
          <w:rFonts w:eastAsiaTheme="minorEastAsia"/>
        </w:rPr>
        <w:t>地表水环境现状调查</w:t>
      </w:r>
    </w:p>
    <w:p>
      <w:pPr>
        <w:pStyle w:val="5"/>
        <w:rPr>
          <w:rFonts w:eastAsiaTheme="minorEastAsia"/>
        </w:rPr>
      </w:pPr>
      <w:r>
        <w:rPr>
          <w:rFonts w:eastAsiaTheme="minorEastAsia"/>
        </w:rPr>
        <w:t>水域功能</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涉及的水系为长江，通过查阅《湖南省主要水系地表水环境功能区划》（DB43/023-2005）可知，评价范围内的地表水功能为渔业用水区，全长163km，流经岳阳市、华容县和临湘市，水域范围从塔市驿（湖北省流入湖南省断面）至黄盖湖（湖南省流入湖北省断面），拟建码头所处水域位于该段水域，执行《地表水环境质量标准》（GB3838-2002）</w:t>
      </w:r>
      <w:r>
        <w:rPr>
          <w:rFonts w:hint="eastAsia" w:ascii="宋体" w:hAnsi="宋体" w:cs="宋体"/>
          <w:color w:val="000000"/>
          <w:sz w:val="24"/>
          <w:szCs w:val="24"/>
        </w:rPr>
        <w:t>Ⅲ</w:t>
      </w:r>
      <w:r>
        <w:rPr>
          <w:rFonts w:ascii="Times New Roman" w:hAnsi="Times New Roman" w:eastAsiaTheme="minorEastAsia"/>
          <w:color w:val="000000"/>
          <w:sz w:val="24"/>
          <w:szCs w:val="24"/>
        </w:rPr>
        <w:t>类水质标准。</w:t>
      </w:r>
    </w:p>
    <w:p>
      <w:pPr>
        <w:pStyle w:val="5"/>
        <w:rPr>
          <w:rFonts w:eastAsiaTheme="minorEastAsia"/>
        </w:rPr>
      </w:pPr>
      <w:r>
        <w:rPr>
          <w:rFonts w:eastAsiaTheme="minorEastAsia"/>
        </w:rPr>
        <w:t>饮用水源调查</w:t>
      </w:r>
    </w:p>
    <w:p>
      <w:pPr>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现场调查，本项目上游10km至下游30km内主要分布有岳阳市云溪区陆城镇水厂文桥镇水厂长江取水口饮用水源保护区、岳阳市云溪区道仁矶水厂长江取水口饮用水水源保护区和临湘市工业园滨江产业示范区自来水厂长江取水口，详见表4.4-1。</w:t>
      </w:r>
    </w:p>
    <w:p>
      <w:pPr>
        <w:pStyle w:val="132"/>
        <w:spacing w:line="276" w:lineRule="auto"/>
        <w:jc w:val="center"/>
        <w:rPr>
          <w:rFonts w:cs="Times New Roman"/>
        </w:rPr>
      </w:pPr>
      <w:r>
        <w:rPr>
          <w:rFonts w:cs="Times New Roman"/>
          <w:bCs w:val="0"/>
          <w:sz w:val="24"/>
          <w:szCs w:val="24"/>
        </w:rPr>
        <w:t>表4.4-1  本项目上游10km至下游30km内取水口分布情况一览表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7"/>
        <w:gridCol w:w="1708"/>
        <w:gridCol w:w="3277"/>
        <w:gridCol w:w="34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1800"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相对位置</w:t>
            </w:r>
          </w:p>
        </w:tc>
        <w:tc>
          <w:tcPr>
            <w:tcW w:w="1872"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规模与环境特征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岳阳市云溪区陆城镇水厂文桥镇水厂长江取水口饮用水源保护区</w:t>
            </w:r>
          </w:p>
        </w:tc>
        <w:tc>
          <w:tcPr>
            <w:tcW w:w="1800"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color w:val="000000" w:themeColor="text1"/>
                <w:kern w:val="0"/>
                <w14:textFill>
                  <w14:solidFill>
                    <w14:schemeClr w14:val="tx1"/>
                  </w14:solidFill>
                </w14:textFill>
              </w:rPr>
              <w:t>根据</w:t>
            </w:r>
            <w:r>
              <w:rPr>
                <w:rFonts w:ascii="Times New Roman" w:hAnsi="Times New Roman" w:eastAsiaTheme="minorEastAsia"/>
                <w:color w:val="000000" w:themeColor="text1"/>
                <w:kern w:val="0"/>
                <w14:textFill>
                  <w14:solidFill>
                    <w14:schemeClr w14:val="tx1"/>
                  </w14:solidFill>
                </w14:textFill>
              </w:rPr>
              <w:t>岳</w:t>
            </w:r>
            <w:r>
              <w:rPr>
                <w:rFonts w:hint="eastAsia" w:ascii="Times New Roman" w:hAnsi="Times New Roman" w:eastAsiaTheme="minorEastAsia"/>
                <w:color w:val="000000" w:themeColor="text1"/>
                <w:kern w:val="0"/>
                <w14:textFill>
                  <w14:solidFill>
                    <w14:schemeClr w14:val="tx1"/>
                  </w14:solidFill>
                </w14:textFill>
              </w:rPr>
              <w:t>云政函</w:t>
            </w:r>
            <w:r>
              <w:rPr>
                <w:rFonts w:ascii="Times New Roman" w:hAnsi="Times New Roman" w:eastAsiaTheme="minorEastAsia"/>
                <w:color w:val="000000" w:themeColor="text1"/>
                <w:kern w:val="0"/>
                <w14:textFill>
                  <w14:solidFill>
                    <w14:schemeClr w14:val="tx1"/>
                  </w14:solidFill>
                </w14:textFill>
              </w:rPr>
              <w:t>〔</w:t>
            </w:r>
            <w:r>
              <w:rPr>
                <w:rFonts w:hint="eastAsia" w:ascii="Times New Roman" w:hAnsi="Times New Roman" w:eastAsiaTheme="minorEastAsia"/>
                <w:color w:val="000000" w:themeColor="text1"/>
                <w:kern w:val="0"/>
                <w14:textFill>
                  <w14:solidFill>
                    <w14:schemeClr w14:val="tx1"/>
                  </w14:solidFill>
                </w14:textFill>
              </w:rPr>
              <w:t>2020〕32号</w:t>
            </w:r>
            <w:r>
              <w:rPr>
                <w:rFonts w:ascii="Times New Roman" w:hAnsi="Times New Roman" w:eastAsiaTheme="minorEastAsia"/>
                <w:color w:val="000000" w:themeColor="text1"/>
                <w:kern w:val="0"/>
                <w14:textFill>
                  <w14:solidFill>
                    <w14:schemeClr w14:val="tx1"/>
                  </w14:solidFill>
                </w14:textFill>
              </w:rPr>
              <w:t>文，该取水口</w:t>
            </w:r>
            <w:r>
              <w:rPr>
                <w:rFonts w:hint="eastAsia" w:ascii="Times New Roman" w:hAnsi="Times New Roman" w:eastAsiaTheme="minorEastAsia"/>
                <w:color w:val="000000" w:themeColor="text1"/>
                <w:kern w:val="0"/>
                <w14:textFill>
                  <w14:solidFill>
                    <w14:schemeClr w14:val="tx1"/>
                  </w14:solidFill>
                </w14:textFill>
              </w:rPr>
              <w:t>实际</w:t>
            </w:r>
            <w:r>
              <w:rPr>
                <w:rFonts w:ascii="Times New Roman" w:hAnsi="Times New Roman" w:eastAsiaTheme="minorEastAsia"/>
                <w:color w:val="000000" w:themeColor="text1"/>
                <w:kern w:val="0"/>
                <w14:textFill>
                  <w14:solidFill>
                    <w14:schemeClr w14:val="tx1"/>
                  </w14:solidFill>
                </w14:textFill>
              </w:rPr>
              <w:t>坐标为E：113°16'19.47"，N：29°35'24.357"。</w:t>
            </w:r>
            <w:r>
              <w:rPr>
                <w:rFonts w:hint="eastAsia" w:ascii="Times New Roman" w:hAnsi="Times New Roman" w:eastAsiaTheme="minorEastAsia"/>
                <w:color w:val="000000" w:themeColor="text1"/>
                <w:kern w:val="0"/>
                <w14:textFill>
                  <w14:solidFill>
                    <w14:schemeClr w14:val="tx1"/>
                  </w14:solidFill>
                </w14:textFill>
              </w:rPr>
              <w:t>根据</w:t>
            </w:r>
            <w:r>
              <w:rPr>
                <w:rFonts w:ascii="Times New Roman" w:hAnsi="Times New Roman" w:eastAsiaTheme="minorEastAsia"/>
                <w:color w:val="000000" w:themeColor="text1"/>
                <w:kern w:val="0"/>
                <w14:textFill>
                  <w14:solidFill>
                    <w14:schemeClr w14:val="tx1"/>
                  </w14:solidFill>
                </w14:textFill>
              </w:rPr>
              <w:t>实际坐标位置，按照《岳阳市云溪区陆城镇水厂文桥镇水厂长江取水口饮用水源保护区划分技术报告》</w:t>
            </w:r>
            <w:r>
              <w:rPr>
                <w:rFonts w:hint="eastAsia" w:ascii="Times New Roman" w:hAnsi="Times New Roman" w:eastAsiaTheme="minorEastAsia"/>
                <w:color w:val="000000" w:themeColor="text1"/>
                <w:kern w:val="0"/>
                <w14:textFill>
                  <w14:solidFill>
                    <w14:schemeClr w14:val="tx1"/>
                  </w14:solidFill>
                </w14:textFill>
              </w:rPr>
              <w:t>的</w:t>
            </w:r>
            <w:r>
              <w:rPr>
                <w:rFonts w:ascii="Times New Roman" w:hAnsi="Times New Roman" w:eastAsiaTheme="minorEastAsia"/>
                <w:color w:val="000000" w:themeColor="text1"/>
                <w:kern w:val="0"/>
                <w14:textFill>
                  <w14:solidFill>
                    <w14:schemeClr w14:val="tx1"/>
                  </w14:solidFill>
                </w14:textFill>
              </w:rPr>
              <w:t>划分方案，该水源地二级保护区下边界与本项目的上边界最近直线距离约370m，</w:t>
            </w:r>
            <w:r>
              <w:rPr>
                <w:rFonts w:hint="eastAsia" w:ascii="Times New Roman" w:hAnsi="Times New Roman" w:eastAsiaTheme="minorEastAsia"/>
                <w:color w:val="000000" w:themeColor="text1"/>
                <w:kern w:val="0"/>
                <w14:textFill>
                  <w14:solidFill>
                    <w14:schemeClr w14:val="tx1"/>
                  </w14:solidFill>
                </w14:textFill>
              </w:rPr>
              <w:t>本项目</w:t>
            </w:r>
            <w:r>
              <w:rPr>
                <w:rFonts w:ascii="Times New Roman" w:hAnsi="Times New Roman" w:eastAsiaTheme="minorEastAsia"/>
                <w:color w:val="000000" w:themeColor="text1"/>
                <w:kern w:val="0"/>
                <w14:textFill>
                  <w14:solidFill>
                    <w14:schemeClr w14:val="tx1"/>
                  </w14:solidFill>
                </w14:textFill>
              </w:rPr>
              <w:t>不涉及</w:t>
            </w:r>
            <w:r>
              <w:rPr>
                <w:rFonts w:hint="eastAsia" w:ascii="Times New Roman" w:hAnsi="Times New Roman" w:eastAsiaTheme="minorEastAsia"/>
                <w:color w:val="000000" w:themeColor="text1"/>
                <w:kern w:val="0"/>
                <w14:textFill>
                  <w14:solidFill>
                    <w14:schemeClr w14:val="tx1"/>
                  </w14:solidFill>
                </w14:textFill>
              </w:rPr>
              <w:t>水源地</w:t>
            </w:r>
            <w:r>
              <w:rPr>
                <w:rFonts w:ascii="Times New Roman" w:hAnsi="Times New Roman" w:eastAsiaTheme="minorEastAsia"/>
                <w:color w:val="000000" w:themeColor="text1"/>
                <w:kern w:val="0"/>
                <w14:textFill>
                  <w14:solidFill>
                    <w14:schemeClr w14:val="tx1"/>
                  </w14:solidFill>
                </w14:textFill>
              </w:rPr>
              <w:t>保护区</w:t>
            </w:r>
            <w:r>
              <w:rPr>
                <w:rFonts w:hint="eastAsia" w:ascii="Times New Roman" w:hAnsi="Times New Roman" w:eastAsiaTheme="minorEastAsia"/>
                <w:color w:val="000000" w:themeColor="text1"/>
                <w:kern w:val="0"/>
                <w14:textFill>
                  <w14:solidFill>
                    <w14:schemeClr w14:val="tx1"/>
                  </w14:solidFill>
                </w14:textFill>
              </w:rPr>
              <w:t>范围</w:t>
            </w:r>
            <w:r>
              <w:rPr>
                <w:rFonts w:ascii="Times New Roman" w:hAnsi="Times New Roman" w:eastAsiaTheme="minorEastAsia"/>
                <w:color w:val="000000" w:themeColor="text1"/>
                <w:kern w:val="0"/>
                <w14:textFill>
                  <w14:solidFill>
                    <w14:schemeClr w14:val="tx1"/>
                  </w14:solidFill>
                </w14:textFill>
              </w:rPr>
              <w:t>，见附图14</w:t>
            </w:r>
          </w:p>
        </w:tc>
        <w:tc>
          <w:tcPr>
            <w:tcW w:w="187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该取水口取水水量为1500万m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/a，其中80.3万m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/a用于文桥镇水厂和陆城镇水厂取水，其余为长岭炼油厂工业取水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岳阳市云溪区道仁矶水厂长江取水口饮用水水源保护区</w:t>
            </w:r>
          </w:p>
        </w:tc>
        <w:tc>
          <w:tcPr>
            <w:tcW w:w="1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取水口坐标为E：113°13'40.47"，N：29°32'23.90"。水源地二级保护区下边界与本项目的上边界最近直线距离约7.5km，见附图15</w:t>
            </w:r>
          </w:p>
        </w:tc>
        <w:tc>
          <w:tcPr>
            <w:tcW w:w="187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该取水口取水量为40.15万m³/a（1100m³/d），服务人口为9429人，服务范围为居委会、滨江村、泗泷村、丁山村、柳田村、基隆村等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临湘市工业园滨江产业示范区自来水厂（取水口）</w:t>
            </w:r>
          </w:p>
        </w:tc>
        <w:tc>
          <w:tcPr>
            <w:tcW w:w="1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取水口坐标为E：113°19'12.06"，N：29°37'42.95"，</w:t>
            </w:r>
            <w:r>
              <w:rPr>
                <w:rFonts w:ascii="Times New Roman" w:hAnsi="Times New Roman" w:eastAsiaTheme="minorEastAsia"/>
                <w:color w:val="000000" w:themeColor="text1"/>
                <w14:textFill>
                  <w14:solidFill>
                    <w14:schemeClr w14:val="tx1"/>
                  </w14:solidFill>
                </w14:textFill>
              </w:rPr>
              <w:t>该取水口位于</w:t>
            </w:r>
            <w:r>
              <w:rPr>
                <w:rFonts w:ascii="Times New Roman" w:hAnsi="Times New Roman" w:eastAsiaTheme="minorEastAsia"/>
                <w:color w:val="000000" w:themeColor="text1"/>
                <w:kern w:val="0"/>
                <w14:textFill>
                  <w14:solidFill>
                    <w14:schemeClr w14:val="tx1"/>
                  </w14:solidFill>
                </w14:textFill>
              </w:rPr>
              <w:t>本项目的下边界最近直线距离约4.8km，见附图16</w:t>
            </w:r>
          </w:p>
        </w:tc>
        <w:tc>
          <w:tcPr>
            <w:tcW w:w="187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该取水口取水主要作为临湘市儒溪工业区工业企业生产用水，兼顾规划区3万居民生活用水，并已建成北控水务集公司团自来水厂，该自来水公司设计供水量5万m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/d，供水范围为儒溪工业规划区约3万人</w:t>
            </w:r>
          </w:p>
        </w:tc>
      </w:tr>
    </w:tbl>
    <w:p>
      <w:pPr>
        <w:snapToGrid w:val="0"/>
        <w:spacing w:line="360" w:lineRule="auto"/>
        <w:ind w:firstLine="440" w:firstLineChars="200"/>
        <w:rPr>
          <w:rFonts w:ascii="Times New Roman" w:hAnsi="Times New Roman" w:eastAsiaTheme="minorEastAsia"/>
          <w:color w:val="000000"/>
          <w:kern w:val="0"/>
          <w:sz w:val="22"/>
          <w:szCs w:val="22"/>
          <w:lang w:bidi="ar"/>
        </w:rPr>
      </w:pPr>
    </w:p>
    <w:p>
      <w:pPr>
        <w:pStyle w:val="5"/>
        <w:rPr>
          <w:rFonts w:eastAsiaTheme="minorEastAsia"/>
        </w:rPr>
      </w:pPr>
      <w:r>
        <w:rPr>
          <w:rFonts w:eastAsiaTheme="minorEastAsia"/>
        </w:rPr>
        <w:t>区域水环境质量现状</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本项目涉及的水体为长江岳阳段</w:t>
      </w:r>
      <w:r>
        <w:rPr>
          <w:rFonts w:ascii="Times New Roman" w:hAnsi="Times New Roman" w:eastAsiaTheme="minorEastAsia"/>
          <w:color w:val="000000" w:themeColor="text1"/>
          <w:sz w:val="24"/>
          <w:szCs w:val="24"/>
          <w14:textFill>
            <w14:solidFill>
              <w14:schemeClr w14:val="tx1"/>
            </w14:solidFill>
          </w14:textFill>
        </w:rPr>
        <w:t>渔业用水区。为了解项目所在地地表水环境质量状况，本评价收集了2018年岳阳市水环境质量年报数据。根据2018年月岳阳市水环境质量年报显示，2018年“陆城监测断面”和“城陵矶监测断面”水质均达到地表水</w:t>
      </w:r>
      <w:r>
        <w:rPr>
          <w:rFonts w:hint="eastAsia" w:ascii="宋体" w:hAnsi="宋体" w:cs="宋体"/>
          <w:color w:val="000000" w:themeColor="text1"/>
          <w:sz w:val="24"/>
          <w:szCs w:val="24"/>
          <w14:textFill>
            <w14:solidFill>
              <w14:schemeClr w14:val="tx1"/>
            </w14:solidFill>
          </w14:textFill>
        </w:rPr>
        <w:t>Ⅲ</w:t>
      </w:r>
      <w:r>
        <w:rPr>
          <w:rFonts w:ascii="Times New Roman" w:hAnsi="Times New Roman" w:eastAsiaTheme="minorEastAsia"/>
          <w:color w:val="000000" w:themeColor="text1"/>
          <w:sz w:val="24"/>
          <w:szCs w:val="24"/>
          <w14:textFill>
            <w14:solidFill>
              <w14:schemeClr w14:val="tx1"/>
            </w14:solidFill>
          </w14:textFill>
        </w:rPr>
        <w:t>类水质要求。</w:t>
      </w:r>
    </w:p>
    <w:p>
      <w:pPr>
        <w:pStyle w:val="5"/>
        <w:rPr>
          <w:rFonts w:eastAsiaTheme="minorEastAsia"/>
        </w:rPr>
      </w:pPr>
      <w:r>
        <w:rPr>
          <w:rFonts w:eastAsiaTheme="minorEastAsia"/>
        </w:rPr>
        <w:t>常规监测数据收集</w:t>
      </w:r>
    </w:p>
    <w:p>
      <w:pPr>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本评价收集了长江常规监测断面-城陵矶断面和陆城断面2016-2018年的水质监测资料，监测因子包括pH值、溶解氧、化学需氧量、</w:t>
      </w:r>
      <w:r>
        <w:rPr>
          <w:rFonts w:hint="eastAsia" w:ascii="Times New Roman" w:hAnsi="Times New Roman" w:eastAsiaTheme="minorEastAsia"/>
          <w:color w:val="000000" w:themeColor="text1"/>
          <w:sz w:val="24"/>
          <w:szCs w:val="24"/>
          <w14:textFill>
            <w14:solidFill>
              <w14:schemeClr w14:val="tx1"/>
            </w14:solidFill>
          </w14:textFill>
        </w:rPr>
        <w:t>五日生化需氧量</w:t>
      </w:r>
      <w:r>
        <w:rPr>
          <w:rFonts w:ascii="Times New Roman" w:hAnsi="Times New Roman" w:eastAsiaTheme="minorEastAsia"/>
          <w:color w:val="000000" w:themeColor="text1"/>
          <w:sz w:val="24"/>
          <w:szCs w:val="24"/>
          <w14:textFill>
            <w14:solidFill>
              <w14:schemeClr w14:val="tx1"/>
            </w14:solidFill>
          </w14:textFill>
        </w:rPr>
        <w:t>、氨氮、总磷、铜、锌、氟化物、硒、砷、汞、镉、六价铬、铅、氰化物、挥发酚、石油类、阴离子表面活性剂和硫化物。监测统计结果见表4.4-2和4.4-3。</w:t>
      </w:r>
    </w:p>
    <w:p>
      <w:pPr>
        <w:wordWrap w:val="0"/>
        <w:snapToGrid w:val="0"/>
        <w:spacing w:line="276" w:lineRule="auto"/>
        <w:jc w:val="right"/>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 xml:space="preserve">表4.4-2  </w:t>
      </w:r>
      <w:r>
        <w:rPr>
          <w:rFonts w:ascii="Times New Roman" w:hAnsi="Times New Roman" w:eastAsiaTheme="minorEastAsia"/>
          <w:b/>
          <w:bCs/>
          <w:color w:val="000000" w:themeColor="text1"/>
          <w:sz w:val="24"/>
          <w:szCs w:val="24"/>
          <w14:textFill>
            <w14:solidFill>
              <w14:schemeClr w14:val="tx1"/>
            </w14:solidFill>
          </w14:textFill>
        </w:rPr>
        <w:t>城陵矶断面常规监测数据（</w:t>
      </w:r>
      <w:r>
        <w:rPr>
          <w:rFonts w:ascii="Times New Roman" w:hAnsi="Times New Roman" w:eastAsiaTheme="minorEastAsia"/>
          <w:b/>
          <w:color w:val="000000" w:themeColor="text1"/>
          <w:sz w:val="24"/>
          <w:szCs w:val="24"/>
          <w14:textFill>
            <w14:solidFill>
              <w14:schemeClr w14:val="tx1"/>
            </w14:solidFill>
          </w14:textFill>
        </w:rPr>
        <w:t>2016-2018</w:t>
      </w:r>
      <w:r>
        <w:rPr>
          <w:rFonts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imes New Roman" w:eastAsiaTheme="minorEastAsia"/>
          <w:b/>
          <w:bCs/>
          <w:color w:val="000000" w:themeColor="text1"/>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单位：mg/L</w:t>
      </w:r>
    </w:p>
    <w:tbl>
      <w:tblPr>
        <w:tblStyle w:val="7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900"/>
        <w:gridCol w:w="954"/>
        <w:gridCol w:w="1026"/>
        <w:gridCol w:w="1260"/>
        <w:gridCol w:w="1376"/>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2231" w:type="dxa"/>
            <w:tcBorders>
              <w:tl2br w:val="single" w:color="auto" w:sz="12" w:space="0"/>
            </w:tcBorders>
            <w:tcMar>
              <w:left w:w="0" w:type="dxa"/>
              <w:right w:w="0" w:type="dxa"/>
            </w:tcMar>
            <w:vAlign w:val="center"/>
          </w:tcPr>
          <w:p>
            <w:pPr>
              <w:adjustRightInd w:val="0"/>
              <w:snapToGrid w:val="0"/>
              <w:jc w:val="right"/>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 xml:space="preserve">          项 目</w:t>
            </w:r>
          </w:p>
          <w:p>
            <w:pPr>
              <w:adjustRightInd w:val="0"/>
              <w:snapToGrid w:val="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监测因子</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最小值</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最大值</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平均值</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超标率（%）</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最大超标倍数</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标准值</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w:t>
            </w:r>
            <w:r>
              <w:rPr>
                <w:rFonts w:hint="eastAsia" w:ascii="宋体" w:hAnsi="宋体" w:cs="宋体"/>
                <w:b/>
                <w:color w:val="000000" w:themeColor="text1"/>
                <w14:textFill>
                  <w14:solidFill>
                    <w14:schemeClr w14:val="tx1"/>
                  </w14:solidFill>
                </w14:textFill>
              </w:rPr>
              <w:t>Ⅲ</w:t>
            </w:r>
            <w:r>
              <w:rPr>
                <w:rFonts w:ascii="Times New Roman" w:hAnsi="Times New Roman" w:eastAsiaTheme="minorEastAsia"/>
                <w:b/>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2016年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r>
              <w:rPr>
                <w:rFonts w:hint="eastAsia" w:ascii="Times New Roman" w:hAnsi="Times New Roman" w:eastAsiaTheme="minorEastAsia"/>
                <w:color w:val="000000" w:themeColor="text1"/>
                <w14:textFill>
                  <w14:solidFill>
                    <w14:schemeClr w14:val="tx1"/>
                  </w14:solidFill>
                </w14:textFill>
              </w:rPr>
              <w:t>值</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7.51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7.9</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7.67</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7.23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8.07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7.66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1.77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五日生化</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0.43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1.47</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0.065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0.249</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0.127</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0.00833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0.0009</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0.000018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0.001167</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化学</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4.31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10.36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8.23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0.059</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0.168</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0.108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0.00067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0.00374</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0.583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0.303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0.000213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0.002167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0.001161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0.001117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0.00036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0.0087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r>
              <w:rPr>
                <w:rFonts w:hint="eastAsia" w:ascii="Times New Roman" w:hAnsi="Times New Roman" w:eastAsiaTheme="minorEastAsia"/>
                <w:color w:val="000000" w:themeColor="text1"/>
                <w14:textFill>
                  <w14:solidFill>
                    <w14:schemeClr w14:val="tx1"/>
                  </w14:solidFill>
                </w14:textFill>
              </w:rPr>
              <w:t>值</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7.37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7.75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w:t>
            </w:r>
            <w:r>
              <w:rPr>
                <w:rFonts w:hint="eastAsia" w:ascii="Times New Roman" w:hAnsi="Times New Roman" w:eastAsiaTheme="minorEastAsia"/>
                <w:color w:val="000000" w:themeColor="text1"/>
                <w14:textFill>
                  <w14:solidFill>
                    <w14:schemeClr w14:val="tx1"/>
                  </w14:solidFill>
                </w14:textFill>
              </w:rPr>
              <w:t>52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4.83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8.9</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7.38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1.83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2.17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2.0</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8.33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15.0</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10.29</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五日生化</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0.5L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1.29</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0.03</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0.1970</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0.14</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0.148</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0.103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0.000733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w:t>
            </w:r>
            <w:r>
              <w:rPr>
                <w:rFonts w:ascii="Times New Roman" w:hAnsi="Times New Roman" w:eastAsiaTheme="minorEastAsia"/>
                <w:color w:val="000000" w:themeColor="text1"/>
                <w14:textFill>
                  <w14:solidFill>
                    <w14:schemeClr w14:val="tx1"/>
                  </w14:solidFill>
                </w14:textFill>
              </w:rPr>
              <w:t>158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0.004</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0.004</w:t>
            </w:r>
            <w:r>
              <w:rPr>
                <w:rFonts w:ascii="Times New Roman" w:hAnsi="Times New Roman" w:eastAsiaTheme="minorEastAsia"/>
                <w:color w:val="000000" w:themeColor="text1"/>
                <w14:textFill>
                  <w14:solidFill>
                    <w14:schemeClr w14:val="tx1"/>
                  </w14:solidFill>
                </w14:textFill>
              </w:rPr>
              <w:t>155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w:t>
            </w:r>
            <w:r>
              <w:rPr>
                <w:rFonts w:ascii="Times New Roman" w:hAnsi="Times New Roman" w:eastAsiaTheme="minorEastAsia"/>
                <w:color w:val="000000" w:themeColor="text1"/>
                <w14:textFill>
                  <w14:solidFill>
                    <w14:schemeClr w14:val="tx1"/>
                  </w14:solidFill>
                </w14:textFill>
              </w:rPr>
              <w:t>382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w:t>
            </w:r>
            <w:r>
              <w:rPr>
                <w:rFonts w:ascii="Times New Roman" w:hAnsi="Times New Roman" w:eastAsiaTheme="minorEastAsia"/>
                <w:color w:val="000000" w:themeColor="text1"/>
                <w14:textFill>
                  <w14:solidFill>
                    <w14:schemeClr w14:val="tx1"/>
                  </w14:solidFill>
                </w14:textFill>
              </w:rPr>
              <w:t>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w:t>
            </w:r>
            <w:r>
              <w:rPr>
                <w:rFonts w:ascii="Times New Roman" w:hAnsi="Times New Roman" w:eastAsiaTheme="minorEastAsia"/>
                <w:color w:val="000000" w:themeColor="text1"/>
                <w14:textFill>
                  <w14:solidFill>
                    <w14:schemeClr w14:val="tx1"/>
                  </w14:solidFill>
                </w14:textFill>
              </w:rPr>
              <w:t>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w:t>
            </w:r>
            <w:r>
              <w:rPr>
                <w:rFonts w:ascii="Times New Roman" w:hAnsi="Times New Roman" w:eastAsiaTheme="minorEastAsia"/>
                <w:color w:val="000000" w:themeColor="text1"/>
                <w14:textFill>
                  <w14:solidFill>
                    <w14:schemeClr w14:val="tx1"/>
                  </w14:solidFill>
                </w14:textFill>
              </w:rPr>
              <w:t>0</w:t>
            </w:r>
            <w:r>
              <w:rPr>
                <w:rFonts w:hint="eastAsia" w:ascii="Times New Roman" w:hAnsi="Times New Roman" w:eastAsiaTheme="minorEastAsia"/>
                <w:color w:val="000000" w:themeColor="text1"/>
                <w14:textFill>
                  <w14:solidFill>
                    <w14:schemeClr w14:val="tx1"/>
                  </w14:solidFill>
                </w14:textFill>
              </w:rPr>
              <w:t>5L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w:t>
            </w:r>
            <w:r>
              <w:rPr>
                <w:rFonts w:ascii="Times New Roman" w:hAnsi="Times New Roman" w:eastAsiaTheme="minorEastAsia"/>
                <w:color w:val="000000" w:themeColor="text1"/>
                <w14:textFill>
                  <w14:solidFill>
                    <w14:schemeClr w14:val="tx1"/>
                  </w14:solidFill>
                </w14:textFill>
              </w:rPr>
              <w:t>0</w:t>
            </w:r>
            <w:r>
              <w:rPr>
                <w:rFonts w:hint="eastAsia" w:ascii="Times New Roman" w:hAnsi="Times New Roman" w:eastAsiaTheme="minorEastAsia"/>
                <w:color w:val="000000" w:themeColor="text1"/>
                <w14:textFill>
                  <w14:solidFill>
                    <w14:schemeClr w14:val="tx1"/>
                  </w14:solidFill>
                </w14:textFill>
              </w:rPr>
              <w:t>5L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w:t>
            </w:r>
            <w:r>
              <w:rPr>
                <w:rFonts w:ascii="Times New Roman" w:hAnsi="Times New Roman" w:eastAsiaTheme="minorEastAsia"/>
                <w:color w:val="000000" w:themeColor="text1"/>
                <w14:textFill>
                  <w14:solidFill>
                    <w14:schemeClr w14:val="tx1"/>
                  </w14:solidFill>
                </w14:textFill>
              </w:rPr>
              <w:t>0</w:t>
            </w:r>
            <w:r>
              <w:rPr>
                <w:rFonts w:hint="eastAsia" w:ascii="Times New Roman" w:hAnsi="Times New Roman" w:eastAsiaTheme="minorEastAsia"/>
                <w:color w:val="000000" w:themeColor="text1"/>
                <w14:textFill>
                  <w14:solidFill>
                    <w14:schemeClr w14:val="tx1"/>
                  </w14:solidFill>
                </w14:textFill>
              </w:rPr>
              <w:t>5L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r>
              <w:rPr>
                <w:rFonts w:hint="eastAsia" w:ascii="Times New Roman" w:hAnsi="Times New Roman" w:eastAsiaTheme="minorEastAsia"/>
                <w:color w:val="000000" w:themeColor="text1"/>
                <w14:textFill>
                  <w14:solidFill>
                    <w14:schemeClr w14:val="tx1"/>
                  </w14:solidFill>
                </w14:textFill>
              </w:rPr>
              <w:t>值</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7.44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8.18</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7.98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7.11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10.64</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8.79</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1.6</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化学</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13.0</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五日生化</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w:t>
            </w:r>
            <w:r>
              <w:rPr>
                <w:rFonts w:ascii="Times New Roman" w:hAnsi="Times New Roman" w:eastAsiaTheme="minorEastAsia"/>
                <w:color w:val="000000" w:themeColor="text1"/>
                <w14:textFill>
                  <w14:solidFill>
                    <w14:schemeClr w14:val="tx1"/>
                  </w14:solidFill>
                </w14:textFill>
              </w:rPr>
              <w:t>.25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0.78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w:t>
            </w:r>
            <w:r>
              <w:rPr>
                <w:rFonts w:ascii="Times New Roman" w:hAnsi="Times New Roman" w:eastAsiaTheme="minorEastAsia"/>
                <w:color w:val="000000" w:themeColor="text1"/>
                <w14:textFill>
                  <w14:solidFill>
                    <w14:schemeClr w14:val="tx1"/>
                  </w14:solidFill>
                </w14:textFill>
              </w:rPr>
              <w:t>0</w:t>
            </w:r>
            <w:r>
              <w:rPr>
                <w:rFonts w:hint="eastAsia" w:ascii="Times New Roman" w:hAnsi="Times New Roman" w:eastAsiaTheme="minorEastAsia"/>
                <w:color w:val="000000" w:themeColor="text1"/>
                <w14:textFill>
                  <w14:solidFill>
                    <w14:schemeClr w14:val="tx1"/>
                  </w14:solidFill>
                </w14:textFill>
              </w:rPr>
              <w:t>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0.46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0.06</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0.187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0.096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0.005333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w:t>
            </w:r>
            <w:r>
              <w:rPr>
                <w:rFonts w:ascii="Times New Roman" w:hAnsi="Times New Roman" w:eastAsiaTheme="minorEastAsia"/>
                <w:color w:val="000000" w:themeColor="text1"/>
                <w14:textFill>
                  <w14:solidFill>
                    <w14:schemeClr w14:val="tx1"/>
                  </w14:solidFill>
                </w14:textFill>
              </w:rPr>
              <w:t>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0.00767</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w:t>
            </w:r>
            <w:r>
              <w:rPr>
                <w:rFonts w:ascii="Times New Roman" w:hAnsi="Times New Roman" w:eastAsiaTheme="minorEastAsia"/>
                <w:color w:val="000000" w:themeColor="text1"/>
                <w14:textFill>
                  <w14:solidFill>
                    <w14:schemeClr w14:val="tx1"/>
                  </w14:solidFill>
                </w14:textFill>
              </w:rPr>
              <w:t>16</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0.24</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0.192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0.00947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0.003378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w:t>
            </w:r>
            <w:r>
              <w:rPr>
                <w:rFonts w:ascii="Times New Roman" w:hAnsi="Times New Roman" w:eastAsiaTheme="minorEastAsia"/>
                <w:color w:val="000000" w:themeColor="text1"/>
                <w14:textFill>
                  <w14:solidFill>
                    <w14:schemeClr w14:val="tx1"/>
                  </w14:solidFill>
                </w14:textFill>
              </w:rPr>
              <w:t>2L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0.000023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0.000072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0.000402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0.0014</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0.0011</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0.00036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06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0.0083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bl>
    <w:p>
      <w:pPr>
        <w:adjustRightInd w:val="0"/>
        <w:snapToGrid w:val="0"/>
        <w:spacing w:line="360" w:lineRule="auto"/>
        <w:rPr>
          <w:rFonts w:ascii="Times New Roman" w:hAnsi="Times New Roman" w:eastAsiaTheme="minorEastAsia"/>
          <w:color w:val="FF0000"/>
          <w:sz w:val="24"/>
          <w:szCs w:val="24"/>
        </w:rPr>
      </w:pPr>
    </w:p>
    <w:p>
      <w:pPr>
        <w:adjustRightInd w:val="0"/>
        <w:snapToGrid w:val="0"/>
        <w:ind w:right="120"/>
        <w:jc w:val="righ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 xml:space="preserve">表4.4-3  </w:t>
      </w:r>
      <w:r>
        <w:rPr>
          <w:rFonts w:ascii="Times New Roman" w:hAnsi="Times New Roman" w:eastAsiaTheme="minorEastAsia"/>
          <w:b/>
          <w:bCs/>
          <w:color w:val="000000" w:themeColor="text1"/>
          <w:sz w:val="24"/>
          <w:szCs w:val="24"/>
          <w14:textFill>
            <w14:solidFill>
              <w14:schemeClr w14:val="tx1"/>
            </w14:solidFill>
          </w14:textFill>
        </w:rPr>
        <w:t>陆城断面常规监测数据（</w:t>
      </w:r>
      <w:r>
        <w:rPr>
          <w:rFonts w:ascii="Times New Roman" w:hAnsi="Times New Roman" w:eastAsiaTheme="minorEastAsia"/>
          <w:b/>
          <w:color w:val="000000" w:themeColor="text1"/>
          <w:sz w:val="24"/>
          <w:szCs w:val="24"/>
          <w14:textFill>
            <w14:solidFill>
              <w14:schemeClr w14:val="tx1"/>
            </w14:solidFill>
          </w14:textFill>
        </w:rPr>
        <w:t>2016-2018</w:t>
      </w:r>
      <w:r>
        <w:rPr>
          <w:rFonts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单位：mg/L</w:t>
      </w:r>
    </w:p>
    <w:tbl>
      <w:tblPr>
        <w:tblStyle w:val="7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900"/>
        <w:gridCol w:w="954"/>
        <w:gridCol w:w="1026"/>
        <w:gridCol w:w="1260"/>
        <w:gridCol w:w="1376"/>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2231" w:type="dxa"/>
            <w:tcBorders>
              <w:tl2br w:val="single" w:color="auto" w:sz="12" w:space="0"/>
            </w:tcBorders>
            <w:tcMar>
              <w:left w:w="0" w:type="dxa"/>
              <w:right w:w="0" w:type="dxa"/>
            </w:tcMar>
            <w:vAlign w:val="center"/>
          </w:tcPr>
          <w:p>
            <w:pPr>
              <w:adjustRightInd w:val="0"/>
              <w:snapToGrid w:val="0"/>
              <w:jc w:val="right"/>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 xml:space="preserve">          项 目</w:t>
            </w:r>
          </w:p>
          <w:p>
            <w:pPr>
              <w:adjustRightInd w:val="0"/>
              <w:snapToGrid w:val="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监测因子</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最小值</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最大值</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平均值</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超标率（%）</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最大超标倍数</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标准值</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w:t>
            </w:r>
            <w:r>
              <w:rPr>
                <w:rFonts w:hint="eastAsia" w:ascii="宋体" w:hAnsi="宋体" w:cs="宋体"/>
                <w:b/>
                <w:color w:val="000000" w:themeColor="text1"/>
                <w14:textFill>
                  <w14:solidFill>
                    <w14:schemeClr w14:val="tx1"/>
                  </w14:solidFill>
                </w14:textFill>
              </w:rPr>
              <w:t>Ⅲ</w:t>
            </w:r>
            <w:r>
              <w:rPr>
                <w:rFonts w:ascii="Times New Roman" w:hAnsi="Times New Roman" w:eastAsiaTheme="minorEastAsia"/>
                <w:b/>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9023" w:type="dxa"/>
            <w:gridSpan w:val="7"/>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2016年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r>
              <w:rPr>
                <w:rFonts w:hint="eastAsia" w:ascii="Times New Roman" w:hAnsi="Times New Roman" w:eastAsiaTheme="minorEastAsia"/>
                <w:color w:val="000000" w:themeColor="text1"/>
                <w14:textFill>
                  <w14:solidFill>
                    <w14:schemeClr w14:val="tx1"/>
                  </w14:solidFill>
                </w14:textFill>
              </w:rPr>
              <w:t>值</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7.95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7.61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6.7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8.13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1.83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2.94</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五日生化</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1.68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0.439</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0.233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0.00833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w:t>
            </w:r>
            <w:r>
              <w:rPr>
                <w:rFonts w:ascii="Times New Roman" w:hAnsi="Times New Roman" w:eastAsiaTheme="minorEastAsia"/>
                <w:color w:val="000000" w:themeColor="text1"/>
                <w14:textFill>
                  <w14:solidFill>
                    <w14:schemeClr w14:val="tx1"/>
                  </w14:solidFill>
                </w14:textFill>
              </w:rPr>
              <w:t>0</w:t>
            </w:r>
            <w:r>
              <w:rPr>
                <w:rFonts w:hint="eastAsia" w:ascii="Times New Roman" w:hAnsi="Times New Roman" w:eastAsiaTheme="minorEastAsia"/>
                <w:color w:val="000000" w:themeColor="text1"/>
                <w14:textFill>
                  <w14:solidFill>
                    <w14:schemeClr w14:val="tx1"/>
                  </w14:solidFill>
                </w14:textFill>
              </w:rPr>
              <w:t>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0.000018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0.001103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化学</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4.08</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11.3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9.14</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0.061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w:t>
            </w:r>
            <w:r>
              <w:rPr>
                <w:rFonts w:ascii="Times New Roman" w:hAnsi="Times New Roman" w:eastAsiaTheme="minorEastAsia"/>
                <w:color w:val="000000" w:themeColor="text1"/>
                <w14:textFill>
                  <w14:solidFill>
                    <w14:schemeClr w14:val="tx1"/>
                  </w14:solidFill>
                </w14:textFill>
              </w:rPr>
              <w:t>.176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0.103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0.00393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0.00667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0.002514</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0.123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0.567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0.298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0.000213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0.002533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0.001822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0.000383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0.000275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0.0077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9023" w:type="dxa"/>
            <w:gridSpan w:val="7"/>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r>
              <w:rPr>
                <w:rFonts w:hint="eastAsia" w:ascii="Times New Roman" w:hAnsi="Times New Roman" w:eastAsiaTheme="minorEastAsia"/>
                <w:color w:val="000000" w:themeColor="text1"/>
                <w14:textFill>
                  <w14:solidFill>
                    <w14:schemeClr w14:val="tx1"/>
                  </w14:solidFill>
                </w14:textFill>
              </w:rPr>
              <w:t>值</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7.14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7.69</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7.41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9.1</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7.36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2.03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2.37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2.205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9.4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14.0</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12.1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五日生化</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0.77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1.83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1.25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0.343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0.16</w:t>
            </w:r>
            <w:r>
              <w:rPr>
                <w:rFonts w:ascii="Times New Roman" w:hAnsi="Times New Roman" w:eastAsiaTheme="minorEastAsia"/>
                <w:color w:val="000000" w:themeColor="text1"/>
                <w14:textFill>
                  <w14:solidFill>
                    <w14:schemeClr w14:val="tx1"/>
                  </w14:solidFill>
                </w14:textFill>
              </w:rPr>
              <w:t>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0.068</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0.0131</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0.0866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0.004</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0.0042</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0.0003L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0.00087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0.000503</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0.05L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hint="eastAsia" w:ascii="Times New Roman" w:hAnsi="Times New Roman" w:eastAsiaTheme="minorEastAsia"/>
                <w:b/>
                <w:color w:val="000000" w:themeColor="text1"/>
                <w14:textFill>
                  <w14:solidFill>
                    <w14:schemeClr w14:val="tx1"/>
                  </w14:solidFill>
                </w14:textFill>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r>
              <w:rPr>
                <w:rFonts w:hint="eastAsia" w:ascii="Times New Roman" w:hAnsi="Times New Roman" w:eastAsiaTheme="minorEastAsia"/>
                <w:color w:val="000000" w:themeColor="text1"/>
                <w14:textFill>
                  <w14:solidFill>
                    <w14:schemeClr w14:val="tx1"/>
                  </w14:solidFill>
                </w14:textFill>
              </w:rPr>
              <w:t>值</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7.49</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8.15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7.7</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6.73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8.28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1.9</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2.6</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化学</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15.7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12.5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五日生化</w:t>
            </w:r>
            <w:r>
              <w:rPr>
                <w:rFonts w:ascii="Times New Roman" w:hAnsi="Times New Roman" w:eastAsiaTheme="minorEastAsia"/>
                <w:color w:val="000000" w:themeColor="text1"/>
                <w14:textFill>
                  <w14:solidFill>
                    <w14:schemeClr w14:val="tx1"/>
                  </w14:solidFill>
                </w14:textFill>
              </w:rPr>
              <w:t>需氧量</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0.58</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1.74</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0.27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0.08</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0.07</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0.11</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0.091</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0.005667</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0.003014</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0.025</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0.025</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0.153</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0.353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0.247</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w:t>
            </w:r>
            <w:r>
              <w:rPr>
                <w:rFonts w:ascii="Times New Roman" w:hAnsi="Times New Roman" w:eastAsiaTheme="minorEastAsia"/>
                <w:color w:val="000000" w:themeColor="text1"/>
                <w14:textFill>
                  <w14:solidFill>
                    <w14:schemeClr w14:val="tx1"/>
                  </w14:solidFill>
                </w14:textFill>
              </w:rPr>
              <w:t>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0.0002</w:t>
            </w:r>
            <w:r>
              <w:rPr>
                <w:rFonts w:ascii="Times New Roman" w:hAnsi="Times New Roman" w:eastAsiaTheme="minorEastAsia"/>
                <w:color w:val="000000" w:themeColor="text1"/>
                <w14:textFill>
                  <w14:solidFill>
                    <w14:schemeClr w14:val="tx1"/>
                  </w14:solidFill>
                </w14:textFill>
              </w:rPr>
              <w:t>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0.00015</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0.006133</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0.002796</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0.00002</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0.00002</w:t>
            </w:r>
            <w:r>
              <w:rPr>
                <w:rFonts w:ascii="Times New Roman" w:hAnsi="Times New Roman" w:eastAsiaTheme="minorEastAsia"/>
                <w:color w:val="000000" w:themeColor="text1"/>
                <w14:textFill>
                  <w14:solidFill>
                    <w14:schemeClr w14:val="tx1"/>
                  </w14:solidFill>
                </w14:textFill>
              </w:rPr>
              <w:t>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0.00002</w:t>
            </w:r>
            <w:r>
              <w:rPr>
                <w:rFonts w:ascii="Times New Roman" w:hAnsi="Times New Roman" w:eastAsiaTheme="minorEastAsia"/>
                <w:color w:val="000000" w:themeColor="text1"/>
                <w14:textFill>
                  <w14:solidFill>
                    <w14:schemeClr w14:val="tx1"/>
                  </w14:solidFill>
                </w14:textFill>
              </w:rPr>
              <w:t>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0.00005L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0.00005L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0.00005L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0.001L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r>
              <w:rPr>
                <w:rFonts w:ascii="Times New Roman" w:hAnsi="Times New Roman" w:eastAsiaTheme="minorEastAsia"/>
                <w:color w:val="000000" w:themeColor="text1"/>
                <w14:textFill>
                  <w14:solidFill>
                    <w14:schemeClr w14:val="tx1"/>
                  </w14:solidFill>
                </w14:textFill>
              </w:rPr>
              <w:t>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0.0005</w:t>
            </w:r>
            <w:r>
              <w:rPr>
                <w:rFonts w:ascii="Times New Roman" w:hAnsi="Times New Roman" w:eastAsiaTheme="minorEastAsia"/>
                <w:color w:val="000000" w:themeColor="text1"/>
                <w14:textFill>
                  <w14:solidFill>
                    <w14:schemeClr w14:val="tx1"/>
                  </w14:solidFill>
                </w14:textFill>
              </w:rPr>
              <w:t>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0.00015</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0.00015</w:t>
            </w:r>
            <w:r>
              <w:rPr>
                <w:rFonts w:ascii="Times New Roman" w:hAnsi="Times New Roman" w:eastAsiaTheme="minorEastAsia"/>
                <w:color w:val="000000" w:themeColor="text1"/>
                <w14:textFill>
                  <w14:solidFill>
                    <w14:schemeClr w14:val="tx1"/>
                  </w14:solidFill>
                </w14:textFill>
              </w:rPr>
              <w:t>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0.00015</w:t>
            </w:r>
            <w:r>
              <w:rPr>
                <w:rFonts w:ascii="Times New Roman" w:hAnsi="Times New Roman" w:eastAsiaTheme="minorEastAsia"/>
                <w:color w:val="000000" w:themeColor="text1"/>
                <w14:textFill>
                  <w14:solidFill>
                    <w14:schemeClr w14:val="tx1"/>
                  </w14:solidFill>
                </w14:textFill>
              </w:rPr>
              <w:t>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r>
              <w:rPr>
                <w:rFonts w:ascii="Times New Roman" w:hAnsi="Times New Roman" w:eastAsiaTheme="minorEastAsia"/>
                <w:color w:val="000000" w:themeColor="text1"/>
                <w14:textFill>
                  <w14:solidFill>
                    <w14:schemeClr w14:val="tx1"/>
                  </w14:solidFill>
                </w14:textFill>
              </w:rPr>
              <w:t>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r>
              <w:rPr>
                <w:rFonts w:ascii="Times New Roman" w:hAnsi="Times New Roman" w:eastAsiaTheme="minorEastAsia"/>
                <w:color w:val="000000" w:themeColor="text1"/>
                <w14:textFill>
                  <w14:solidFill>
                    <w14:schemeClr w14:val="tx1"/>
                  </w14:solidFill>
                </w14:textFill>
              </w:rPr>
              <w:t>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0.005</w:t>
            </w:r>
            <w:r>
              <w:rPr>
                <w:rFonts w:ascii="Times New Roman" w:hAnsi="Times New Roman" w:eastAsiaTheme="minorEastAsia"/>
                <w:color w:val="000000" w:themeColor="text1"/>
                <w14:textFill>
                  <w14:solidFill>
                    <w14:schemeClr w14:val="tx1"/>
                  </w14:solidFill>
                </w14:textFill>
              </w:rPr>
              <w:t>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0.02L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0.0025L</w:t>
            </w:r>
          </w:p>
        </w:tc>
        <w:tc>
          <w:tcPr>
            <w:tcW w:w="954"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0.0025L</w:t>
            </w:r>
          </w:p>
        </w:tc>
        <w:tc>
          <w:tcPr>
            <w:tcW w:w="102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0.0025L</w:t>
            </w:r>
          </w:p>
        </w:tc>
        <w:tc>
          <w:tcPr>
            <w:tcW w:w="1260"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l2br w:val="nil"/>
              <w:tr2bl w:val="nil"/>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bl>
    <w:p>
      <w:pPr>
        <w:adjustRightInd w:val="0"/>
        <w:snapToGrid w:val="0"/>
        <w:rPr>
          <w:rFonts w:ascii="Times New Roman" w:hAnsi="Times New Roman" w:eastAsiaTheme="minorEastAsia"/>
          <w:color w:val="FF0000"/>
          <w:sz w:val="24"/>
          <w:szCs w:val="24"/>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由上表可知，2016-2018年城陵矶断面</w:t>
      </w:r>
      <w:r>
        <w:rPr>
          <w:rFonts w:hint="eastAsia" w:ascii="Times New Roman" w:hAnsi="Times New Roman" w:eastAsiaTheme="minorEastAsia"/>
          <w:color w:val="000000" w:themeColor="text1"/>
          <w:sz w:val="24"/>
          <w:szCs w:val="24"/>
          <w14:textFill>
            <w14:solidFill>
              <w14:schemeClr w14:val="tx1"/>
            </w14:solidFill>
          </w14:textFill>
        </w:rPr>
        <w:t>陆城</w:t>
      </w:r>
      <w:r>
        <w:rPr>
          <w:rFonts w:ascii="Times New Roman" w:hAnsi="Times New Roman" w:eastAsiaTheme="minorEastAsia"/>
          <w:color w:val="000000" w:themeColor="text1"/>
          <w:sz w:val="24"/>
          <w:szCs w:val="24"/>
          <w14:textFill>
            <w14:solidFill>
              <w14:schemeClr w14:val="tx1"/>
            </w14:solidFill>
          </w14:textFill>
        </w:rPr>
        <w:t>断面的常规监测数据均符合《地表水环境质量标准》（GB3838-2002）中的</w:t>
      </w:r>
      <w:r>
        <w:rPr>
          <w:rFonts w:hint="eastAsia" w:ascii="宋体" w:hAnsi="宋体" w:cs="宋体"/>
          <w:color w:val="000000" w:themeColor="text1"/>
          <w:sz w:val="24"/>
          <w:szCs w:val="24"/>
          <w14:textFill>
            <w14:solidFill>
              <w14:schemeClr w14:val="tx1"/>
            </w14:solidFill>
          </w14:textFill>
        </w:rPr>
        <w:t>Ⅲ</w:t>
      </w:r>
      <w:r>
        <w:rPr>
          <w:rFonts w:ascii="Times New Roman" w:hAnsi="Times New Roman" w:eastAsiaTheme="minorEastAsia"/>
          <w:color w:val="000000" w:themeColor="text1"/>
          <w:sz w:val="24"/>
          <w:szCs w:val="24"/>
          <w14:textFill>
            <w14:solidFill>
              <w14:schemeClr w14:val="tx1"/>
            </w14:solidFill>
          </w14:textFill>
        </w:rPr>
        <w:t>类水质标准。</w:t>
      </w:r>
    </w:p>
    <w:p>
      <w:pPr>
        <w:pStyle w:val="5"/>
        <w:ind w:left="0" w:firstLine="0"/>
        <w:rPr>
          <w:rFonts w:eastAsiaTheme="minorEastAsia"/>
        </w:rPr>
      </w:pPr>
      <w:r>
        <w:rPr>
          <w:rFonts w:eastAsiaTheme="minorEastAsia"/>
        </w:rPr>
        <w:t>历史监测数据收集</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次评价引用了《岳阳市云溪区陆城镇水厂文桥镇水厂长江取水口饮用水源保护区划分技术报告》中湖南乾诚检测技术有限公司2019年8月20日对对水源地的水质进行了一次现状监测数据。根据划分报告，其水质监测结果及达标情况，详见表4.4-1。</w:t>
      </w:r>
    </w:p>
    <w:p>
      <w:pPr>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表4.4-4  水源地水质监测结果表  </w:t>
      </w:r>
      <w:r>
        <w:rPr>
          <w:rFonts w:ascii="Times New Roman" w:hAnsi="Times New Roman" w:eastAsiaTheme="minorEastAsia"/>
          <w:sz w:val="24"/>
          <w:szCs w:val="24"/>
        </w:rPr>
        <w:t>单位：mg/L，pH值无量纲，粪大肠菌群：个/L</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66"/>
        <w:gridCol w:w="1438"/>
        <w:gridCol w:w="1400"/>
        <w:gridCol w:w="1438"/>
        <w:gridCol w:w="15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监测因子</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监测结果</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hint="eastAsia" w:ascii="宋体" w:hAnsi="宋体" w:cs="宋体"/>
                <w:b/>
              </w:rPr>
              <w:t>Ⅱ</w:t>
            </w:r>
            <w:r>
              <w:rPr>
                <w:rFonts w:ascii="Times New Roman" w:hAnsi="Times New Roman" w:eastAsiaTheme="minorEastAsia"/>
                <w:b/>
              </w:rPr>
              <w:t>类标准</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标准指数</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是否超标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水温</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pH值</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7.31</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6~9</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0.103</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溶解氧</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7.29</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0.535</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高锰酸钾指数</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2.3</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0.575</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化学需氧量</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0.533</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五日生化需氧量</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0.600</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氨氮</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0.221</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0.442</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总磷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0.025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0.400</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kern w:val="0"/>
              </w:rPr>
              <w:t>总氮</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0.89</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1.78</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铜</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0.001L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锌</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0.004L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氟化物</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0.174</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0.174</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硒</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0.0004L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0.0036</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0.072</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汞</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0.00004L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5×10</w:t>
            </w:r>
            <w:r>
              <w:rPr>
                <w:rFonts w:ascii="Times New Roman" w:hAnsi="Times New Roman" w:eastAsiaTheme="minorEastAsia"/>
                <w:vertAlign w:val="superscript"/>
              </w:rPr>
              <w:t>-5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镉</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0.0001L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六价铬</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0.004L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铅</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0.001L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氰化物</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0.004L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挥发酚</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0.0003L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0.002</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石油类</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0.400</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阴离子表面活性剂</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0.09</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0.450</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硫化物</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0.005L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粪大肠菌群</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1400</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2000</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0.700</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硫酸盐</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17.6</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250</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0.070</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氯化物</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8.15</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250</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0.033</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硝酸盐</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0.624</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0.062</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铁</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rPr>
              <w:t>锰</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0.01L</w:t>
            </w:r>
          </w:p>
        </w:tc>
        <w:tc>
          <w:tcPr>
            <w:tcW w:w="76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三氯甲烷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0.0002</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0.06</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四氯化碳</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0.0001</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三溴甲烷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0.006</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二氯甲烷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0.009</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1,2-二氯乙烷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0.013</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环氧氯丙烷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氯乙烯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1,1-二氯乙烯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2×10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1,2-二氯乙烯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2×10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三氯乙烯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0.003</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0.07</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四氯乙烯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0.0012</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0.04</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氯丁二烯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六氯丁二烯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0.0001</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0.0006</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苯乙烯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0.006L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甲醛</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0.9</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乙醛</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丙烯醛</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三氯乙醛</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0.001</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甲苯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0.7</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乙苯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二甲苯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异丙苯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0.25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0.008L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1,2-二氯苯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0.002</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1,4-二氯苯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0.002</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三氯苯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4×10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四氯苯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2×10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0.02</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六氯苯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2×10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硝基苯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4×10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0.017</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二硝基苯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5×10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2,4-二硝基苯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5×10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2,4,6-三硝基甲苯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5×10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硝基氯苯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5×10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2,4-二硝基氯苯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4×10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2,4-二氯苯酚</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0.0011L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0.093</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2,4,6-三氯苯酚</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0.0012L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五氯酚</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3×10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0.009</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苯胺</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联苯胺</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丙烯酰胺</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5×10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丙烯腈</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邻苯二甲酸二丁酯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邻苯二甲酸二（2-乙基己基）酯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0.008</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水合肼</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0.005L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四乙基铅</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吡啶</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松节油</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苦味酸</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丁基黄原酸</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0.004L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活性氯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滴滴涕</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2×10</w:t>
            </w:r>
            <w:r>
              <w:rPr>
                <w:rFonts w:ascii="Times New Roman" w:hAnsi="Times New Roman" w:cs="Times New Roman" w:eastAsiaTheme="minorEastAsia"/>
                <w:sz w:val="21"/>
                <w:szCs w:val="21"/>
                <w:vertAlign w:val="superscript"/>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林丹</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w:t>
            </w:r>
            <w:r>
              <w:rPr>
                <w:rFonts w:ascii="Times New Roman" w:hAnsi="Times New Roman" w:cs="Times New Roman" w:eastAsiaTheme="minorEastAsia"/>
                <w:sz w:val="21"/>
                <w:szCs w:val="21"/>
                <w:vertAlign w:val="superscript"/>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环氧七氯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0.0002</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对硫磷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0.0001</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甲基对硫磷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0.0001</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马拉硫磷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0.0001</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乐果</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0.0001</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0.08</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敌敌畏</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5×10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敌百虫</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5.1×10</w:t>
            </w:r>
            <w:r>
              <w:rPr>
                <w:rFonts w:ascii="Times New Roman" w:hAnsi="Times New Roman" w:cs="Times New Roman" w:eastAsiaTheme="minorEastAsia"/>
                <w:sz w:val="21"/>
                <w:szCs w:val="21"/>
                <w:vertAlign w:val="superscript"/>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内吸磷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w:t>
            </w:r>
            <w:r>
              <w:rPr>
                <w:rFonts w:ascii="Times New Roman" w:hAnsi="Times New Roman" w:cs="Times New Roman" w:eastAsiaTheme="minorEastAsia"/>
                <w:sz w:val="21"/>
                <w:szCs w:val="21"/>
                <w:vertAlign w:val="superscript"/>
              </w:rPr>
              <w:t>-4</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百菌清</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0.0004</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甲萘威</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溴氰菊酯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0.0002</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阿特拉津</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0.003</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苯并（a）芘</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1.4×10</w:t>
            </w:r>
            <w:r>
              <w:rPr>
                <w:rFonts w:ascii="Times New Roman" w:hAnsi="Times New Roman" w:cs="Times New Roman" w:eastAsiaTheme="minorEastAsia"/>
                <w:sz w:val="21"/>
                <w:szCs w:val="21"/>
                <w:vertAlign w:val="superscript"/>
              </w:rPr>
              <w:t>-6</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2.8×10</w:t>
            </w:r>
            <w:r>
              <w:rPr>
                <w:rFonts w:ascii="Times New Roman" w:hAnsi="Times New Roman" w:eastAsiaTheme="minorEastAsia"/>
                <w:kern w:val="0"/>
                <w:vertAlign w:val="superscript"/>
                <w:lang w:bidi="ar"/>
              </w:rPr>
              <w:t>-6</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甲基汞</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w:t>
            </w:r>
            <w:r>
              <w:rPr>
                <w:rFonts w:ascii="Times New Roman" w:hAnsi="Times New Roman" w:cs="Times New Roman" w:eastAsiaTheme="minorEastAsia"/>
                <w:sz w:val="21"/>
                <w:szCs w:val="21"/>
                <w:vertAlign w:val="superscript"/>
              </w:rPr>
              <w:t>-8</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1.0×10</w:t>
            </w:r>
            <w:r>
              <w:rPr>
                <w:rFonts w:ascii="Times New Roman" w:hAnsi="Times New Roman" w:eastAsiaTheme="minorEastAsia"/>
                <w:kern w:val="0"/>
                <w:vertAlign w:val="superscript"/>
                <w:lang w:bidi="ar"/>
              </w:rPr>
              <w:t>-6</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多氯联苯</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2×10</w:t>
            </w:r>
            <w:r>
              <w:rPr>
                <w:rFonts w:ascii="Times New Roman" w:hAnsi="Times New Roman" w:cs="Times New Roman" w:eastAsiaTheme="minorEastAsia"/>
                <w:sz w:val="21"/>
                <w:szCs w:val="21"/>
                <w:vertAlign w:val="superscript"/>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2.0×10</w:t>
            </w:r>
            <w:r>
              <w:rPr>
                <w:rFonts w:ascii="Times New Roman" w:hAnsi="Times New Roman" w:eastAsiaTheme="minorEastAsia"/>
                <w:kern w:val="0"/>
                <w:vertAlign w:val="superscript"/>
                <w:lang w:bidi="ar"/>
              </w:rPr>
              <w:t>-6</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微囊藻霉素-LR</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6×10</w:t>
            </w:r>
            <w:r>
              <w:rPr>
                <w:rFonts w:ascii="Times New Roman" w:hAnsi="Times New Roman" w:cs="Times New Roman" w:eastAsiaTheme="minorEastAsia"/>
                <w:sz w:val="21"/>
                <w:szCs w:val="21"/>
                <w:vertAlign w:val="superscript"/>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黄磷</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0.003</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钼</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0.07</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钴</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1</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铍</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0.002</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硼</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0.012</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锑</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镍</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0.007L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0.02</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钡</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0.090</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0.7</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钒</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0.05</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钛</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0.1</w:t>
            </w:r>
          </w:p>
        </w:tc>
        <w:tc>
          <w:tcPr>
            <w:tcW w:w="790"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795"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铊</w:t>
            </w:r>
          </w:p>
        </w:tc>
        <w:tc>
          <w:tcPr>
            <w:tcW w:w="790" w:type="pct"/>
            <w:tcMar>
              <w:top w:w="0" w:type="dxa"/>
              <w:left w:w="0" w:type="dxa"/>
              <w:bottom w:w="0" w:type="dxa"/>
              <w:right w:w="0" w:type="dxa"/>
            </w:tcMar>
            <w:vAlign w:val="center"/>
          </w:tcPr>
          <w:p>
            <w:pPr>
              <w:pStyle w:val="64"/>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1×10</w:t>
            </w:r>
            <w:r>
              <w:rPr>
                <w:rFonts w:ascii="Times New Roman" w:hAnsi="Times New Roman" w:cs="Times New Roman" w:eastAsiaTheme="minorEastAsia"/>
                <w:sz w:val="21"/>
                <w:szCs w:val="21"/>
                <w:vertAlign w:val="superscript"/>
                <w:lang w:bidi="ar"/>
              </w:rPr>
              <w:t>-5</w:t>
            </w:r>
            <w:r>
              <w:rPr>
                <w:rFonts w:ascii="Times New Roman" w:hAnsi="Times New Roman" w:cs="Times New Roman" w:eastAsiaTheme="minorEastAsia"/>
                <w:sz w:val="21"/>
                <w:szCs w:val="21"/>
              </w:rPr>
              <w:t>L</w:t>
            </w:r>
          </w:p>
        </w:tc>
        <w:tc>
          <w:tcPr>
            <w:tcW w:w="769" w:type="pct"/>
            <w:tcMar>
              <w:top w:w="0" w:type="dxa"/>
              <w:left w:w="0" w:type="dxa"/>
              <w:bottom w:w="0" w:type="dxa"/>
              <w:right w:w="0" w:type="dxa"/>
            </w:tcMar>
            <w:vAlign w:val="center"/>
          </w:tcPr>
          <w:p>
            <w:pPr>
              <w:adjustRightInd w:val="0"/>
              <w:snapToGrid w:val="0"/>
              <w:jc w:val="center"/>
              <w:textAlignment w:val="center"/>
              <w:rPr>
                <w:rFonts w:ascii="Times New Roman" w:hAnsi="Times New Roman" w:eastAsiaTheme="minorEastAsia"/>
              </w:rPr>
            </w:pPr>
            <w:r>
              <w:rPr>
                <w:rFonts w:ascii="Times New Roman" w:hAnsi="Times New Roman" w:eastAsiaTheme="minorEastAsia"/>
                <w:kern w:val="0"/>
                <w:lang w:bidi="ar"/>
              </w:rPr>
              <w:t>0.0001</w:t>
            </w:r>
          </w:p>
        </w:tc>
        <w:tc>
          <w:tcPr>
            <w:tcW w:w="790" w:type="pct"/>
            <w:tcMar>
              <w:top w:w="0" w:type="dxa"/>
              <w:left w:w="0" w:type="dxa"/>
              <w:bottom w:w="0" w:type="dxa"/>
              <w:right w:w="0" w:type="dxa"/>
            </w:tcMar>
            <w:vAlign w:val="center"/>
          </w:tcPr>
          <w:p>
            <w:pPr>
              <w:adjustRightInd w:val="0"/>
              <w:snapToGrid w:val="0"/>
              <w:jc w:val="center"/>
              <w:rPr>
                <w:rFonts w:ascii="Times New Roman" w:hAnsi="Times New Roman" w:eastAsiaTheme="minorEastAsia"/>
                <w:kern w:val="0"/>
                <w:lang w:bidi="ar"/>
              </w:rPr>
            </w:pPr>
            <w:r>
              <w:rPr>
                <w:rFonts w:ascii="Times New Roman" w:hAnsi="Times New Roman" w:eastAsiaTheme="minorEastAsia"/>
                <w:kern w:val="0"/>
                <w:lang w:bidi="ar"/>
              </w:rPr>
              <w:t>/</w:t>
            </w:r>
          </w:p>
        </w:tc>
        <w:tc>
          <w:tcPr>
            <w:tcW w:w="856"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kern w:val="0"/>
                <w:lang w:bidi="ar"/>
              </w:rPr>
              <w:t>否</w:t>
            </w:r>
          </w:p>
        </w:tc>
      </w:tr>
    </w:tbl>
    <w:p>
      <w:pPr>
        <w:adjustRightInd w:val="0"/>
        <w:snapToGrid w:val="0"/>
        <w:spacing w:line="360" w:lineRule="auto"/>
        <w:ind w:firstLine="480" w:firstLineChars="200"/>
        <w:rPr>
          <w:rFonts w:ascii="Times New Roman" w:hAnsi="Times New Roman" w:eastAsiaTheme="minorEastAsia"/>
          <w:color w:val="FF0000"/>
          <w:sz w:val="24"/>
          <w:szCs w:val="24"/>
        </w:rPr>
      </w:pPr>
    </w:p>
    <w:p>
      <w:pPr>
        <w:pStyle w:val="105"/>
        <w:adjustRightInd w:val="0"/>
        <w:snapToGrid w:val="0"/>
        <w:spacing w:line="360" w:lineRule="auto"/>
        <w:ind w:firstLine="480"/>
        <w:rPr>
          <w:rFonts w:eastAsiaTheme="minorEastAsia"/>
        </w:rPr>
      </w:pPr>
      <w:r>
        <w:rPr>
          <w:rFonts w:eastAsiaTheme="minorEastAsia"/>
        </w:rPr>
        <w:t>根据上文分析结果水源地取水口水质现状监测评价可知，该水源地水质良好，水质全指标监测109项指标中，24项基本指标除总氮超标外其余检测因子均能达到《地表水环境质量标准》（GB3838-2002）中</w:t>
      </w:r>
      <w:r>
        <w:rPr>
          <w:rFonts w:hint="eastAsia" w:ascii="宋体" w:hAnsi="宋体" w:cs="宋体"/>
        </w:rPr>
        <w:t>Ⅱ</w:t>
      </w:r>
      <w:r>
        <w:rPr>
          <w:rFonts w:eastAsiaTheme="minorEastAsia"/>
        </w:rPr>
        <w:t>类标准，其余指标均能满足《地表水环境质量标准》（GB3838-2002）相应标准，总氮能够满足</w:t>
      </w:r>
      <w:r>
        <w:rPr>
          <w:rFonts w:hint="eastAsia" w:ascii="宋体" w:hAnsi="宋体" w:cs="宋体"/>
        </w:rPr>
        <w:t>Ⅲ</w:t>
      </w:r>
      <w:r>
        <w:rPr>
          <w:rFonts w:eastAsiaTheme="minorEastAsia"/>
        </w:rPr>
        <w:t>类水质标准，但不能满足</w:t>
      </w:r>
      <w:r>
        <w:rPr>
          <w:rFonts w:hint="eastAsia" w:ascii="宋体" w:hAnsi="宋体" w:cs="宋体"/>
        </w:rPr>
        <w:t>Ⅱ</w:t>
      </w:r>
      <w:r>
        <w:rPr>
          <w:rFonts w:eastAsiaTheme="minorEastAsia"/>
        </w:rPr>
        <w:t>类标准。总氮超标原因主要为水中硝酸盐浓度较高引起，水质中氨氮浓度较低，能够达标，因此并非农业面源或生活源引起。</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地表水环境质量现状监测</w:t>
      </w:r>
    </w:p>
    <w:p>
      <w:pPr>
        <w:pStyle w:val="105"/>
        <w:adjustRightInd w:val="0"/>
        <w:snapToGrid w:val="0"/>
        <w:spacing w:line="360" w:lineRule="auto"/>
        <w:ind w:firstLine="480"/>
        <w:rPr>
          <w:rFonts w:eastAsiaTheme="minorEastAsia"/>
          <w:kern w:val="0"/>
        </w:rPr>
      </w:pPr>
      <w:r>
        <w:rPr>
          <w:rFonts w:eastAsiaTheme="minorEastAsia"/>
        </w:rPr>
        <w:t>本次评价委托湖南永蓝检测技术股份有限公司于2019年8月8日~10日期间针对项目涉及河流进行了水质现状监测。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本项目共设2个水质监测断面，布点位置见表4.4-5，具体位置见附图2。</w:t>
      </w:r>
    </w:p>
    <w:p>
      <w:pPr>
        <w:pStyle w:val="132"/>
        <w:spacing w:line="276" w:lineRule="auto"/>
        <w:jc w:val="center"/>
        <w:rPr>
          <w:rFonts w:cs="Times New Roman"/>
          <w:bCs w:val="0"/>
          <w:sz w:val="24"/>
          <w:szCs w:val="24"/>
        </w:rPr>
      </w:pPr>
      <w:r>
        <w:rPr>
          <w:rFonts w:cs="Times New Roman"/>
          <w:bCs w:val="0"/>
          <w:sz w:val="24"/>
          <w:szCs w:val="24"/>
        </w:rPr>
        <w:t>表4.4-5  地表水监测断面布置一览表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93"/>
        <w:gridCol w:w="715"/>
        <w:gridCol w:w="4142"/>
        <w:gridCol w:w="2433"/>
        <w:gridCol w:w="11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编号</w:t>
            </w:r>
          </w:p>
        </w:tc>
        <w:tc>
          <w:tcPr>
            <w:tcW w:w="39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水体</w:t>
            </w:r>
          </w:p>
        </w:tc>
        <w:tc>
          <w:tcPr>
            <w:tcW w:w="2276" w:type="pct"/>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监测断面位置</w:t>
            </w:r>
          </w:p>
        </w:tc>
        <w:tc>
          <w:tcPr>
            <w:tcW w:w="1337"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监测项目</w:t>
            </w:r>
          </w:p>
        </w:tc>
        <w:tc>
          <w:tcPr>
            <w:tcW w:w="6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采样频率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S1</w:t>
            </w:r>
          </w:p>
        </w:tc>
        <w:tc>
          <w:tcPr>
            <w:tcW w:w="39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w:t>
            </w:r>
          </w:p>
        </w:tc>
        <w:tc>
          <w:tcPr>
            <w:tcW w:w="2276" w:type="pct"/>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rPr>
              <w:t>临湘市工业园滨江产业示范区自来水厂</w:t>
            </w:r>
            <w:r>
              <w:rPr>
                <w:rFonts w:ascii="Times New Roman" w:hAnsi="Times New Roman" w:eastAsiaTheme="minorEastAsia"/>
                <w:color w:val="000000"/>
                <w:kern w:val="0"/>
                <w:lang w:bidi="ar"/>
              </w:rPr>
              <w:t>取水口，经纬度坐标E：113°19' 12.06"，N：29°37' 42.95"</w:t>
            </w:r>
          </w:p>
        </w:tc>
        <w:tc>
          <w:tcPr>
            <w:tcW w:w="1337" w:type="pct"/>
            <w:vMerge w:val="restar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color w:val="000000"/>
                <w:kern w:val="0"/>
                <w:lang w:bidi="ar"/>
              </w:rPr>
            </w:pPr>
            <w:r>
              <w:rPr>
                <w:rFonts w:ascii="Times New Roman" w:hAnsi="Times New Roman" w:eastAsiaTheme="minorEastAsia"/>
                <w:color w:val="000000"/>
              </w:rPr>
              <w:t>水温、pH</w:t>
            </w:r>
            <w:r>
              <w:rPr>
                <w:rFonts w:hint="eastAsia" w:ascii="Times New Roman" w:hAnsi="Times New Roman" w:eastAsiaTheme="minorEastAsia"/>
                <w:color w:val="000000"/>
              </w:rPr>
              <w:t>值</w:t>
            </w:r>
            <w:r>
              <w:rPr>
                <w:rFonts w:ascii="Times New Roman" w:hAnsi="Times New Roman" w:eastAsiaTheme="minorEastAsia"/>
                <w:color w:val="000000"/>
              </w:rPr>
              <w:t>、溶解氧（DO）、化学需氧量（COD）、五日生化需氧量（BOD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-N）、总磷（以P计）、</w:t>
            </w:r>
            <w:r>
              <w:rPr>
                <w:rFonts w:hint="eastAsia" w:ascii="Times New Roman" w:hAnsi="Times New Roman" w:eastAsiaTheme="minorEastAsia"/>
                <w:color w:val="000000"/>
                <w:kern w:val="0"/>
              </w:rPr>
              <w:t>总氮、</w:t>
            </w:r>
            <w:r>
              <w:rPr>
                <w:rFonts w:ascii="Times New Roman" w:hAnsi="Times New Roman" w:eastAsiaTheme="minorEastAsia"/>
                <w:color w:val="000000"/>
              </w:rPr>
              <w:t>氟化物、挥发酚、石油类、硫化物、</w:t>
            </w:r>
            <w:r>
              <w:rPr>
                <w:rFonts w:hint="eastAsia" w:ascii="Times New Roman" w:hAnsi="Times New Roman" w:eastAsiaTheme="minorEastAsia"/>
                <w:color w:val="000000"/>
              </w:rPr>
              <w:t>甲苯</w:t>
            </w:r>
            <w:r>
              <w:rPr>
                <w:rFonts w:ascii="Times New Roman" w:hAnsi="Times New Roman" w:eastAsiaTheme="minorEastAsia"/>
                <w:color w:val="000000"/>
              </w:rPr>
              <w:t>、二甲苯和悬浮物</w:t>
            </w:r>
            <w:r>
              <w:rPr>
                <w:rFonts w:ascii="Times New Roman" w:hAnsi="Times New Roman" w:eastAsiaTheme="minorEastAsia"/>
              </w:rPr>
              <w:t>共15项指标</w:t>
            </w:r>
          </w:p>
        </w:tc>
        <w:tc>
          <w:tcPr>
            <w:tcW w:w="613" w:type="pct"/>
            <w:vMerge w:val="restart"/>
            <w:shd w:val="clear" w:color="auto" w:fill="auto"/>
            <w:tcMar>
              <w:top w:w="0" w:type="dxa"/>
              <w:left w:w="0" w:type="dxa"/>
              <w:bottom w:w="0" w:type="dxa"/>
              <w:right w:w="0" w:type="dxa"/>
            </w:tcMar>
            <w:vAlign w:val="center"/>
          </w:tcPr>
          <w:p>
            <w:pPr>
              <w:pStyle w:val="132"/>
              <w:spacing w:line="240" w:lineRule="auto"/>
              <w:rPr>
                <w:rFonts w:cs="Times New Roman"/>
                <w:b w:val="0"/>
                <w:sz w:val="21"/>
                <w:szCs w:val="21"/>
              </w:rPr>
            </w:pPr>
            <w:r>
              <w:rPr>
                <w:rFonts w:cs="Times New Roman"/>
                <w:b w:val="0"/>
                <w:sz w:val="21"/>
                <w:szCs w:val="21"/>
              </w:rPr>
              <w:t>连续监测3天，每天采样1次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8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S2</w:t>
            </w:r>
          </w:p>
        </w:tc>
        <w:tc>
          <w:tcPr>
            <w:tcW w:w="39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w:t>
            </w:r>
          </w:p>
        </w:tc>
        <w:tc>
          <w:tcPr>
            <w:tcW w:w="2276" w:type="pct"/>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rPr>
              <w:t>在5#码头设一个取样断面，在取样断面的主流线及距两岸不少于5m并有明显水流的地方各设一条取样垂线，水深超过5m处，应设置下层水样点，</w:t>
            </w:r>
            <w:r>
              <w:rPr>
                <w:rFonts w:ascii="Times New Roman" w:hAnsi="Times New Roman" w:eastAsiaTheme="minorEastAsia"/>
                <w:color w:val="000000"/>
                <w:kern w:val="0"/>
                <w:lang w:bidi="ar"/>
              </w:rPr>
              <w:t>经纬度坐标E：113°17' 12.05"，N：29°35' 57.69"</w:t>
            </w:r>
          </w:p>
        </w:tc>
        <w:tc>
          <w:tcPr>
            <w:tcW w:w="1337" w:type="pct"/>
            <w:vMerge w:val="continue"/>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color w:val="000000"/>
                <w:kern w:val="0"/>
                <w:lang w:bidi="ar"/>
              </w:rPr>
            </w:pPr>
          </w:p>
        </w:tc>
        <w:tc>
          <w:tcPr>
            <w:tcW w:w="613" w:type="pct"/>
            <w:vMerge w:val="continue"/>
            <w:shd w:val="clear" w:color="auto" w:fill="auto"/>
            <w:tcMar>
              <w:top w:w="0" w:type="dxa"/>
              <w:left w:w="0" w:type="dxa"/>
              <w:bottom w:w="0" w:type="dxa"/>
              <w:right w:w="0" w:type="dxa"/>
            </w:tcMar>
            <w:vAlign w:val="center"/>
          </w:tcPr>
          <w:p>
            <w:pPr>
              <w:pStyle w:val="132"/>
              <w:spacing w:line="240" w:lineRule="auto"/>
              <w:rPr>
                <w:rFonts w:cs="Times New Roman"/>
                <w:sz w:val="21"/>
                <w:szCs w:val="21"/>
              </w:rPr>
            </w:pPr>
          </w:p>
        </w:tc>
      </w:tr>
    </w:tbl>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2、监测因子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水温、pH</w:t>
      </w:r>
      <w:r>
        <w:rPr>
          <w:rFonts w:hint="eastAsia" w:ascii="Times New Roman" w:hAnsi="Times New Roman" w:eastAsiaTheme="minorEastAsia"/>
          <w:color w:val="000000"/>
          <w:sz w:val="24"/>
          <w:szCs w:val="24"/>
        </w:rPr>
        <w:t>值</w:t>
      </w:r>
      <w:r>
        <w:rPr>
          <w:rFonts w:ascii="Times New Roman" w:hAnsi="Times New Roman" w:eastAsiaTheme="minorEastAsia"/>
          <w:color w:val="000000"/>
          <w:sz w:val="24"/>
          <w:szCs w:val="24"/>
        </w:rPr>
        <w:t>、溶解氧（DO）、化学需氧量（COD）、五日生化需氧量（BOD</w:t>
      </w:r>
      <w:r>
        <w:rPr>
          <w:rFonts w:ascii="Times New Roman" w:hAnsi="Times New Roman" w:eastAsiaTheme="minorEastAsia"/>
          <w:color w:val="000000"/>
          <w:sz w:val="24"/>
          <w:szCs w:val="24"/>
          <w:vertAlign w:val="subscript"/>
        </w:rPr>
        <w:t>5</w:t>
      </w:r>
      <w:r>
        <w:rPr>
          <w:rFonts w:ascii="Times New Roman" w:hAnsi="Times New Roman" w:eastAsiaTheme="minorEastAsia"/>
          <w:color w:val="000000"/>
          <w:sz w:val="24"/>
          <w:szCs w:val="24"/>
        </w:rPr>
        <w:t>）、</w:t>
      </w:r>
      <w:r>
        <w:rPr>
          <w:rFonts w:ascii="Times New Roman" w:hAnsi="Times New Roman" w:eastAsiaTheme="minorEastAsia"/>
          <w:color w:val="000000"/>
          <w:kern w:val="0"/>
          <w:sz w:val="24"/>
          <w:szCs w:val="24"/>
        </w:rPr>
        <w:t>氨氮（NH</w:t>
      </w:r>
      <w:r>
        <w:rPr>
          <w:rFonts w:ascii="Times New Roman" w:hAnsi="Times New Roman" w:eastAsiaTheme="minorEastAsia"/>
          <w:color w:val="000000"/>
          <w:kern w:val="0"/>
          <w:sz w:val="24"/>
          <w:szCs w:val="24"/>
          <w:vertAlign w:val="subscript"/>
        </w:rPr>
        <w:t>3</w:t>
      </w:r>
      <w:r>
        <w:rPr>
          <w:rFonts w:ascii="Times New Roman" w:hAnsi="Times New Roman" w:eastAsiaTheme="minorEastAsia"/>
          <w:color w:val="000000"/>
          <w:kern w:val="0"/>
          <w:sz w:val="24"/>
          <w:szCs w:val="24"/>
        </w:rPr>
        <w:t>-N）、总磷</w:t>
      </w:r>
      <w:r>
        <w:rPr>
          <w:rFonts w:hint="eastAsia" w:ascii="Times New Roman" w:hAnsi="Times New Roman" w:eastAsiaTheme="minorEastAsia"/>
          <w:color w:val="000000"/>
          <w:kern w:val="0"/>
          <w:sz w:val="24"/>
          <w:szCs w:val="24"/>
        </w:rPr>
        <w:t>、</w:t>
      </w:r>
      <w:r>
        <w:rPr>
          <w:rFonts w:hint="eastAsia" w:ascii="Times New Roman" w:hAnsi="Times New Roman" w:eastAsiaTheme="minorEastAsia"/>
          <w:color w:val="000000"/>
          <w:kern w:val="0"/>
        </w:rPr>
        <w:t>总氮</w:t>
      </w:r>
      <w:r>
        <w:rPr>
          <w:rFonts w:ascii="Times New Roman" w:hAnsi="Times New Roman" w:eastAsiaTheme="minorEastAsia"/>
          <w:color w:val="000000"/>
          <w:kern w:val="0"/>
          <w:sz w:val="24"/>
          <w:szCs w:val="24"/>
        </w:rPr>
        <w:t>、</w:t>
      </w:r>
      <w:r>
        <w:rPr>
          <w:rFonts w:ascii="Times New Roman" w:hAnsi="Times New Roman" w:eastAsiaTheme="minorEastAsia"/>
          <w:color w:val="000000"/>
          <w:sz w:val="24"/>
          <w:szCs w:val="24"/>
        </w:rPr>
        <w:t>氟化物、挥发酚、石油类、硫化物、</w:t>
      </w:r>
      <w:r>
        <w:rPr>
          <w:rFonts w:hint="eastAsia" w:ascii="Times New Roman" w:hAnsi="Times New Roman" w:eastAsiaTheme="minorEastAsia"/>
          <w:color w:val="000000"/>
          <w:sz w:val="24"/>
          <w:szCs w:val="24"/>
        </w:rPr>
        <w:t>甲苯</w:t>
      </w:r>
      <w:r>
        <w:rPr>
          <w:rFonts w:ascii="Times New Roman" w:hAnsi="Times New Roman" w:eastAsiaTheme="minorEastAsia"/>
          <w:color w:val="000000"/>
          <w:sz w:val="24"/>
          <w:szCs w:val="24"/>
        </w:rPr>
        <w:t>、二甲苯和悬浮物</w:t>
      </w:r>
      <w:r>
        <w:rPr>
          <w:rFonts w:ascii="Times New Roman" w:hAnsi="Times New Roman" w:eastAsiaTheme="minorEastAsia"/>
          <w:sz w:val="24"/>
          <w:szCs w:val="24"/>
        </w:rPr>
        <w:t>共15项指标。</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3、监测单位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湖南永蓝检测技术股份有限公司</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4、监测时间与频次</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2019年8月8日到8月10日，连续监测3天，每天采样1次。</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5、采样和分析方法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采样方法按照《地表水和污水监测技术规范》（HJ/T91-2002）执行，分析方法按《地表水环境质量标准》（GB3838-2002）中的有关规定执行，见表4.4-6。</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表4.4-6  地表水分析方法一览表</w:t>
      </w:r>
    </w:p>
    <w:tbl>
      <w:tblPr>
        <w:tblStyle w:val="71"/>
        <w:tblW w:w="501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554"/>
        <w:gridCol w:w="3730"/>
        <w:gridCol w:w="1570"/>
        <w:gridCol w:w="1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0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分析项目</w:t>
            </w:r>
          </w:p>
        </w:tc>
        <w:tc>
          <w:tcPr>
            <w:tcW w:w="2045"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分析方法名称及来源</w:t>
            </w:r>
          </w:p>
        </w:tc>
        <w:tc>
          <w:tcPr>
            <w:tcW w:w="861"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仪器型号</w:t>
            </w:r>
          </w:p>
        </w:tc>
        <w:tc>
          <w:tcPr>
            <w:tcW w:w="69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最低检出限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水温</w:t>
            </w:r>
          </w:p>
        </w:tc>
        <w:tc>
          <w:tcPr>
            <w:tcW w:w="2045" w:type="pct"/>
            <w:vAlign w:val="center"/>
          </w:tcPr>
          <w:p>
            <w:pPr>
              <w:widowControl/>
              <w:adjustRightInd w:val="0"/>
              <w:snapToGrid w:val="0"/>
              <w:jc w:val="center"/>
              <w:textAlignment w:val="center"/>
              <w:rPr>
                <w:rFonts w:ascii="Times New Roman" w:hAnsi="Times New Roman" w:eastAsiaTheme="minorEastAsia"/>
                <w:kern w:val="0"/>
              </w:rPr>
            </w:pPr>
            <w:r>
              <w:rPr>
                <w:rFonts w:ascii="Times New Roman" w:hAnsi="Times New Roman" w:eastAsiaTheme="minorEastAsia"/>
                <w:kern w:val="0"/>
              </w:rPr>
              <w:t>温度计法（GB 13195-91）</w:t>
            </w:r>
          </w:p>
        </w:tc>
        <w:tc>
          <w:tcPr>
            <w:tcW w:w="861"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w:t>
            </w:r>
          </w:p>
        </w:tc>
        <w:tc>
          <w:tcPr>
            <w:tcW w:w="694"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bCs/>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pH</w:t>
            </w:r>
            <w:r>
              <w:rPr>
                <w:rFonts w:hint="eastAsia" w:ascii="Times New Roman" w:hAnsi="Times New Roman" w:eastAsiaTheme="minorEastAsia"/>
                <w:color w:val="000000"/>
              </w:rPr>
              <w:t>值</w:t>
            </w:r>
          </w:p>
        </w:tc>
        <w:tc>
          <w:tcPr>
            <w:tcW w:w="2045" w:type="pct"/>
            <w:vAlign w:val="center"/>
          </w:tcPr>
          <w:p>
            <w:pPr>
              <w:widowControl/>
              <w:adjustRightInd w:val="0"/>
              <w:snapToGrid w:val="0"/>
              <w:jc w:val="center"/>
              <w:textAlignment w:val="center"/>
              <w:rPr>
                <w:rFonts w:ascii="Times New Roman" w:hAnsi="Times New Roman" w:eastAsiaTheme="minorEastAsia"/>
                <w:kern w:val="0"/>
              </w:rPr>
            </w:pPr>
            <w:r>
              <w:rPr>
                <w:rFonts w:ascii="Times New Roman" w:hAnsi="Times New Roman" w:eastAsiaTheme="minorEastAsia"/>
                <w:kern w:val="0"/>
              </w:rPr>
              <w:t>玻璃电极法（GB 6920-86）</w:t>
            </w:r>
          </w:p>
        </w:tc>
        <w:tc>
          <w:tcPr>
            <w:tcW w:w="861"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STARTER2100</w:t>
            </w:r>
          </w:p>
        </w:tc>
        <w:tc>
          <w:tcPr>
            <w:tcW w:w="694"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溶解氧（DO）</w:t>
            </w:r>
          </w:p>
        </w:tc>
        <w:tc>
          <w:tcPr>
            <w:tcW w:w="2045" w:type="pct"/>
            <w:vAlign w:val="center"/>
          </w:tcPr>
          <w:p>
            <w:pPr>
              <w:widowControl/>
              <w:adjustRightInd w:val="0"/>
              <w:snapToGrid w:val="0"/>
              <w:jc w:val="center"/>
              <w:textAlignment w:val="center"/>
              <w:rPr>
                <w:rFonts w:ascii="Times New Roman" w:hAnsi="Times New Roman" w:eastAsiaTheme="minorEastAsia"/>
                <w:kern w:val="0"/>
              </w:rPr>
            </w:pPr>
            <w:r>
              <w:rPr>
                <w:rFonts w:ascii="Times New Roman" w:hAnsi="Times New Roman" w:eastAsiaTheme="minorEastAsia"/>
                <w:kern w:val="0"/>
              </w:rPr>
              <w:t>碘量法（GB/T 7489-1987）</w:t>
            </w:r>
          </w:p>
        </w:tc>
        <w:tc>
          <w:tcPr>
            <w:tcW w:w="861"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w:t>
            </w:r>
          </w:p>
        </w:tc>
        <w:tc>
          <w:tcPr>
            <w:tcW w:w="694"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0.2mg/L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化学需氧量（COD）</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重铬酸钾法（HJ 828-2017）</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694" w:type="pct"/>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稀释与接种法（HJ 505-2009）</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SPX-250B</w:t>
            </w:r>
          </w:p>
        </w:tc>
        <w:tc>
          <w:tcPr>
            <w:tcW w:w="694" w:type="pct"/>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纳氏试剂分光光度法（HJ 535-2009）</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723N</w:t>
            </w:r>
          </w:p>
        </w:tc>
        <w:tc>
          <w:tcPr>
            <w:tcW w:w="694" w:type="pct"/>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总磷（以P计）</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钼酸铵分光光度法（GB 11893-89）</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723N</w:t>
            </w:r>
          </w:p>
        </w:tc>
        <w:tc>
          <w:tcPr>
            <w:tcW w:w="69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总氮</w:t>
            </w:r>
            <w:r>
              <w:rPr>
                <w:rFonts w:ascii="Times New Roman" w:hAnsi="Times New Roman" w:eastAsiaTheme="minorEastAsia"/>
                <w:color w:val="000000"/>
                <w:kern w:val="0"/>
              </w:rPr>
              <w:t>（</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碱性过硫酸钾消解紫外分光光度法</w:t>
            </w:r>
          </w:p>
          <w:p>
            <w:pPr>
              <w:adjustRightInd w:val="0"/>
              <w:snapToGrid w:val="0"/>
              <w:jc w:val="center"/>
              <w:rPr>
                <w:rFonts w:ascii="Times New Roman" w:hAnsi="Times New Roman" w:eastAsiaTheme="minorEastAsia"/>
                <w:kern w:val="0"/>
              </w:rPr>
            </w:pPr>
            <w:r>
              <w:rPr>
                <w:rFonts w:hint="eastAsia" w:ascii="Times New Roman" w:hAnsi="Times New Roman" w:eastAsiaTheme="minorEastAsia"/>
                <w:kern w:val="0"/>
              </w:rPr>
              <w:t>（</w:t>
            </w:r>
            <w:r>
              <w:rPr>
                <w:rFonts w:ascii="Times New Roman" w:hAnsi="Times New Roman" w:eastAsiaTheme="minorEastAsia"/>
                <w:kern w:val="0"/>
              </w:rPr>
              <w:t>HJ 636-2012</w:t>
            </w:r>
            <w:r>
              <w:rPr>
                <w:rFonts w:hint="eastAsia" w:ascii="Times New Roman" w:hAnsi="Times New Roman" w:eastAsiaTheme="minorEastAsia"/>
                <w:kern w:val="0"/>
              </w:rPr>
              <w:t>）</w:t>
            </w:r>
          </w:p>
        </w:tc>
        <w:tc>
          <w:tcPr>
            <w:tcW w:w="861"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UV1780</w:t>
            </w:r>
          </w:p>
        </w:tc>
        <w:tc>
          <w:tcPr>
            <w:tcW w:w="694"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氟化物</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离子色谱法（HJ/T 84-2016）</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IC-2800</w:t>
            </w:r>
          </w:p>
        </w:tc>
        <w:tc>
          <w:tcPr>
            <w:tcW w:w="694" w:type="pct"/>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0.006mg/L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挥发酚</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4-氨基安替比林萃取分光光度法（HJ 503-2009）</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723N</w:t>
            </w:r>
          </w:p>
        </w:tc>
        <w:tc>
          <w:tcPr>
            <w:tcW w:w="694" w:type="pct"/>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0.0003mg/L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石油类</w:t>
            </w:r>
          </w:p>
        </w:tc>
        <w:tc>
          <w:tcPr>
            <w:tcW w:w="2045" w:type="pct"/>
            <w:vAlign w:val="center"/>
          </w:tcPr>
          <w:p>
            <w:pPr>
              <w:widowControl/>
              <w:adjustRightInd w:val="0"/>
              <w:snapToGrid w:val="0"/>
              <w:jc w:val="center"/>
              <w:textAlignment w:val="center"/>
              <w:rPr>
                <w:rFonts w:ascii="Times New Roman" w:hAnsi="Times New Roman" w:eastAsiaTheme="minorEastAsia"/>
                <w:kern w:val="0"/>
              </w:rPr>
            </w:pPr>
            <w:r>
              <w:rPr>
                <w:rFonts w:ascii="Times New Roman" w:hAnsi="Times New Roman" w:eastAsiaTheme="minorEastAsia"/>
                <w:kern w:val="0"/>
              </w:rPr>
              <w:t>红外分光光度法（HJ 637-2012）</w:t>
            </w:r>
          </w:p>
        </w:tc>
        <w:tc>
          <w:tcPr>
            <w:tcW w:w="861"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JLBG-125</w:t>
            </w:r>
          </w:p>
        </w:tc>
        <w:tc>
          <w:tcPr>
            <w:tcW w:w="694"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硫化物</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亚甲基蓝分光光度法（GB/T 16489-1996）</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723N</w:t>
            </w:r>
          </w:p>
        </w:tc>
        <w:tc>
          <w:tcPr>
            <w:tcW w:w="694"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甲苯</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 xml:space="preserve">气相色谱法（HJ </w:t>
            </w:r>
            <w:r>
              <w:rPr>
                <w:rFonts w:hint="eastAsia" w:ascii="Times New Roman" w:hAnsi="Times New Roman" w:eastAsiaTheme="minorEastAsia"/>
                <w:kern w:val="0"/>
              </w:rPr>
              <w:t>11890-89</w:t>
            </w:r>
            <w:r>
              <w:rPr>
                <w:rFonts w:ascii="Times New Roman" w:hAnsi="Times New Roman" w:eastAsiaTheme="minorEastAsia"/>
                <w:kern w:val="0"/>
              </w:rPr>
              <w:t>）</w:t>
            </w:r>
          </w:p>
        </w:tc>
        <w:tc>
          <w:tcPr>
            <w:tcW w:w="861"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GC-2014C</w:t>
            </w:r>
          </w:p>
        </w:tc>
        <w:tc>
          <w:tcPr>
            <w:tcW w:w="694"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0.0</w:t>
            </w:r>
            <w:r>
              <w:rPr>
                <w:rFonts w:hint="eastAsia" w:ascii="Times New Roman" w:hAnsi="Times New Roman" w:eastAsiaTheme="minorEastAsia"/>
                <w:kern w:val="0"/>
              </w:rPr>
              <w:t>0</w:t>
            </w:r>
            <w:r>
              <w:rPr>
                <w:rFonts w:ascii="Times New Roman" w:hAnsi="Times New Roman" w:eastAsiaTheme="minorEastAsia"/>
                <w:kern w:val="0"/>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二甲苯</w:t>
            </w:r>
          </w:p>
        </w:tc>
        <w:tc>
          <w:tcPr>
            <w:tcW w:w="2045" w:type="pct"/>
            <w:vAlign w:val="center"/>
          </w:tcPr>
          <w:p>
            <w:pPr>
              <w:adjustRightInd w:val="0"/>
              <w:snapToGrid w:val="0"/>
              <w:jc w:val="center"/>
              <w:rPr>
                <w:rFonts w:ascii="Times New Roman" w:hAnsi="Times New Roman" w:eastAsiaTheme="minorEastAsia"/>
                <w:kern w:val="0"/>
              </w:rPr>
            </w:pPr>
            <w:r>
              <w:rPr>
                <w:rFonts w:ascii="Times New Roman" w:hAnsi="Times New Roman" w:eastAsiaTheme="minorEastAsia"/>
                <w:kern w:val="0"/>
              </w:rPr>
              <w:t>气相色谱法（HJ 11890-89）</w:t>
            </w:r>
          </w:p>
        </w:tc>
        <w:tc>
          <w:tcPr>
            <w:tcW w:w="861"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GC-2014C</w:t>
            </w:r>
          </w:p>
        </w:tc>
        <w:tc>
          <w:tcPr>
            <w:tcW w:w="694"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rPr>
              <w:t>0.005mg/L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悬浮物（SS）</w:t>
            </w:r>
          </w:p>
        </w:tc>
        <w:tc>
          <w:tcPr>
            <w:tcW w:w="2045" w:type="pct"/>
            <w:vAlign w:val="center"/>
          </w:tcPr>
          <w:p>
            <w:pPr>
              <w:widowControl/>
              <w:adjustRightInd w:val="0"/>
              <w:snapToGrid w:val="0"/>
              <w:jc w:val="center"/>
              <w:textAlignment w:val="center"/>
              <w:rPr>
                <w:rFonts w:ascii="Times New Roman" w:hAnsi="Times New Roman" w:eastAsiaTheme="minorEastAsia"/>
                <w:kern w:val="0"/>
              </w:rPr>
            </w:pPr>
            <w:r>
              <w:rPr>
                <w:rFonts w:ascii="Times New Roman" w:hAnsi="Times New Roman" w:eastAsiaTheme="minorEastAsia"/>
                <w:kern w:val="0"/>
              </w:rPr>
              <w:t>重量法（GB 11901-89）</w:t>
            </w:r>
          </w:p>
        </w:tc>
        <w:tc>
          <w:tcPr>
            <w:tcW w:w="861"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FA-2004B</w:t>
            </w:r>
          </w:p>
        </w:tc>
        <w:tc>
          <w:tcPr>
            <w:tcW w:w="694"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w:t>
            </w:r>
          </w:p>
        </w:tc>
      </w:tr>
    </w:tbl>
    <w:p>
      <w:pPr>
        <w:snapToGrid w:val="0"/>
        <w:spacing w:line="360" w:lineRule="auto"/>
        <w:ind w:firstLine="480" w:firstLineChars="200"/>
        <w:rPr>
          <w:rFonts w:ascii="Times New Roman" w:hAnsi="Times New Roman" w:eastAsiaTheme="minorEastAsia"/>
          <w:sz w:val="24"/>
          <w:szCs w:val="24"/>
        </w:rPr>
      </w:pP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地表水环境质量现状评价</w:t>
      </w:r>
    </w:p>
    <w:p>
      <w:pPr>
        <w:adjustRightInd w:val="0"/>
        <w:snapToGrid w:val="0"/>
        <w:spacing w:line="360" w:lineRule="auto"/>
        <w:ind w:firstLine="502" w:firstLineChars="200"/>
        <w:rPr>
          <w:rFonts w:ascii="Times New Roman" w:hAnsi="Times New Roman" w:eastAsiaTheme="minorEastAsia"/>
          <w:b/>
          <w:spacing w:val="5"/>
          <w:sz w:val="24"/>
          <w:szCs w:val="24"/>
        </w:rPr>
      </w:pPr>
      <w:r>
        <w:rPr>
          <w:rFonts w:ascii="Times New Roman" w:hAnsi="Times New Roman" w:eastAsiaTheme="minorEastAsia"/>
          <w:b/>
          <w:spacing w:val="5"/>
          <w:sz w:val="24"/>
          <w:szCs w:val="24"/>
        </w:rPr>
        <w:t>1、评价方法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河流水质现状评价执行《地表水环境质量标准》（GB3838-2002）的</w:t>
      </w:r>
      <w:r>
        <w:rPr>
          <w:rFonts w:hint="eastAsia" w:ascii="宋体" w:hAnsi="宋体" w:cs="宋体"/>
          <w:sz w:val="24"/>
          <w:szCs w:val="24"/>
        </w:rPr>
        <w:t>Ⅲ</w:t>
      </w:r>
      <w:r>
        <w:rPr>
          <w:rFonts w:ascii="Times New Roman" w:hAnsi="Times New Roman" w:eastAsiaTheme="minorEastAsia"/>
          <w:sz w:val="24"/>
          <w:szCs w:val="24"/>
        </w:rPr>
        <w:t>类标准，鉴于《地表水环境质量标准》（GB3838-2002）中对悬浮物无规定限值，本次评价采用《地表水资源质量标准》（SL63-94）的三级标准。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现状评价采用标准指数法进行评价：</w:t>
      </w:r>
    </w:p>
    <w:p>
      <w:pPr>
        <w:jc w:val="center"/>
        <w:rPr>
          <w:rFonts w:ascii="Times New Roman" w:hAnsi="Times New Roman" w:eastAsiaTheme="minorEastAsia"/>
          <w:szCs w:val="24"/>
        </w:rPr>
      </w:pPr>
      <w:r>
        <w:rPr>
          <w:rFonts w:ascii="Times New Roman" w:hAnsi="Times New Roman" w:eastAsiaTheme="minorEastAsia"/>
          <w:color w:val="548DD4"/>
          <w:position w:val="-32"/>
          <w:sz w:val="24"/>
        </w:rPr>
        <w:object>
          <v:shape id="_x0000_i1028" o:spt="75" type="#_x0000_t75" style="height:37.45pt;width:51.85pt;" o:ole="t" filled="f" o:preferrelative="t" stroked="f" coordsize="21600,21600">
            <v:path/>
            <v:fill on="f" focussize="0,0"/>
            <v:stroke on="f" joinstyle="miter"/>
            <v:imagedata r:id="rId44" o:title=""/>
            <o:lock v:ext="edit" aspectratio="t"/>
            <w10:wrap type="none"/>
            <w10:anchorlock/>
          </v:shape>
          <o:OLEObject Type="Embed" ProgID="Equation.3" ShapeID="_x0000_i1028" DrawAspect="Content" ObjectID="_1468075728" r:id="rId43">
            <o:LockedField>false</o:LockedField>
          </o:OLEObject>
        </w:object>
      </w:r>
    </w:p>
    <w:p>
      <w:pPr>
        <w:adjustRightInd w:val="0"/>
        <w:snapToGrid w:val="0"/>
        <w:spacing w:line="360" w:lineRule="auto"/>
        <w:ind w:firstLine="480"/>
        <w:rPr>
          <w:rFonts w:ascii="Times New Roman" w:hAnsi="Times New Roman" w:eastAsiaTheme="minorEastAsia"/>
          <w:sz w:val="24"/>
          <w:szCs w:val="24"/>
        </w:rPr>
      </w:pPr>
      <w:r>
        <w:rPr>
          <w:rFonts w:ascii="Times New Roman" w:hAnsi="Times New Roman" w:eastAsiaTheme="minorEastAsia"/>
          <w:sz w:val="24"/>
          <w:szCs w:val="24"/>
        </w:rPr>
        <w:t>式中：</w:t>
      </w:r>
      <w:r>
        <w:rPr>
          <w:rFonts w:ascii="Times New Roman" w:hAnsi="Times New Roman" w:eastAsiaTheme="minorEastAsia"/>
          <w:iCs/>
          <w:sz w:val="24"/>
          <w:szCs w:val="24"/>
        </w:rPr>
        <w:t>S</w:t>
      </w:r>
      <w:r>
        <w:rPr>
          <w:rFonts w:ascii="Times New Roman" w:hAnsi="Times New Roman" w:eastAsiaTheme="minorEastAsia"/>
          <w:iCs/>
          <w:sz w:val="24"/>
          <w:szCs w:val="24"/>
          <w:vertAlign w:val="subscript"/>
        </w:rPr>
        <w:t>i，j</w:t>
      </w:r>
      <w:r>
        <w:rPr>
          <w:rFonts w:ascii="Times New Roman" w:hAnsi="Times New Roman" w:eastAsiaTheme="minorEastAsia"/>
          <w:sz w:val="24"/>
          <w:szCs w:val="24"/>
        </w:rPr>
        <w:t>—标准指数</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C</w:t>
      </w:r>
      <w:r>
        <w:rPr>
          <w:rFonts w:ascii="Times New Roman" w:hAnsi="Times New Roman" w:eastAsiaTheme="minorEastAsia"/>
          <w:iCs/>
          <w:sz w:val="24"/>
          <w:szCs w:val="24"/>
          <w:vertAlign w:val="subscript"/>
        </w:rPr>
        <w:t>i，j</w:t>
      </w:r>
      <w:r>
        <w:rPr>
          <w:rFonts w:ascii="Times New Roman" w:hAnsi="Times New Roman" w:eastAsiaTheme="minorEastAsia"/>
          <w:sz w:val="24"/>
          <w:szCs w:val="24"/>
        </w:rPr>
        <w:t>—</w:t>
      </w:r>
      <w:r>
        <w:rPr>
          <w:rFonts w:ascii="Times New Roman" w:hAnsi="Times New Roman" w:eastAsiaTheme="minorEastAsia"/>
          <w:iCs/>
          <w:sz w:val="24"/>
          <w:szCs w:val="24"/>
        </w:rPr>
        <w:t>i</w:t>
      </w:r>
      <w:r>
        <w:rPr>
          <w:rFonts w:ascii="Times New Roman" w:hAnsi="Times New Roman" w:eastAsiaTheme="minorEastAsia"/>
          <w:sz w:val="24"/>
          <w:szCs w:val="24"/>
        </w:rPr>
        <w:t>污染物在j断面的实测值，mg/L；</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C</w:t>
      </w:r>
      <w:r>
        <w:rPr>
          <w:rFonts w:ascii="Times New Roman" w:hAnsi="Times New Roman" w:eastAsiaTheme="minorEastAsia"/>
          <w:iCs/>
          <w:sz w:val="24"/>
          <w:szCs w:val="24"/>
          <w:vertAlign w:val="subscript"/>
        </w:rPr>
        <w:t>s，i</w:t>
      </w:r>
      <w:r>
        <w:rPr>
          <w:rFonts w:ascii="Times New Roman" w:hAnsi="Times New Roman" w:eastAsiaTheme="minorEastAsia"/>
          <w:sz w:val="24"/>
          <w:szCs w:val="24"/>
        </w:rPr>
        <w:t>—</w:t>
      </w:r>
      <w:r>
        <w:rPr>
          <w:rFonts w:ascii="Times New Roman" w:hAnsi="Times New Roman" w:eastAsiaTheme="minorEastAsia"/>
          <w:iCs/>
          <w:sz w:val="24"/>
          <w:szCs w:val="24"/>
        </w:rPr>
        <w:t>i</w:t>
      </w:r>
      <w:r>
        <w:rPr>
          <w:rFonts w:ascii="Times New Roman" w:hAnsi="Times New Roman" w:eastAsiaTheme="minorEastAsia"/>
          <w:sz w:val="24"/>
          <w:szCs w:val="24"/>
        </w:rPr>
        <w:t>污染物的评价标准限值，mg/L；</w:t>
      </w:r>
    </w:p>
    <w:p>
      <w:pPr>
        <w:adjustRightInd w:val="0"/>
        <w:snapToGrid w:val="0"/>
        <w:spacing w:line="360" w:lineRule="auto"/>
        <w:ind w:firstLine="480"/>
        <w:rPr>
          <w:rFonts w:ascii="Times New Roman" w:hAnsi="Times New Roman" w:eastAsiaTheme="minorEastAsia"/>
          <w:sz w:val="24"/>
          <w:szCs w:val="24"/>
        </w:rPr>
      </w:pPr>
      <w:r>
        <w:rPr>
          <w:rFonts w:ascii="Times New Roman" w:hAnsi="Times New Roman" w:eastAsiaTheme="minorEastAsia"/>
          <w:sz w:val="24"/>
          <w:szCs w:val="24"/>
        </w:rPr>
        <w:t>pH值单项水质参数计算方法：</w:t>
      </w:r>
    </w:p>
    <w:p>
      <w:pPr>
        <w:adjustRightInd w:val="0"/>
        <w:snapToGrid w:val="0"/>
        <w:spacing w:line="360" w:lineRule="auto"/>
        <w:jc w:val="center"/>
        <w:rPr>
          <w:rFonts w:ascii="Times New Roman" w:hAnsi="Times New Roman" w:eastAsiaTheme="minorEastAsia"/>
          <w:szCs w:val="24"/>
        </w:rPr>
      </w:pPr>
      <w:r>
        <w:rPr>
          <w:rFonts w:ascii="Times New Roman" w:hAnsi="Times New Roman" w:eastAsiaTheme="minorEastAsia"/>
          <w:color w:val="548DD4"/>
          <w:position w:val="-68"/>
        </w:rPr>
        <w:object>
          <v:shape id="_x0000_i1029" o:spt="75" type="#_x0000_t75" style="height:73.15pt;width:154.95pt;" o:ole="t" filled="f" o:preferrelative="t" stroked="f" coordsize="21600,21600">
            <v:path/>
            <v:fill on="f" focussize="0,0"/>
            <v:stroke on="f" joinstyle="miter"/>
            <v:imagedata r:id="rId46" o:title=""/>
            <o:lock v:ext="edit" aspectratio="t"/>
            <w10:wrap type="none"/>
            <w10:anchorlock/>
          </v:shape>
          <o:OLEObject Type="Embed" ProgID="Equation.3" ShapeID="_x0000_i1029" DrawAspect="Content" ObjectID="_1468075729" r:id="rId45">
            <o:LockedField>false</o:LockedField>
          </o:OLEObject>
        </w:object>
      </w:r>
    </w:p>
    <w:p>
      <w:pPr>
        <w:adjustRightInd w:val="0"/>
        <w:snapToGrid w:val="0"/>
        <w:spacing w:line="360" w:lineRule="auto"/>
        <w:ind w:firstLine="480"/>
        <w:rPr>
          <w:rFonts w:ascii="Times New Roman" w:hAnsi="Times New Roman" w:eastAsiaTheme="minorEastAsia"/>
          <w:sz w:val="24"/>
          <w:szCs w:val="24"/>
        </w:rPr>
      </w:pPr>
      <w:r>
        <w:rPr>
          <w:rFonts w:ascii="Times New Roman" w:hAnsi="Times New Roman" w:eastAsiaTheme="minorEastAsia"/>
          <w:sz w:val="24"/>
          <w:szCs w:val="24"/>
        </w:rPr>
        <w:t>式中：</w:t>
      </w:r>
      <w:r>
        <w:rPr>
          <w:rFonts w:ascii="Times New Roman" w:hAnsi="Times New Roman" w:eastAsiaTheme="minorEastAsia"/>
          <w:iCs/>
          <w:sz w:val="24"/>
          <w:szCs w:val="24"/>
        </w:rPr>
        <w:t>S</w:t>
      </w:r>
      <w:r>
        <w:rPr>
          <w:rFonts w:ascii="Times New Roman" w:hAnsi="Times New Roman" w:eastAsiaTheme="minorEastAsia"/>
          <w:iCs/>
          <w:sz w:val="24"/>
          <w:szCs w:val="24"/>
          <w:vertAlign w:val="subscript"/>
        </w:rPr>
        <w:t xml:space="preserve">pH，j </w:t>
      </w:r>
      <w:r>
        <w:rPr>
          <w:rFonts w:ascii="Times New Roman" w:hAnsi="Times New Roman" w:eastAsiaTheme="minorEastAsia"/>
          <w:sz w:val="24"/>
          <w:szCs w:val="24"/>
        </w:rPr>
        <w:t>— pH值的标准指数；</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pH</w:t>
      </w:r>
      <w:r>
        <w:rPr>
          <w:rFonts w:ascii="Times New Roman" w:hAnsi="Times New Roman" w:eastAsiaTheme="minorEastAsia"/>
          <w:iCs/>
          <w:sz w:val="24"/>
          <w:szCs w:val="24"/>
          <w:vertAlign w:val="subscript"/>
        </w:rPr>
        <w:t>j</w:t>
      </w:r>
      <w:r>
        <w:rPr>
          <w:rFonts w:ascii="Times New Roman" w:hAnsi="Times New Roman" w:eastAsiaTheme="minorEastAsia"/>
          <w:sz w:val="24"/>
          <w:szCs w:val="24"/>
        </w:rPr>
        <w:t>— pH实测值；</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pH</w:t>
      </w:r>
      <w:r>
        <w:rPr>
          <w:rFonts w:ascii="Times New Roman" w:hAnsi="Times New Roman" w:eastAsiaTheme="minorEastAsia"/>
          <w:iCs/>
          <w:sz w:val="24"/>
          <w:szCs w:val="24"/>
          <w:vertAlign w:val="subscript"/>
        </w:rPr>
        <w:t>sd</w:t>
      </w:r>
      <w:r>
        <w:rPr>
          <w:rFonts w:ascii="Times New Roman" w:hAnsi="Times New Roman" w:eastAsiaTheme="minorEastAsia"/>
          <w:sz w:val="24"/>
          <w:szCs w:val="24"/>
        </w:rPr>
        <w:t xml:space="preserve"> —评价标准中pH值的下限值；</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pH</w:t>
      </w:r>
      <w:r>
        <w:rPr>
          <w:rFonts w:ascii="Times New Roman" w:hAnsi="Times New Roman" w:eastAsiaTheme="minorEastAsia"/>
          <w:iCs/>
          <w:sz w:val="24"/>
          <w:szCs w:val="24"/>
          <w:vertAlign w:val="subscript"/>
        </w:rPr>
        <w:t>su</w:t>
      </w:r>
      <w:r>
        <w:rPr>
          <w:rFonts w:ascii="Times New Roman" w:hAnsi="Times New Roman" w:eastAsiaTheme="minorEastAsia"/>
          <w:sz w:val="24"/>
          <w:szCs w:val="24"/>
        </w:rPr>
        <w:t xml:space="preserve"> —评价标准中pH值的上限值；</w:t>
      </w:r>
    </w:p>
    <w:p>
      <w:pPr>
        <w:pStyle w:val="110"/>
        <w:adjustRightInd w:val="0"/>
        <w:snapToGrid w:val="0"/>
        <w:spacing w:line="360" w:lineRule="auto"/>
        <w:ind w:firstLine="480"/>
        <w:rPr>
          <w:rFonts w:eastAsiaTheme="minorEastAsia"/>
        </w:rPr>
      </w:pPr>
      <w:r>
        <w:rPr>
          <w:rFonts w:eastAsiaTheme="minorEastAsia"/>
        </w:rPr>
        <w:t>DO单项水质参数计算方法：</w:t>
      </w:r>
    </w:p>
    <w:p>
      <w:pPr>
        <w:adjustRightInd w:val="0"/>
        <w:snapToGrid w:val="0"/>
        <w:spacing w:line="360" w:lineRule="auto"/>
        <w:jc w:val="center"/>
        <w:rPr>
          <w:rFonts w:ascii="Times New Roman" w:hAnsi="Times New Roman" w:eastAsiaTheme="minorEastAsia"/>
          <w:color w:val="548DD4"/>
          <w:spacing w:val="4"/>
          <w:sz w:val="24"/>
        </w:rPr>
      </w:pPr>
      <w:r>
        <w:rPr>
          <w:rFonts w:ascii="Times New Roman" w:hAnsi="Times New Roman"/>
        </w:rPr>
        <w:drawing>
          <wp:inline distT="0" distB="0" distL="0" distR="0">
            <wp:extent cx="1200150" cy="2114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a:stretch>
                      <a:fillRect/>
                    </a:stretch>
                  </pic:blipFill>
                  <pic:spPr>
                    <a:xfrm>
                      <a:off x="0" y="0"/>
                      <a:ext cx="1283106" cy="226715"/>
                    </a:xfrm>
                    <a:prstGeom prst="rect">
                      <a:avLst/>
                    </a:prstGeom>
                  </pic:spPr>
                </pic:pic>
              </a:graphicData>
            </a:graphic>
          </wp:inline>
        </w:drawing>
      </w:r>
      <w:r>
        <w:rPr>
          <w:rFonts w:ascii="Times New Roman" w:hAnsi="Times New Roman" w:eastAsiaTheme="minorEastAsia"/>
          <w:color w:val="548DD4"/>
          <w:spacing w:val="4"/>
          <w:sz w:val="24"/>
        </w:rPr>
        <w:t xml:space="preserve">  </w:t>
      </w:r>
      <w:r>
        <w:rPr>
          <w:rFonts w:ascii="Times New Roman" w:hAnsi="Times New Roman" w:eastAsiaTheme="minorEastAsia"/>
          <w:spacing w:val="4"/>
          <w:sz w:val="24"/>
          <w:szCs w:val="24"/>
        </w:rPr>
        <w:t>DO</w:t>
      </w:r>
      <w:r>
        <w:rPr>
          <w:rFonts w:ascii="Times New Roman" w:hAnsi="Times New Roman" w:eastAsiaTheme="minorEastAsia"/>
          <w:spacing w:val="4"/>
          <w:sz w:val="24"/>
          <w:szCs w:val="24"/>
          <w:vertAlign w:val="subscript"/>
        </w:rPr>
        <w:t>j</w:t>
      </w:r>
      <w:r>
        <w:rPr>
          <w:rFonts w:ascii="Times New Roman" w:hAnsi="Times New Roman" w:eastAsiaTheme="minorEastAsia"/>
          <w:spacing w:val="4"/>
          <w:sz w:val="24"/>
          <w:szCs w:val="24"/>
        </w:rPr>
        <w:t>≤DO</w:t>
      </w:r>
      <w:r>
        <w:rPr>
          <w:rFonts w:ascii="Times New Roman" w:hAnsi="Times New Roman" w:eastAsiaTheme="minorEastAsia"/>
          <w:spacing w:val="4"/>
          <w:sz w:val="24"/>
          <w:szCs w:val="24"/>
          <w:vertAlign w:val="subscript"/>
        </w:rPr>
        <w:t>s</w:t>
      </w:r>
      <w:r>
        <w:rPr>
          <w:rFonts w:ascii="Times New Roman" w:hAnsi="Times New Roman" w:eastAsiaTheme="minorEastAsia"/>
          <w:spacing w:val="4"/>
          <w:sz w:val="24"/>
          <w:szCs w:val="24"/>
        </w:rPr>
        <w:t>时；</w:t>
      </w:r>
    </w:p>
    <w:p>
      <w:pPr>
        <w:adjustRightInd w:val="0"/>
        <w:snapToGrid w:val="0"/>
        <w:spacing w:line="360" w:lineRule="auto"/>
        <w:jc w:val="center"/>
        <w:rPr>
          <w:rFonts w:ascii="Times New Roman" w:hAnsi="Times New Roman" w:eastAsiaTheme="minorEastAsia"/>
          <w:spacing w:val="4"/>
          <w:sz w:val="24"/>
          <w:szCs w:val="24"/>
        </w:rPr>
      </w:pPr>
      <w:r>
        <w:drawing>
          <wp:inline distT="0" distB="0" distL="0" distR="0">
            <wp:extent cx="1295400" cy="4425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a:stretch>
                      <a:fillRect/>
                    </a:stretch>
                  </pic:blipFill>
                  <pic:spPr>
                    <a:xfrm>
                      <a:off x="0" y="0"/>
                      <a:ext cx="1334886" cy="456445"/>
                    </a:xfrm>
                    <a:prstGeom prst="rect">
                      <a:avLst/>
                    </a:prstGeom>
                  </pic:spPr>
                </pic:pic>
              </a:graphicData>
            </a:graphic>
          </wp:inline>
        </w:drawing>
      </w:r>
      <w:r>
        <w:rPr>
          <w:rFonts w:ascii="Times New Roman" w:hAnsi="Times New Roman" w:eastAsiaTheme="minorEastAsia"/>
          <w:spacing w:val="4"/>
          <w:sz w:val="24"/>
          <w:szCs w:val="24"/>
        </w:rPr>
        <w:t xml:space="preserve">  DO</w:t>
      </w:r>
      <w:r>
        <w:rPr>
          <w:rFonts w:ascii="Times New Roman" w:hAnsi="Times New Roman" w:eastAsiaTheme="minorEastAsia"/>
          <w:spacing w:val="4"/>
          <w:sz w:val="24"/>
          <w:szCs w:val="24"/>
          <w:vertAlign w:val="subscript"/>
        </w:rPr>
        <w:t>j</w:t>
      </w:r>
      <w:r>
        <w:rPr>
          <w:rFonts w:ascii="Times New Roman" w:hAnsi="Times New Roman" w:eastAsiaTheme="minorEastAsia"/>
          <w:spacing w:val="4"/>
          <w:sz w:val="24"/>
          <w:szCs w:val="24"/>
        </w:rPr>
        <w:t>＞DO</w:t>
      </w:r>
      <w:r>
        <w:rPr>
          <w:rFonts w:ascii="Times New Roman" w:hAnsi="Times New Roman" w:eastAsiaTheme="minorEastAsia"/>
          <w:spacing w:val="4"/>
          <w:sz w:val="24"/>
          <w:szCs w:val="24"/>
          <w:vertAlign w:val="subscript"/>
        </w:rPr>
        <w:t>s</w:t>
      </w:r>
      <w:r>
        <w:rPr>
          <w:rFonts w:ascii="Times New Roman" w:hAnsi="Times New Roman" w:eastAsiaTheme="minorEastAsia"/>
          <w:spacing w:val="4"/>
          <w:sz w:val="24"/>
          <w:szCs w:val="24"/>
        </w:rPr>
        <w:t>时；</w:t>
      </w:r>
    </w:p>
    <w:p>
      <w:pPr>
        <w:pStyle w:val="110"/>
        <w:adjustRightInd w:val="0"/>
        <w:snapToGrid w:val="0"/>
        <w:spacing w:line="360" w:lineRule="auto"/>
        <w:ind w:firstLine="480"/>
        <w:rPr>
          <w:rFonts w:eastAsiaTheme="minorEastAsia"/>
        </w:rPr>
      </w:pPr>
      <w:r>
        <w:rPr>
          <w:rFonts w:eastAsiaTheme="minorEastAsia"/>
        </w:rPr>
        <w:t>式中：S</w:t>
      </w:r>
      <w:r>
        <w:rPr>
          <w:rFonts w:eastAsiaTheme="minorEastAsia"/>
          <w:vertAlign w:val="subscript"/>
        </w:rPr>
        <w:t xml:space="preserve">DOj </w:t>
      </w:r>
      <w:r>
        <w:rPr>
          <w:rFonts w:eastAsiaTheme="minorEastAsia"/>
        </w:rPr>
        <w:t>——</w:t>
      </w:r>
      <w:r>
        <w:rPr>
          <w:rFonts w:hint="eastAsia" w:eastAsiaTheme="minorEastAsia"/>
        </w:rPr>
        <w:t>溶解氧</w:t>
      </w:r>
      <w:r>
        <w:rPr>
          <w:rFonts w:eastAsiaTheme="minorEastAsia"/>
        </w:rPr>
        <w:t>的标准指数</w:t>
      </w:r>
      <w:r>
        <w:rPr>
          <w:rFonts w:hint="eastAsia" w:eastAsiaTheme="minorEastAsia"/>
        </w:rPr>
        <w:t>，</w:t>
      </w:r>
      <w:r>
        <w:rPr>
          <w:rFonts w:eastAsiaTheme="minorEastAsia"/>
        </w:rPr>
        <w:t>大于</w:t>
      </w:r>
      <w:r>
        <w:rPr>
          <w:rFonts w:hint="eastAsia" w:eastAsiaTheme="minorEastAsia"/>
        </w:rPr>
        <w:t>1表明</w:t>
      </w:r>
      <w:r>
        <w:rPr>
          <w:rFonts w:eastAsiaTheme="minorEastAsia"/>
        </w:rPr>
        <w:t>该水质因子超标；</w:t>
      </w:r>
    </w:p>
    <w:p>
      <w:pPr>
        <w:pStyle w:val="110"/>
        <w:adjustRightInd w:val="0"/>
        <w:snapToGrid w:val="0"/>
        <w:spacing w:line="360" w:lineRule="auto"/>
        <w:ind w:firstLine="1159" w:firstLineChars="483"/>
        <w:rPr>
          <w:rFonts w:eastAsiaTheme="minorEastAsia"/>
        </w:rPr>
      </w:pPr>
      <w:r>
        <w:rPr>
          <w:rFonts w:eastAsiaTheme="minorEastAsia"/>
        </w:rPr>
        <w:t>DO</w:t>
      </w:r>
      <w:r>
        <w:rPr>
          <w:rFonts w:eastAsiaTheme="minorEastAsia"/>
          <w:vertAlign w:val="subscript"/>
        </w:rPr>
        <w:t xml:space="preserve">j </w:t>
      </w:r>
      <w:r>
        <w:rPr>
          <w:rFonts w:eastAsiaTheme="minorEastAsia"/>
        </w:rPr>
        <w:t>——</w:t>
      </w:r>
      <w:r>
        <w:rPr>
          <w:rFonts w:hint="eastAsia" w:eastAsiaTheme="minorEastAsia"/>
        </w:rPr>
        <w:t>溶解氧在</w:t>
      </w:r>
      <w:r>
        <w:rPr>
          <w:rFonts w:eastAsiaTheme="minorEastAsia"/>
        </w:rPr>
        <w:t>j</w:t>
      </w:r>
      <w:r>
        <w:rPr>
          <w:rFonts w:hint="eastAsia" w:eastAsiaTheme="minorEastAsia"/>
        </w:rPr>
        <w:t>点</w:t>
      </w:r>
      <w:r>
        <w:rPr>
          <w:rFonts w:eastAsiaTheme="minorEastAsia"/>
        </w:rPr>
        <w:t>的实测统计代表值，mg/L</w:t>
      </w:r>
      <w:r>
        <w:rPr>
          <w:rFonts w:hint="eastAsia" w:eastAsiaTheme="minorEastAsia"/>
        </w:rPr>
        <w:t>；</w:t>
      </w:r>
    </w:p>
    <w:p>
      <w:pPr>
        <w:pStyle w:val="110"/>
        <w:adjustRightInd w:val="0"/>
        <w:snapToGrid w:val="0"/>
        <w:spacing w:line="360" w:lineRule="auto"/>
        <w:ind w:firstLine="1159" w:firstLineChars="483"/>
        <w:rPr>
          <w:rFonts w:eastAsiaTheme="minorEastAsia"/>
        </w:rPr>
      </w:pPr>
      <w:r>
        <w:rPr>
          <w:rFonts w:eastAsiaTheme="minorEastAsia"/>
        </w:rPr>
        <w:t>DO</w:t>
      </w:r>
      <w:r>
        <w:rPr>
          <w:rFonts w:eastAsiaTheme="minorEastAsia"/>
          <w:vertAlign w:val="subscript"/>
        </w:rPr>
        <w:t xml:space="preserve">s </w:t>
      </w:r>
      <w:r>
        <w:rPr>
          <w:rFonts w:eastAsiaTheme="minorEastAsia"/>
        </w:rPr>
        <w:t>——</w:t>
      </w:r>
      <w:r>
        <w:rPr>
          <w:rFonts w:hint="eastAsia" w:eastAsiaTheme="minorEastAsia"/>
        </w:rPr>
        <w:t>溶解氧</w:t>
      </w:r>
      <w:r>
        <w:rPr>
          <w:rFonts w:eastAsiaTheme="minorEastAsia"/>
        </w:rPr>
        <w:t>的水质评价标准限值，mg/L</w:t>
      </w:r>
      <w:r>
        <w:rPr>
          <w:rFonts w:hint="eastAsia" w:eastAsiaTheme="minorEastAsia"/>
        </w:rPr>
        <w:t>；</w:t>
      </w:r>
    </w:p>
    <w:p>
      <w:pPr>
        <w:pStyle w:val="110"/>
        <w:adjustRightInd w:val="0"/>
        <w:snapToGrid w:val="0"/>
        <w:spacing w:line="360" w:lineRule="auto"/>
        <w:ind w:firstLine="1159" w:firstLineChars="483"/>
        <w:rPr>
          <w:rFonts w:eastAsiaTheme="minorEastAsia"/>
        </w:rPr>
      </w:pPr>
      <w:r>
        <w:rPr>
          <w:rFonts w:eastAsiaTheme="minorEastAsia"/>
        </w:rPr>
        <w:t>DO</w:t>
      </w:r>
      <w:r>
        <w:rPr>
          <w:rFonts w:eastAsiaTheme="minorEastAsia"/>
          <w:vertAlign w:val="subscript"/>
        </w:rPr>
        <w:t xml:space="preserve">f </w:t>
      </w:r>
      <w:r>
        <w:rPr>
          <w:rFonts w:eastAsiaTheme="minorEastAsia"/>
        </w:rPr>
        <w:t>——</w:t>
      </w:r>
      <w:r>
        <w:rPr>
          <w:rFonts w:hint="eastAsia" w:eastAsiaTheme="minorEastAsia"/>
        </w:rPr>
        <w:t>饱和溶解氧浓度，mg/L，对于河流，DO</w:t>
      </w:r>
      <w:r>
        <w:rPr>
          <w:rFonts w:eastAsiaTheme="minorEastAsia"/>
          <w:vertAlign w:val="subscript"/>
        </w:rPr>
        <w:t>f</w:t>
      </w:r>
      <w:r>
        <w:rPr>
          <w:rFonts w:hint="eastAsia" w:eastAsiaTheme="minorEastAsia"/>
        </w:rPr>
        <w:t>=468/（31.6+T）；</w:t>
      </w:r>
    </w:p>
    <w:p>
      <w:pPr>
        <w:pStyle w:val="110"/>
        <w:adjustRightInd w:val="0"/>
        <w:snapToGrid w:val="0"/>
        <w:spacing w:line="360" w:lineRule="auto"/>
        <w:ind w:firstLine="1159" w:firstLineChars="483"/>
        <w:rPr>
          <w:rFonts w:eastAsiaTheme="minorEastAsia"/>
        </w:rPr>
      </w:pPr>
      <w:r>
        <w:rPr>
          <w:rFonts w:eastAsiaTheme="minorEastAsia"/>
        </w:rPr>
        <w:t>T ——水温（</w:t>
      </w:r>
      <w:r>
        <w:rPr>
          <w:rFonts w:hint="eastAsia" w:ascii="宋体" w:hAnsi="宋体" w:cs="宋体"/>
        </w:rPr>
        <w:t>℃</w:t>
      </w:r>
      <w:r>
        <w:rPr>
          <w:rFonts w:eastAsiaTheme="minorEastAsia"/>
        </w:rPr>
        <w:t>）。</w:t>
      </w:r>
    </w:p>
    <w:p>
      <w:pPr>
        <w:adjustRightInd w:val="0"/>
        <w:snapToGrid w:val="0"/>
        <w:spacing w:line="360" w:lineRule="auto"/>
        <w:ind w:firstLine="482"/>
        <w:rPr>
          <w:rFonts w:ascii="Times New Roman" w:hAnsi="Times New Roman" w:eastAsiaTheme="minorEastAsia"/>
          <w:kern w:val="0"/>
          <w:sz w:val="20"/>
          <w:szCs w:val="20"/>
        </w:rPr>
      </w:pPr>
      <w:r>
        <w:rPr>
          <w:rFonts w:ascii="Times New Roman" w:hAnsi="Times New Roman" w:eastAsiaTheme="minorEastAsia"/>
          <w:sz w:val="24"/>
          <w:szCs w:val="24"/>
        </w:rPr>
        <w:t>水质参数的单因子指数&gt;1.0，表明该水质参数超过了规定的水质标准</w:t>
      </w:r>
      <w:r>
        <w:rPr>
          <w:rFonts w:ascii="Times New Roman" w:hAnsi="Times New Roman" w:eastAsiaTheme="minorEastAsia"/>
          <w:kern w:val="0"/>
          <w:sz w:val="24"/>
          <w:szCs w:val="24"/>
        </w:rPr>
        <w:t>，已经不能满足使用要求。标准指数越大，污染程度越重；标准指数越小，说明水体受污染的程度越轻。</w:t>
      </w:r>
    </w:p>
    <w:p>
      <w:pPr>
        <w:pStyle w:val="110"/>
        <w:adjustRightInd w:val="0"/>
        <w:snapToGrid w:val="0"/>
        <w:spacing w:line="360" w:lineRule="auto"/>
        <w:ind w:firstLine="482" w:firstLineChars="0"/>
        <w:rPr>
          <w:rFonts w:eastAsiaTheme="minorEastAsia"/>
        </w:rPr>
      </w:pPr>
      <w:r>
        <w:rPr>
          <w:rFonts w:eastAsiaTheme="minorEastAsia"/>
        </w:rPr>
        <w:t>2、现状监测结果评价分析</w:t>
      </w:r>
    </w:p>
    <w:p>
      <w:pPr>
        <w:pStyle w:val="110"/>
        <w:adjustRightInd w:val="0"/>
        <w:snapToGrid w:val="0"/>
        <w:spacing w:line="360" w:lineRule="auto"/>
        <w:ind w:firstLine="482" w:firstLineChars="0"/>
        <w:rPr>
          <w:rFonts w:eastAsiaTheme="minorEastAsia"/>
        </w:rPr>
      </w:pPr>
      <w:r>
        <w:rPr>
          <w:rFonts w:eastAsiaTheme="minorEastAsia"/>
        </w:rPr>
        <w:t>本项目所涉及河流水质监测结果及单因子指数及水质达标分析情况，见表4.4-7和表4.4-8。</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表4.4-7  地表水水质监测结果表      </w:t>
      </w:r>
      <w:r>
        <w:rPr>
          <w:rFonts w:ascii="Times New Roman" w:hAnsi="Times New Roman" w:eastAsiaTheme="minorEastAsia"/>
          <w:sz w:val="24"/>
          <w:szCs w:val="24"/>
        </w:rPr>
        <w:t>单位：mg/L，除pH</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2877"/>
        <w:gridCol w:w="928"/>
        <w:gridCol w:w="1336"/>
        <w:gridCol w:w="1336"/>
        <w:gridCol w:w="13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断面</w:t>
            </w:r>
          </w:p>
        </w:tc>
        <w:tc>
          <w:tcPr>
            <w:tcW w:w="1581"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监测项目</w:t>
            </w:r>
          </w:p>
        </w:tc>
        <w:tc>
          <w:tcPr>
            <w:tcW w:w="510"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单位</w:t>
            </w:r>
          </w:p>
        </w:tc>
        <w:tc>
          <w:tcPr>
            <w:tcW w:w="2199" w:type="pct"/>
            <w:gridSpan w:val="3"/>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p>
        </w:tc>
        <w:tc>
          <w:tcPr>
            <w:tcW w:w="1581"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p>
        </w:tc>
        <w:tc>
          <w:tcPr>
            <w:tcW w:w="51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rPr>
              <w:t>08月08日</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rPr>
              <w:t>08月09日</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rPr>
              <w:t>08月10日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S1</w:t>
            </w:r>
            <w:r>
              <w:rPr>
                <w:rFonts w:hint="eastAsia" w:ascii="Times New Roman" w:hAnsi="Times New Roman" w:eastAsiaTheme="minorEastAsia"/>
                <w:color w:val="000000"/>
              </w:rPr>
              <w:t>临湘儒溪</w:t>
            </w:r>
            <w:r>
              <w:rPr>
                <w:rFonts w:ascii="Times New Roman" w:hAnsi="Times New Roman" w:eastAsiaTheme="minorEastAsia"/>
                <w:color w:val="000000"/>
              </w:rPr>
              <w:t>工业园取水口</w:t>
            </w: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水温</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宋体" w:hAnsi="宋体" w:cs="宋体"/>
                <w:color w:val="000000"/>
              </w:rPr>
              <w:t>℃</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20</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18</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pH</w:t>
            </w:r>
            <w:r>
              <w:rPr>
                <w:rFonts w:hint="eastAsia" w:ascii="Times New Roman" w:hAnsi="Times New Roman" w:eastAsiaTheme="minorEastAsia"/>
                <w:color w:val="000000"/>
              </w:rPr>
              <w:t>值</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无量纲</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7.85</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7.80</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溶解氧（DO）</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5.4</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5.3</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化学需氧量（COD）</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19</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18</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3.2</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3.4</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0.826</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0.816</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总磷（以P计）</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0.05</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0.04</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总氮</w:t>
            </w:r>
            <w:r>
              <w:rPr>
                <w:rFonts w:ascii="Times New Roman" w:hAnsi="Times New Roman" w:eastAsiaTheme="minorEastAsia"/>
                <w:color w:val="000000"/>
                <w:kern w:val="0"/>
              </w:rPr>
              <w:t>（</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0.96</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0.94</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氟化物</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0.23</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0.24</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挥发酚</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石油类</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硫化物</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甲苯</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二甲苯</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悬浮物（SS）</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27</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28</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restart"/>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r>
              <w:rPr>
                <w:rFonts w:ascii="Times New Roman" w:hAnsi="Times New Roman" w:eastAsiaTheme="minorEastAsia"/>
                <w:color w:val="000000"/>
              </w:rPr>
              <w:t>S2 长江</w:t>
            </w: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水温</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宋体" w:hAnsi="宋体" w:cs="宋体"/>
                <w:color w:val="000000"/>
              </w:rPr>
              <w:t>℃</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19</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18</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pH</w:t>
            </w:r>
            <w:r>
              <w:rPr>
                <w:rFonts w:hint="eastAsia" w:ascii="Times New Roman" w:hAnsi="Times New Roman" w:eastAsiaTheme="minorEastAsia"/>
                <w:color w:val="000000"/>
              </w:rPr>
              <w:t>值</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无量纲</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7.74</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7.71</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溶解氧（DO）</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highlight w:val="yellow"/>
              </w:rPr>
            </w:pPr>
            <w:r>
              <w:rPr>
                <w:rFonts w:ascii="Times New Roman" w:hAnsi="Times New Roman" w:eastAsiaTheme="minorEastAsia"/>
                <w:color w:val="000000"/>
              </w:rPr>
              <w:t>5.6</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highlight w:val="yellow"/>
              </w:rPr>
            </w:pPr>
            <w:r>
              <w:rPr>
                <w:rFonts w:ascii="Times New Roman" w:hAnsi="Times New Roman" w:eastAsiaTheme="minorEastAsia"/>
                <w:color w:val="000000"/>
              </w:rPr>
              <w:t>5.5</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highlight w:val="yellow"/>
              </w:rPr>
            </w:pPr>
            <w:r>
              <w:rPr>
                <w:rFonts w:ascii="Times New Roman" w:hAnsi="Times New Roman" w:eastAsiaTheme="minorEastAsia"/>
                <w:color w:val="000000"/>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化学需氧量（COD）</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8</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1.8</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1.6</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0.541</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0.534</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0.556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总磷（以P计）</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0.04</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0.03</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总氮</w:t>
            </w:r>
            <w:r>
              <w:rPr>
                <w:rFonts w:ascii="Times New Roman" w:hAnsi="Times New Roman" w:eastAsiaTheme="minorEastAsia"/>
                <w:color w:val="000000"/>
                <w:kern w:val="0"/>
              </w:rPr>
              <w:t>（</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0.88</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0.85</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氟化物</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0.20</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0.19</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挥发酚</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石油类</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硫化物</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甲苯</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二甲苯</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58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悬浮物（SS）</w:t>
            </w:r>
          </w:p>
        </w:tc>
        <w:tc>
          <w:tcPr>
            <w:tcW w:w="51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mg/L</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25</w:t>
            </w:r>
          </w:p>
        </w:tc>
        <w:tc>
          <w:tcPr>
            <w:tcW w:w="734"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22</w:t>
            </w:r>
          </w:p>
        </w:tc>
        <w:tc>
          <w:tcPr>
            <w:tcW w:w="73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20</w:t>
            </w:r>
          </w:p>
        </w:tc>
      </w:tr>
    </w:tbl>
    <w:p>
      <w:pPr>
        <w:adjustRightInd w:val="0"/>
        <w:snapToGrid w:val="0"/>
        <w:rPr>
          <w:rFonts w:ascii="Times New Roman" w:hAnsi="Times New Roman" w:eastAsiaTheme="minorEastAsia"/>
        </w:rPr>
      </w:pPr>
      <w:r>
        <w:rPr>
          <w:rFonts w:ascii="Times New Roman" w:hAnsi="Times New Roman" w:eastAsiaTheme="minorEastAsia"/>
          <w:color w:val="000000"/>
        </w:rPr>
        <w:t>备注：ND表示低于该方法检出限</w:t>
      </w:r>
      <w:r>
        <w:rPr>
          <w:rFonts w:ascii="Times New Roman" w:hAnsi="Times New Roman" w:eastAsiaTheme="minorEastAsia"/>
          <w:bCs/>
          <w:color w:val="000000"/>
        </w:rPr>
        <w:t>。</w:t>
      </w:r>
    </w:p>
    <w:p>
      <w:pPr>
        <w:pStyle w:val="110"/>
        <w:adjustRightInd w:val="0"/>
        <w:snapToGrid w:val="0"/>
        <w:spacing w:line="360" w:lineRule="auto"/>
        <w:ind w:firstLine="482" w:firstLineChars="0"/>
        <w:rPr>
          <w:rFonts w:eastAsiaTheme="minorEastAsia"/>
        </w:rPr>
      </w:pPr>
    </w:p>
    <w:p>
      <w:pPr>
        <w:pStyle w:val="110"/>
        <w:adjustRightInd w:val="0"/>
        <w:snapToGrid w:val="0"/>
        <w:spacing w:line="360" w:lineRule="auto"/>
        <w:ind w:firstLine="482" w:firstLineChars="0"/>
        <w:rPr>
          <w:rFonts w:eastAsiaTheme="minorEastAsia"/>
        </w:rPr>
      </w:pPr>
      <w:r>
        <w:rPr>
          <w:rFonts w:eastAsiaTheme="minorEastAsia"/>
        </w:rPr>
        <w:t>标准指数评价结果见表4.4-8。</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表4.4-8  各评价因子单项指数一览表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3325"/>
        <w:gridCol w:w="1598"/>
        <w:gridCol w:w="1345"/>
        <w:gridCol w:w="1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8"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断面</w:t>
            </w: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监测项目</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color w:val="000000"/>
              </w:rPr>
              <w:t>执行标准</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rPr>
              <w:t>标准指数</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rPr>
            </w:pPr>
            <w:r>
              <w:rPr>
                <w:rFonts w:ascii="Times New Roman" w:hAnsi="Times New Roman" w:eastAsiaTheme="minorEastAsia"/>
                <w:b/>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 xml:space="preserve">S1 </w:t>
            </w:r>
            <w:r>
              <w:rPr>
                <w:rFonts w:hint="eastAsia" w:ascii="Times New Roman" w:hAnsi="Times New Roman" w:eastAsiaTheme="minorEastAsia"/>
                <w:color w:val="000000"/>
              </w:rPr>
              <w:t>临湘儒溪</w:t>
            </w:r>
            <w:r>
              <w:rPr>
                <w:rFonts w:ascii="Times New Roman" w:hAnsi="Times New Roman" w:eastAsiaTheme="minorEastAsia"/>
                <w:color w:val="000000"/>
              </w:rPr>
              <w:t>工业园取水口</w:t>
            </w: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水温</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pH</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6~9</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0.41</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溶解氧（DO）</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0.91</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化学需氧量（COD）</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0.88</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≤4mg/L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0.83</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0.82</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总磷（以P计）</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0.25</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总氮</w:t>
            </w:r>
            <w:r>
              <w:rPr>
                <w:rFonts w:ascii="Times New Roman" w:hAnsi="Times New Roman" w:eastAsiaTheme="minorEastAsia"/>
                <w:color w:val="000000"/>
                <w:kern w:val="0"/>
              </w:rPr>
              <w:t>（</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0.96</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氟化物</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0.23</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挥发酚</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≤0.005mg/L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石油类</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硫化物</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甲苯</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≤0.7mg/L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二甲苯</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悬浮物（SS）</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0.9</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r>
              <w:rPr>
                <w:rFonts w:ascii="Times New Roman" w:hAnsi="Times New Roman" w:eastAsiaTheme="minorEastAsia"/>
                <w:color w:val="000000"/>
              </w:rPr>
              <w:t>S2 长江</w:t>
            </w: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水温</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pH</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6~9</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0.36</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溶解氧（DO）</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highlight w:val="yellow"/>
              </w:rPr>
            </w:pPr>
            <w:r>
              <w:rPr>
                <w:rFonts w:ascii="Times New Roman" w:hAnsi="Times New Roman" w:eastAsiaTheme="minorEastAsia"/>
                <w:color w:val="000000"/>
              </w:rPr>
              <w:t>0.86</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化学需氧量（COD）</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≤20mg/L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0.35</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≤4mg/L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0.38</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0.54</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总磷（以P计）</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rPr>
              <w:t>总氮</w:t>
            </w:r>
            <w:r>
              <w:rPr>
                <w:rFonts w:ascii="Times New Roman" w:hAnsi="Times New Roman" w:eastAsiaTheme="minorEastAsia"/>
                <w:color w:val="000000"/>
                <w:kern w:val="0"/>
              </w:rPr>
              <w:t>（</w:t>
            </w:r>
            <w:r>
              <w:rPr>
                <w:rFonts w:hint="eastAsia" w:ascii="Times New Roman" w:hAnsi="Times New Roman" w:eastAsiaTheme="minorEastAsia"/>
                <w:color w:val="000000"/>
                <w:kern w:val="0"/>
              </w:rPr>
              <w:t>以N计</w:t>
            </w:r>
            <w:r>
              <w:rPr>
                <w:rFonts w:ascii="Times New Roman" w:hAnsi="Times New Roman" w:eastAsiaTheme="minorEastAsia"/>
                <w:color w:val="000000"/>
                <w:kern w:val="0"/>
              </w:rPr>
              <w:t>）</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0.88</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氟化物</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0.19</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挥发酚</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≤0.005mg/L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石油类</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硫化物</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≤0.2mg/L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甲苯</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≤0.7mg/L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二甲苯</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≤0.5mg/L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18" w:type="pct"/>
            <w:vMerge w:val="continue"/>
            <w:tcMar>
              <w:top w:w="0" w:type="dxa"/>
              <w:left w:w="0" w:type="dxa"/>
              <w:bottom w:w="0" w:type="dxa"/>
              <w:right w:w="0" w:type="dxa"/>
            </w:tcMar>
            <w:vAlign w:val="center"/>
          </w:tcPr>
          <w:p>
            <w:pPr>
              <w:pStyle w:val="25"/>
              <w:adjustRightInd w:val="0"/>
              <w:snapToGrid w:val="0"/>
              <w:spacing w:after="0"/>
              <w:rPr>
                <w:rFonts w:ascii="Times New Roman" w:hAnsi="Times New Roman" w:eastAsiaTheme="minorEastAsia"/>
                <w:color w:val="000000"/>
              </w:rPr>
            </w:pPr>
          </w:p>
        </w:tc>
        <w:tc>
          <w:tcPr>
            <w:tcW w:w="182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悬浮物（SS）</w:t>
            </w:r>
          </w:p>
        </w:tc>
        <w:tc>
          <w:tcPr>
            <w:tcW w:w="87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≤30mg/L</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0.9</w:t>
            </w:r>
          </w:p>
        </w:tc>
        <w:tc>
          <w:tcPr>
            <w:tcW w:w="739"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rPr>
              <w:t>达标</w:t>
            </w:r>
          </w:p>
        </w:tc>
      </w:tr>
    </w:tbl>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3、现状评价结果</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sz w:val="24"/>
          <w:szCs w:val="24"/>
        </w:rPr>
        <w:t>由评价结果可知，</w:t>
      </w:r>
      <w:r>
        <w:rPr>
          <w:rFonts w:ascii="Times New Roman" w:hAnsi="Times New Roman" w:eastAsiaTheme="minorEastAsia"/>
          <w:kern w:val="0"/>
          <w:sz w:val="24"/>
          <w:szCs w:val="24"/>
        </w:rPr>
        <w:t>长江各监测断面中各监测因子指标均能满足</w:t>
      </w:r>
      <w:r>
        <w:rPr>
          <w:rFonts w:ascii="Times New Roman" w:hAnsi="Times New Roman" w:eastAsiaTheme="minorEastAsia"/>
          <w:sz w:val="24"/>
          <w:szCs w:val="24"/>
        </w:rPr>
        <w:t>满足《地表水环境质量标准》（GB3838-2002）</w:t>
      </w:r>
      <w:r>
        <w:rPr>
          <w:rFonts w:hint="eastAsia" w:ascii="宋体" w:hAnsi="宋体" w:cs="宋体"/>
          <w:sz w:val="24"/>
          <w:szCs w:val="24"/>
        </w:rPr>
        <w:t>Ⅲ</w:t>
      </w:r>
      <w:r>
        <w:rPr>
          <w:rFonts w:ascii="Times New Roman" w:hAnsi="Times New Roman" w:eastAsiaTheme="minorEastAsia"/>
          <w:sz w:val="24"/>
          <w:szCs w:val="24"/>
        </w:rPr>
        <w:t>类水质及《地表水资源质量标准》（SL63-94）的三级标准水质的控制要求，</w:t>
      </w:r>
      <w:r>
        <w:rPr>
          <w:rFonts w:ascii="Times New Roman" w:hAnsi="Times New Roman" w:eastAsiaTheme="minorEastAsia"/>
          <w:kern w:val="0"/>
          <w:sz w:val="24"/>
          <w:szCs w:val="24"/>
        </w:rPr>
        <w:t>说明项目所在区域地表水环境较好。</w:t>
      </w:r>
    </w:p>
    <w:p>
      <w:pPr>
        <w:pStyle w:val="3"/>
        <w:kinsoku w:val="0"/>
        <w:overflowPunct w:val="0"/>
        <w:autoSpaceDE w:val="0"/>
        <w:autoSpaceDN w:val="0"/>
        <w:ind w:left="578" w:hanging="578"/>
        <w:rPr>
          <w:rFonts w:ascii="Times New Roman" w:hAnsi="Times New Roman" w:eastAsiaTheme="minorEastAsia"/>
          <w:b/>
        </w:rPr>
      </w:pPr>
      <w:bookmarkStart w:id="99" w:name="_Toc6036"/>
      <w:r>
        <w:rPr>
          <w:rFonts w:ascii="Times New Roman" w:hAnsi="Times New Roman" w:eastAsiaTheme="minorEastAsia"/>
          <w:b/>
        </w:rPr>
        <w:t>地下水环境现状调查与评价</w:t>
      </w:r>
      <w:bookmarkEnd w:id="99"/>
    </w:p>
    <w:p>
      <w:pPr>
        <w:pStyle w:val="4"/>
        <w:rPr>
          <w:rFonts w:eastAsiaTheme="minorEastAsia"/>
        </w:rPr>
      </w:pPr>
      <w:bookmarkStart w:id="100" w:name="_Toc335908463"/>
      <w:bookmarkEnd w:id="100"/>
      <w:r>
        <w:rPr>
          <w:rFonts w:eastAsiaTheme="minorEastAsia"/>
        </w:rPr>
        <w:t>地下水环境现状调查</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地下水根据其赋存特征和埋藏条件可分为孔隙潜水和季节性承压水。</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潜水：主要为孔隙水，埋藏于上部的第四系粉质粘土层中，受大气降水与地表水的补给，随季节变化与地表水呈互补关系，枯水期地下水向江、渠排泄，洪水期接受江河水补给。</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季节性承压水：埋藏于第四系粘性土层之下的砂性土层中，与江水相通，承压水头的大小随补给区江水位的变化而变化。枯水期，河水位降低，地下水向河床方向运移，并排泄于河床之中；洪水期，河水位抬高，地下水沿透水层向远离河床方向运移，补给地下水。</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bCs/>
          <w:sz w:val="24"/>
        </w:rPr>
        <w:t>根据区域水文地质资料，工程区地下水排泄通畅，地下水位主要受江水制约，随江水升降而变化；一般在地表以下0.5~2.5m，水位多受地表水塘、沟渠控制。</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地下水环境质量现状监测</w:t>
      </w:r>
    </w:p>
    <w:p>
      <w:pPr>
        <w:adjustRightInd w:val="0"/>
        <w:snapToGrid w:val="0"/>
        <w:spacing w:line="360" w:lineRule="auto"/>
        <w:ind w:firstLine="480" w:firstLineChars="200"/>
        <w:rPr>
          <w:rFonts w:ascii="Times New Roman" w:hAnsi="Times New Roman" w:eastAsiaTheme="minorEastAsia"/>
          <w:kern w:val="0"/>
        </w:rPr>
      </w:pPr>
      <w:r>
        <w:rPr>
          <w:rFonts w:ascii="Times New Roman" w:hAnsi="Times New Roman" w:eastAsiaTheme="minorEastAsia"/>
          <w:bCs/>
          <w:sz w:val="24"/>
        </w:rPr>
        <w:t>本次评价委托湖南永</w:t>
      </w:r>
      <w:r>
        <w:rPr>
          <w:rFonts w:ascii="Times New Roman" w:hAnsi="Times New Roman" w:eastAsiaTheme="minorEastAsia"/>
          <w:sz w:val="24"/>
          <w:szCs w:val="24"/>
        </w:rPr>
        <w:t>蓝检测技术股份有限公司于2019年8月8日期间针对</w:t>
      </w:r>
      <w:r>
        <w:rPr>
          <w:rFonts w:hint="eastAsia" w:ascii="Times New Roman" w:hAnsi="Times New Roman" w:eastAsiaTheme="minorEastAsia"/>
          <w:sz w:val="24"/>
          <w:szCs w:val="24"/>
        </w:rPr>
        <w:t>码头周边</w:t>
      </w:r>
      <w:r>
        <w:rPr>
          <w:rFonts w:ascii="Times New Roman" w:hAnsi="Times New Roman" w:eastAsiaTheme="minorEastAsia"/>
          <w:sz w:val="24"/>
          <w:szCs w:val="24"/>
        </w:rPr>
        <w:t>地下井水进行了水质现状监测。</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1、监测点位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本次在项目沿线共设置5处地下水监测点，均为农村居民水井，具体见表4.5-1。</w:t>
      </w:r>
    </w:p>
    <w:p>
      <w:pPr>
        <w:spacing w:line="276" w:lineRule="auto"/>
        <w:ind w:firstLine="482"/>
        <w:jc w:val="center"/>
        <w:rPr>
          <w:rFonts w:ascii="Times New Roman" w:hAnsi="Times New Roman" w:eastAsiaTheme="minorEastAsia"/>
          <w:b/>
          <w:sz w:val="24"/>
          <w:szCs w:val="24"/>
        </w:rPr>
      </w:pPr>
      <w:r>
        <w:rPr>
          <w:rFonts w:ascii="Times New Roman" w:hAnsi="Times New Roman" w:eastAsiaTheme="minorEastAsia"/>
          <w:b/>
          <w:sz w:val="24"/>
          <w:szCs w:val="24"/>
        </w:rPr>
        <w:t>表4.5-1  地下水质量现状监测布点一览表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285"/>
        <w:gridCol w:w="1285"/>
        <w:gridCol w:w="4079"/>
        <w:gridCol w:w="1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序号</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敏感点名称</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监测类型</w:t>
            </w:r>
          </w:p>
        </w:tc>
        <w:tc>
          <w:tcPr>
            <w:tcW w:w="2241"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经纬度坐标</w:t>
            </w:r>
          </w:p>
        </w:tc>
        <w:tc>
          <w:tcPr>
            <w:tcW w:w="964"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监测位置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Q1</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寡妇矶</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水位、水质</w:t>
            </w:r>
          </w:p>
        </w:tc>
        <w:tc>
          <w:tcPr>
            <w:tcW w:w="224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color w:val="000000"/>
                <w:kern w:val="0"/>
                <w:lang w:bidi="ar"/>
              </w:rPr>
              <w:t>E：113°16'52.39"，N：29°35'23.02"</w:t>
            </w:r>
          </w:p>
        </w:tc>
        <w:tc>
          <w:tcPr>
            <w:tcW w:w="964"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居民水井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Q2</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冯家坡</w:t>
            </w:r>
          </w:p>
        </w:tc>
        <w:tc>
          <w:tcPr>
            <w:tcW w:w="706"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水位、水质</w:t>
            </w:r>
          </w:p>
        </w:tc>
        <w:tc>
          <w:tcPr>
            <w:tcW w:w="224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color w:val="000000"/>
                <w:kern w:val="0"/>
                <w:lang w:bidi="ar"/>
              </w:rPr>
              <w:t>E：113°17'13.14"，N：29°35'18.09"</w:t>
            </w:r>
          </w:p>
        </w:tc>
        <w:tc>
          <w:tcPr>
            <w:tcW w:w="96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居民水井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Q3</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陆城镇</w:t>
            </w:r>
          </w:p>
        </w:tc>
        <w:tc>
          <w:tcPr>
            <w:tcW w:w="706"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水位、水质</w:t>
            </w:r>
          </w:p>
        </w:tc>
        <w:tc>
          <w:tcPr>
            <w:tcW w:w="224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color w:val="000000"/>
                <w:kern w:val="0"/>
                <w:lang w:bidi="ar"/>
              </w:rPr>
              <w:t>E：113°17'46.35"，N：29°35'09.46"</w:t>
            </w:r>
          </w:p>
        </w:tc>
        <w:tc>
          <w:tcPr>
            <w:tcW w:w="96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居民水井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Q4</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唐家湾</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水位</w:t>
            </w:r>
          </w:p>
        </w:tc>
        <w:tc>
          <w:tcPr>
            <w:tcW w:w="224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color w:val="000000"/>
                <w:kern w:val="0"/>
                <w:lang w:bidi="ar"/>
              </w:rPr>
              <w:t>E：113°17'00.39"，N：29°35'03.01"</w:t>
            </w:r>
          </w:p>
        </w:tc>
        <w:tc>
          <w:tcPr>
            <w:tcW w:w="96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居民水井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Q5</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丁家坡</w:t>
            </w:r>
          </w:p>
        </w:tc>
        <w:tc>
          <w:tcPr>
            <w:tcW w:w="706"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水位</w:t>
            </w:r>
          </w:p>
        </w:tc>
        <w:tc>
          <w:tcPr>
            <w:tcW w:w="2241"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color w:val="000000"/>
                <w:kern w:val="0"/>
                <w:lang w:bidi="ar"/>
              </w:rPr>
              <w:t>E：113°17'45.81"，N：29°35'36.86"</w:t>
            </w:r>
          </w:p>
        </w:tc>
        <w:tc>
          <w:tcPr>
            <w:tcW w:w="964"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居民水井</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2、监测项目</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监测项目含pH</w:t>
      </w:r>
      <w:r>
        <w:rPr>
          <w:rFonts w:hint="eastAsia" w:ascii="Times New Roman" w:hAnsi="Times New Roman" w:eastAsiaTheme="minorEastAsia"/>
          <w:sz w:val="24"/>
          <w:szCs w:val="24"/>
        </w:rPr>
        <w:t>值</w:t>
      </w:r>
      <w:r>
        <w:rPr>
          <w:rFonts w:ascii="Times New Roman" w:hAnsi="Times New Roman" w:eastAsiaTheme="minorEastAsia"/>
          <w:sz w:val="24"/>
          <w:szCs w:val="24"/>
        </w:rPr>
        <w:t>、Cl</w:t>
      </w:r>
      <w:r>
        <w:rPr>
          <w:rFonts w:ascii="Times New Roman" w:hAnsi="Times New Roman" w:eastAsiaTheme="minorEastAsia"/>
          <w:sz w:val="24"/>
          <w:szCs w:val="24"/>
          <w:vertAlign w:val="superscript"/>
        </w:rPr>
        <w:t>-</w:t>
      </w:r>
      <w:r>
        <w:rPr>
          <w:rFonts w:ascii="Times New Roman" w:hAnsi="Times New Roman" w:eastAsiaTheme="minorEastAsia"/>
          <w:sz w:val="24"/>
          <w:szCs w:val="24"/>
        </w:rPr>
        <w:t>、SO</w:t>
      </w:r>
      <w:r>
        <w:rPr>
          <w:rFonts w:ascii="Times New Roman" w:hAnsi="Times New Roman" w:eastAsiaTheme="minorEastAsia"/>
          <w:sz w:val="24"/>
          <w:szCs w:val="24"/>
          <w:vertAlign w:val="subscript"/>
        </w:rPr>
        <w:t>4</w:t>
      </w:r>
      <w:r>
        <w:rPr>
          <w:rFonts w:ascii="Times New Roman" w:hAnsi="Times New Roman" w:eastAsiaTheme="minorEastAsia"/>
          <w:sz w:val="24"/>
          <w:szCs w:val="24"/>
          <w:vertAlign w:val="superscript"/>
        </w:rPr>
        <w:t>2-</w:t>
      </w:r>
      <w:r>
        <w:rPr>
          <w:rFonts w:ascii="Times New Roman" w:hAnsi="Times New Roman" w:eastAsiaTheme="minorEastAsia"/>
          <w:sz w:val="24"/>
          <w:szCs w:val="24"/>
        </w:rPr>
        <w:t>、挥发酚、氰化物、溶解性总固体、氨氮、亚硝酸盐氮、氟化物、硫化物、硝酸盐、总硬度、高锰酸盐指数、苯、甲苯、乙苯、二甲苯，水位同时监测。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3、监测单位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湖南永蓝检测技术股份有限公司</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sz w:val="24"/>
          <w:szCs w:val="24"/>
        </w:rPr>
        <w:t>4、监测时间与频次</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连续一天、一天一次，监测时间2019年8月8日。</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5、采样和分析方法</w:t>
      </w:r>
    </w:p>
    <w:p>
      <w:pPr>
        <w:adjustRightInd w:val="0"/>
        <w:snapToGrid w:val="0"/>
        <w:spacing w:line="360" w:lineRule="auto"/>
        <w:ind w:firstLine="480" w:firstLineChars="200"/>
        <w:rPr>
          <w:rFonts w:ascii="Times New Roman" w:hAnsi="Times New Roman" w:eastAsiaTheme="minorEastAsia"/>
          <w:kern w:val="0"/>
          <w:sz w:val="20"/>
          <w:szCs w:val="20"/>
        </w:rPr>
      </w:pPr>
      <w:r>
        <w:rPr>
          <w:rFonts w:ascii="Times New Roman" w:hAnsi="Times New Roman" w:eastAsiaTheme="minorEastAsia"/>
          <w:kern w:val="0"/>
          <w:sz w:val="24"/>
          <w:szCs w:val="24"/>
        </w:rPr>
        <w:t>地下水监测参照地表水监测的有关规定，详见下表。</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表4.5-2  地下水分析方法一览表</w:t>
      </w:r>
    </w:p>
    <w:tbl>
      <w:tblPr>
        <w:tblStyle w:val="7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4984"/>
        <w:gridCol w:w="1422"/>
        <w:gridCol w:w="1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b/>
                <w:bCs/>
                <w:color w:val="000000"/>
              </w:rPr>
              <w:t>分析项目</w:t>
            </w:r>
          </w:p>
        </w:tc>
        <w:tc>
          <w:tcPr>
            <w:tcW w:w="2738"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b/>
                <w:bCs/>
                <w:color w:val="000000"/>
              </w:rPr>
              <w:t>分析方法名称及来源</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b/>
                <w:bCs/>
                <w:color w:val="000000"/>
              </w:rPr>
              <w:t>仪器型号</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b/>
                <w:bCs/>
                <w:color w:val="000000"/>
              </w:rPr>
              <w:t>最低检出限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pH</w:t>
            </w:r>
            <w:r>
              <w:rPr>
                <w:rFonts w:hint="eastAsia" w:ascii="Times New Roman" w:hAnsi="Times New Roman" w:eastAsiaTheme="minorEastAsia"/>
                <w:color w:val="000000"/>
              </w:rPr>
              <w:t>值</w:t>
            </w:r>
          </w:p>
        </w:tc>
        <w:tc>
          <w:tcPr>
            <w:tcW w:w="2738"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玻璃电极法</w:t>
            </w:r>
            <w:r>
              <w:rPr>
                <w:rStyle w:val="272"/>
                <w:rFonts w:hint="default" w:ascii="Times New Roman" w:hAnsi="Times New Roman" w:cs="Times New Roman" w:eastAsiaTheme="minorEastAsia"/>
                <w:i w:val="0"/>
                <w:sz w:val="21"/>
                <w:szCs w:val="21"/>
              </w:rPr>
              <w:t>（GB 6920-86）</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STARTER2100</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总硬度</w:t>
            </w:r>
          </w:p>
        </w:tc>
        <w:tc>
          <w:tcPr>
            <w:tcW w:w="2738"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EDTA滴定法（GB 7477-87）</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溶解性总固体</w:t>
            </w:r>
          </w:p>
        </w:tc>
        <w:tc>
          <w:tcPr>
            <w:tcW w:w="2738"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重量法《水和废水监测分析方法（第四版增补法）》</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FA-2004B</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硫酸盐</w:t>
            </w:r>
          </w:p>
        </w:tc>
        <w:tc>
          <w:tcPr>
            <w:tcW w:w="2738"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离子色谱法（HJ/T 84-2016）</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IC-2800</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0.018mg/L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氯化物</w:t>
            </w:r>
          </w:p>
        </w:tc>
        <w:tc>
          <w:tcPr>
            <w:tcW w:w="2738"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离子色谱法（HJ/T 84-2016）</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IC-2800</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0.007mg/L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挥发酚</w:t>
            </w:r>
          </w:p>
        </w:tc>
        <w:tc>
          <w:tcPr>
            <w:tcW w:w="2738"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4-氨基安替比林萃取分光光度法（HJ 503-2009）</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723N</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0.0003mg/L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氨氮</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纳氏试剂分光光度法（HJ 535-2009）</w:t>
            </w:r>
          </w:p>
        </w:tc>
        <w:tc>
          <w:tcPr>
            <w:tcW w:w="781"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723N</w:t>
            </w:r>
          </w:p>
        </w:tc>
        <w:tc>
          <w:tcPr>
            <w:tcW w:w="621"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硫化物</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亚甲基蓝分光光度法（GB/T 16489-1996 ）</w:t>
            </w:r>
          </w:p>
        </w:tc>
        <w:tc>
          <w:tcPr>
            <w:tcW w:w="781" w:type="pct"/>
            <w:tcMar>
              <w:left w:w="0" w:type="dxa"/>
              <w:right w:w="0" w:type="dxa"/>
            </w:tcMar>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723N</w:t>
            </w:r>
          </w:p>
        </w:tc>
        <w:tc>
          <w:tcPr>
            <w:tcW w:w="621"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亚硝酸盐</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N-（1-萘基）—乙二胺分光光度法（GB 7493-87）</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723N</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0.003mg/L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硝酸盐</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lang w:bidi="ar"/>
              </w:rPr>
              <w:t>紫外分光光度法（</w:t>
            </w:r>
            <w:r>
              <w:rPr>
                <w:rFonts w:ascii="Times New Roman" w:hAnsi="Times New Roman" w:eastAsiaTheme="minorEastAsia"/>
                <w:lang w:bidi="ar"/>
              </w:rPr>
              <w:t xml:space="preserve">HJ/T 346-2007 </w:t>
            </w:r>
            <w:r>
              <w:rPr>
                <w:rStyle w:val="358"/>
                <w:rFonts w:ascii="Times New Roman" w:hAnsi="Times New Roman" w:cs="Times New Roman" w:eastAsiaTheme="minorEastAsia"/>
                <w:sz w:val="21"/>
                <w:szCs w:val="21"/>
                <w:lang w:bidi="ar"/>
              </w:rPr>
              <w:t>）</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lang w:bidi="ar"/>
              </w:rPr>
              <w:t>UV1780</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0.08mg/L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氰化物</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异烟酸-吡唑啉酮分光光度法（GB/T 5750.5-2006）</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rPr>
              <w:t>JLJC-JC-012-02</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0.002mg/L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氟化物</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离子色谱法（HJ/T 84-2016）</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IC-2800</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0.006mg/L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高锰酸盐指数</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酸性法（GB 11892-89）</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苯</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 xml:space="preserve">气相色谱法（HJ </w:t>
            </w:r>
            <w:r>
              <w:rPr>
                <w:rFonts w:hint="eastAsia" w:ascii="Times New Roman" w:hAnsi="Times New Roman" w:eastAsiaTheme="minorEastAsia"/>
                <w:color w:val="000000"/>
              </w:rPr>
              <w:t>11890-89</w:t>
            </w:r>
            <w:r>
              <w:rPr>
                <w:rFonts w:ascii="Times New Roman" w:hAnsi="Times New Roman" w:eastAsiaTheme="minorEastAsia"/>
                <w:color w:val="000000"/>
              </w:rPr>
              <w:t>）</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GC-2014C</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0.0</w:t>
            </w:r>
            <w:r>
              <w:rPr>
                <w:rFonts w:hint="eastAsia" w:ascii="Times New Roman" w:hAnsi="Times New Roman" w:eastAsiaTheme="minorEastAsia"/>
                <w:color w:val="000000"/>
              </w:rPr>
              <w:t>0</w:t>
            </w:r>
            <w:r>
              <w:rPr>
                <w:rFonts w:ascii="Times New Roman" w:hAnsi="Times New Roman" w:eastAsiaTheme="minorEastAsia"/>
                <w:color w:val="000000"/>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highlight w:val="red"/>
              </w:rPr>
            </w:pPr>
            <w:r>
              <w:rPr>
                <w:rFonts w:ascii="Times New Roman" w:hAnsi="Times New Roman" w:eastAsiaTheme="minorEastAsia"/>
                <w:color w:val="000000"/>
              </w:rPr>
              <w:t>甲苯</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气相色谱法（HJ 11890-89）</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kern w:val="0"/>
              </w:rPr>
              <w:t>GC-2014C</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rPr>
              <w:t>0.005mg/L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hint="eastAsia" w:ascii="Times New Roman" w:hAnsi="Times New Roman" w:eastAsiaTheme="minorEastAsia"/>
                <w:color w:val="000000"/>
              </w:rPr>
              <w:t>乙苯</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气相色谱法（HJ 11890-89）</w:t>
            </w:r>
          </w:p>
        </w:tc>
        <w:tc>
          <w:tcPr>
            <w:tcW w:w="781" w:type="pct"/>
            <w:tcMar>
              <w:left w:w="0" w:type="dxa"/>
              <w:right w:w="0" w:type="dxa"/>
            </w:tcMar>
            <w:vAlign w:val="center"/>
          </w:tcPr>
          <w:p>
            <w:pPr>
              <w:widowControl/>
              <w:adjustRightInd w:val="0"/>
              <w:snapToGrid w:val="0"/>
              <w:jc w:val="center"/>
              <w:textAlignment w:val="center"/>
              <w:rPr>
                <w:rFonts w:ascii="Times New Roman" w:hAnsi="Times New Roman" w:eastAsiaTheme="minorEastAsia"/>
                <w:kern w:val="0"/>
              </w:rPr>
            </w:pPr>
            <w:r>
              <w:rPr>
                <w:rFonts w:ascii="Times New Roman" w:hAnsi="Times New Roman" w:eastAsiaTheme="minorEastAsia"/>
                <w:kern w:val="0"/>
              </w:rPr>
              <w:t>GC-2014C</w:t>
            </w:r>
          </w:p>
        </w:tc>
        <w:tc>
          <w:tcPr>
            <w:tcW w:w="621" w:type="pct"/>
            <w:tcMar>
              <w:left w:w="0" w:type="dxa"/>
              <w:right w:w="0" w:type="dxa"/>
            </w:tcMar>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rPr>
              <w:t>0.005mg/L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Mar>
              <w:left w:w="0" w:type="dxa"/>
              <w:right w:w="0" w:type="dxa"/>
            </w:tcMar>
            <w:vAlign w:val="center"/>
          </w:tcPr>
          <w:p>
            <w:pPr>
              <w:adjustRightInd w:val="0"/>
              <w:snapToGrid w:val="0"/>
              <w:jc w:val="center"/>
              <w:rPr>
                <w:rFonts w:ascii="Times New Roman" w:hAnsi="Times New Roman" w:eastAsiaTheme="minorEastAsia"/>
                <w:color w:val="000000"/>
                <w:highlight w:val="red"/>
              </w:rPr>
            </w:pPr>
            <w:r>
              <w:rPr>
                <w:rFonts w:ascii="Times New Roman" w:hAnsi="Times New Roman" w:eastAsiaTheme="minorEastAsia"/>
                <w:color w:val="000000"/>
              </w:rPr>
              <w:t>二甲苯</w:t>
            </w:r>
          </w:p>
        </w:tc>
        <w:tc>
          <w:tcPr>
            <w:tcW w:w="2738"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气相色谱法（HJ 11890-89）</w:t>
            </w:r>
          </w:p>
        </w:tc>
        <w:tc>
          <w:tcPr>
            <w:tcW w:w="781"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kern w:val="0"/>
              </w:rPr>
              <w:t>GC-2014C</w:t>
            </w:r>
          </w:p>
        </w:tc>
        <w:tc>
          <w:tcPr>
            <w:tcW w:w="621" w:type="pct"/>
            <w:tcMar>
              <w:left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rPr>
              <w:t>0.005mg/L</w:t>
            </w:r>
          </w:p>
        </w:tc>
      </w:tr>
    </w:tbl>
    <w:p>
      <w:pPr>
        <w:adjustRightInd w:val="0"/>
        <w:snapToGrid w:val="0"/>
        <w:spacing w:line="360" w:lineRule="auto"/>
        <w:ind w:firstLine="482"/>
        <w:rPr>
          <w:rFonts w:ascii="Times New Roman" w:hAnsi="Times New Roman" w:eastAsiaTheme="minorEastAsia"/>
          <w:sz w:val="24"/>
          <w:szCs w:val="24"/>
        </w:rPr>
      </w:pPr>
    </w:p>
    <w:p>
      <w:pPr>
        <w:pStyle w:val="335"/>
        <w:snapToGrid w:val="0"/>
        <w:spacing w:line="360" w:lineRule="auto"/>
        <w:ind w:firstLine="482"/>
        <w:rPr>
          <w:rFonts w:ascii="Times New Roman" w:eastAsiaTheme="minorEastAsia"/>
          <w:color w:val="000000"/>
        </w:rPr>
      </w:pPr>
      <w:r>
        <w:rPr>
          <w:rFonts w:ascii="Times New Roman" w:eastAsiaTheme="minorEastAsia"/>
          <w:color w:val="000000"/>
        </w:rPr>
        <w:t>本项目所在地地下水执行《地下水质量标准》（GB/T14848-2017）</w:t>
      </w:r>
      <w:r>
        <w:rPr>
          <w:rFonts w:hint="eastAsia" w:hAnsi="宋体" w:cs="宋体"/>
          <w:color w:val="000000"/>
        </w:rPr>
        <w:t>Ⅲ</w:t>
      </w:r>
      <w:r>
        <w:rPr>
          <w:rFonts w:ascii="Times New Roman" w:eastAsiaTheme="minorEastAsia"/>
          <w:color w:val="000000"/>
        </w:rPr>
        <w:t>类标准。具体见表2.6-2。</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地下水环境质量现状评价</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评价区域地表水体各现状监测断面的水质单项指标测定值作为水质评价参数，对照《地下水质量标准》（GB/T14848-2017）中的</w:t>
      </w:r>
      <w:r>
        <w:rPr>
          <w:rFonts w:hint="eastAsia" w:ascii="宋体" w:hAnsi="宋体" w:cs="宋体"/>
          <w:sz w:val="24"/>
          <w:szCs w:val="24"/>
        </w:rPr>
        <w:t>Ⅲ</w:t>
      </w:r>
      <w:r>
        <w:rPr>
          <w:rFonts w:ascii="Times New Roman" w:hAnsi="Times New Roman" w:eastAsiaTheme="minorEastAsia"/>
          <w:sz w:val="24"/>
          <w:szCs w:val="24"/>
        </w:rPr>
        <w:t>类标准限值进行单项水质参数评价，评价方法与地表水评价方法相同。水位监测及水质监测、分析结果详见表4.5-3和表4.5-4。</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表4.5-3  地下水环境水位监测结果一览表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2853"/>
        <w:gridCol w:w="49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序号</w:t>
            </w:r>
          </w:p>
        </w:tc>
        <w:tc>
          <w:tcPr>
            <w:tcW w:w="156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敏感点名称</w:t>
            </w:r>
          </w:p>
        </w:tc>
        <w:tc>
          <w:tcPr>
            <w:tcW w:w="2735" w:type="pct"/>
            <w:shd w:val="clear" w:color="auto" w:fill="auto"/>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rPr>
            </w:pPr>
            <w:r>
              <w:rPr>
                <w:rFonts w:ascii="Times New Roman" w:hAnsi="Times New Roman" w:eastAsiaTheme="minorEastAsia"/>
                <w:b/>
              </w:rPr>
              <w:t>地下水埋深（m）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Q1</w:t>
            </w:r>
          </w:p>
        </w:tc>
        <w:tc>
          <w:tcPr>
            <w:tcW w:w="156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寡妇矶居民</w:t>
            </w:r>
          </w:p>
        </w:tc>
        <w:tc>
          <w:tcPr>
            <w:tcW w:w="2735"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15.03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Q2</w:t>
            </w:r>
          </w:p>
        </w:tc>
        <w:tc>
          <w:tcPr>
            <w:tcW w:w="156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冯家坡居民</w:t>
            </w:r>
          </w:p>
        </w:tc>
        <w:tc>
          <w:tcPr>
            <w:tcW w:w="2735"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Q3</w:t>
            </w:r>
          </w:p>
        </w:tc>
        <w:tc>
          <w:tcPr>
            <w:tcW w:w="156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陆城镇居民</w:t>
            </w:r>
          </w:p>
        </w:tc>
        <w:tc>
          <w:tcPr>
            <w:tcW w:w="2735"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15.08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Q4</w:t>
            </w:r>
          </w:p>
        </w:tc>
        <w:tc>
          <w:tcPr>
            <w:tcW w:w="156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唐家湾居民</w:t>
            </w:r>
          </w:p>
        </w:tc>
        <w:tc>
          <w:tcPr>
            <w:tcW w:w="2735"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17.03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shd w:val="clear" w:color="auto" w:fill="auto"/>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Q5</w:t>
            </w:r>
          </w:p>
        </w:tc>
        <w:tc>
          <w:tcPr>
            <w:tcW w:w="1567"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丁家坡居民</w:t>
            </w:r>
          </w:p>
        </w:tc>
        <w:tc>
          <w:tcPr>
            <w:tcW w:w="2735" w:type="pct"/>
            <w:shd w:val="clear" w:color="auto" w:fill="auto"/>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Cs/>
                <w:sz w:val="21"/>
                <w:szCs w:val="21"/>
              </w:rPr>
            </w:pPr>
            <w:r>
              <w:rPr>
                <w:rFonts w:cs="Times New Roman" w:eastAsiaTheme="minorEastAsia"/>
                <w:bCs/>
                <w:sz w:val="21"/>
                <w:szCs w:val="21"/>
              </w:rPr>
              <w:t>18.55</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地下水现状监测结果见下表。</w:t>
      </w:r>
    </w:p>
    <w:p>
      <w:pPr>
        <w:adjustRightInd w:val="0"/>
        <w:snapToGrid w:val="0"/>
        <w:spacing w:line="276" w:lineRule="auto"/>
        <w:jc w:val="right"/>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 xml:space="preserve">表4.5-4  地下水环境水质监测结果一览表  </w:t>
      </w:r>
      <w:r>
        <w:rPr>
          <w:rFonts w:ascii="Times New Roman" w:hAnsi="Times New Roman" w:eastAsiaTheme="minorEastAsia"/>
          <w:color w:val="000000" w:themeColor="text1"/>
          <w:sz w:val="24"/>
          <w:szCs w:val="24"/>
          <w14:textFill>
            <w14:solidFill>
              <w14:schemeClr w14:val="tx1"/>
            </w14:solidFill>
          </w14:textFill>
        </w:rPr>
        <w:t>单位：mg/L pH值（无量纲）</w:t>
      </w:r>
    </w:p>
    <w:tbl>
      <w:tblPr>
        <w:tblStyle w:val="7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91"/>
        <w:gridCol w:w="1815"/>
        <w:gridCol w:w="1329"/>
        <w:gridCol w:w="1012"/>
        <w:gridCol w:w="1088"/>
        <w:gridCol w:w="1050"/>
        <w:gridCol w:w="1050"/>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80"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采样</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时间</w:t>
            </w:r>
          </w:p>
        </w:tc>
        <w:tc>
          <w:tcPr>
            <w:tcW w:w="997"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监测项目</w:t>
            </w:r>
          </w:p>
        </w:tc>
        <w:tc>
          <w:tcPr>
            <w:tcW w:w="730" w:type="pct"/>
            <w:vMerge w:val="restar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单位</w:t>
            </w:r>
          </w:p>
        </w:tc>
        <w:tc>
          <w:tcPr>
            <w:tcW w:w="2891" w:type="pct"/>
            <w:gridSpan w:val="5"/>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997"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73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Q1寡妇矶</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Q2冯家坡</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Q3陆城镇</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Q4唐家湾</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Q5丁家坡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restart"/>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8月</w:t>
            </w:r>
          </w:p>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8日</w:t>
            </w: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无量纲</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6.54</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6.67</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6.56</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6.74</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widowControl/>
              <w:adjustRightInd w:val="0"/>
              <w:snapToGrid w:val="0"/>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氯化物（Cl</w:t>
            </w:r>
            <w:r>
              <w:rPr>
                <w:rFonts w:ascii="Times New Roman" w:hAnsi="Times New Roman" w:eastAsiaTheme="minorEastAsia"/>
                <w:color w:val="000000" w:themeColor="text1"/>
                <w:vertAlign w:val="superscript"/>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1.04</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1.24</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1.07</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1.12</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0.959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硫酸盐（SO</w:t>
            </w:r>
            <w:r>
              <w:rPr>
                <w:rFonts w:ascii="Times New Roman" w:hAnsi="Times New Roman" w:eastAsiaTheme="minorEastAsia"/>
                <w:color w:val="000000" w:themeColor="text1"/>
                <w:vertAlign w:val="subscript"/>
                <w14:textFill>
                  <w14:solidFill>
                    <w14:schemeClr w14:val="tx1"/>
                  </w14:solidFill>
                </w14:textFill>
              </w:rPr>
              <w:t>4</w:t>
            </w:r>
            <w:r>
              <w:rPr>
                <w:rFonts w:ascii="Times New Roman" w:hAnsi="Times New Roman" w:eastAsiaTheme="minorEastAsia"/>
                <w:color w:val="000000" w:themeColor="text1"/>
                <w:vertAlign w:val="super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1.03</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2.98</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1.42</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1.89</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溶解性总固体</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47</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59</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46</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0.201</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0.196</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0.151</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0.266</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亚硝酸盐</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0.012</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0.009</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0.008</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0.014</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0.048</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0.081</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0.087</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0.097</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硝酸盐</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0.63</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0.70</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0.59</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0.66</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总硬度</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30</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22</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苯</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乙苯</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甲苯</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pct"/>
            <w:vMerge w:val="continue"/>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9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二甲苯</w:t>
            </w:r>
          </w:p>
        </w:tc>
        <w:tc>
          <w:tcPr>
            <w:tcW w:w="73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56"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98"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80"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r>
    </w:tbl>
    <w:p>
      <w:pPr>
        <w:rPr>
          <w:rFonts w:ascii="Times New Roman" w:hAnsi="Times New Roman" w:eastAsiaTheme="minorEastAsia"/>
          <w:b/>
          <w:sz w:val="24"/>
          <w:szCs w:val="24"/>
        </w:rPr>
      </w:pPr>
      <w:r>
        <w:rPr>
          <w:rFonts w:ascii="Times New Roman" w:hAnsi="Times New Roman" w:eastAsiaTheme="minorEastAsia"/>
        </w:rPr>
        <w:t>注：ND表示低于该方法检出限</w:t>
      </w:r>
      <w:r>
        <w:rPr>
          <w:rFonts w:ascii="Times New Roman" w:hAnsi="Times New Roman" w:eastAsiaTheme="minorEastAsia"/>
          <w:bCs/>
        </w:rPr>
        <w:t>。</w:t>
      </w:r>
    </w:p>
    <w:p>
      <w:pPr>
        <w:pStyle w:val="110"/>
        <w:adjustRightInd w:val="0"/>
        <w:snapToGrid w:val="0"/>
        <w:spacing w:line="360" w:lineRule="auto"/>
        <w:ind w:firstLine="482" w:firstLineChars="0"/>
        <w:rPr>
          <w:rFonts w:eastAsiaTheme="minorEastAsia"/>
          <w:b/>
        </w:rPr>
      </w:pPr>
    </w:p>
    <w:p>
      <w:pPr>
        <w:pStyle w:val="110"/>
        <w:adjustRightInd w:val="0"/>
        <w:snapToGrid w:val="0"/>
        <w:spacing w:line="360" w:lineRule="auto"/>
        <w:ind w:firstLine="482" w:firstLineChars="0"/>
        <w:rPr>
          <w:rFonts w:eastAsiaTheme="minorEastAsia"/>
        </w:rPr>
      </w:pPr>
      <w:r>
        <w:rPr>
          <w:rFonts w:eastAsiaTheme="minorEastAsia"/>
        </w:rPr>
        <w:t>标准指数评价结果见表4.5-4。</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表4.5-4  各评价因子单项指数一览表</w:t>
      </w:r>
    </w:p>
    <w:tbl>
      <w:tblPr>
        <w:tblStyle w:val="7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61"/>
        <w:gridCol w:w="1248"/>
        <w:gridCol w:w="1048"/>
        <w:gridCol w:w="1048"/>
        <w:gridCol w:w="1048"/>
        <w:gridCol w:w="1048"/>
        <w:gridCol w:w="1057"/>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13" w:type="pct"/>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监测项目</w:t>
            </w:r>
          </w:p>
        </w:tc>
        <w:tc>
          <w:tcPr>
            <w:tcW w:w="686" w:type="pct"/>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执行标准</w:t>
            </w:r>
          </w:p>
        </w:tc>
        <w:tc>
          <w:tcPr>
            <w:tcW w:w="2885" w:type="pct"/>
            <w:gridSpan w:val="5"/>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标准指数</w:t>
            </w:r>
          </w:p>
        </w:tc>
        <w:tc>
          <w:tcPr>
            <w:tcW w:w="515" w:type="pct"/>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13" w:type="pct"/>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686" w:type="pct"/>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576"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Q1寡妇矶</w:t>
            </w:r>
          </w:p>
        </w:tc>
        <w:tc>
          <w:tcPr>
            <w:tcW w:w="576"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Q2冯家坡</w:t>
            </w:r>
          </w:p>
        </w:tc>
        <w:tc>
          <w:tcPr>
            <w:tcW w:w="576"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Q3陆城镇</w:t>
            </w:r>
          </w:p>
        </w:tc>
        <w:tc>
          <w:tcPr>
            <w:tcW w:w="576"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Q4唐家湾</w:t>
            </w:r>
          </w:p>
        </w:tc>
        <w:tc>
          <w:tcPr>
            <w:tcW w:w="577"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Q5丁家坡</w:t>
            </w:r>
          </w:p>
        </w:tc>
        <w:tc>
          <w:tcPr>
            <w:tcW w:w="515" w:type="pct"/>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6.5~8.5</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6.54</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6.67</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6.56</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6.74</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6.83</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widowControl/>
              <w:adjustRightInd w:val="0"/>
              <w:snapToGrid w:val="0"/>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氯化物（Cl</w:t>
            </w:r>
            <w:r>
              <w:rPr>
                <w:rFonts w:ascii="Times New Roman" w:hAnsi="Times New Roman" w:eastAsiaTheme="minorEastAsia"/>
                <w:color w:val="000000" w:themeColor="text1"/>
                <w:vertAlign w:val="superscript"/>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≤250mg/L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1.04</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1.24</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1.07</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1.12</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0.959</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硫酸盐（SO</w:t>
            </w:r>
            <w:r>
              <w:rPr>
                <w:rFonts w:ascii="Times New Roman" w:hAnsi="Times New Roman" w:eastAsiaTheme="minorEastAsia"/>
                <w:color w:val="000000" w:themeColor="text1"/>
                <w:vertAlign w:val="subscript"/>
                <w14:textFill>
                  <w14:solidFill>
                    <w14:schemeClr w14:val="tx1"/>
                  </w14:solidFill>
                </w14:textFill>
              </w:rPr>
              <w:t>4</w:t>
            </w:r>
            <w:r>
              <w:rPr>
                <w:rFonts w:ascii="Times New Roman" w:hAnsi="Times New Roman" w:eastAsiaTheme="minorEastAsia"/>
                <w:color w:val="000000" w:themeColor="text1"/>
                <w:vertAlign w:val="super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≤250mg/L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1.03</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2.98</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1.42</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1.89</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2.81</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溶解性总固体</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≤1000mg/L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47</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59</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46</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43</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0.201</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0.196</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0.151</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0.266</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0.211</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亚硝酸盐</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0.012</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0.009</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0.008</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0.014</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0.011</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0.048</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0.081</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0.087</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0.097</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0.025</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硝酸盐</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0.63</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0.70</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0.59</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0.66</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0.58</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总硬度</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≤450mg/L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30</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22</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22</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苯</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≤10μmg/L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乙苯</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≤μmg/L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甲苯</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≤700μg/L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3"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二甲苯</w:t>
            </w:r>
          </w:p>
        </w:tc>
        <w:tc>
          <w:tcPr>
            <w:tcW w:w="68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≤μmg/L</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7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ND</w:t>
            </w:r>
          </w:p>
        </w:tc>
        <w:tc>
          <w:tcPr>
            <w:tcW w:w="515"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均达标</w:t>
            </w:r>
          </w:p>
        </w:tc>
      </w:tr>
    </w:tbl>
    <w:p>
      <w:pPr>
        <w:adjustRightInd w:val="0"/>
        <w:snapToGrid w:val="0"/>
        <w:spacing w:line="360" w:lineRule="auto"/>
        <w:ind w:firstLine="482"/>
        <w:rPr>
          <w:rFonts w:ascii="Times New Roman" w:hAnsi="Times New Roman" w:eastAsiaTheme="minorEastAsia"/>
          <w:b/>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地下水现状评价执行《地下水质量标准》（GB/T 14848-2017）的</w:t>
      </w:r>
      <w:r>
        <w:rPr>
          <w:rFonts w:hint="eastAsia" w:ascii="宋体" w:hAnsi="宋体" w:cs="宋体"/>
          <w:sz w:val="24"/>
          <w:szCs w:val="24"/>
        </w:rPr>
        <w:t>Ⅲ</w:t>
      </w:r>
      <w:r>
        <w:rPr>
          <w:rFonts w:ascii="Times New Roman" w:hAnsi="Times New Roman" w:eastAsiaTheme="minorEastAsia"/>
          <w:sz w:val="24"/>
          <w:szCs w:val="24"/>
        </w:rPr>
        <w:t>类标准。从表中可以看出，各监测指标均可达到</w:t>
      </w:r>
      <w:r>
        <w:rPr>
          <w:rFonts w:hint="eastAsia" w:ascii="宋体" w:hAnsi="宋体" w:cs="宋体"/>
          <w:sz w:val="24"/>
          <w:szCs w:val="24"/>
        </w:rPr>
        <w:t>Ⅲ</w:t>
      </w:r>
      <w:r>
        <w:rPr>
          <w:rFonts w:ascii="Times New Roman" w:hAnsi="Times New Roman" w:eastAsiaTheme="minorEastAsia"/>
          <w:sz w:val="24"/>
          <w:szCs w:val="24"/>
        </w:rPr>
        <w:t>类标准。</w:t>
      </w:r>
    </w:p>
    <w:p>
      <w:pPr>
        <w:pStyle w:val="3"/>
        <w:rPr>
          <w:rFonts w:ascii="Times New Roman" w:hAnsi="Times New Roman" w:eastAsiaTheme="minorEastAsia"/>
          <w:b/>
        </w:rPr>
      </w:pPr>
      <w:bookmarkStart w:id="101" w:name="_Toc23373"/>
      <w:r>
        <w:rPr>
          <w:rFonts w:ascii="Times New Roman" w:hAnsi="Times New Roman" w:eastAsiaTheme="minorEastAsia"/>
          <w:b/>
        </w:rPr>
        <w:t>河流底泥现状监测及评价</w:t>
      </w:r>
      <w:bookmarkEnd w:id="101"/>
    </w:p>
    <w:p>
      <w:pPr>
        <w:pStyle w:val="105"/>
        <w:adjustRightInd w:val="0"/>
        <w:snapToGrid w:val="0"/>
        <w:spacing w:line="360" w:lineRule="auto"/>
        <w:ind w:firstLine="480"/>
        <w:rPr>
          <w:rFonts w:eastAsiaTheme="minorEastAsia"/>
        </w:rPr>
      </w:pPr>
      <w:r>
        <w:rPr>
          <w:rFonts w:eastAsiaTheme="minorEastAsia"/>
        </w:rPr>
        <w:t>本次评价委托湖南永蓝检测技术股份有限公司于2019年8月8日期间针对码头拟建处底泥环境进行了环境现状监测。</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pStyle w:val="105"/>
        <w:adjustRightInd w:val="0"/>
        <w:snapToGrid w:val="0"/>
        <w:spacing w:line="360" w:lineRule="auto"/>
        <w:ind w:firstLine="480"/>
        <w:rPr>
          <w:rFonts w:eastAsiaTheme="minorEastAsia"/>
        </w:rPr>
      </w:pPr>
      <w:r>
        <w:rPr>
          <w:rFonts w:eastAsiaTheme="minorEastAsia"/>
        </w:rPr>
        <w:t>在长江上布设1个监测点位。具体位置见附图2。</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表4.6-1  底泥监测断面一览表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8"/>
        <w:gridCol w:w="1409"/>
        <w:gridCol w:w="2133"/>
        <w:gridCol w:w="42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730" w:type="pct"/>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序号</w:t>
            </w:r>
          </w:p>
        </w:tc>
        <w:tc>
          <w:tcPr>
            <w:tcW w:w="774" w:type="pct"/>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地表水体</w:t>
            </w:r>
          </w:p>
        </w:tc>
        <w:tc>
          <w:tcPr>
            <w:tcW w:w="1172" w:type="pct"/>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监测位置</w:t>
            </w:r>
          </w:p>
        </w:tc>
        <w:tc>
          <w:tcPr>
            <w:tcW w:w="2324" w:type="pct"/>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经纬度坐标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730" w:type="pct"/>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sz w:val="21"/>
                <w:szCs w:val="21"/>
              </w:rPr>
            </w:pPr>
            <w:r>
              <w:rPr>
                <w:rFonts w:cs="Times New Roman" w:eastAsiaTheme="minorEastAsia"/>
                <w:sz w:val="21"/>
                <w:szCs w:val="21"/>
              </w:rPr>
              <w:t>D1</w:t>
            </w:r>
          </w:p>
        </w:tc>
        <w:tc>
          <w:tcPr>
            <w:tcW w:w="774" w:type="pct"/>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sz w:val="21"/>
                <w:szCs w:val="21"/>
              </w:rPr>
            </w:pPr>
            <w:r>
              <w:rPr>
                <w:rFonts w:cs="Times New Roman" w:eastAsiaTheme="minorEastAsia"/>
                <w:sz w:val="21"/>
                <w:szCs w:val="21"/>
              </w:rPr>
              <w:t>长江</w:t>
            </w:r>
          </w:p>
        </w:tc>
        <w:tc>
          <w:tcPr>
            <w:tcW w:w="1172" w:type="pct"/>
            <w:tcMar>
              <w:top w:w="0" w:type="dxa"/>
              <w:left w:w="0" w:type="dxa"/>
              <w:bottom w:w="0" w:type="dxa"/>
              <w:right w:w="0" w:type="dxa"/>
            </w:tcMar>
            <w:vAlign w:val="center"/>
          </w:tcPr>
          <w:p>
            <w:pPr>
              <w:pStyle w:val="69"/>
              <w:tabs>
                <w:tab w:val="left" w:pos="1021"/>
              </w:tabs>
              <w:spacing w:line="240" w:lineRule="auto"/>
              <w:ind w:firstLine="0" w:firstLineChars="0"/>
              <w:jc w:val="center"/>
              <w:rPr>
                <w:rFonts w:cs="Times New Roman" w:eastAsiaTheme="minorEastAsia"/>
                <w:sz w:val="21"/>
                <w:szCs w:val="21"/>
              </w:rPr>
            </w:pPr>
            <w:r>
              <w:rPr>
                <w:rFonts w:cs="Times New Roman" w:eastAsiaTheme="minorEastAsia"/>
                <w:sz w:val="21"/>
                <w:szCs w:val="21"/>
              </w:rPr>
              <w:t>3#码头处</w:t>
            </w:r>
          </w:p>
        </w:tc>
        <w:tc>
          <w:tcPr>
            <w:tcW w:w="2324" w:type="pct"/>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kern w:val="0"/>
                <w:lang w:bidi="ar"/>
              </w:rPr>
              <w:t>E：113°16'56.83"，N：29°35'44.79"</w:t>
            </w:r>
          </w:p>
        </w:tc>
      </w:tr>
    </w:tbl>
    <w:p>
      <w:pPr>
        <w:snapToGrid w:val="0"/>
        <w:spacing w:line="360" w:lineRule="auto"/>
        <w:ind w:firstLine="480" w:firstLineChars="200"/>
        <w:rPr>
          <w:rFonts w:ascii="Times New Roman" w:hAnsi="Times New Roman" w:eastAsiaTheme="minorEastAsia"/>
          <w:sz w:val="24"/>
          <w:szCs w:val="24"/>
        </w:rPr>
      </w:pP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2、监测因子</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pH值、砷、镉、铬（六价）、铜、铅、锌、汞、石油类共9项指标。</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3、监测单位</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湖南永蓝检测技术股份有限公司</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4、监测时间与频次</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2019年8月8日进行一次取样。</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5、采样和分析方法</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采样分析方法：按照国家环保总局颁布的《环境监测技术规范》和《环境监测分析方法》有关规定执行。</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6、监测结果评价</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河流底泥现状监测结果见表4.6-2。</w:t>
      </w:r>
    </w:p>
    <w:p>
      <w:pPr>
        <w:pStyle w:val="156"/>
        <w:rPr>
          <w:rFonts w:eastAsiaTheme="minorEastAsia"/>
        </w:rPr>
      </w:pPr>
      <w:r>
        <w:rPr>
          <w:rFonts w:eastAsiaTheme="minorEastAsia"/>
        </w:rPr>
        <w:t>表4.6-2  河流底泥现状监测结果一览表</w:t>
      </w:r>
    </w:p>
    <w:tbl>
      <w:tblPr>
        <w:tblStyle w:val="7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820"/>
        <w:gridCol w:w="2160"/>
        <w:gridCol w:w="1478"/>
        <w:gridCol w:w="1820"/>
        <w:gridCol w:w="1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rPr>
            </w:pPr>
            <w:r>
              <w:rPr>
                <w:rFonts w:ascii="Times New Roman" w:hAnsi="Times New Roman" w:eastAsiaTheme="minorEastAsia"/>
                <w:b/>
                <w:bCs/>
              </w:rPr>
              <w:t>监测点位</w:t>
            </w:r>
          </w:p>
        </w:tc>
        <w:tc>
          <w:tcPr>
            <w:tcW w:w="1187" w:type="pct"/>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rPr>
            </w:pPr>
            <w:r>
              <w:rPr>
                <w:rFonts w:ascii="Times New Roman" w:hAnsi="Times New Roman" w:eastAsiaTheme="minorEastAsia"/>
                <w:b/>
                <w:bCs/>
              </w:rPr>
              <w:t>监测项目</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标准值</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监测结果</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restart"/>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D1 3#码头处</w:t>
            </w: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pH值（无量纲）</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6.5＜pH≤7.5</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6.81</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砷（mg/kg）</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≤60</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22.35</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镉（mg/kg）</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≤65</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0.23</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铬（mg/kg）</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≤5.7</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hint="eastAsia" w:ascii="Times New Roman" w:hAnsi="Times New Roman" w:eastAsiaTheme="minorEastAsia"/>
                <w:bCs/>
              </w:rPr>
              <w:t>95.5</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铜（mg/kg）</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≤18000</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26.0</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铅（mg/kg）</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≤800</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2.1</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锌（mg/kg）</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≤250</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59.2</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汞（mg/kg）</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≤38</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0.11</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00" w:type="pct"/>
            <w:vMerge w:val="continue"/>
            <w:tcMar>
              <w:top w:w="0" w:type="dxa"/>
              <w:left w:w="0" w:type="dxa"/>
              <w:bottom w:w="0" w:type="dxa"/>
              <w:right w:w="0" w:type="dxa"/>
            </w:tcMar>
            <w:vAlign w:val="center"/>
          </w:tcPr>
          <w:p>
            <w:pPr>
              <w:widowControl/>
              <w:adjustRightInd w:val="0"/>
              <w:snapToGrid w:val="0"/>
              <w:rPr>
                <w:rFonts w:ascii="Times New Roman" w:hAnsi="Times New Roman" w:eastAsiaTheme="minorEastAsia"/>
              </w:rPr>
            </w:pPr>
          </w:p>
        </w:tc>
        <w:tc>
          <w:tcPr>
            <w:tcW w:w="1187"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石油烃（</w:t>
            </w:r>
            <w:r>
              <w:rPr>
                <w:rFonts w:ascii="Times New Roman" w:hAnsi="Times New Roman" w:eastAsiaTheme="minorEastAsia"/>
                <w:bCs/>
              </w:rPr>
              <w:t>mg/kg</w:t>
            </w:r>
            <w:r>
              <w:rPr>
                <w:rFonts w:ascii="Times New Roman" w:hAnsi="Times New Roman" w:eastAsiaTheme="minorEastAsia"/>
              </w:rPr>
              <w:t>）</w:t>
            </w:r>
          </w:p>
        </w:tc>
        <w:tc>
          <w:tcPr>
            <w:tcW w:w="812"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w:t>
            </w:r>
            <w:r>
              <w:rPr>
                <w:rFonts w:ascii="Times New Roman" w:hAnsi="Times New Roman" w:eastAsiaTheme="minorEastAsia"/>
              </w:rPr>
              <w:t>4500</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ND</w:t>
            </w:r>
          </w:p>
        </w:tc>
        <w:tc>
          <w:tcPr>
            <w:tcW w:w="1000" w:type="pct"/>
            <w:tcMar>
              <w:top w:w="0" w:type="dxa"/>
              <w:left w:w="0" w:type="dxa"/>
              <w:bottom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bl>
    <w:p>
      <w:pPr>
        <w:snapToGrid w:val="0"/>
        <w:spacing w:line="360" w:lineRule="auto"/>
        <w:ind w:firstLine="480" w:firstLineChars="200"/>
        <w:rPr>
          <w:rFonts w:ascii="Times New Roman" w:hAnsi="Times New Roman" w:eastAsiaTheme="minorEastAsia"/>
          <w:sz w:val="24"/>
          <w:szCs w:val="24"/>
        </w:rPr>
      </w:pP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由上表的监测结果可知，项目所在地水域底泥各个监测指标均可满足《土壤环境质量建设用地土壤污染风险管控标准》（GB36600-2018）中二类用地风险筛选值要求，项目所在地水域底泥环境较好。</w:t>
      </w:r>
    </w:p>
    <w:p>
      <w:pPr>
        <w:pStyle w:val="3"/>
        <w:rPr>
          <w:rFonts w:ascii="Times New Roman" w:hAnsi="Times New Roman" w:eastAsiaTheme="minorEastAsia"/>
          <w:b/>
        </w:rPr>
      </w:pPr>
      <w:bookmarkStart w:id="102" w:name="_Toc1647847"/>
      <w:bookmarkEnd w:id="102"/>
      <w:bookmarkStart w:id="103" w:name="_Toc28149"/>
      <w:r>
        <w:rPr>
          <w:rFonts w:ascii="Times New Roman" w:hAnsi="Times New Roman" w:eastAsiaTheme="minorEastAsia"/>
          <w:b/>
        </w:rPr>
        <w:t>环境空气现状调查与评价</w:t>
      </w:r>
      <w:bookmarkEnd w:id="103"/>
    </w:p>
    <w:p>
      <w:pPr>
        <w:pStyle w:val="4"/>
        <w:rPr>
          <w:rFonts w:eastAsiaTheme="minorEastAsia"/>
        </w:rPr>
      </w:pPr>
      <w:r>
        <w:rPr>
          <w:rFonts w:eastAsiaTheme="minorEastAsia"/>
        </w:rPr>
        <w:t>环境空气质量现状调查</w:t>
      </w:r>
    </w:p>
    <w:p>
      <w:pPr>
        <w:pStyle w:val="5"/>
        <w:rPr>
          <w:rFonts w:eastAsiaTheme="minorEastAsia"/>
        </w:rPr>
      </w:pPr>
      <w:r>
        <w:rPr>
          <w:rFonts w:eastAsiaTheme="minorEastAsia"/>
        </w:rPr>
        <w:t>现状调查</w:t>
      </w:r>
    </w:p>
    <w:p>
      <w:pPr>
        <w:pStyle w:val="105"/>
        <w:adjustRightInd w:val="0"/>
        <w:snapToGrid w:val="0"/>
        <w:spacing w:line="360" w:lineRule="auto"/>
        <w:ind w:firstLine="480"/>
        <w:rPr>
          <w:rFonts w:eastAsiaTheme="minorEastAsia"/>
        </w:rPr>
      </w:pPr>
      <w:r>
        <w:rPr>
          <w:rFonts w:eastAsiaTheme="minorEastAsia"/>
        </w:rPr>
        <w:t>本项目沿线所经地区多为农村、环境空气质量保持自然状况。评价范围内无大型固定污染源，现有环境空气污染源主要来自道路汽车尾气、二次扬尘、人群生产生活所产生的一氧化碳和总悬浮颗粒物等，但排放量较小。</w:t>
      </w:r>
    </w:p>
    <w:p>
      <w:pPr>
        <w:pStyle w:val="5"/>
        <w:rPr>
          <w:rFonts w:eastAsiaTheme="minorEastAsia"/>
        </w:rPr>
      </w:pPr>
      <w:r>
        <w:rPr>
          <w:rFonts w:eastAsiaTheme="minorEastAsia"/>
        </w:rPr>
        <w:t>项目区污染气象特征</w:t>
      </w:r>
    </w:p>
    <w:p>
      <w:pPr>
        <w:pStyle w:val="105"/>
        <w:adjustRightInd w:val="0"/>
        <w:snapToGrid w:val="0"/>
        <w:spacing w:line="360" w:lineRule="auto"/>
        <w:ind w:left="-25" w:firstLine="482"/>
        <w:rPr>
          <w:rFonts w:eastAsiaTheme="minorEastAsia"/>
          <w:b/>
        </w:rPr>
      </w:pPr>
      <w:r>
        <w:rPr>
          <w:rFonts w:eastAsiaTheme="minorEastAsia"/>
          <w:b/>
        </w:rPr>
        <w:t>1、地面风</w:t>
      </w:r>
    </w:p>
    <w:p>
      <w:pPr>
        <w:pStyle w:val="105"/>
        <w:adjustRightInd w:val="0"/>
        <w:snapToGrid w:val="0"/>
        <w:spacing w:line="360" w:lineRule="auto"/>
        <w:ind w:left="-25" w:firstLine="480"/>
        <w:rPr>
          <w:rFonts w:eastAsiaTheme="minorEastAsia"/>
        </w:rPr>
      </w:pPr>
      <w:r>
        <w:rPr>
          <w:rFonts w:eastAsiaTheme="minorEastAsia"/>
        </w:rPr>
        <w:t>根据相关资料，项目区多年平均风速2.6m/s。常年主导风向以</w:t>
      </w:r>
      <w:r>
        <w:fldChar w:fldCharType="begin"/>
      </w:r>
      <w:r>
        <w:instrText xml:space="preserve"> HYPERLINK "http://wenwen.soso.com/z/Search.e?sp=S%E8%A5%BF%E5%8C%97%E9%A3%8E&amp;ch=w.search.yjjlink&amp;cid=w.search.yjjlink" </w:instrText>
      </w:r>
      <w:r>
        <w:fldChar w:fldCharType="separate"/>
      </w:r>
      <w:r>
        <w:rPr>
          <w:rFonts w:eastAsiaTheme="minorEastAsia"/>
        </w:rPr>
        <w:t>东北风</w:t>
      </w:r>
      <w:r>
        <w:rPr>
          <w:rFonts w:eastAsiaTheme="minorEastAsia"/>
        </w:rPr>
        <w:fldChar w:fldCharType="end"/>
      </w:r>
      <w:r>
        <w:rPr>
          <w:rFonts w:eastAsiaTheme="minorEastAsia"/>
        </w:rPr>
        <w:t>为主。</w:t>
      </w:r>
    </w:p>
    <w:p>
      <w:pPr>
        <w:pStyle w:val="105"/>
        <w:adjustRightInd w:val="0"/>
        <w:snapToGrid w:val="0"/>
        <w:spacing w:line="360" w:lineRule="auto"/>
        <w:ind w:left="-25" w:firstLine="482"/>
        <w:rPr>
          <w:rFonts w:eastAsiaTheme="minorEastAsia"/>
          <w:b/>
        </w:rPr>
      </w:pPr>
      <w:r>
        <w:rPr>
          <w:rFonts w:eastAsiaTheme="minorEastAsia"/>
          <w:b/>
        </w:rPr>
        <w:t>2、大气稳定度的确定</w:t>
      </w:r>
    </w:p>
    <w:p>
      <w:pPr>
        <w:pStyle w:val="105"/>
        <w:adjustRightInd w:val="0"/>
        <w:snapToGrid w:val="0"/>
        <w:spacing w:line="360" w:lineRule="auto"/>
        <w:ind w:left="-25" w:firstLine="480"/>
        <w:rPr>
          <w:rFonts w:eastAsiaTheme="minorEastAsia"/>
        </w:rPr>
      </w:pPr>
      <w:r>
        <w:rPr>
          <w:rFonts w:eastAsiaTheme="minorEastAsia"/>
        </w:rPr>
        <w:t>根据国家气象部门调查，项目区内大气稳定度以中性D类为主。</w:t>
      </w:r>
    </w:p>
    <w:p>
      <w:pPr>
        <w:pStyle w:val="5"/>
        <w:rPr>
          <w:rFonts w:eastAsiaTheme="minorEastAsia"/>
        </w:rPr>
      </w:pPr>
      <w:r>
        <w:rPr>
          <w:rFonts w:eastAsiaTheme="minorEastAsia"/>
        </w:rPr>
        <w:t>项目区环境空气质量达标分析</w:t>
      </w:r>
    </w:p>
    <w:p>
      <w:pPr>
        <w:pStyle w:val="69"/>
        <w:ind w:firstLine="480"/>
        <w:rPr>
          <w:rFonts w:hint="default" w:ascii="Times New Roman" w:hAnsi="Times New Roman" w:cs="Times New Roman"/>
          <w:color w:val="FF0000"/>
          <w:u w:val="single"/>
        </w:rPr>
      </w:pPr>
      <w:r>
        <w:rPr>
          <w:rFonts w:hint="default" w:ascii="Times New Roman" w:hAnsi="Times New Roman" w:cs="Times New Roman"/>
          <w:color w:val="FF0000"/>
          <w:u w:val="single"/>
        </w:rPr>
        <w:t>根据《环境影响评价技术导则 大气环境》（HJ 2.2-2018），“5.5 评价基准年筛选依据评价所需环境空气质量现状、气象资料等数据的可获得性、数据质量、代表性等因素，选择近3年中数据相对完整的1个日历年作为评价基准年”。“6.2 数据来源，采用评价范围内国家或地方环境空气质量监测网中评价基准年连续1年的监测数据，或采用生态环境主管部门公开发布的环境空气质量现状数据”。依据新版大气导则要求，本评价从岳阳市生态环境局收集了《岳阳市2019年度环境质量公报》，符合导则相关要求。岳阳市2019年空气质量现状评价见下表</w:t>
      </w:r>
      <w:r>
        <w:rPr>
          <w:rFonts w:hint="eastAsia" w:cs="Times New Roman"/>
          <w:color w:val="FF0000"/>
          <w:u w:val="single"/>
          <w:lang w:val="en-US" w:eastAsia="zh-CN"/>
        </w:rPr>
        <w:t>5.4</w:t>
      </w:r>
      <w:r>
        <w:rPr>
          <w:rFonts w:hint="default" w:ascii="Times New Roman" w:hAnsi="Times New Roman" w:cs="Times New Roman"/>
          <w:color w:val="FF0000"/>
          <w:u w:val="single"/>
        </w:rPr>
        <w:t>-1：</w:t>
      </w:r>
    </w:p>
    <w:p>
      <w:pPr>
        <w:pStyle w:val="69"/>
        <w:spacing w:line="276" w:lineRule="auto"/>
        <w:ind w:firstLine="0" w:firstLineChars="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表5.4-1  区域空气质量现状评价表</w:t>
      </w:r>
    </w:p>
    <w:tbl>
      <w:tblPr>
        <w:tblStyle w:val="7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25"/>
        <w:gridCol w:w="1913"/>
        <w:gridCol w:w="1775"/>
        <w:gridCol w:w="1527"/>
        <w:gridCol w:w="1527"/>
        <w:gridCol w:w="15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污染物</w:t>
            </w:r>
          </w:p>
        </w:tc>
        <w:tc>
          <w:tcPr>
            <w:tcW w:w="1051" w:type="pct"/>
            <w:vAlign w:val="center"/>
          </w:tcPr>
          <w:p>
            <w:pPr>
              <w:adjustRightInd w:val="0"/>
              <w:snapToGrid w:val="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评价指标</w:t>
            </w:r>
          </w:p>
        </w:tc>
        <w:tc>
          <w:tcPr>
            <w:tcW w:w="975" w:type="pct"/>
            <w:vAlign w:val="center"/>
          </w:tcPr>
          <w:p>
            <w:pPr>
              <w:adjustRightInd w:val="0"/>
              <w:snapToGrid w:val="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现状浓度（μg/m</w:t>
            </w:r>
            <w:r>
              <w:rPr>
                <w:rFonts w:hint="default" w:ascii="Times New Roman" w:hAnsi="Times New Roman" w:cs="Times New Roman"/>
                <w:b/>
                <w:color w:val="FF0000"/>
                <w:u w:val="single"/>
                <w:vertAlign w:val="superscript"/>
              </w:rPr>
              <w:t>3</w:t>
            </w:r>
            <w:r>
              <w:rPr>
                <w:rFonts w:hint="default" w:ascii="Times New Roman" w:hAnsi="Times New Roman" w:cs="Times New Roman"/>
                <w:b/>
                <w:color w:val="FF0000"/>
                <w:u w:val="single"/>
              </w:rPr>
              <w:t>）</w:t>
            </w:r>
          </w:p>
        </w:tc>
        <w:tc>
          <w:tcPr>
            <w:tcW w:w="839" w:type="pct"/>
            <w:vAlign w:val="center"/>
          </w:tcPr>
          <w:p>
            <w:pPr>
              <w:adjustRightInd w:val="0"/>
              <w:snapToGrid w:val="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标准值（μg/m</w:t>
            </w:r>
            <w:r>
              <w:rPr>
                <w:rFonts w:hint="default" w:ascii="Times New Roman" w:hAnsi="Times New Roman" w:cs="Times New Roman"/>
                <w:b/>
                <w:color w:val="FF0000"/>
                <w:u w:val="single"/>
                <w:vertAlign w:val="superscript"/>
              </w:rPr>
              <w:t>3</w:t>
            </w:r>
            <w:r>
              <w:rPr>
                <w:rFonts w:hint="default" w:ascii="Times New Roman" w:hAnsi="Times New Roman" w:cs="Times New Roman"/>
                <w:b/>
                <w:color w:val="FF0000"/>
                <w:u w:val="single"/>
              </w:rPr>
              <w:t>）</w:t>
            </w:r>
          </w:p>
        </w:tc>
        <w:tc>
          <w:tcPr>
            <w:tcW w:w="839" w:type="pct"/>
            <w:vAlign w:val="center"/>
          </w:tcPr>
          <w:p>
            <w:pPr>
              <w:adjustRightInd w:val="0"/>
              <w:snapToGrid w:val="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占标率（%）</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color w:val="FF0000"/>
                <w:u w:val="single"/>
                <w:vertAlign w:val="subscript"/>
              </w:rPr>
            </w:pPr>
            <w:r>
              <w:rPr>
                <w:rFonts w:hint="default" w:ascii="Times New Roman" w:hAnsi="Times New Roman" w:cs="Times New Roman"/>
                <w:color w:val="FF0000"/>
                <w:u w:val="single"/>
              </w:rPr>
              <w:t>SO</w:t>
            </w:r>
            <w:r>
              <w:rPr>
                <w:rFonts w:hint="default" w:ascii="Times New Roman" w:hAnsi="Times New Roman" w:cs="Times New Roman"/>
                <w:color w:val="FF0000"/>
                <w:u w:val="single"/>
                <w:vertAlign w:val="subscript"/>
              </w:rPr>
              <w:t>2</w:t>
            </w:r>
          </w:p>
        </w:tc>
        <w:tc>
          <w:tcPr>
            <w:tcW w:w="1051"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年平均浓度</w:t>
            </w:r>
          </w:p>
        </w:tc>
        <w:tc>
          <w:tcPr>
            <w:tcW w:w="975"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9</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60</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15.0</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color w:val="FF0000"/>
                <w:u w:val="single"/>
                <w:vertAlign w:val="subscript"/>
              </w:rPr>
            </w:pPr>
            <w:r>
              <w:rPr>
                <w:rFonts w:hint="default" w:ascii="Times New Roman" w:hAnsi="Times New Roman" w:cs="Times New Roman"/>
                <w:color w:val="FF0000"/>
                <w:u w:val="single"/>
              </w:rPr>
              <w:t>NO</w:t>
            </w:r>
            <w:r>
              <w:rPr>
                <w:rFonts w:hint="default" w:ascii="Times New Roman" w:hAnsi="Times New Roman" w:cs="Times New Roman"/>
                <w:color w:val="FF0000"/>
                <w:u w:val="single"/>
                <w:vertAlign w:val="subscript"/>
              </w:rPr>
              <w:t>2</w:t>
            </w:r>
          </w:p>
        </w:tc>
        <w:tc>
          <w:tcPr>
            <w:tcW w:w="1051"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年平均浓度</w:t>
            </w:r>
          </w:p>
        </w:tc>
        <w:tc>
          <w:tcPr>
            <w:tcW w:w="975"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27</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40</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67.5</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color w:val="FF0000"/>
                <w:u w:val="single"/>
                <w:vertAlign w:val="subscript"/>
              </w:rPr>
            </w:pPr>
            <w:r>
              <w:rPr>
                <w:rFonts w:hint="default" w:ascii="Times New Roman" w:hAnsi="Times New Roman" w:cs="Times New Roman"/>
                <w:color w:val="FF0000"/>
                <w:u w:val="single"/>
              </w:rPr>
              <w:t>PM</w:t>
            </w:r>
            <w:r>
              <w:rPr>
                <w:rFonts w:hint="default" w:ascii="Times New Roman" w:hAnsi="Times New Roman" w:cs="Times New Roman"/>
                <w:color w:val="FF0000"/>
                <w:u w:val="single"/>
                <w:vertAlign w:val="subscript"/>
              </w:rPr>
              <w:t>10</w:t>
            </w:r>
          </w:p>
        </w:tc>
        <w:tc>
          <w:tcPr>
            <w:tcW w:w="1051"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年平均浓度</w:t>
            </w:r>
          </w:p>
        </w:tc>
        <w:tc>
          <w:tcPr>
            <w:tcW w:w="975"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68</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70</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97.1</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color w:val="FF0000"/>
                <w:u w:val="single"/>
                <w:vertAlign w:val="subscript"/>
              </w:rPr>
            </w:pPr>
            <w:r>
              <w:rPr>
                <w:rFonts w:hint="default" w:ascii="Times New Roman" w:hAnsi="Times New Roman" w:cs="Times New Roman"/>
                <w:color w:val="FF0000"/>
                <w:u w:val="single"/>
              </w:rPr>
              <w:t>PM</w:t>
            </w:r>
            <w:r>
              <w:rPr>
                <w:rFonts w:hint="default" w:ascii="Times New Roman" w:hAnsi="Times New Roman" w:cs="Times New Roman"/>
                <w:color w:val="FF0000"/>
                <w:u w:val="single"/>
                <w:vertAlign w:val="subscript"/>
              </w:rPr>
              <w:t>2.5</w:t>
            </w:r>
          </w:p>
        </w:tc>
        <w:tc>
          <w:tcPr>
            <w:tcW w:w="1051"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年平均浓度</w:t>
            </w:r>
          </w:p>
        </w:tc>
        <w:tc>
          <w:tcPr>
            <w:tcW w:w="975"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43</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35</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122.9</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CO</w:t>
            </w:r>
          </w:p>
        </w:tc>
        <w:tc>
          <w:tcPr>
            <w:tcW w:w="1051"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24小时平均第</w:t>
            </w:r>
          </w:p>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95百分位数浓度</w:t>
            </w:r>
          </w:p>
        </w:tc>
        <w:tc>
          <w:tcPr>
            <w:tcW w:w="975"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1400</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4000</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35.0</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color w:val="FF0000"/>
                <w:u w:val="single"/>
                <w:vertAlign w:val="subscript"/>
              </w:rPr>
            </w:pPr>
            <w:r>
              <w:rPr>
                <w:rFonts w:hint="default" w:ascii="Times New Roman" w:hAnsi="Times New Roman" w:cs="Times New Roman"/>
                <w:color w:val="FF0000"/>
                <w:u w:val="single"/>
              </w:rPr>
              <w:t>O</w:t>
            </w:r>
            <w:r>
              <w:rPr>
                <w:rFonts w:hint="default" w:ascii="Times New Roman" w:hAnsi="Times New Roman" w:cs="Times New Roman"/>
                <w:color w:val="FF0000"/>
                <w:u w:val="single"/>
                <w:vertAlign w:val="subscript"/>
              </w:rPr>
              <w:t>3</w:t>
            </w:r>
          </w:p>
        </w:tc>
        <w:tc>
          <w:tcPr>
            <w:tcW w:w="1051"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最大八小时平均</w:t>
            </w:r>
          </w:p>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第90百分位数</w:t>
            </w:r>
          </w:p>
        </w:tc>
        <w:tc>
          <w:tcPr>
            <w:tcW w:w="975"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164</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160</w:t>
            </w:r>
          </w:p>
        </w:tc>
        <w:tc>
          <w:tcPr>
            <w:tcW w:w="839" w:type="pct"/>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102.5</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color w:val="FF0000"/>
                <w:u w:val="single"/>
              </w:rPr>
            </w:pPr>
            <w:r>
              <w:rPr>
                <w:rFonts w:hint="default" w:ascii="Times New Roman" w:hAnsi="Times New Roman" w:cs="Times New Roman"/>
                <w:color w:val="FF0000"/>
                <w:u w:val="single"/>
              </w:rPr>
              <w:t>不达标</w:t>
            </w:r>
          </w:p>
        </w:tc>
      </w:tr>
    </w:tbl>
    <w:p>
      <w:pPr>
        <w:adjustRightInd w:val="0"/>
        <w:snapToGrid w:val="0"/>
        <w:spacing w:line="360" w:lineRule="auto"/>
        <w:ind w:firstLine="480" w:firstLineChars="200"/>
        <w:rPr>
          <w:rFonts w:hint="default" w:ascii="Times New Roman" w:hAnsi="Times New Roman" w:cs="Times New Roman"/>
          <w:color w:val="FF0000"/>
          <w:sz w:val="24"/>
          <w:szCs w:val="24"/>
          <w:u w:val="single"/>
        </w:rPr>
      </w:pPr>
    </w:p>
    <w:p>
      <w:pPr>
        <w:pStyle w:val="69"/>
        <w:ind w:firstLine="480"/>
        <w:rPr>
          <w:color w:val="FF0000"/>
          <w:u w:val="single"/>
        </w:rPr>
      </w:pPr>
      <w:r>
        <w:rPr>
          <w:rFonts w:hint="default" w:ascii="Times New Roman" w:hAnsi="Times New Roman" w:cs="Times New Roman"/>
          <w:color w:val="FF0000"/>
          <w:sz w:val="24"/>
          <w:szCs w:val="24"/>
          <w:u w:val="single"/>
        </w:rPr>
        <w:t>由上表可知，2019年岳阳市大气环境质量主要指标中SO</w:t>
      </w:r>
      <w:r>
        <w:rPr>
          <w:rFonts w:hint="default" w:ascii="Times New Roman" w:hAnsi="Times New Roman" w:cs="Times New Roman"/>
          <w:color w:val="FF0000"/>
          <w:sz w:val="24"/>
          <w:szCs w:val="24"/>
          <w:u w:val="single"/>
          <w:vertAlign w:val="subscript"/>
        </w:rPr>
        <w:t>2</w:t>
      </w:r>
      <w:r>
        <w:rPr>
          <w:rFonts w:hint="default" w:ascii="Times New Roman" w:hAnsi="Times New Roman" w:cs="Times New Roman"/>
          <w:color w:val="FF0000"/>
          <w:sz w:val="24"/>
          <w:szCs w:val="24"/>
          <w:u w:val="single"/>
        </w:rPr>
        <w:t>年均浓度、NO</w:t>
      </w:r>
      <w:r>
        <w:rPr>
          <w:rFonts w:hint="default" w:ascii="Times New Roman" w:hAnsi="Times New Roman" w:cs="Times New Roman"/>
          <w:color w:val="FF0000"/>
          <w:sz w:val="24"/>
          <w:szCs w:val="24"/>
          <w:u w:val="single"/>
          <w:vertAlign w:val="subscript"/>
        </w:rPr>
        <w:t>2</w:t>
      </w:r>
      <w:r>
        <w:rPr>
          <w:rFonts w:hint="default" w:ascii="Times New Roman" w:hAnsi="Times New Roman" w:cs="Times New Roman"/>
          <w:color w:val="FF0000"/>
          <w:sz w:val="24"/>
          <w:szCs w:val="24"/>
          <w:u w:val="single"/>
        </w:rPr>
        <w:t>年均浓度、PM</w:t>
      </w:r>
      <w:r>
        <w:rPr>
          <w:rFonts w:hint="default" w:ascii="Times New Roman" w:hAnsi="Times New Roman" w:cs="Times New Roman"/>
          <w:color w:val="FF0000"/>
          <w:sz w:val="24"/>
          <w:szCs w:val="24"/>
          <w:u w:val="single"/>
          <w:vertAlign w:val="subscript"/>
        </w:rPr>
        <w:t>10</w:t>
      </w:r>
      <w:r>
        <w:rPr>
          <w:rFonts w:hint="default" w:ascii="Times New Roman" w:hAnsi="Times New Roman" w:cs="Times New Roman"/>
          <w:color w:val="FF0000"/>
          <w:sz w:val="24"/>
          <w:szCs w:val="24"/>
          <w:u w:val="single"/>
        </w:rPr>
        <w:t>年平均浓度和CO 24小时平均第95百分位数浓度均能满足《环境空气质量标准》（GB3095-2012）中的二级标准限值，PM</w:t>
      </w:r>
      <w:r>
        <w:rPr>
          <w:rFonts w:hint="default" w:ascii="Times New Roman" w:hAnsi="Times New Roman" w:cs="Times New Roman"/>
          <w:color w:val="FF0000"/>
          <w:sz w:val="24"/>
          <w:szCs w:val="24"/>
          <w:u w:val="single"/>
          <w:vertAlign w:val="subscript"/>
        </w:rPr>
        <w:t>2.5</w:t>
      </w:r>
      <w:r>
        <w:rPr>
          <w:rFonts w:hint="default" w:ascii="Times New Roman" w:hAnsi="Times New Roman" w:cs="Times New Roman"/>
          <w:color w:val="FF0000"/>
          <w:sz w:val="24"/>
          <w:szCs w:val="24"/>
          <w:u w:val="single"/>
        </w:rPr>
        <w:t>年平均浓度和O</w:t>
      </w:r>
      <w:r>
        <w:rPr>
          <w:rFonts w:hint="default" w:ascii="Times New Roman" w:hAnsi="Times New Roman" w:cs="Times New Roman"/>
          <w:color w:val="FF0000"/>
          <w:sz w:val="24"/>
          <w:szCs w:val="24"/>
          <w:u w:val="single"/>
          <w:vertAlign w:val="subscript"/>
        </w:rPr>
        <w:t xml:space="preserve">3 </w:t>
      </w:r>
      <w:r>
        <w:rPr>
          <w:rFonts w:hint="default" w:ascii="Times New Roman" w:hAnsi="Times New Roman" w:cs="Times New Roman"/>
          <w:color w:val="FF0000"/>
          <w:sz w:val="24"/>
          <w:szCs w:val="24"/>
          <w:u w:val="single"/>
        </w:rPr>
        <w:t>8小时平均第90百分位数浓度均不能满足《环境空气质量标准》（GB3095-2012）中的二级标准限值，故本项目所在区域2019年为环境空气质量不达标区，</w:t>
      </w:r>
      <w:r>
        <w:rPr>
          <w:rFonts w:hint="default" w:ascii="Times New Roman" w:hAnsi="Times New Roman" w:cs="Times New Roman"/>
          <w:color w:val="FF0000"/>
          <w:sz w:val="24"/>
          <w:szCs w:val="22"/>
          <w:u w:val="single"/>
        </w:rPr>
        <w:t>超标因子为PM</w:t>
      </w:r>
      <w:r>
        <w:rPr>
          <w:rFonts w:hint="default" w:ascii="Times New Roman" w:hAnsi="Times New Roman" w:cs="Times New Roman"/>
          <w:color w:val="FF0000"/>
          <w:sz w:val="24"/>
          <w:szCs w:val="22"/>
          <w:u w:val="single"/>
          <w:vertAlign w:val="subscript"/>
        </w:rPr>
        <w:t>2.5</w:t>
      </w:r>
      <w:r>
        <w:rPr>
          <w:rFonts w:hint="default" w:ascii="Times New Roman" w:hAnsi="Times New Roman" w:cs="Times New Roman"/>
          <w:color w:val="FF0000"/>
          <w:sz w:val="24"/>
          <w:szCs w:val="22"/>
          <w:u w:val="single"/>
        </w:rPr>
        <w:t>和O</w:t>
      </w:r>
      <w:r>
        <w:rPr>
          <w:rFonts w:hint="default" w:ascii="Times New Roman" w:hAnsi="Times New Roman" w:cs="Times New Roman"/>
          <w:color w:val="FF0000"/>
          <w:sz w:val="24"/>
          <w:szCs w:val="22"/>
          <w:u w:val="single"/>
          <w:vertAlign w:val="subscript"/>
        </w:rPr>
        <w:t xml:space="preserve">3 </w:t>
      </w:r>
      <w:r>
        <w:rPr>
          <w:rFonts w:hint="default" w:ascii="Times New Roman" w:hAnsi="Times New Roman" w:cs="Times New Roman"/>
          <w:color w:val="FF0000"/>
          <w:sz w:val="24"/>
          <w:szCs w:val="24"/>
          <w:u w:val="single"/>
        </w:rPr>
        <w:t>。</w:t>
      </w:r>
    </w:p>
    <w:p>
      <w:pPr>
        <w:pStyle w:val="4"/>
        <w:rPr>
          <w:rFonts w:eastAsiaTheme="minorEastAsia"/>
        </w:rPr>
      </w:pPr>
      <w:r>
        <w:rPr>
          <w:rFonts w:eastAsiaTheme="minorEastAsia"/>
        </w:rPr>
        <w:t>环境空气质量现状监测</w:t>
      </w:r>
    </w:p>
    <w:p>
      <w:pPr>
        <w:pStyle w:val="105"/>
        <w:adjustRightInd w:val="0"/>
        <w:snapToGrid w:val="0"/>
        <w:spacing w:line="360" w:lineRule="auto"/>
        <w:ind w:firstLine="480"/>
        <w:rPr>
          <w:rFonts w:eastAsiaTheme="minorEastAsia"/>
          <w:kern w:val="0"/>
        </w:rPr>
      </w:pPr>
      <w:r>
        <w:rPr>
          <w:rFonts w:eastAsiaTheme="minorEastAsia"/>
        </w:rPr>
        <w:t>本次评价委托湖南永蓝检测技术股份有限公司于2019年8月8日~8月14日期间针对码头位置的大气环境进行了现状监测。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本次现状调查共布设1个环境空气监测点，G1为长炼码头厂址处。</w:t>
      </w:r>
    </w:p>
    <w:p>
      <w:pPr>
        <w:adjustRightInd w:val="0"/>
        <w:snapToGrid w:val="0"/>
        <w:spacing w:line="276" w:lineRule="auto"/>
        <w:jc w:val="center"/>
        <w:rPr>
          <w:rFonts w:ascii="Times New Roman" w:hAnsi="Times New Roman" w:eastAsiaTheme="minorEastAsia"/>
          <w:b/>
          <w:bCs/>
          <w:sz w:val="24"/>
          <w:szCs w:val="24"/>
        </w:rPr>
      </w:pPr>
      <w:r>
        <w:rPr>
          <w:rFonts w:ascii="Times New Roman" w:hAnsi="Times New Roman" w:eastAsiaTheme="minorEastAsia"/>
          <w:b/>
          <w:sz w:val="24"/>
          <w:szCs w:val="24"/>
        </w:rPr>
        <w:t>表4.7-</w:t>
      </w:r>
      <w:r>
        <w:rPr>
          <w:rFonts w:hint="eastAsia" w:ascii="Times New Roman" w:hAnsi="Times New Roman" w:eastAsiaTheme="minorEastAsia"/>
          <w:b/>
          <w:sz w:val="24"/>
          <w:szCs w:val="24"/>
        </w:rPr>
        <w:t>2</w:t>
      </w:r>
      <w:r>
        <w:rPr>
          <w:rFonts w:ascii="Times New Roman" w:hAnsi="Times New Roman" w:eastAsiaTheme="minorEastAsia"/>
          <w:b/>
          <w:sz w:val="24"/>
          <w:szCs w:val="24"/>
        </w:rPr>
        <w:t xml:space="preserve">  </w:t>
      </w:r>
      <w:r>
        <w:rPr>
          <w:rFonts w:ascii="Times New Roman" w:hAnsi="Times New Roman" w:eastAsiaTheme="minorEastAsia"/>
          <w:b/>
          <w:bCs/>
          <w:sz w:val="24"/>
          <w:szCs w:val="24"/>
        </w:rPr>
        <w:t>大气质量现状监测点一览表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3436"/>
        <w:gridCol w:w="3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序号</w:t>
            </w:r>
          </w:p>
        </w:tc>
        <w:tc>
          <w:tcPr>
            <w:tcW w:w="1888"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监测位置</w:t>
            </w:r>
          </w:p>
        </w:tc>
        <w:tc>
          <w:tcPr>
            <w:tcW w:w="1936"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经纬度坐标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G1</w:t>
            </w:r>
          </w:p>
        </w:tc>
        <w:tc>
          <w:tcPr>
            <w:tcW w:w="1888"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长炼码头厂址</w:t>
            </w:r>
          </w:p>
        </w:tc>
        <w:tc>
          <w:tcPr>
            <w:tcW w:w="193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color w:val="000000"/>
                <w:kern w:val="0"/>
                <w:lang w:bidi="ar"/>
              </w:rPr>
            </w:pPr>
            <w:r>
              <w:rPr>
                <w:rFonts w:ascii="Times New Roman" w:hAnsi="Times New Roman" w:eastAsiaTheme="minorEastAsia"/>
                <w:color w:val="000000"/>
                <w:kern w:val="0"/>
                <w:lang w:bidi="ar"/>
              </w:rPr>
              <w:t>E：113°17'03.48"，N：29°35'15.84"</w:t>
            </w:r>
          </w:p>
        </w:tc>
      </w:tr>
    </w:tbl>
    <w:p>
      <w:pPr>
        <w:adjustRightInd w:val="0"/>
        <w:snapToGrid w:val="0"/>
        <w:spacing w:line="360" w:lineRule="auto"/>
        <w:ind w:firstLine="482" w:firstLineChars="200"/>
        <w:rPr>
          <w:rFonts w:ascii="Times New Roman" w:hAnsi="Times New Roman" w:eastAsiaTheme="minorEastAsia"/>
          <w:b/>
          <w:bCs/>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2、监测因子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非甲烷总烃</w:t>
      </w:r>
      <w:r>
        <w:rPr>
          <w:rFonts w:ascii="Times New Roman" w:hAnsi="Times New Roman" w:eastAsiaTheme="minorEastAsia"/>
          <w:color w:val="000000" w:themeColor="text1"/>
          <w:sz w:val="24"/>
          <w:szCs w:val="24"/>
          <w14:textFill>
            <w14:solidFill>
              <w14:schemeClr w14:val="tx1"/>
            </w14:solidFill>
          </w14:textFill>
        </w:rPr>
        <w:t>、TVOC小时值。</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3、执行标准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非甲烷总烃标准执行《大气污染物综合排放标准详解》中采用的2mg/m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环境浓度</w:t>
      </w:r>
      <w:r>
        <w:rPr>
          <w:rFonts w:hint="eastAsia" w:ascii="Times New Roman" w:hAnsi="Times New Roman" w:eastAsiaTheme="minorEastAsia"/>
          <w:sz w:val="24"/>
          <w:szCs w:val="24"/>
        </w:rPr>
        <w:t>；TVOC小时平均浓度参照《环境影响评价技术导则大气环境》（HJ2.2-2018）附录D中其他污染物空气质量浓度参考限值</w:t>
      </w:r>
      <w:r>
        <w:rPr>
          <w:rFonts w:ascii="Times New Roman" w:hAnsi="Times New Roman" w:eastAsiaTheme="minorEastAsia"/>
          <w:sz w:val="24"/>
          <w:szCs w:val="24"/>
        </w:rPr>
        <w:t>。</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4、监测时间、频次</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2019年8月8日至8月14日连续监测7天。</w:t>
      </w:r>
    </w:p>
    <w:p>
      <w:pPr>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sz w:val="24"/>
          <w:szCs w:val="24"/>
        </w:rPr>
        <w:t>5、</w:t>
      </w:r>
      <w:r>
        <w:rPr>
          <w:rFonts w:ascii="Times New Roman" w:hAnsi="Times New Roman" w:eastAsiaTheme="minorEastAsia"/>
          <w:b/>
          <w:kern w:val="0"/>
          <w:sz w:val="24"/>
          <w:szCs w:val="24"/>
        </w:rPr>
        <w:t>监测方法</w:t>
      </w:r>
    </w:p>
    <w:p>
      <w:pPr>
        <w:adjustRightInd w:val="0"/>
        <w:snapToGrid w:val="0"/>
        <w:spacing w:line="360" w:lineRule="auto"/>
        <w:ind w:firstLine="480" w:firstLineChars="200"/>
        <w:rPr>
          <w:rFonts w:ascii="Times New Roman" w:hAnsi="Times New Roman" w:eastAsiaTheme="minorEastAsia"/>
          <w:kern w:val="0"/>
          <w:sz w:val="20"/>
          <w:szCs w:val="20"/>
        </w:rPr>
      </w:pPr>
      <w:r>
        <w:rPr>
          <w:rFonts w:ascii="Times New Roman" w:hAnsi="Times New Roman" w:eastAsiaTheme="minorEastAsia"/>
          <w:kern w:val="0"/>
          <w:sz w:val="24"/>
          <w:szCs w:val="24"/>
        </w:rPr>
        <w:t>监测所用的采样及分析方法按照国家规范执行，见表4.7-</w:t>
      </w:r>
      <w:r>
        <w:rPr>
          <w:rFonts w:hint="eastAsia" w:ascii="Times New Roman" w:hAnsi="Times New Roman" w:eastAsiaTheme="minorEastAsia"/>
          <w:kern w:val="0"/>
          <w:sz w:val="24"/>
          <w:szCs w:val="24"/>
        </w:rPr>
        <w:t>3</w:t>
      </w:r>
      <w:r>
        <w:rPr>
          <w:rFonts w:ascii="Times New Roman" w:hAnsi="Times New Roman" w:eastAsiaTheme="minorEastAsia"/>
          <w:kern w:val="0"/>
          <w:sz w:val="24"/>
          <w:szCs w:val="24"/>
        </w:rPr>
        <w:t>。</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表4.7-</w:t>
      </w:r>
      <w:r>
        <w:rPr>
          <w:rFonts w:hint="eastAsia" w:ascii="Times New Roman" w:hAnsi="Times New Roman" w:eastAsiaTheme="minorEastAsia"/>
          <w:b/>
          <w:sz w:val="24"/>
          <w:szCs w:val="24"/>
        </w:rPr>
        <w:t>3</w:t>
      </w:r>
      <w:r>
        <w:rPr>
          <w:rFonts w:ascii="Times New Roman" w:hAnsi="Times New Roman" w:eastAsiaTheme="minorEastAsia"/>
          <w:b/>
          <w:sz w:val="24"/>
          <w:szCs w:val="24"/>
        </w:rPr>
        <w:t xml:space="preserve">  大气污染物分析方法一览表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4297"/>
        <w:gridCol w:w="1602"/>
        <w:gridCol w:w="17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分析项目</w:t>
            </w:r>
          </w:p>
        </w:tc>
        <w:tc>
          <w:tcPr>
            <w:tcW w:w="2361"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分析方法名称及来源</w:t>
            </w:r>
          </w:p>
        </w:tc>
        <w:tc>
          <w:tcPr>
            <w:tcW w:w="880"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仪器型号</w:t>
            </w:r>
          </w:p>
        </w:tc>
        <w:tc>
          <w:tcPr>
            <w:tcW w:w="968" w:type="pct"/>
            <w:tcMar>
              <w:top w:w="0" w:type="dxa"/>
              <w:left w:w="0" w:type="dxa"/>
              <w:bottom w:w="0" w:type="dxa"/>
              <w:right w:w="0" w:type="dxa"/>
            </w:tcMar>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最低检出限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非甲烷总烃</w:t>
            </w:r>
          </w:p>
        </w:tc>
        <w:tc>
          <w:tcPr>
            <w:tcW w:w="236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气相色谱法（HJ 604-2017）</w:t>
            </w:r>
          </w:p>
        </w:tc>
        <w:tc>
          <w:tcPr>
            <w:tcW w:w="880" w:type="pct"/>
            <w:tcMar>
              <w:top w:w="0" w:type="dxa"/>
              <w:left w:w="0" w:type="dxa"/>
              <w:bottom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kern w:val="0"/>
              </w:rPr>
              <w:t>GC-4000A</w:t>
            </w:r>
          </w:p>
        </w:tc>
        <w:tc>
          <w:tcPr>
            <w:tcW w:w="968" w:type="pct"/>
            <w:tcMar>
              <w:top w:w="0" w:type="dxa"/>
              <w:left w:w="0" w:type="dxa"/>
              <w:bottom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0.07mg/m</w:t>
            </w:r>
            <w:r>
              <w:rPr>
                <w:rFonts w:ascii="Times New Roman" w:hAnsi="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TVOC</w:t>
            </w:r>
          </w:p>
        </w:tc>
        <w:tc>
          <w:tcPr>
            <w:tcW w:w="2361" w:type="pct"/>
            <w:tcMar>
              <w:top w:w="0" w:type="dxa"/>
              <w:left w:w="0" w:type="dxa"/>
              <w:bottom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室内空气质量标准（GB/T18883-2002）</w:t>
            </w:r>
          </w:p>
        </w:tc>
        <w:tc>
          <w:tcPr>
            <w:tcW w:w="880" w:type="pct"/>
            <w:tcMar>
              <w:top w:w="0" w:type="dxa"/>
              <w:left w:w="0" w:type="dxa"/>
              <w:bottom w:w="0" w:type="dxa"/>
              <w:right w:w="0" w:type="dxa"/>
            </w:tcMar>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QP2020W</w:t>
            </w:r>
          </w:p>
        </w:tc>
        <w:tc>
          <w:tcPr>
            <w:tcW w:w="968" w:type="pct"/>
            <w:tcMar>
              <w:top w:w="0" w:type="dxa"/>
              <w:left w:w="0" w:type="dxa"/>
              <w:bottom w:w="0" w:type="dxa"/>
              <w:right w:w="0" w:type="dxa"/>
            </w:tcMar>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0.0005mg/m</w:t>
            </w:r>
            <w:r>
              <w:rPr>
                <w:rFonts w:ascii="Times New Roman" w:hAnsi="Times New Roman" w:eastAsiaTheme="minorEastAsia"/>
                <w:color w:val="000000"/>
                <w:kern w:val="0"/>
                <w:vertAlign w:val="superscript"/>
              </w:rPr>
              <w:t>3</w:t>
            </w:r>
          </w:p>
        </w:tc>
      </w:tr>
    </w:tbl>
    <w:p>
      <w:pPr>
        <w:pStyle w:val="105"/>
        <w:adjustRightInd w:val="0"/>
        <w:snapToGrid w:val="0"/>
        <w:spacing w:line="360" w:lineRule="auto"/>
        <w:ind w:firstLine="482"/>
        <w:rPr>
          <w:rFonts w:eastAsiaTheme="minorEastAsia"/>
          <w:b/>
        </w:rPr>
      </w:pPr>
    </w:p>
    <w:p>
      <w:pPr>
        <w:pStyle w:val="105"/>
        <w:adjustRightInd w:val="0"/>
        <w:snapToGrid w:val="0"/>
        <w:spacing w:line="360" w:lineRule="auto"/>
        <w:ind w:firstLine="480"/>
        <w:rPr>
          <w:rFonts w:eastAsiaTheme="minorEastAsia"/>
          <w:b/>
        </w:rPr>
      </w:pPr>
      <w:r>
        <w:rPr>
          <w:rFonts w:eastAsiaTheme="minorEastAsia"/>
        </w:rPr>
        <w:t>非甲烷总</w:t>
      </w:r>
      <w:r>
        <w:rPr>
          <w:rFonts w:eastAsiaTheme="minorEastAsia"/>
          <w:color w:val="000000" w:themeColor="text1"/>
          <w14:textFill>
            <w14:solidFill>
              <w14:schemeClr w14:val="tx1"/>
            </w14:solidFill>
          </w14:textFill>
        </w:rPr>
        <w:t>烃、TVOC每小</w:t>
      </w:r>
      <w:r>
        <w:rPr>
          <w:rFonts w:eastAsiaTheme="minorEastAsia"/>
        </w:rPr>
        <w:t>时至少有45min 采样时间；提供非甲烷总烃、TVOC每天4个时段（北京时间2、8、14、20时）的小时值。同时记录气温、气压、相对湿度、风向、风速。</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环境空气质量现状评价</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1、评价标准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本次评价码头区域执行《环境空气质量标准》（GB3095-2012）二级标准。</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2、评价方法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环境空气质量现状评价采用占标率指标进行评价，其计算公式如下：</w:t>
      </w:r>
    </w:p>
    <w:p>
      <w:pPr>
        <w:pStyle w:val="158"/>
        <w:adjustRightInd w:val="0"/>
        <w:snapToGrid w:val="0"/>
        <w:jc w:val="center"/>
        <w:rPr>
          <w:rFonts w:eastAsiaTheme="minorEastAsia"/>
          <w:szCs w:val="24"/>
        </w:rPr>
      </w:pPr>
      <w:r>
        <w:rPr>
          <w:rFonts w:eastAsiaTheme="minorEastAsia"/>
          <w:position w:val="-32"/>
          <w:szCs w:val="24"/>
        </w:rPr>
        <w:object>
          <v:shape id="_x0000_i1030" o:spt="75" type="#_x0000_t75" style="height:36.85pt;width:49.55pt;" o:ole="t" filled="f" o:preferrelative="t" stroked="f" coordsize="21600,21600">
            <v:path/>
            <v:fill on="f" focussize="0,0"/>
            <v:stroke on="f" joinstyle="miter"/>
            <v:imagedata r:id="rId50" o:title=""/>
            <o:lock v:ext="edit" aspectratio="t"/>
            <w10:wrap type="none"/>
            <w10:anchorlock/>
          </v:shape>
          <o:OLEObject Type="Embed" ProgID="Equation.DSMT4" ShapeID="_x0000_i1030" DrawAspect="Content" ObjectID="_1468075730" r:id="rId49">
            <o:LockedField>false</o:LockedField>
          </o:OLEObject>
        </w:objec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式中：P</w:t>
      </w:r>
      <w:r>
        <w:rPr>
          <w:rFonts w:ascii="Times New Roman" w:hAnsi="Times New Roman" w:eastAsiaTheme="minorEastAsia"/>
          <w:sz w:val="24"/>
          <w:szCs w:val="24"/>
          <w:vertAlign w:val="subscript"/>
        </w:rPr>
        <w:t xml:space="preserve">i </w:t>
      </w:r>
      <w:r>
        <w:rPr>
          <w:rFonts w:ascii="Times New Roman" w:hAnsi="Times New Roman" w:eastAsiaTheme="minorEastAsia"/>
          <w:sz w:val="24"/>
          <w:szCs w:val="24"/>
        </w:rPr>
        <w:t>——第 i 个污染物的最大地面浓度占标率，%；</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C</w:t>
      </w:r>
      <w:r>
        <w:rPr>
          <w:rFonts w:ascii="Times New Roman" w:hAnsi="Times New Roman" w:eastAsiaTheme="minorEastAsia"/>
          <w:sz w:val="24"/>
          <w:szCs w:val="24"/>
          <w:vertAlign w:val="subscript"/>
        </w:rPr>
        <w:t xml:space="preserve">i </w:t>
      </w:r>
      <w:r>
        <w:rPr>
          <w:rFonts w:ascii="Times New Roman" w:hAnsi="Times New Roman" w:eastAsiaTheme="minorEastAsia"/>
          <w:sz w:val="24"/>
          <w:szCs w:val="24"/>
        </w:rPr>
        <w:t>——第 i 种污染物的实测浓度均值（mg/m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C</w:t>
      </w:r>
      <w:r>
        <w:rPr>
          <w:rFonts w:ascii="Times New Roman" w:hAnsi="Times New Roman" w:eastAsiaTheme="minorEastAsia"/>
          <w:sz w:val="24"/>
          <w:szCs w:val="24"/>
          <w:vertAlign w:val="subscript"/>
        </w:rPr>
        <w:t xml:space="preserve">oi </w:t>
      </w:r>
      <w:r>
        <w:rPr>
          <w:rFonts w:ascii="Times New Roman" w:hAnsi="Times New Roman" w:eastAsiaTheme="minorEastAsia"/>
          <w:sz w:val="24"/>
          <w:szCs w:val="24"/>
        </w:rPr>
        <w:t>——第 i 种污染物的环境空气质量标准值（mg/m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Pi&gt;100%时即为超标。超标率η计算式如下：</w:t>
      </w:r>
    </w:p>
    <w:p>
      <w:pPr>
        <w:adjustRightInd w:val="0"/>
        <w:snapToGrid w:val="0"/>
        <w:spacing w:line="360" w:lineRule="auto"/>
        <w:jc w:val="center"/>
        <w:rPr>
          <w:rFonts w:ascii="Times New Roman" w:hAnsi="Times New Roman" w:eastAsiaTheme="minorEastAsia"/>
          <w:sz w:val="24"/>
          <w:szCs w:val="24"/>
        </w:rPr>
      </w:pPr>
      <w:r>
        <w:rPr>
          <w:rFonts w:ascii="Times New Roman" w:hAnsi="Times New Roman" w:eastAsiaTheme="minorEastAsia"/>
          <w:sz w:val="24"/>
          <w:szCs w:val="24"/>
        </w:rPr>
        <w:t>超标率 = （超标数据个数 / 中检测数据个数）×100%</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3、评价结果及分析</w:t>
      </w:r>
    </w:p>
    <w:p>
      <w:pPr>
        <w:adjustRightInd w:val="0"/>
        <w:snapToGrid w:val="0"/>
        <w:spacing w:line="360" w:lineRule="auto"/>
        <w:ind w:firstLine="480" w:firstLineChars="200"/>
        <w:rPr>
          <w:rFonts w:ascii="Times New Roman" w:hAnsi="Times New Roman" w:eastAsiaTheme="minorEastAsia"/>
          <w:kern w:val="0"/>
          <w:sz w:val="20"/>
          <w:szCs w:val="20"/>
        </w:rPr>
      </w:pPr>
      <w:r>
        <w:rPr>
          <w:rFonts w:ascii="Times New Roman" w:hAnsi="Times New Roman" w:eastAsiaTheme="minorEastAsia"/>
          <w:kern w:val="0"/>
          <w:sz w:val="24"/>
          <w:szCs w:val="24"/>
        </w:rPr>
        <w:t>本项目所在区域环境空气质量现状监测结果见表4.7-</w:t>
      </w:r>
      <w:r>
        <w:rPr>
          <w:rFonts w:hint="eastAsia" w:ascii="Times New Roman" w:hAnsi="Times New Roman" w:eastAsiaTheme="minorEastAsia"/>
          <w:kern w:val="0"/>
          <w:sz w:val="24"/>
          <w:szCs w:val="24"/>
        </w:rPr>
        <w:t>4</w:t>
      </w:r>
      <w:r>
        <w:rPr>
          <w:rFonts w:ascii="Times New Roman" w:hAnsi="Times New Roman" w:eastAsiaTheme="minorEastAsia"/>
          <w:kern w:val="0"/>
          <w:sz w:val="24"/>
          <w:szCs w:val="24"/>
        </w:rPr>
        <w:t>。</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表4.7-</w:t>
      </w:r>
      <w:r>
        <w:rPr>
          <w:rFonts w:hint="eastAsia" w:ascii="Times New Roman" w:hAnsi="Times New Roman" w:eastAsiaTheme="minorEastAsia"/>
          <w:b/>
          <w:sz w:val="24"/>
          <w:szCs w:val="24"/>
        </w:rPr>
        <w:t>4</w:t>
      </w:r>
      <w:r>
        <w:rPr>
          <w:rFonts w:ascii="Times New Roman" w:hAnsi="Times New Roman" w:eastAsiaTheme="minorEastAsia"/>
          <w:b/>
          <w:sz w:val="24"/>
          <w:szCs w:val="24"/>
        </w:rPr>
        <w:t xml:space="preserve">  特征因子监测数据统计结果汇总</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27"/>
        <w:gridCol w:w="1571"/>
        <w:gridCol w:w="1875"/>
        <w:gridCol w:w="1077"/>
        <w:gridCol w:w="1301"/>
        <w:gridCol w:w="1077"/>
        <w:gridCol w:w="107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1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监测点位</w:t>
            </w:r>
          </w:p>
        </w:tc>
        <w:tc>
          <w:tcPr>
            <w:tcW w:w="86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监测项目</w:t>
            </w:r>
          </w:p>
        </w:tc>
        <w:tc>
          <w:tcPr>
            <w:tcW w:w="103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浓度范围（</w:t>
            </w:r>
            <w:r>
              <w:rPr>
                <w:rFonts w:ascii="Times New Roman" w:hAnsi="Times New Roman" w:eastAsiaTheme="minorEastAsia"/>
                <w:b/>
                <w:sz w:val="24"/>
                <w:szCs w:val="24"/>
              </w:rPr>
              <w:t>mg/m</w:t>
            </w:r>
            <w:r>
              <w:rPr>
                <w:rFonts w:ascii="Times New Roman" w:hAnsi="Times New Roman" w:eastAsiaTheme="minorEastAsia"/>
                <w:b/>
                <w:sz w:val="24"/>
                <w:szCs w:val="24"/>
                <w:vertAlign w:val="superscript"/>
              </w:rPr>
              <w:t>3</w:t>
            </w:r>
            <w:r>
              <w:rPr>
                <w:rFonts w:ascii="Times New Roman" w:hAnsi="Times New Roman" w:eastAsiaTheme="minorEastAsia"/>
                <w:b/>
                <w:color w:val="000000"/>
                <w:kern w:val="0"/>
              </w:rPr>
              <w:t>）</w:t>
            </w:r>
          </w:p>
        </w:tc>
        <w:tc>
          <w:tcPr>
            <w:tcW w:w="59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标准值</w:t>
            </w:r>
          </w:p>
        </w:tc>
        <w:tc>
          <w:tcPr>
            <w:tcW w:w="7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最大浓度占标率%</w:t>
            </w:r>
          </w:p>
        </w:tc>
        <w:tc>
          <w:tcPr>
            <w:tcW w:w="59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超标率</w:t>
            </w:r>
          </w:p>
        </w:tc>
        <w:tc>
          <w:tcPr>
            <w:tcW w:w="58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达标情况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19"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G1</w:t>
            </w:r>
          </w:p>
        </w:tc>
        <w:tc>
          <w:tcPr>
            <w:tcW w:w="86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非甲烷总烃</w:t>
            </w:r>
          </w:p>
        </w:tc>
        <w:tc>
          <w:tcPr>
            <w:tcW w:w="103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1.12~1.23</w:t>
            </w:r>
          </w:p>
        </w:tc>
        <w:tc>
          <w:tcPr>
            <w:tcW w:w="59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7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54.5</w:t>
            </w:r>
          </w:p>
        </w:tc>
        <w:tc>
          <w:tcPr>
            <w:tcW w:w="59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0</w:t>
            </w:r>
          </w:p>
        </w:tc>
        <w:tc>
          <w:tcPr>
            <w:tcW w:w="58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19"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86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TVOC</w:t>
            </w:r>
          </w:p>
        </w:tc>
        <w:tc>
          <w:tcPr>
            <w:tcW w:w="103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0.0035~0.0052</w:t>
            </w:r>
          </w:p>
        </w:tc>
        <w:tc>
          <w:tcPr>
            <w:tcW w:w="59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0.6</w:t>
            </w:r>
          </w:p>
        </w:tc>
        <w:tc>
          <w:tcPr>
            <w:tcW w:w="7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68.5</w:t>
            </w:r>
          </w:p>
        </w:tc>
        <w:tc>
          <w:tcPr>
            <w:tcW w:w="59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0</w:t>
            </w:r>
          </w:p>
        </w:tc>
        <w:tc>
          <w:tcPr>
            <w:tcW w:w="58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达标</w:t>
            </w:r>
          </w:p>
        </w:tc>
      </w:tr>
    </w:tbl>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评价结果表明，项目所在区域各监测点位的非甲烷总烃满足《大气污染物综合排放标准详解》中的相关要求，</w:t>
      </w:r>
      <w:r>
        <w:rPr>
          <w:rFonts w:hint="eastAsia" w:ascii="Times New Roman" w:hAnsi="Times New Roman" w:eastAsiaTheme="minorEastAsia"/>
          <w:sz w:val="24"/>
          <w:szCs w:val="24"/>
        </w:rPr>
        <w:t>TVOC满足《环境影响评价技术导则  大气环境》（HJ 2.2-2018）附录D中</w:t>
      </w:r>
      <w:r>
        <w:rPr>
          <w:rFonts w:ascii="Times New Roman" w:hAnsi="Times New Roman" w:eastAsiaTheme="minorEastAsia"/>
          <w:sz w:val="24"/>
          <w:szCs w:val="24"/>
        </w:rPr>
        <w:t>的</w:t>
      </w:r>
      <w:r>
        <w:rPr>
          <w:rFonts w:hint="eastAsia" w:ascii="Times New Roman" w:hAnsi="Times New Roman" w:eastAsiaTheme="minorEastAsia"/>
          <w:sz w:val="24"/>
          <w:szCs w:val="24"/>
        </w:rPr>
        <w:t>限值</w:t>
      </w:r>
      <w:r>
        <w:rPr>
          <w:rFonts w:ascii="Times New Roman" w:hAnsi="Times New Roman" w:eastAsiaTheme="minorEastAsia"/>
          <w:sz w:val="24"/>
          <w:szCs w:val="24"/>
        </w:rPr>
        <w:t>要求</w:t>
      </w:r>
      <w:r>
        <w:rPr>
          <w:rFonts w:hint="eastAsia" w:ascii="Times New Roman" w:hAnsi="Times New Roman" w:eastAsiaTheme="minorEastAsia"/>
          <w:sz w:val="24"/>
          <w:szCs w:val="24"/>
        </w:rPr>
        <w:t>；</w:t>
      </w:r>
      <w:r>
        <w:rPr>
          <w:rFonts w:ascii="Times New Roman" w:hAnsi="Times New Roman" w:eastAsiaTheme="minorEastAsia"/>
          <w:sz w:val="24"/>
          <w:szCs w:val="24"/>
        </w:rPr>
        <w:t>评价区域内环境空气质量现状良好。</w:t>
      </w:r>
    </w:p>
    <w:p>
      <w:pPr>
        <w:pStyle w:val="3"/>
        <w:rPr>
          <w:rFonts w:ascii="Times New Roman" w:hAnsi="Times New Roman" w:eastAsiaTheme="minorEastAsia"/>
          <w:b/>
        </w:rPr>
      </w:pPr>
      <w:bookmarkStart w:id="104" w:name="_Toc1647848"/>
      <w:bookmarkEnd w:id="104"/>
      <w:bookmarkStart w:id="105" w:name="_Toc11001"/>
      <w:r>
        <w:rPr>
          <w:rFonts w:ascii="Times New Roman" w:hAnsi="Times New Roman" w:eastAsiaTheme="minorEastAsia"/>
          <w:b/>
        </w:rPr>
        <w:t>声环境现状调查与评价</w:t>
      </w:r>
      <w:bookmarkEnd w:id="105"/>
    </w:p>
    <w:p>
      <w:pPr>
        <w:pStyle w:val="4"/>
        <w:rPr>
          <w:rFonts w:eastAsiaTheme="minorEastAsia"/>
        </w:rPr>
      </w:pPr>
      <w:r>
        <w:rPr>
          <w:rFonts w:eastAsiaTheme="minorEastAsia"/>
        </w:rPr>
        <w:t>声环境现状调查</w:t>
      </w:r>
    </w:p>
    <w:p>
      <w:pPr>
        <w:adjustRightInd w:val="0"/>
        <w:snapToGrid w:val="0"/>
        <w:spacing w:line="360" w:lineRule="auto"/>
        <w:ind w:firstLine="482" w:firstLineChars="200"/>
        <w:rPr>
          <w:rFonts w:ascii="Times New Roman" w:hAnsi="Times New Roman" w:eastAsiaTheme="minorEastAsia"/>
          <w:b/>
          <w:sz w:val="24"/>
          <w:szCs w:val="24"/>
        </w:rPr>
      </w:pPr>
      <w:bookmarkStart w:id="106" w:name="_Toc163890852"/>
      <w:bookmarkEnd w:id="106"/>
      <w:r>
        <w:rPr>
          <w:rFonts w:ascii="Times New Roman" w:hAnsi="Times New Roman" w:eastAsiaTheme="minorEastAsia"/>
          <w:b/>
          <w:sz w:val="24"/>
          <w:szCs w:val="24"/>
        </w:rPr>
        <w:t>1、评价范围声功能区划</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目前，本项目所在地区尚没有进行环境功能区划。</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2、本项目周边主要噪声污染源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sz w:val="24"/>
          <w:szCs w:val="24"/>
        </w:rPr>
        <w:t>本项目评价范围内均为农村，主要噪声源主要为现有交通噪声和居民生活噪声，其中交通噪声为主要污染源。</w:t>
      </w:r>
    </w:p>
    <w:p>
      <w:pPr>
        <w:pStyle w:val="4"/>
        <w:rPr>
          <w:rFonts w:eastAsiaTheme="minorEastAsia"/>
        </w:rPr>
      </w:pPr>
      <w:r>
        <w:rPr>
          <w:rFonts w:eastAsiaTheme="minorEastAsia"/>
        </w:rPr>
        <w:t>声环境现状监测</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本次评价委托湖南永蓝检测技术股份有限公司于2019年8月8日~9日期间针对码头周边敏感点进行了声环境现状监测。</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长炼码头厂址厂界四周，详见表4.8-1。</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表4.8-1  声环境现状监测布点一览表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296"/>
        <w:gridCol w:w="3300"/>
        <w:gridCol w:w="350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序号</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监测点位</w:t>
            </w:r>
          </w:p>
        </w:tc>
        <w:tc>
          <w:tcPr>
            <w:tcW w:w="1926"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经纬度坐标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N1</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长炼码头储罐区南厂界</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E：113°17'08.34"，N：29°35'09.59"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N2</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长炼码头储罐区东厂界</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E：113°17'25.14"，N：29°35'02.94"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N3</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长炼码头储罐区北厂界</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E：113°17'06.91"，N：29°35'15.87"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N4</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长炼码头储罐区西厂界</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E：113°16'57.18"，N：29°35'17.38"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N5</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冯家坡</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E：113°17'13.52"，N：29°35'17.52"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N6</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长江干堤西侧</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E：113°17'17.88"，N：29°35'38.41"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N7</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长江干堤东侧</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E：113°17'20.59"，N：29°35'35.72"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2"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N8</w:t>
            </w:r>
          </w:p>
        </w:tc>
        <w:tc>
          <w:tcPr>
            <w:tcW w:w="1813" w:type="pct"/>
            <w:shd w:val="clear" w:color="auto" w:fill="auto"/>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沙窝</w:t>
            </w:r>
          </w:p>
        </w:tc>
        <w:tc>
          <w:tcPr>
            <w:tcW w:w="1926" w:type="pct"/>
            <w:shd w:val="clear" w:color="auto" w:fill="auto"/>
            <w:tcMar>
              <w:top w:w="0" w:type="dxa"/>
              <w:left w:w="0" w:type="dxa"/>
              <w:bottom w:w="0" w:type="dxa"/>
              <w:right w:w="0" w:type="dxa"/>
            </w:tcMar>
            <w:vAlign w:val="center"/>
          </w:tcPr>
          <w:p>
            <w:pPr>
              <w:widowControl/>
              <w:adjustRightInd w:val="0"/>
              <w:snapToGrid w:val="0"/>
              <w:rPr>
                <w:rFonts w:ascii="Times New Roman" w:hAnsi="Times New Roman" w:eastAsiaTheme="minorEastAsia"/>
              </w:rPr>
            </w:pPr>
            <w:r>
              <w:rPr>
                <w:rFonts w:ascii="Times New Roman" w:hAnsi="Times New Roman" w:eastAsiaTheme="minorEastAsia"/>
                <w:color w:val="000000"/>
                <w:kern w:val="0"/>
                <w:lang w:bidi="ar"/>
              </w:rPr>
              <w:t>E：113°17'09.16"，N：29°35'24.20"</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2、监测时间、频率</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监测2 天，每天昼夜间各监测1次，对各个噪声监测点进行昼间和夜间监测。昼间06:00~22:00，夜间22:00~06:00（次日）。</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3、监测方法</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按《声环境质量标准》（GB3096-2008）的规定，采用符合国家计量规定的声级计进行监测。监测期间天气良好，无雨雪、无雷电天气，风速小于5m/s，传声器设置户外1m处，高度为1.2m以上。</w:t>
      </w:r>
    </w:p>
    <w:p>
      <w:pPr>
        <w:pStyle w:val="4"/>
        <w:rPr>
          <w:rFonts w:eastAsiaTheme="minorEastAsia"/>
        </w:rPr>
      </w:pPr>
      <w:r>
        <w:rPr>
          <w:rFonts w:eastAsiaTheme="minorEastAsia"/>
        </w:rPr>
        <w:t>环境噪声现状评价</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1、评价标准及方法</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采用等效声级与相应标准值比较的方法进行，本项目所在地声环境质量执行《声环境质量标准》（GB3096-2008）2类、4a类标准。</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2、评价结果及分析</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本项目各个噪声监测点声环境现状监测及评价结果见表4.8-2。</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表4.8-2  噪声监测结果一览表</w:t>
      </w:r>
    </w:p>
    <w:tbl>
      <w:tblPr>
        <w:tblStyle w:val="7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09"/>
        <w:gridCol w:w="1695"/>
        <w:gridCol w:w="1539"/>
        <w:gridCol w:w="749"/>
        <w:gridCol w:w="1028"/>
        <w:gridCol w:w="960"/>
        <w:gridCol w:w="800"/>
        <w:gridCol w:w="815"/>
        <w:gridCol w:w="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tblHeader/>
          <w:jc w:val="center"/>
        </w:trPr>
        <w:tc>
          <w:tcPr>
            <w:tcW w:w="390" w:type="pct"/>
            <w:vMerge w:val="restar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点位序号</w:t>
            </w:r>
          </w:p>
        </w:tc>
        <w:tc>
          <w:tcPr>
            <w:tcW w:w="932" w:type="pct"/>
            <w:vMerge w:val="restar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采样位置</w:t>
            </w:r>
          </w:p>
        </w:tc>
        <w:tc>
          <w:tcPr>
            <w:tcW w:w="846" w:type="pct"/>
            <w:vMerge w:val="restar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采样时间</w:t>
            </w:r>
          </w:p>
        </w:tc>
        <w:tc>
          <w:tcPr>
            <w:tcW w:w="2832" w:type="pct"/>
            <w:gridSpan w:val="6"/>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检测结果dB(A)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tblHeader/>
          <w:jc w:val="center"/>
        </w:trPr>
        <w:tc>
          <w:tcPr>
            <w:tcW w:w="390" w:type="pct"/>
            <w:vMerge w:val="continue"/>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p>
        </w:tc>
        <w:tc>
          <w:tcPr>
            <w:tcW w:w="846" w:type="pct"/>
            <w:vMerge w:val="continue"/>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p>
        </w:tc>
        <w:tc>
          <w:tcPr>
            <w:tcW w:w="412"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昼间</w:t>
            </w:r>
          </w:p>
        </w:tc>
        <w:tc>
          <w:tcPr>
            <w:tcW w:w="565"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标准值</w:t>
            </w:r>
          </w:p>
        </w:tc>
        <w:tc>
          <w:tcPr>
            <w:tcW w:w="528"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达标</w:t>
            </w:r>
          </w:p>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情况</w:t>
            </w:r>
          </w:p>
        </w:tc>
        <w:tc>
          <w:tcPr>
            <w:tcW w:w="440"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夜间</w:t>
            </w:r>
          </w:p>
        </w:tc>
        <w:tc>
          <w:tcPr>
            <w:tcW w:w="448"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标准值</w:t>
            </w:r>
          </w:p>
        </w:tc>
        <w:tc>
          <w:tcPr>
            <w:tcW w:w="439"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N1</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长炼码头储罐区南场界</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50.8</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40.8</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50.6</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40.9</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N2</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长炼码头储罐区东场界</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50.3</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40.9</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50.1</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40.6</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N3</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长炼码头储罐区北场界</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50.7</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41.8</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51.0</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40.8</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N4</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长炼码头储罐区西场界</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52.3</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40.5</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52.6</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41.3</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N5</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冯家坡</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52.8</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41.9</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53.1</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41.3</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N6</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长江干提西侧</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51.7</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43.6</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51.6</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43.2</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N7</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长江干提东侧</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51.7</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42.8</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51.3</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43.1</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N8</w:t>
            </w:r>
          </w:p>
        </w:tc>
        <w:tc>
          <w:tcPr>
            <w:tcW w:w="932"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沙窝</w:t>
            </w: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08月08日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52.1</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40.9</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9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932"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08月09日</w:t>
            </w:r>
          </w:p>
        </w:tc>
        <w:tc>
          <w:tcPr>
            <w:tcW w:w="41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52.5</w:t>
            </w:r>
          </w:p>
        </w:tc>
        <w:tc>
          <w:tcPr>
            <w:tcW w:w="56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52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c>
          <w:tcPr>
            <w:tcW w:w="44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41.3</w:t>
            </w:r>
          </w:p>
        </w:tc>
        <w:tc>
          <w:tcPr>
            <w:tcW w:w="44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43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达标</w:t>
            </w:r>
          </w:p>
        </w:tc>
      </w:tr>
    </w:tbl>
    <w:p>
      <w:pPr>
        <w:snapToGrid w:val="0"/>
        <w:spacing w:line="360" w:lineRule="auto"/>
        <w:ind w:firstLine="480" w:firstLineChars="200"/>
        <w:rPr>
          <w:rFonts w:ascii="Times New Roman" w:hAnsi="Times New Roman" w:eastAsiaTheme="minorEastAsia"/>
          <w:sz w:val="24"/>
          <w:szCs w:val="24"/>
        </w:rPr>
      </w:pP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现状监测结果表明，项目所在地环境质量满足《声环境质量标准》（GB3096-2008）2类、4a类标准，表明项目周边声环境质量现状良好。</w:t>
      </w:r>
    </w:p>
    <w:p>
      <w:pPr>
        <w:pStyle w:val="3"/>
        <w:rPr>
          <w:rFonts w:ascii="Times New Roman" w:hAnsi="Times New Roman" w:eastAsiaTheme="minorEastAsia"/>
          <w:b/>
        </w:rPr>
      </w:pPr>
      <w:bookmarkStart w:id="107" w:name="_Toc10660"/>
      <w:r>
        <w:rPr>
          <w:rFonts w:ascii="Times New Roman" w:hAnsi="Times New Roman" w:eastAsiaTheme="minorEastAsia"/>
          <w:b/>
        </w:rPr>
        <w:t>土壤环境现状调查与评价</w:t>
      </w:r>
      <w:bookmarkEnd w:id="107"/>
    </w:p>
    <w:p>
      <w:pPr>
        <w:pStyle w:val="4"/>
        <w:rPr>
          <w:rFonts w:eastAsiaTheme="minorEastAsia"/>
        </w:rPr>
      </w:pPr>
      <w:r>
        <w:rPr>
          <w:rFonts w:eastAsiaTheme="minorEastAsia"/>
        </w:rPr>
        <w:t>土壤环境现状监测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本次评价委托</w:t>
      </w:r>
      <w:r>
        <w:rPr>
          <w:rFonts w:ascii="Times New Roman" w:hAnsi="Times New Roman" w:eastAsiaTheme="minorEastAsia"/>
          <w:color w:val="000000"/>
          <w:sz w:val="24"/>
          <w:szCs w:val="24"/>
        </w:rPr>
        <w:t>湖南永蓝检测技术股份有限公司</w:t>
      </w:r>
      <w:r>
        <w:rPr>
          <w:rFonts w:ascii="Times New Roman" w:hAnsi="Times New Roman" w:eastAsiaTheme="minorEastAsia"/>
          <w:sz w:val="24"/>
          <w:szCs w:val="24"/>
        </w:rPr>
        <w:t>于2019年8月8日对项目所在地土壤进行现状监测。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在长炼码头厂址占地范围内设置3个柱状样点，1个表层样点，在长炼码头厂址占地范围外设置2个表层样点，详见表4.9-1。</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表4.9-1  土壤环境现状监测布点一览表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99"/>
        <w:gridCol w:w="2425"/>
        <w:gridCol w:w="1141"/>
        <w:gridCol w:w="1285"/>
        <w:gridCol w:w="3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84"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1332"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监测位置</w:t>
            </w:r>
          </w:p>
        </w:tc>
        <w:tc>
          <w:tcPr>
            <w:tcW w:w="627"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监测类型</w:t>
            </w:r>
          </w:p>
        </w:tc>
        <w:tc>
          <w:tcPr>
            <w:tcW w:w="706"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监测项目</w:t>
            </w:r>
          </w:p>
        </w:tc>
        <w:tc>
          <w:tcPr>
            <w:tcW w:w="1950" w:type="pct"/>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经纬度坐标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4"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T1</w:t>
            </w:r>
          </w:p>
        </w:tc>
        <w:tc>
          <w:tcPr>
            <w:tcW w:w="1332"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储罐区东侧</w:t>
            </w:r>
          </w:p>
        </w:tc>
        <w:tc>
          <w:tcPr>
            <w:tcW w:w="627"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柱状样点</w:t>
            </w:r>
          </w:p>
        </w:tc>
        <w:tc>
          <w:tcPr>
            <w:tcW w:w="706"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16项指标</w:t>
            </w:r>
          </w:p>
        </w:tc>
        <w:tc>
          <w:tcPr>
            <w:tcW w:w="1950"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E：113°17'03.36"，N：29°35'15.37"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4"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T2</w:t>
            </w:r>
          </w:p>
        </w:tc>
        <w:tc>
          <w:tcPr>
            <w:tcW w:w="1332"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储罐区西侧</w:t>
            </w:r>
          </w:p>
        </w:tc>
        <w:tc>
          <w:tcPr>
            <w:tcW w:w="627"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柱状样点</w:t>
            </w:r>
          </w:p>
        </w:tc>
        <w:tc>
          <w:tcPr>
            <w:tcW w:w="706"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16项指标</w:t>
            </w:r>
          </w:p>
        </w:tc>
        <w:tc>
          <w:tcPr>
            <w:tcW w:w="1950"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E：113°17'00.25"，N：29°35'18.03"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4"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T3</w:t>
            </w:r>
          </w:p>
        </w:tc>
        <w:tc>
          <w:tcPr>
            <w:tcW w:w="1332"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4#、5#码头输油管线旁</w:t>
            </w:r>
          </w:p>
        </w:tc>
        <w:tc>
          <w:tcPr>
            <w:tcW w:w="627"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柱状样点</w:t>
            </w:r>
          </w:p>
        </w:tc>
        <w:tc>
          <w:tcPr>
            <w:tcW w:w="706"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16项指标</w:t>
            </w:r>
          </w:p>
        </w:tc>
        <w:tc>
          <w:tcPr>
            <w:tcW w:w="1950"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E：113°17'12.83"，N：29°35'36.59"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4"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T4</w:t>
            </w:r>
          </w:p>
        </w:tc>
        <w:tc>
          <w:tcPr>
            <w:tcW w:w="1332"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3#码头输油管线旁</w:t>
            </w:r>
          </w:p>
        </w:tc>
        <w:tc>
          <w:tcPr>
            <w:tcW w:w="627"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表层样点</w:t>
            </w:r>
          </w:p>
        </w:tc>
        <w:tc>
          <w:tcPr>
            <w:tcW w:w="706"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45项指标</w:t>
            </w:r>
          </w:p>
        </w:tc>
        <w:tc>
          <w:tcPr>
            <w:tcW w:w="1950"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E：113°17'05.45"，N：29°35'34.85"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4"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T5</w:t>
            </w:r>
          </w:p>
        </w:tc>
        <w:tc>
          <w:tcPr>
            <w:tcW w:w="1332"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冯家坡</w:t>
            </w:r>
          </w:p>
        </w:tc>
        <w:tc>
          <w:tcPr>
            <w:tcW w:w="627"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表层样点</w:t>
            </w:r>
          </w:p>
        </w:tc>
        <w:tc>
          <w:tcPr>
            <w:tcW w:w="706"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16项指标</w:t>
            </w:r>
          </w:p>
        </w:tc>
        <w:tc>
          <w:tcPr>
            <w:tcW w:w="1950"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E：113°17'14.22"，N：29°35'23.44"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4"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T6</w:t>
            </w:r>
          </w:p>
        </w:tc>
        <w:tc>
          <w:tcPr>
            <w:tcW w:w="1332"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码头厂址东侧</w:t>
            </w:r>
          </w:p>
        </w:tc>
        <w:tc>
          <w:tcPr>
            <w:tcW w:w="627"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表层样点</w:t>
            </w:r>
          </w:p>
        </w:tc>
        <w:tc>
          <w:tcPr>
            <w:tcW w:w="706"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16项指标</w:t>
            </w:r>
          </w:p>
        </w:tc>
        <w:tc>
          <w:tcPr>
            <w:tcW w:w="1950" w:type="pct"/>
            <w:shd w:val="clear" w:color="auto" w:fill="auto"/>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E：113°17'41.95"，N：29°35'52.65"</w:t>
            </w:r>
          </w:p>
        </w:tc>
      </w:tr>
    </w:tbl>
    <w:p>
      <w:pPr>
        <w:adjustRightInd w:val="0"/>
        <w:snapToGrid w:val="0"/>
        <w:spacing w:line="360" w:lineRule="auto"/>
        <w:ind w:firstLine="482" w:firstLineChars="200"/>
        <w:rPr>
          <w:rFonts w:ascii="Times New Roman" w:hAnsi="Times New Roman" w:eastAsiaTheme="minorEastAsia"/>
          <w:b/>
          <w:bCs/>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2、监测项目</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5个样点T1、T2、T3、T5、T6的检测项目为pH值、硫化物、铬、汞、砷、铅、镉、镍、铜、锌、苯、甲苯、乙苯、邻-二甲苯、间对二甲苯、石油烃（C10~C40）等16项指标；T4样点的检测项目为为《土壤环境质量建设用地土壤污染风险管控标准（试行）》（GB36600-2018）中的45项指标。</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3、监测时间及频率</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2019年8月8日进行一次监测。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4、采样方法</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表层样点：采样区位于地面杂填土以下的原状土部分，去除杂填土厚度以下，深度为0~0.2m。</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柱状样点：采样区位于地面杂填土以下的原状土部分，去除杂填土厚度以下，深度为0.2m、1.0m、2.0m，每个层位采集3个土样（3个土样混合成1个样），取新鲜土壤密封于塑料袋内，贴好标签，注明样品编号、深度、岩性，待野外施工结束后，及时送交检测单位。</w:t>
      </w:r>
    </w:p>
    <w:p>
      <w:pPr>
        <w:pStyle w:val="4"/>
        <w:rPr>
          <w:rFonts w:eastAsiaTheme="minorEastAsia"/>
        </w:rPr>
      </w:pPr>
      <w:r>
        <w:rPr>
          <w:rFonts w:eastAsiaTheme="minorEastAsia"/>
        </w:rPr>
        <w:t>土壤环境现状评价</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1、评价标准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评价范围内土壤执行《土壤环境质量建设用地土壤污染风险管控标准（试行）》（GB36600-2018）第二类用地标准限值要求。</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2、评价方法</w:t>
      </w:r>
    </w:p>
    <w:p>
      <w:pPr>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采用单项因子质量指数法进行评价，其数学模式为：</w:t>
      </w:r>
    </w:p>
    <w:p>
      <w:pPr>
        <w:snapToGrid w:val="0"/>
        <w:spacing w:line="360" w:lineRule="auto"/>
        <w:jc w:val="center"/>
        <w:rPr>
          <w:rFonts w:ascii="Times New Roman" w:hAnsi="Times New Roman" w:eastAsiaTheme="minorEastAsia"/>
          <w:kern w:val="0"/>
          <w:sz w:val="24"/>
          <w:szCs w:val="24"/>
        </w:rPr>
      </w:pPr>
      <w:r>
        <w:rPr>
          <w:rFonts w:ascii="Times New Roman" w:hAnsi="Times New Roman" w:eastAsiaTheme="minorEastAsia"/>
        </w:rPr>
        <w:drawing>
          <wp:inline distT="0" distB="0" distL="0" distR="0">
            <wp:extent cx="647700" cy="3937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662023" cy="402970"/>
                    </a:xfrm>
                    <a:prstGeom prst="rect">
                      <a:avLst/>
                    </a:prstGeom>
                  </pic:spPr>
                </pic:pic>
              </a:graphicData>
            </a:graphic>
          </wp:inline>
        </w:drawing>
      </w:r>
    </w:p>
    <w:p>
      <w:pPr>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式中：P</w:t>
      </w:r>
      <w:r>
        <w:rPr>
          <w:rFonts w:ascii="Times New Roman" w:hAnsi="Times New Roman" w:eastAsiaTheme="minorEastAsia"/>
          <w:kern w:val="0"/>
          <w:sz w:val="24"/>
          <w:szCs w:val="24"/>
          <w:vertAlign w:val="subscript"/>
        </w:rPr>
        <w:t>i</w:t>
      </w:r>
      <w:r>
        <w:rPr>
          <w:rFonts w:ascii="Times New Roman" w:hAnsi="Times New Roman" w:eastAsiaTheme="minorEastAsia"/>
          <w:kern w:val="0"/>
          <w:sz w:val="24"/>
          <w:szCs w:val="24"/>
        </w:rPr>
        <w:t>——i种污染物的单项质量指数；</w:t>
      </w:r>
    </w:p>
    <w:p>
      <w:pPr>
        <w:snapToGrid w:val="0"/>
        <w:spacing w:line="360" w:lineRule="auto"/>
        <w:ind w:firstLine="1200" w:firstLineChars="500"/>
        <w:rPr>
          <w:rFonts w:ascii="Times New Roman" w:hAnsi="Times New Roman" w:eastAsiaTheme="minorEastAsia"/>
          <w:kern w:val="0"/>
          <w:sz w:val="24"/>
          <w:szCs w:val="24"/>
        </w:rPr>
      </w:pPr>
      <w:r>
        <w:rPr>
          <w:rFonts w:ascii="Times New Roman" w:hAnsi="Times New Roman" w:eastAsiaTheme="minorEastAsia"/>
          <w:kern w:val="0"/>
          <w:sz w:val="24"/>
          <w:szCs w:val="24"/>
        </w:rPr>
        <w:t>C</w:t>
      </w:r>
      <w:r>
        <w:rPr>
          <w:rFonts w:ascii="Times New Roman" w:hAnsi="Times New Roman" w:eastAsiaTheme="minorEastAsia"/>
          <w:kern w:val="0"/>
          <w:sz w:val="24"/>
          <w:szCs w:val="24"/>
          <w:vertAlign w:val="subscript"/>
        </w:rPr>
        <w:t>i</w:t>
      </w:r>
      <w:r>
        <w:rPr>
          <w:rFonts w:ascii="Times New Roman" w:hAnsi="Times New Roman" w:eastAsiaTheme="minorEastAsia"/>
          <w:kern w:val="0"/>
          <w:sz w:val="24"/>
          <w:szCs w:val="24"/>
        </w:rPr>
        <w:t>——i种污染物的实测浓度值（mg/kg）；</w:t>
      </w:r>
    </w:p>
    <w:p>
      <w:pPr>
        <w:snapToGrid w:val="0"/>
        <w:spacing w:line="360" w:lineRule="auto"/>
        <w:ind w:firstLine="1200" w:firstLineChars="500"/>
        <w:rPr>
          <w:rFonts w:ascii="Times New Roman" w:hAnsi="Times New Roman" w:eastAsiaTheme="minorEastAsia"/>
          <w:kern w:val="0"/>
          <w:sz w:val="24"/>
          <w:szCs w:val="24"/>
        </w:rPr>
      </w:pPr>
      <w:r>
        <w:rPr>
          <w:rFonts w:ascii="Times New Roman" w:hAnsi="Times New Roman" w:eastAsiaTheme="minorEastAsia"/>
          <w:kern w:val="0"/>
          <w:sz w:val="24"/>
          <w:szCs w:val="24"/>
        </w:rPr>
        <w:t>C</w:t>
      </w:r>
      <w:r>
        <w:rPr>
          <w:rFonts w:ascii="Times New Roman" w:hAnsi="Times New Roman" w:eastAsiaTheme="minorEastAsia"/>
          <w:kern w:val="0"/>
          <w:sz w:val="24"/>
          <w:szCs w:val="24"/>
          <w:vertAlign w:val="subscript"/>
        </w:rPr>
        <w:t>si</w:t>
      </w:r>
      <w:r>
        <w:rPr>
          <w:rFonts w:ascii="Times New Roman" w:hAnsi="Times New Roman" w:eastAsiaTheme="minorEastAsia"/>
          <w:kern w:val="0"/>
          <w:sz w:val="24"/>
          <w:szCs w:val="24"/>
        </w:rPr>
        <w:t>——评价因子i 的评价标准限值（mg/kg）。</w:t>
      </w:r>
    </w:p>
    <w:p>
      <w:pPr>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2、监测结果及分析</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土壤环境现状监测结果见下表。</w:t>
      </w:r>
    </w:p>
    <w:p>
      <w:pPr>
        <w:wordWrap w:val="0"/>
        <w:adjustRightInd w:val="0"/>
        <w:snapToGrid w:val="0"/>
        <w:spacing w:line="276" w:lineRule="auto"/>
        <w:jc w:val="right"/>
        <w:rPr>
          <w:rFonts w:ascii="Times New Roman" w:hAnsi="Times New Roman" w:eastAsiaTheme="minorEastAsia"/>
          <w:sz w:val="24"/>
          <w:szCs w:val="24"/>
        </w:rPr>
      </w:pPr>
      <w:r>
        <w:rPr>
          <w:rFonts w:ascii="Times New Roman" w:hAnsi="Times New Roman" w:eastAsiaTheme="minorEastAsia"/>
          <w:b/>
          <w:sz w:val="24"/>
          <w:szCs w:val="24"/>
        </w:rPr>
        <w:t xml:space="preserve">表4.9-2  建设用地土壤环境全因子现状监测结果一览表   </w:t>
      </w:r>
      <w:r>
        <w:rPr>
          <w:rFonts w:ascii="Times New Roman" w:hAnsi="Times New Roman" w:eastAsiaTheme="minorEastAsia"/>
          <w:sz w:val="24"/>
          <w:szCs w:val="24"/>
        </w:rPr>
        <w:t>单位：mg/kg</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10"/>
        <w:gridCol w:w="2104"/>
        <w:gridCol w:w="635"/>
        <w:gridCol w:w="568"/>
        <w:gridCol w:w="442"/>
        <w:gridCol w:w="557"/>
        <w:gridCol w:w="566"/>
        <w:gridCol w:w="2219"/>
        <w:gridCol w:w="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55"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采样时间</w:t>
            </w:r>
          </w:p>
        </w:tc>
        <w:tc>
          <w:tcPr>
            <w:tcW w:w="1156"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监测项目</w:t>
            </w:r>
          </w:p>
        </w:tc>
        <w:tc>
          <w:tcPr>
            <w:tcW w:w="349"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单位</w:t>
            </w:r>
          </w:p>
        </w:tc>
        <w:tc>
          <w:tcPr>
            <w:tcW w:w="1171" w:type="pct"/>
            <w:gridSpan w:val="4"/>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监测结果（mg/kg）</w:t>
            </w:r>
          </w:p>
        </w:tc>
        <w:tc>
          <w:tcPr>
            <w:tcW w:w="1219"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评价标准（筛选值）</w:t>
            </w:r>
          </w:p>
        </w:tc>
        <w:tc>
          <w:tcPr>
            <w:tcW w:w="549"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55" w:type="pct"/>
            <w:vMerge w:val="continue"/>
            <w:vAlign w:val="center"/>
          </w:tcPr>
          <w:p>
            <w:pPr>
              <w:adjustRightInd w:val="0"/>
              <w:snapToGrid w:val="0"/>
              <w:jc w:val="center"/>
              <w:rPr>
                <w:rFonts w:ascii="Times New Roman" w:hAnsi="Times New Roman" w:eastAsiaTheme="minorEastAsia"/>
                <w:b/>
              </w:rPr>
            </w:pPr>
          </w:p>
        </w:tc>
        <w:tc>
          <w:tcPr>
            <w:tcW w:w="1156" w:type="pct"/>
            <w:vMerge w:val="continue"/>
            <w:vAlign w:val="center"/>
          </w:tcPr>
          <w:p>
            <w:pPr>
              <w:adjustRightInd w:val="0"/>
              <w:snapToGrid w:val="0"/>
              <w:jc w:val="center"/>
              <w:rPr>
                <w:rFonts w:ascii="Times New Roman" w:hAnsi="Times New Roman" w:eastAsiaTheme="minorEastAsia"/>
                <w:b/>
              </w:rPr>
            </w:pPr>
          </w:p>
        </w:tc>
        <w:tc>
          <w:tcPr>
            <w:tcW w:w="349" w:type="pct"/>
            <w:vMerge w:val="continue"/>
            <w:vAlign w:val="center"/>
          </w:tcPr>
          <w:p>
            <w:pPr>
              <w:adjustRightInd w:val="0"/>
              <w:snapToGrid w:val="0"/>
              <w:jc w:val="center"/>
              <w:rPr>
                <w:rFonts w:ascii="Times New Roman" w:hAnsi="Times New Roman" w:eastAsiaTheme="minorEastAsia"/>
                <w:b/>
              </w:rPr>
            </w:pPr>
          </w:p>
        </w:tc>
        <w:tc>
          <w:tcPr>
            <w:tcW w:w="31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T1</w:t>
            </w:r>
          </w:p>
        </w:tc>
        <w:tc>
          <w:tcPr>
            <w:tcW w:w="24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T2</w:t>
            </w:r>
          </w:p>
        </w:tc>
        <w:tc>
          <w:tcPr>
            <w:tcW w:w="30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T3</w:t>
            </w:r>
          </w:p>
        </w:tc>
        <w:tc>
          <w:tcPr>
            <w:tcW w:w="31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T4</w:t>
            </w:r>
          </w:p>
        </w:tc>
        <w:tc>
          <w:tcPr>
            <w:tcW w:w="1219" w:type="pct"/>
            <w:vMerge w:val="continue"/>
            <w:vAlign w:val="center"/>
          </w:tcPr>
          <w:p>
            <w:pPr>
              <w:adjustRightInd w:val="0"/>
              <w:snapToGrid w:val="0"/>
              <w:jc w:val="center"/>
              <w:rPr>
                <w:rFonts w:ascii="Times New Roman" w:hAnsi="Times New Roman" w:eastAsiaTheme="minorEastAsia"/>
                <w:b/>
              </w:rPr>
            </w:pPr>
          </w:p>
        </w:tc>
        <w:tc>
          <w:tcPr>
            <w:tcW w:w="549" w:type="pct"/>
            <w:vMerge w:val="continue"/>
            <w:vAlign w:val="center"/>
          </w:tcPr>
          <w:p>
            <w:pPr>
              <w:adjustRightInd w:val="0"/>
              <w:snapToGrid w:val="0"/>
              <w:jc w:val="center"/>
              <w:rPr>
                <w:rFonts w:ascii="Times New Roman" w:hAnsi="Times New Roman" w:eastAsiaTheme="minorEastAsia"/>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restar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08月</w:t>
            </w:r>
          </w:p>
          <w:p>
            <w:pPr>
              <w:adjustRightInd w:val="0"/>
              <w:snapToGrid w:val="0"/>
              <w:jc w:val="center"/>
              <w:rPr>
                <w:rFonts w:ascii="Times New Roman" w:hAnsi="Times New Roman" w:eastAsiaTheme="minorEastAsia"/>
              </w:rPr>
            </w:pPr>
            <w:r>
              <w:rPr>
                <w:rFonts w:ascii="Times New Roman" w:hAnsi="Times New Roman" w:eastAsiaTheme="minorEastAsia"/>
                <w:color w:val="000000"/>
              </w:rPr>
              <w:t>08日</w:t>
            </w: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12.17</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4.29</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11.63</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16.05</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镉</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0.23</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0.18</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铬</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rPr>
              <w:t>ND</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rPr>
              <w:t>ND</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rPr>
              <w:t>ND</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5.7</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铜</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30.0</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31.1</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25.3</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30.2</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18000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铅</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3.8</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11.3</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16.2</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10.0</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汞</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0.61</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0.29</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0.34</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0.58</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38</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镍</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64.5</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53.7</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64.6</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63.2</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kern w:val="0"/>
              </w:rPr>
              <w:t>四氯化碳</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2.8</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kern w:val="0"/>
              </w:rPr>
              <w:t>氯仿</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0.9</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kern w:val="0"/>
              </w:rPr>
              <w:t>氯甲烷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37</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1,1-二氯乙烷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1,2-二氯乙烷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1,1-二氯乙烯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66</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顺-1,2-二氯乙烯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596</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反-1,2-二氯乙烯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54</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二氯甲烷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616</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1,2-二氯丙烷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1,1,1,2-四氯乙烷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1,1,2,2-四氯乙烷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6.8</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四氯乙烯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53</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1,1,1-三氯乙烷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840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1,1,2-三氯乙烷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2.8</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三氯乙烯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2.8</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1,2,3-三氯丙烷</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氯乙烯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0.43</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氯苯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270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1,2-二氯苯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560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1,4-二氯苯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乙苯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28</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苯乙烯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1290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甲苯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24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30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1200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间二甲苯+对二甲苯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570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邻二甲苯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640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硝基苯</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76</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苯胺</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260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2-氯酚</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2256</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苯并[a]蒽</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苯并[a]芘</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苯并[b]荧蒽</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苯并[k]荧蒽</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151</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䓛</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二苯并[a,h]蒽</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1293</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茚并[1,2,3-cd]芘</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color w:val="000000"/>
                <w:kern w:val="0"/>
              </w:rPr>
              <w:t>萘</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ND</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5" w:type="pct"/>
            <w:vMerge w:val="continue"/>
            <w:vAlign w:val="center"/>
          </w:tcPr>
          <w:p>
            <w:pPr>
              <w:adjustRightInd w:val="0"/>
              <w:snapToGrid w:val="0"/>
              <w:jc w:val="center"/>
              <w:rPr>
                <w:rFonts w:ascii="Times New Roman" w:hAnsi="Times New Roman" w:eastAsiaTheme="minorEastAsia"/>
              </w:rPr>
            </w:pPr>
          </w:p>
        </w:tc>
        <w:tc>
          <w:tcPr>
            <w:tcW w:w="1156" w:type="pct"/>
            <w:vAlign w:val="center"/>
          </w:tcPr>
          <w:p>
            <w:pPr>
              <w:widowControl/>
              <w:adjustRightInd w:val="0"/>
              <w:snapToGrid w:val="0"/>
              <w:jc w:val="center"/>
              <w:textAlignment w:val="center"/>
              <w:rPr>
                <w:rFonts w:ascii="Times New Roman" w:hAnsi="Times New Roman" w:eastAsiaTheme="minorEastAsia"/>
              </w:rPr>
            </w:pPr>
            <w:r>
              <w:rPr>
                <w:rFonts w:ascii="Times New Roman" w:hAnsi="Times New Roman" w:eastAsiaTheme="minorEastAsia"/>
              </w:rPr>
              <w:t>石油烃</w:t>
            </w:r>
          </w:p>
        </w:tc>
        <w:tc>
          <w:tcPr>
            <w:tcW w:w="3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312" w:type="pct"/>
            <w:vAlign w:val="center"/>
          </w:tcPr>
          <w:p>
            <w:pPr>
              <w:adjustRightInd w:val="0"/>
              <w:snapToGrid w:val="0"/>
              <w:jc w:val="center"/>
              <w:rPr>
                <w:rFonts w:ascii="Times New Roman" w:hAnsi="Times New Roman" w:eastAsiaTheme="minorEastAsia"/>
              </w:rPr>
            </w:pPr>
          </w:p>
        </w:tc>
        <w:tc>
          <w:tcPr>
            <w:tcW w:w="243" w:type="pct"/>
            <w:vAlign w:val="center"/>
          </w:tcPr>
          <w:p>
            <w:pPr>
              <w:adjustRightInd w:val="0"/>
              <w:snapToGrid w:val="0"/>
              <w:jc w:val="center"/>
              <w:rPr>
                <w:rFonts w:ascii="Times New Roman" w:hAnsi="Times New Roman" w:eastAsiaTheme="minorEastAsia"/>
              </w:rPr>
            </w:pPr>
          </w:p>
        </w:tc>
        <w:tc>
          <w:tcPr>
            <w:tcW w:w="306" w:type="pct"/>
            <w:vAlign w:val="center"/>
          </w:tcPr>
          <w:p>
            <w:pPr>
              <w:adjustRightInd w:val="0"/>
              <w:snapToGrid w:val="0"/>
              <w:jc w:val="center"/>
              <w:rPr>
                <w:rFonts w:ascii="Times New Roman" w:hAnsi="Times New Roman" w:eastAsiaTheme="minorEastAsia"/>
              </w:rPr>
            </w:pPr>
          </w:p>
        </w:tc>
        <w:tc>
          <w:tcPr>
            <w:tcW w:w="31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0.25</w:t>
            </w:r>
          </w:p>
        </w:tc>
        <w:tc>
          <w:tcPr>
            <w:tcW w:w="121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4500</w:t>
            </w:r>
          </w:p>
        </w:tc>
        <w:tc>
          <w:tcPr>
            <w:tcW w:w="5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bl>
    <w:p>
      <w:pPr>
        <w:snapToGrid w:val="0"/>
        <w:spacing w:line="360" w:lineRule="auto"/>
        <w:rPr>
          <w:rFonts w:ascii="Times New Roman" w:hAnsi="Times New Roman" w:eastAsiaTheme="minorEastAsia"/>
          <w:kern w:val="0"/>
          <w:sz w:val="24"/>
          <w:szCs w:val="24"/>
        </w:rPr>
      </w:pPr>
      <w:r>
        <w:rPr>
          <w:rFonts w:ascii="Times New Roman" w:hAnsi="Times New Roman" w:eastAsiaTheme="minorEastAsia"/>
        </w:rPr>
        <w:t>注：ND表示低于该方法检出限。</w:t>
      </w:r>
    </w:p>
    <w:p>
      <w:pPr>
        <w:snapToGrid w:val="0"/>
        <w:spacing w:line="360" w:lineRule="auto"/>
        <w:ind w:firstLine="480" w:firstLineChars="200"/>
        <w:rPr>
          <w:rFonts w:ascii="Times New Roman" w:hAnsi="Times New Roman" w:eastAsiaTheme="minorEastAsia"/>
          <w:sz w:val="24"/>
          <w:szCs w:val="24"/>
        </w:rPr>
      </w:pP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表4.9-3  农用地土壤环境全因子现状监测结果一览表   </w:t>
      </w:r>
      <w:r>
        <w:rPr>
          <w:rFonts w:ascii="Times New Roman" w:hAnsi="Times New Roman" w:eastAsiaTheme="minorEastAsia"/>
          <w:sz w:val="24"/>
          <w:szCs w:val="24"/>
        </w:rPr>
        <w:t>单位：mg/kg</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1"/>
        <w:gridCol w:w="1349"/>
        <w:gridCol w:w="695"/>
        <w:gridCol w:w="1214"/>
        <w:gridCol w:w="1214"/>
        <w:gridCol w:w="2428"/>
        <w:gridCol w:w="1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采样时间</w:t>
            </w:r>
          </w:p>
        </w:tc>
        <w:tc>
          <w:tcPr>
            <w:tcW w:w="741"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监测项目</w:t>
            </w:r>
          </w:p>
        </w:tc>
        <w:tc>
          <w:tcPr>
            <w:tcW w:w="382"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单位</w:t>
            </w:r>
          </w:p>
        </w:tc>
        <w:tc>
          <w:tcPr>
            <w:tcW w:w="1334"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评价标准（筛选值）</w:t>
            </w:r>
          </w:p>
        </w:tc>
        <w:tc>
          <w:tcPr>
            <w:tcW w:w="1334"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评价标准（筛选值）</w:t>
            </w:r>
          </w:p>
        </w:tc>
        <w:tc>
          <w:tcPr>
            <w:tcW w:w="604"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b/>
              </w:rPr>
            </w:pPr>
          </w:p>
        </w:tc>
        <w:tc>
          <w:tcPr>
            <w:tcW w:w="741" w:type="pct"/>
            <w:vMerge w:val="continue"/>
            <w:vAlign w:val="center"/>
          </w:tcPr>
          <w:p>
            <w:pPr>
              <w:adjustRightInd w:val="0"/>
              <w:snapToGrid w:val="0"/>
              <w:jc w:val="center"/>
              <w:rPr>
                <w:rFonts w:ascii="Times New Roman" w:hAnsi="Times New Roman" w:eastAsiaTheme="minorEastAsia"/>
                <w:b/>
              </w:rPr>
            </w:pPr>
          </w:p>
        </w:tc>
        <w:tc>
          <w:tcPr>
            <w:tcW w:w="382" w:type="pct"/>
            <w:vMerge w:val="continue"/>
            <w:vAlign w:val="center"/>
          </w:tcPr>
          <w:p>
            <w:pPr>
              <w:adjustRightInd w:val="0"/>
              <w:snapToGrid w:val="0"/>
              <w:jc w:val="center"/>
              <w:rPr>
                <w:rFonts w:ascii="Times New Roman" w:hAnsi="Times New Roman" w:eastAsiaTheme="minorEastAsia"/>
                <w:b/>
              </w:rPr>
            </w:pPr>
          </w:p>
        </w:tc>
        <w:tc>
          <w:tcPr>
            <w:tcW w:w="667"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T5</w:t>
            </w:r>
          </w:p>
        </w:tc>
        <w:tc>
          <w:tcPr>
            <w:tcW w:w="667"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T6</w:t>
            </w:r>
          </w:p>
        </w:tc>
        <w:tc>
          <w:tcPr>
            <w:tcW w:w="1334" w:type="pct"/>
            <w:vMerge w:val="continue"/>
            <w:vAlign w:val="center"/>
          </w:tcPr>
          <w:p>
            <w:pPr>
              <w:adjustRightInd w:val="0"/>
              <w:snapToGrid w:val="0"/>
              <w:jc w:val="center"/>
              <w:rPr>
                <w:rFonts w:ascii="Times New Roman" w:hAnsi="Times New Roman" w:eastAsiaTheme="minorEastAsia"/>
                <w:b/>
              </w:rPr>
            </w:pPr>
          </w:p>
        </w:tc>
        <w:tc>
          <w:tcPr>
            <w:tcW w:w="604" w:type="pct"/>
            <w:vMerge w:val="continue"/>
            <w:vAlign w:val="center"/>
          </w:tcPr>
          <w:p>
            <w:pPr>
              <w:adjustRightInd w:val="0"/>
              <w:snapToGrid w:val="0"/>
              <w:jc w:val="center"/>
              <w:rPr>
                <w:rFonts w:ascii="Times New Roman" w:hAnsi="Times New Roman" w:eastAsiaTheme="minorEastAsia"/>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restar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08月</w:t>
            </w:r>
          </w:p>
          <w:p>
            <w:pPr>
              <w:adjustRightInd w:val="0"/>
              <w:snapToGrid w:val="0"/>
              <w:jc w:val="center"/>
              <w:rPr>
                <w:rFonts w:ascii="Times New Roman" w:hAnsi="Times New Roman" w:eastAsiaTheme="minorEastAsia"/>
              </w:rPr>
            </w:pPr>
            <w:r>
              <w:rPr>
                <w:rFonts w:ascii="Times New Roman" w:hAnsi="Times New Roman" w:eastAsiaTheme="minorEastAsia"/>
                <w:color w:val="000000"/>
              </w:rPr>
              <w:t>08日</w:t>
            </w: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pH</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无纲量</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6.56</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6.59</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6.5~7.5</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color w:val="000000"/>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镉</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汞</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0.37</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0.42</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2.4</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砷</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4.03</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5.99</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铅</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3.2</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120</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铬</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137</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102</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铜</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25.9</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27.6</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100</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镍</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66.8</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63.5</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100</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5" w:type="pct"/>
            <w:vMerge w:val="continue"/>
            <w:vAlign w:val="center"/>
          </w:tcPr>
          <w:p>
            <w:pPr>
              <w:adjustRightInd w:val="0"/>
              <w:snapToGrid w:val="0"/>
              <w:jc w:val="center"/>
              <w:rPr>
                <w:rFonts w:ascii="Times New Roman" w:hAnsi="Times New Roman" w:eastAsiaTheme="minorEastAsia"/>
              </w:rPr>
            </w:pPr>
          </w:p>
        </w:tc>
        <w:tc>
          <w:tcPr>
            <w:tcW w:w="7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color w:val="000000"/>
                <w:kern w:val="0"/>
              </w:rPr>
              <w:t>锌</w:t>
            </w:r>
          </w:p>
        </w:tc>
        <w:tc>
          <w:tcPr>
            <w:tcW w:w="3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mg/kg</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68.6</w:t>
            </w:r>
          </w:p>
        </w:tc>
        <w:tc>
          <w:tcPr>
            <w:tcW w:w="6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62.0</w:t>
            </w:r>
          </w:p>
        </w:tc>
        <w:tc>
          <w:tcPr>
            <w:tcW w:w="13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250</w:t>
            </w:r>
          </w:p>
        </w:tc>
        <w:tc>
          <w:tcPr>
            <w:tcW w:w="6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bl>
    <w:p>
      <w:pPr>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由上表分析结果可知，项目所在地土壤监测数据能满足《土壤环境质量建设用地土壤污染风险管控标准》（GB36600-2018）中二类用地风险筛选值要求和《土壤环境质量农用地土壤污染风险管控标准》（GB15618-2018）中表1“其他”筛选值要求。</w:t>
      </w:r>
    </w:p>
    <w:p>
      <w:pPr>
        <w:pStyle w:val="3"/>
        <w:rPr>
          <w:rFonts w:ascii="Times New Roman" w:hAnsi="Times New Roman" w:eastAsiaTheme="minorEastAsia"/>
          <w:b/>
        </w:rPr>
      </w:pPr>
      <w:bookmarkStart w:id="108" w:name="_Toc3692"/>
      <w:r>
        <w:rPr>
          <w:rFonts w:ascii="Times New Roman" w:hAnsi="Times New Roman" w:eastAsiaTheme="minorEastAsia"/>
          <w:b/>
        </w:rPr>
        <w:t>生态环境现状调查与评价</w:t>
      </w:r>
      <w:bookmarkEnd w:id="108"/>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码头工程位于长江监利段四大家鱼国家级水产种质资源保护区范围内，生态环境概况摘自于《中国石化集团资产经营管理有限公司长岭分公司港口部码头提质改造工程对长江监利段四大家鱼国家级水产种质资源保护区影响专题论证报告》相关内容。</w:t>
      </w:r>
    </w:p>
    <w:p>
      <w:pPr>
        <w:pStyle w:val="4"/>
        <w:rPr>
          <w:rFonts w:eastAsiaTheme="minorEastAsia"/>
          <w:szCs w:val="24"/>
        </w:rPr>
      </w:pPr>
      <w:r>
        <w:rPr>
          <w:rFonts w:eastAsiaTheme="minorEastAsia"/>
          <w:szCs w:val="24"/>
        </w:rPr>
        <w:t>鱼类等水生生物区系、种群结构与资源量现状与评价</w:t>
      </w:r>
    </w:p>
    <w:p>
      <w:pPr>
        <w:pStyle w:val="5"/>
        <w:rPr>
          <w:rFonts w:eastAsiaTheme="minorEastAsia"/>
        </w:rPr>
      </w:pPr>
      <w:r>
        <w:rPr>
          <w:rFonts w:eastAsiaTheme="minorEastAsia"/>
        </w:rPr>
        <w:t>鱼类资源现状</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江监利段四大家鱼国家级水产种质资源保护区属长江中游，据《长江鱼类》、《长江水系渔业资源》及《湖南鱼类志》记载，调查江段所在的长江中游分布鱼类215种。《湖北鱼类志》记载包含调查江段的湖北境内宜昌以下长江干流分捕鱼类136种。综合以上资料并结合《长江监利段四大家鱼国家级水产种质资源保护区总体规划报告》以及项目组2019年7月在监利段和岳阳段的调查，总结出评价区分布鱼类115种，隶属于10目22科79属。其中鲤形目鱼类有75种，占鱼类种数的65.2%；其次为鲇形目、鲈形目鱼类各13种，各占11.3%。该江段22科鱼类中，鲤科种类最多为63种，占鱼类种数的54.8%；其次为鳅科鱼类11种，占鱼类种数的9.6%；鲿科9种，占7.8%。</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保护区江段有保护鱼类7种。其中国家级4种，分别为国家I级保护水生野生动物达氏鲟、中华鲟、白鲟，国家</w:t>
      </w:r>
      <w:r>
        <w:rPr>
          <w:rFonts w:hint="eastAsia" w:ascii="宋体" w:hAnsi="宋体" w:cs="宋体"/>
          <w:sz w:val="24"/>
          <w:szCs w:val="24"/>
        </w:rPr>
        <w:t>Ⅱ</w:t>
      </w:r>
      <w:r>
        <w:rPr>
          <w:rFonts w:ascii="Times New Roman" w:hAnsi="Times New Roman" w:eastAsiaTheme="minorEastAsia"/>
          <w:sz w:val="24"/>
          <w:szCs w:val="24"/>
        </w:rPr>
        <w:t>级保护水生野生动物胭脂鱼。湖北省级保护鱼类有3种，分别为鯮、鳤、长吻鮠。</w:t>
      </w:r>
    </w:p>
    <w:p>
      <w:pPr>
        <w:pStyle w:val="5"/>
        <w:rPr>
          <w:rFonts w:eastAsiaTheme="minorEastAsia"/>
        </w:rPr>
      </w:pPr>
      <w:r>
        <w:rPr>
          <w:rFonts w:eastAsiaTheme="minorEastAsia"/>
        </w:rPr>
        <w:t>鱼类区系组成及特点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保护区江段115种鱼类可以划分为以下5个类群：</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东亚平原类群：包括鳅科的沙鳅亚科、副沙鳅属、薄鳅属类群，鲤科的鲌亚科、鲴亚科、鲢亚科、鮈亚科及雅罗鱼亚科的青鱼-草鱼-赤眼鳟及鳡-鳤-鯮两个东亚群。是调查江段鱼类的主要构成类群。这部分鱼很大部分产漂流性卵，一部分鱼虽产粘性卵但粘性不大，卵产出后附着在物体上，不久即脱离。顺水漂流并发育。对水位变动敏感，许多种类在水位升高时从湖泊进入江河产卵，幼鱼及产过卵的亲鱼入湖泊育肥休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南方平原类群：主要包括鲇形目鲿科种类，鲈形目鳢属种类、黄鳝、刺鳅、小黄黝鱼等。这类鱼常具拟草色，身上花纹较多，有些种类具棘和吸取游离氧的副呼吸器官。喜暖水，在较高水温的夏季繁殖，多有护卵、护幼习性。</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老第三纪类群：包括鲤科的鲃亚科、鲤亚科东亚平原类群，鲇形目鲇科类群。</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南方山地类群：包括钝头鮠科、鮡科的种类，是具有特化吸附构造，能适应激流生活的小型鱼类。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河海洄游类群：包括中华鲟、长颌鲚、鳗鲡等。</w:t>
      </w:r>
    </w:p>
    <w:p>
      <w:pPr>
        <w:pStyle w:val="5"/>
        <w:rPr>
          <w:rFonts w:eastAsiaTheme="minorEastAsia"/>
        </w:rPr>
      </w:pPr>
      <w:r>
        <w:rPr>
          <w:rFonts w:eastAsiaTheme="minorEastAsia"/>
        </w:rPr>
        <w:t>食性类型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根据保护区成鱼的摄食对象，可以将保护区鱼类划分为4类：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植食性鱼类：包括以维管植物为食的草鱼和以周丛植物为食的鲴亚科鱼类等。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肉食性鱼类：包括以鱼类为主要捕食对象的翘嘴鲌、鳡、鲇、青鱼等。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滤食性鱼类：以水生浮游动植物为主要食物的鱼类，包括：鲢、鳙等。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杂食性鱼类：该类鱼食谱广，包括小型动物、植物及其碎屑，其食性在不同环境水体和不同季节有明显变化。包括鲤、鲫、泥鳅、䱗属鱼类等。</w:t>
      </w:r>
    </w:p>
    <w:p>
      <w:pPr>
        <w:pStyle w:val="5"/>
        <w:rPr>
          <w:rFonts w:eastAsiaTheme="minorEastAsia"/>
        </w:rPr>
      </w:pPr>
      <w:r>
        <w:rPr>
          <w:rFonts w:eastAsiaTheme="minorEastAsia"/>
        </w:rPr>
        <w:t>产卵类型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调查水域分布鱼类依繁殖习性可分为4个类群。</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产粘沉性卵类群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本水域鱼类绝大多数鱼类为产粘沉性卵类群。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这一类群包括包括翘嘴鲌，鲇形目的光泽黄颡鱼、瓦氏黄颡鱼、鲇，鲤科的鲤、鲫、细鳞鲴，鳅科的泥鳅等；其产卵季节多为春夏间，也有部分种类晚至秋季，且对产卵水域流态底质有不同的适应性，多数种类都需要一定的流水刺激。产出的卵或粘附于石砾、水草发育，或落于石缝间在激流冲击下发育。</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少数鱼类产卵时不需要水流刺激，可在静缓流水环境下繁殖，产粘性卵，其卵有的黏附于水草发育，如鲤、鲫、泥鳅等；有的黏附于砾石，如鲇等。</w:t>
      </w:r>
    </w:p>
    <w:p>
      <w:pPr>
        <w:adjustRightInd w:val="0"/>
        <w:snapToGrid w:val="0"/>
        <w:spacing w:line="360" w:lineRule="auto"/>
        <w:ind w:firstLine="480" w:firstLineChars="200"/>
        <w:rPr>
          <w:rFonts w:ascii="Times New Roman" w:hAnsi="Times New Roman" w:eastAsiaTheme="minorEastAsia"/>
          <w:sz w:val="24"/>
          <w:szCs w:val="24"/>
        </w:rPr>
      </w:pPr>
      <w:bookmarkStart w:id="109" w:name="_Toc298933162"/>
      <w:r>
        <w:rPr>
          <w:rFonts w:hint="eastAsia" w:ascii="宋体" w:hAnsi="宋体" w:cs="宋体"/>
          <w:sz w:val="24"/>
          <w:szCs w:val="24"/>
        </w:rPr>
        <w:t>⑵</w:t>
      </w:r>
      <w:r>
        <w:rPr>
          <w:rFonts w:ascii="Times New Roman" w:hAnsi="Times New Roman" w:eastAsiaTheme="minorEastAsia"/>
          <w:sz w:val="24"/>
          <w:szCs w:val="24"/>
        </w:rPr>
        <w:t xml:space="preserve"> 产漂流性卵类群</w:t>
      </w:r>
      <w:bookmarkEnd w:id="109"/>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产漂流性卵鱼类，产卵需要湍急的水流条件，通常在汛期洪峰发生后产卵。这一类鱼卵比重略大于水，但产出后卵膜吸水膨胀，在水流的外力作用下，鱼卵悬浮在水层中顺水漂流。孵化出的早期仔鱼，仍然要顺水漂流。从卵产出到仔鱼具备溯游能力。这类鱼有鲢、鳙、草鱼、青鱼、鳡、铜鱼等。</w:t>
      </w:r>
    </w:p>
    <w:p>
      <w:pPr>
        <w:adjustRightInd w:val="0"/>
        <w:snapToGrid w:val="0"/>
        <w:spacing w:line="360" w:lineRule="auto"/>
        <w:ind w:firstLine="480" w:firstLineChars="200"/>
        <w:rPr>
          <w:rFonts w:ascii="Times New Roman" w:hAnsi="Times New Roman" w:eastAsiaTheme="minorEastAsia"/>
          <w:sz w:val="24"/>
          <w:szCs w:val="24"/>
        </w:rPr>
      </w:pPr>
      <w:bookmarkStart w:id="110" w:name="_Toc298933163"/>
      <w:r>
        <w:rPr>
          <w:rFonts w:hint="eastAsia" w:ascii="宋体" w:hAnsi="宋体" w:cs="宋体"/>
          <w:sz w:val="24"/>
          <w:szCs w:val="24"/>
        </w:rPr>
        <w:t>⑶</w:t>
      </w:r>
      <w:r>
        <w:rPr>
          <w:rFonts w:ascii="Times New Roman" w:hAnsi="Times New Roman" w:eastAsiaTheme="minorEastAsia"/>
          <w:sz w:val="24"/>
          <w:szCs w:val="24"/>
        </w:rPr>
        <w:t xml:space="preserve"> 产浮性卵类群</w:t>
      </w:r>
      <w:bookmarkEnd w:id="110"/>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乌鳢、鳜、大眼鳜等鱼类的卵具油球，在水中漂浮发育。此外，鳜、大眼鳜、斑鳜的受精卵为微粘性，在发育过程中粘性逐步消失，由于卵黄具较大油球，也可随水漂流发育。</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特异性产卵类群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中华鳑鲏多产卵于蚌类的鳃瓣中发育。</w:t>
      </w:r>
    </w:p>
    <w:p>
      <w:pPr>
        <w:pStyle w:val="5"/>
        <w:rPr>
          <w:rFonts w:eastAsiaTheme="minorEastAsia"/>
        </w:rPr>
      </w:pPr>
      <w:r>
        <w:rPr>
          <w:rFonts w:eastAsiaTheme="minorEastAsia"/>
        </w:rPr>
        <w:t>栖息类型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根据水域流态特征及鱼类的栖息特点，调查水域鱼类大致可分为以下2个类群。</w:t>
      </w:r>
    </w:p>
    <w:p>
      <w:pPr>
        <w:adjustRightInd w:val="0"/>
        <w:snapToGrid w:val="0"/>
        <w:spacing w:line="360" w:lineRule="auto"/>
        <w:ind w:firstLine="480" w:firstLineChars="200"/>
        <w:rPr>
          <w:rFonts w:ascii="Times New Roman" w:hAnsi="Times New Roman" w:eastAsiaTheme="minorEastAsia"/>
          <w:sz w:val="24"/>
          <w:szCs w:val="24"/>
        </w:rPr>
      </w:pPr>
      <w:bookmarkStart w:id="111" w:name="_Toc298933159"/>
      <w:r>
        <w:rPr>
          <w:rFonts w:hint="eastAsia" w:ascii="宋体" w:hAnsi="宋体" w:cs="宋体"/>
          <w:sz w:val="24"/>
          <w:szCs w:val="24"/>
        </w:rPr>
        <w:t>⑴</w:t>
      </w:r>
      <w:r>
        <w:rPr>
          <w:rFonts w:ascii="Times New Roman" w:hAnsi="Times New Roman" w:eastAsiaTheme="minorEastAsia"/>
          <w:sz w:val="24"/>
          <w:szCs w:val="24"/>
        </w:rPr>
        <w:t xml:space="preserve"> 流水类群</w:t>
      </w:r>
      <w:bookmarkEnd w:id="111"/>
    </w:p>
    <w:p>
      <w:pPr>
        <w:adjustRightInd w:val="0"/>
        <w:snapToGrid w:val="0"/>
        <w:spacing w:line="360" w:lineRule="auto"/>
        <w:ind w:firstLine="480" w:firstLineChars="200"/>
        <w:rPr>
          <w:rFonts w:ascii="Times New Roman" w:hAnsi="Times New Roman" w:eastAsiaTheme="minorEastAsia"/>
          <w:sz w:val="24"/>
          <w:szCs w:val="24"/>
        </w:rPr>
      </w:pPr>
      <w:bookmarkStart w:id="112" w:name="_Toc298933160"/>
      <w:r>
        <w:rPr>
          <w:rFonts w:ascii="Times New Roman" w:hAnsi="Times New Roman" w:eastAsiaTheme="minorEastAsia"/>
          <w:sz w:val="24"/>
          <w:szCs w:val="24"/>
        </w:rPr>
        <w:t>此类群主要或完全生活在江河流水环境中，体长形，略侧扁，游泳能力强，适应于流水生活。它们或以水底砾石等物体表面附着藻类为食，或以有机碎屑为食，或以底栖无脊椎动物为食，或以软体动物为食，或主要以水草为食，或主要以鱼虾类为食，甚或为杂食性；或以浮游动植物为食。该类群有宽鳍鱲、马口鱼、青鱼、草鱼、鳙、鲢、翘嘴鲌、蛇鮈、铜鱼、白甲鱼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静缓流类群</w:t>
      </w:r>
      <w:bookmarkEnd w:id="112"/>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此类群适宜生活于静缓流水水体中，或以浮游动植物为食，或杂食，或动物性食性，部分种类须在流水环境下产漂流性卵或可归于流水性种类，该类群种类有泥鳅、中华鳑鲏、鲤、鲫、鲇、鳜、大眼鳜、乌鳢、黄鳝等。</w:t>
      </w:r>
    </w:p>
    <w:p>
      <w:pPr>
        <w:pStyle w:val="5"/>
        <w:rPr>
          <w:rFonts w:eastAsiaTheme="minorEastAsia"/>
        </w:rPr>
      </w:pPr>
      <w:r>
        <w:rPr>
          <w:rFonts w:eastAsiaTheme="minorEastAsia"/>
        </w:rPr>
        <w:t>鱼类资源现场调查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7月在保护区主管部门的许可下，调查人员在评价区的监利段和岳阳段进行鱼类资源调查，通过雇佣当地渔民采用双层流刺网（网目3cm）和地笼（网目1cm）相结合的方法进行调查，共采集到鱼类26种，渔获物以短颌鲚、蛇鮈、银鮈、黄颡鱼、鲫、铜鱼、黄尾鲴、长须黄颡鱼、泥鳅、鲤等为主。鱼类均以小型鱼类为主，其中监利段渔获物以蛇鮈、银鮈、黄颡鱼、鲫为多，工程区所在的岳阳段以短颌鲚、贝氏䱗、蛇鮈为多。在远离工程区的监利段调查到保护区主要保护对象之一的鲢4尾，以及国家二级重点保护水生野生动物胭脂鱼1尾。</w:t>
      </w:r>
    </w:p>
    <w:p>
      <w:pPr>
        <w:adjustRightInd w:val="0"/>
        <w:snapToGrid w:val="0"/>
        <w:spacing w:line="276" w:lineRule="auto"/>
        <w:jc w:val="center"/>
        <w:rPr>
          <w:rFonts w:ascii="Times New Roman" w:hAnsi="Times New Roman" w:eastAsiaTheme="minorEastAsia"/>
          <w:b/>
          <w:sz w:val="24"/>
          <w:szCs w:val="24"/>
        </w:rPr>
      </w:pPr>
      <w:bookmarkStart w:id="113" w:name="_Toc31149_WPSOffice_Level3"/>
      <w:bookmarkStart w:id="114" w:name="_Toc20866_WPSOffice_Level3"/>
      <w:bookmarkStart w:id="115" w:name="_Toc5095_WPSOffice_Level3"/>
      <w:r>
        <w:rPr>
          <w:rFonts w:ascii="Times New Roman" w:hAnsi="Times New Roman" w:eastAsiaTheme="minorEastAsia"/>
          <w:b/>
          <w:sz w:val="24"/>
          <w:szCs w:val="24"/>
        </w:rPr>
        <w:t>表4.10-1  2019年8月监利段现场渔获物调查表</w:t>
      </w:r>
      <w:bookmarkEnd w:id="113"/>
      <w:bookmarkEnd w:id="114"/>
      <w:bookmarkEnd w:id="115"/>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14"/>
        <w:gridCol w:w="1638"/>
        <w:gridCol w:w="1638"/>
        <w:gridCol w:w="1638"/>
        <w:gridCol w:w="1638"/>
        <w:gridCol w:w="16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blHeader/>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序号</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物种</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数量（尾）</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数量比（%）</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重量（kg）</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重量比（%）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蛇鮈</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44</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16.54</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1.08</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银鮈</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37</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13.91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0.62</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黄颡鱼</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35</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13.16</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1.26</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鲫</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32</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12.03</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1.91</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铜鱼</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9.40</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6.24</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黄尾鲴</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9.40</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3.87</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长须黄颡鱼</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6.77</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0.93</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泥鳅</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6.39</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0.41</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鲤</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2.85</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短颌鲚</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0.18</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蒙古鲌</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2.26</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2.53</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鲢</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1.50</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0.7</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尖头鲌</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0.75</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0.36</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中华鳑鲏</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0.01</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团头鲂</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1.42</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16</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鲂</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0.02</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02"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胭脂鱼</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0.38</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0.25</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402" w:type="pct"/>
            <w:gridSpan w:val="2"/>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合计</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266</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100</w:t>
            </w:r>
          </w:p>
        </w:tc>
        <w:tc>
          <w:tcPr>
            <w:tcW w:w="900"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24.64</w:t>
            </w:r>
          </w:p>
        </w:tc>
        <w:tc>
          <w:tcPr>
            <w:tcW w:w="898" w:type="pct"/>
            <w:shd w:val="clear" w:color="auto" w:fill="auto"/>
            <w:noWrap/>
            <w:tcMar>
              <w:top w:w="0" w:type="dxa"/>
              <w:left w:w="0" w:type="dxa"/>
              <w:bottom w:w="0" w:type="dxa"/>
              <w:right w:w="0" w:type="dxa"/>
            </w:tcMar>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100</w:t>
            </w:r>
          </w:p>
        </w:tc>
      </w:tr>
    </w:tbl>
    <w:p>
      <w:pPr>
        <w:adjustRightInd w:val="0"/>
        <w:snapToGrid w:val="0"/>
        <w:spacing w:line="360" w:lineRule="auto"/>
        <w:ind w:firstLine="482" w:firstLineChars="200"/>
        <w:rPr>
          <w:rFonts w:ascii="Times New Roman" w:hAnsi="Times New Roman" w:eastAsiaTheme="minorEastAsia"/>
          <w:b/>
          <w:sz w:val="24"/>
          <w:szCs w:val="24"/>
        </w:rPr>
      </w:pP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表4.10-2  2019年8月岳阳段现场渔获物调查表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70"/>
        <w:gridCol w:w="1587"/>
        <w:gridCol w:w="1589"/>
        <w:gridCol w:w="1745"/>
        <w:gridCol w:w="1589"/>
        <w:gridCol w:w="16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533" w:type="pct"/>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序号</w:t>
            </w:r>
          </w:p>
        </w:tc>
        <w:tc>
          <w:tcPr>
            <w:tcW w:w="872" w:type="pct"/>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物种</w:t>
            </w:r>
          </w:p>
        </w:tc>
        <w:tc>
          <w:tcPr>
            <w:tcW w:w="873" w:type="pct"/>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数量（尾）</w:t>
            </w:r>
          </w:p>
        </w:tc>
        <w:tc>
          <w:tcPr>
            <w:tcW w:w="959" w:type="pct"/>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数量比（%）</w:t>
            </w:r>
          </w:p>
        </w:tc>
        <w:tc>
          <w:tcPr>
            <w:tcW w:w="873" w:type="pct"/>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重量（kg）</w:t>
            </w:r>
          </w:p>
        </w:tc>
        <w:tc>
          <w:tcPr>
            <w:tcW w:w="890" w:type="pct"/>
            <w:shd w:val="clear" w:color="auto" w:fill="auto"/>
            <w:noWrap/>
            <w:tcMar>
              <w:top w:w="0" w:type="dxa"/>
              <w:left w:w="0" w:type="dxa"/>
              <w:bottom w:w="0" w:type="dxa"/>
              <w:right w:w="0" w:type="dxa"/>
            </w:tcMar>
            <w:vAlign w:val="center"/>
          </w:tcPr>
          <w:p>
            <w:pPr>
              <w:widowControl/>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重量比（%）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短颌鲚</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133</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44.04</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2.32</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15.86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贝氏</w:t>
            </w:r>
            <w:r>
              <w:rPr>
                <w:rFonts w:ascii="Times New Roman" w:hAnsi="Times New Roman" w:eastAsiaTheme="minorEastAsia"/>
                <w:kern w:val="0"/>
              </w:rPr>
              <w:t>䱗</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45</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14.90</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0.85</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蛇鮈</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37</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12.25</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0.74</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泥鳅</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21</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6.95</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0.66</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4.51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大眼鳜</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18</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5.96</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3.73</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25.50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鲫</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17</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5.63</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2.79</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19.07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达氏鮊</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2.65</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3.12</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21.33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麦穗鱼</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2.65</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0.09</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无须鱊</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1.99</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0.03</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瓦氏黄颡鱼</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1.66</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0.19</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11</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乌鳢</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0.66</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0.04</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12</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似鳊</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0.33</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0.03</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13</w:t>
            </w:r>
          </w:p>
        </w:tc>
        <w:tc>
          <w:tcPr>
            <w:tcW w:w="872"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飘鱼</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0.33</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0.04</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5" w:type="pct"/>
            <w:gridSpan w:val="2"/>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合计</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302</w:t>
            </w:r>
          </w:p>
        </w:tc>
        <w:tc>
          <w:tcPr>
            <w:tcW w:w="959"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100</w:t>
            </w:r>
          </w:p>
        </w:tc>
        <w:tc>
          <w:tcPr>
            <w:tcW w:w="873"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14.63</w:t>
            </w:r>
          </w:p>
        </w:tc>
        <w:tc>
          <w:tcPr>
            <w:tcW w:w="890" w:type="pct"/>
            <w:shd w:val="clear" w:color="auto" w:fill="auto"/>
            <w:noWrap/>
            <w:tcMar>
              <w:top w:w="0" w:type="dxa"/>
              <w:left w:w="0" w:type="dxa"/>
              <w:bottom w:w="0" w:type="dxa"/>
              <w:right w:w="0" w:type="dxa"/>
            </w:tcMar>
            <w:vAlign w:val="bottom"/>
          </w:tcPr>
          <w:p>
            <w:pPr>
              <w:widowControl/>
              <w:jc w:val="center"/>
              <w:rPr>
                <w:rFonts w:ascii="Times New Roman" w:hAnsi="Times New Roman" w:eastAsiaTheme="minorEastAsia"/>
                <w:b/>
                <w:color w:val="000000"/>
                <w:kern w:val="0"/>
              </w:rPr>
            </w:pPr>
            <w:r>
              <w:rPr>
                <w:rFonts w:ascii="Times New Roman" w:hAnsi="Times New Roman" w:eastAsiaTheme="minorEastAsia"/>
                <w:b/>
                <w:color w:val="000000"/>
                <w:kern w:val="0"/>
              </w:rPr>
              <w:t>100</w:t>
            </w:r>
          </w:p>
        </w:tc>
      </w:tr>
    </w:tbl>
    <w:p>
      <w:pPr>
        <w:adjustRightInd w:val="0"/>
        <w:snapToGrid w:val="0"/>
        <w:spacing w:line="360" w:lineRule="auto"/>
        <w:ind w:firstLine="482" w:firstLineChars="200"/>
        <w:rPr>
          <w:rFonts w:ascii="Times New Roman" w:hAnsi="Times New Roman" w:eastAsiaTheme="minorEastAsia"/>
          <w:b/>
          <w:sz w:val="24"/>
          <w:szCs w:val="24"/>
        </w:rPr>
      </w:pPr>
    </w:p>
    <w:p>
      <w:pPr>
        <w:pStyle w:val="5"/>
        <w:rPr>
          <w:rFonts w:eastAsiaTheme="minorEastAsia"/>
        </w:rPr>
      </w:pPr>
      <w:r>
        <w:rPr>
          <w:rFonts w:eastAsiaTheme="minorEastAsia"/>
        </w:rPr>
        <w:t>渔业资源状况及变动趋势</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调查江段位于长江中游上段。根据走访渔民了解，近年来，由于葛洲坝及三峡水利枢纽相继建成投入运行，虽然每年都实施禁渔期制度及人工放流。但由于水利工程的阻隔，长江运输船只逐年增多，水体污染加剧，鱼类资源变动总体呈下降趋势。在捕捞的渔获物中，洄游性鱼类减少，捕捞品种趋向单一，渔获个体趋向小型化、低龄化，资源量下降，形势不容乐观。</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以种类论，白鲟仅剩分布记录；中华鲟虽偶有撞网，均为小型的人工放流个体；调查江段渔民由于数十年未见鯮，大都认为鯮在调查江段已绝迹；鳤数年来也难以在渔获物中见到，本次也未调查到长吻鮠，长吻鮠在该江段数量也较少。保护鱼类资源状况堪忧。</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调査江段江湖半洄游性鱼类鯮、鳤、鱤等鱼类数量明显下降，已很难捕到，而黄颡鱼、短颌鲚等定居性鱼类已成为主要捕捞对象。</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调査江段经济鱼类有短颌鲚、黄颡鱼、泥鳅和鮊类等20多种。家鱼数量鲢最多，本次捕获4尾小个体鲢，资源量较小。</w:t>
      </w:r>
    </w:p>
    <w:p>
      <w:pPr>
        <w:pStyle w:val="4"/>
        <w:rPr>
          <w:rFonts w:eastAsiaTheme="minorEastAsia"/>
          <w:szCs w:val="24"/>
        </w:rPr>
      </w:pPr>
      <w:bookmarkStart w:id="116" w:name="_Toc515895867"/>
      <w:r>
        <w:rPr>
          <w:rFonts w:eastAsiaTheme="minorEastAsia"/>
          <w:szCs w:val="24"/>
        </w:rPr>
        <w:t>濒危和保护水生生物现状与评价</w:t>
      </w:r>
      <w:bookmarkEnd w:id="116"/>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保护区江段有保护鱼类7种，其中国家级4种，分别为国家I级保护水生野生动物达氏鲟、中华鲟、白鲟，国家</w:t>
      </w:r>
      <w:r>
        <w:rPr>
          <w:rFonts w:hint="eastAsia" w:ascii="宋体" w:hAnsi="宋体" w:cs="宋体"/>
          <w:sz w:val="24"/>
          <w:szCs w:val="24"/>
        </w:rPr>
        <w:t>Ⅱ</w:t>
      </w:r>
      <w:r>
        <w:rPr>
          <w:rFonts w:ascii="Times New Roman" w:hAnsi="Times New Roman" w:eastAsiaTheme="minorEastAsia"/>
          <w:sz w:val="24"/>
          <w:szCs w:val="24"/>
        </w:rPr>
        <w:t>级保护水生野生动物胭脂鱼。湖北省级保护鱼类有3种，分别为鯮、鳤、长吻鮠。</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红皮书及红色名录种类共8种。红皮书种类6种，其中濒危种（EN）1种为白鲟，易危种（VU）5种为达氏鲟、中华鲟、胭脂鱼、长薄鳅、鯮。红色名录种类8种，其中极危种（CR）2种为白鲟、中华鲟；濒危种（EN）1种，为达氏鲟；易危种（VU）5种，分别为胭脂鱼、长薄鳅、鯮、长须黄颡鱼、青鳉。</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此外，在该江段分布有哺乳纲鲸目的长江江豚为国家</w:t>
      </w:r>
      <w:r>
        <w:rPr>
          <w:rFonts w:hint="eastAsia" w:ascii="宋体" w:hAnsi="宋体" w:cs="宋体"/>
          <w:sz w:val="24"/>
          <w:szCs w:val="24"/>
        </w:rPr>
        <w:t>Ⅱ</w:t>
      </w:r>
      <w:r>
        <w:rPr>
          <w:rFonts w:ascii="Times New Roman" w:hAnsi="Times New Roman" w:eastAsiaTheme="minorEastAsia"/>
          <w:sz w:val="24"/>
          <w:szCs w:val="24"/>
        </w:rPr>
        <w:t>级保护水生野生动物，或曾分布的哺乳纲鲸目的白鱀豚为国家I级保护水生野生动物。白鱀豚为红皮书濒危种（EN），红色名录极危种（CR）。长江江豚在红皮书及红色名录中均被列为濒危种（EN）。</w:t>
      </w:r>
    </w:p>
    <w:p>
      <w:pPr>
        <w:pStyle w:val="4"/>
        <w:rPr>
          <w:rFonts w:eastAsiaTheme="minorEastAsia"/>
          <w:szCs w:val="24"/>
        </w:rPr>
      </w:pPr>
      <w:bookmarkStart w:id="117" w:name="_Toc515895868"/>
      <w:r>
        <w:rPr>
          <w:rFonts w:eastAsiaTheme="minorEastAsia"/>
          <w:szCs w:val="24"/>
        </w:rPr>
        <w:t>鱼类等水生生物生态功能区调查与评价</w:t>
      </w:r>
      <w:bookmarkEnd w:id="117"/>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越冬场、产卵场、索饵场是鱼类周年活动的主要场所，三场调查对掌握鱼类的活动规律，促进渔业生产的有效进行，鱼类资源的合理利用和保护措施的研究具有重要意义。</w:t>
      </w:r>
    </w:p>
    <w:p>
      <w:pPr>
        <w:pStyle w:val="5"/>
        <w:rPr>
          <w:rFonts w:eastAsiaTheme="minorEastAsia"/>
        </w:rPr>
      </w:pPr>
      <w:r>
        <w:rPr>
          <w:rFonts w:eastAsiaTheme="minorEastAsia"/>
        </w:rPr>
        <w:t>产卵场</w:t>
      </w:r>
    </w:p>
    <w:p>
      <w:pPr>
        <w:adjustRightInd w:val="0"/>
        <w:snapToGrid w:val="0"/>
        <w:spacing w:line="360" w:lineRule="auto"/>
        <w:ind w:firstLine="482" w:firstLineChars="200"/>
        <w:rPr>
          <w:rFonts w:ascii="Times New Roman" w:hAnsi="Times New Roman" w:eastAsiaTheme="minorEastAsia"/>
          <w:b/>
          <w:sz w:val="24"/>
          <w:szCs w:val="20"/>
        </w:rPr>
      </w:pPr>
      <w:r>
        <w:rPr>
          <w:rFonts w:ascii="Times New Roman" w:hAnsi="Times New Roman" w:eastAsiaTheme="minorEastAsia"/>
          <w:b/>
          <w:sz w:val="24"/>
          <w:szCs w:val="24"/>
        </w:rPr>
        <w:t>1、产漂流性卵鱼类产卵场</w:t>
      </w:r>
    </w:p>
    <w:p>
      <w:pPr>
        <w:adjustRightInd w:val="0"/>
        <w:snapToGrid w:val="0"/>
        <w:spacing w:line="360" w:lineRule="auto"/>
        <w:ind w:firstLine="480" w:firstLineChars="200"/>
        <w:rPr>
          <w:rFonts w:ascii="Times New Roman" w:hAnsi="Times New Roman" w:eastAsiaTheme="minorEastAsia"/>
          <w:sz w:val="24"/>
          <w:szCs w:val="20"/>
        </w:rPr>
      </w:pPr>
      <w:r>
        <w:rPr>
          <w:rFonts w:ascii="Times New Roman" w:hAnsi="Times New Roman" w:eastAsiaTheme="minorEastAsia"/>
          <w:sz w:val="24"/>
          <w:szCs w:val="20"/>
        </w:rPr>
        <w:t>本项目位于四大家鱼保护区内的城陵矶-陆城镇江段也是四大家鱼等产漂流性卵鱼类较集中的产卵场。距长岭炼化提质改造码头最近的四大家鱼产卵场为陆城-永济产卵场，产卵场范围约28km，产卵规模0.4×10</w:t>
      </w:r>
      <w:r>
        <w:rPr>
          <w:rFonts w:ascii="Times New Roman" w:hAnsi="Times New Roman" w:eastAsiaTheme="minorEastAsia"/>
          <w:sz w:val="24"/>
          <w:szCs w:val="20"/>
          <w:vertAlign w:val="superscript"/>
        </w:rPr>
        <w:t>8</w:t>
      </w:r>
      <w:r>
        <w:rPr>
          <w:rFonts w:ascii="Times New Roman" w:hAnsi="Times New Roman" w:eastAsiaTheme="minorEastAsia"/>
          <w:sz w:val="24"/>
          <w:szCs w:val="20"/>
        </w:rPr>
        <w:t>粒。</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2、产粘草基质卵鱼类产卵场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本次调查通过乘船沿江调查和无人机航拍相结合的方式对保护区江段生境进行了全面调查，了解了江段水生植物主要分布区域，调查到了部分稚鱼。</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评价区水生植物广泛分布，较为集中的区域有监利乌龟洲江段、何王庙故道下汇口、熊家洲，这些江段水生植物、湿生植物较为丰富，适合鲤、鲫等产粘草基质鱼类产卵繁殖，在何王庙故道河口发现成群稚鱼分布，与2015年水工程生态研究所在保护区调查到的产粘草基质卵鱼类产卵场分布的结果一致。因此认为监利乌龟洲江段、何王庙故道下汇口、熊家洲是具有一定规模的粘草基质鱼类产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产粘草基质卵鱼类产卵场均位于拟建工程上游，距离工程最近的成规模的产粘草基质鱼类产卵为位于熊家洲，距离工程上游约48km。</w:t>
      </w:r>
    </w:p>
    <w:p>
      <w:pPr>
        <w:adjustRightInd w:val="0"/>
        <w:snapToGrid w:val="0"/>
        <w:spacing w:line="360" w:lineRule="auto"/>
        <w:ind w:firstLine="482" w:firstLineChars="200"/>
        <w:rPr>
          <w:rFonts w:ascii="Times New Roman" w:hAnsi="Times New Roman" w:eastAsiaTheme="minorEastAsia"/>
          <w:b/>
          <w:bCs/>
          <w:sz w:val="24"/>
          <w:szCs w:val="24"/>
        </w:rPr>
      </w:pPr>
      <w:bookmarkStart w:id="118" w:name="_Toc6931_WPSOffice_Level3"/>
      <w:bookmarkStart w:id="119" w:name="_Toc32638_WPSOffice_Level3"/>
      <w:r>
        <w:rPr>
          <w:rFonts w:ascii="Times New Roman" w:hAnsi="Times New Roman" w:eastAsiaTheme="minorEastAsia"/>
          <w:b/>
          <w:sz w:val="24"/>
          <w:szCs w:val="24"/>
        </w:rPr>
        <w:t>3、产粘砾石基质卵鱼类产卵场</w:t>
      </w:r>
      <w:bookmarkEnd w:id="118"/>
      <w:bookmarkEnd w:id="119"/>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长炼码头和码头对岸长江岸线为泥沙基质底质，未见砾石分布，工程区不存在产粘砾石基质卵鱼类产卵场。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江段多洲滩、沙滩和岔流。洲头水流较为湍急，底质多为沙砾，是产粘砾石基质卵鱼类适宜的产卵场所。评价区这样的江段广泛分布，较为集中的区域有乌龟洲江段、荆江门江段、熊家洲江段、洞庭湖湖口和白螺镇下游4km洲滩等江段，与2015年水工程生态研究所在保护区调查到的粘砾石基质卵鱼类产卵场分布的结果基本一致。因此认为乌龟洲江段、荆江门江段、熊家洲江段、洞庭湖湖口和白螺镇下游4km洲滩等江段为产粘砾石基质卵鱼类产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产粘砾石基质卵鱼类产卵场均位于拟建工程上游，距离工程最近的成规模的产粘砾石基质鱼类产卵为位于白螺镇下游4km洲滩，距离工程上游约5.3km。</w:t>
      </w:r>
    </w:p>
    <w:p>
      <w:pPr>
        <w:pStyle w:val="5"/>
        <w:rPr>
          <w:rFonts w:eastAsiaTheme="minorEastAsia"/>
        </w:rPr>
      </w:pPr>
      <w:r>
        <w:rPr>
          <w:rFonts w:eastAsiaTheme="minorEastAsia"/>
        </w:rPr>
        <w:t>索饵场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鱼类的索饵或育幼场，常取决于其食性。摄食浮游生物的种类，如鲢、鳙等，多以水清质肥的通江湖泊、故道作为其索饵场。摄食水生维管束植物的草鱼、团头鲂等，摄食螺蚌、水蚯蚓等底栖动物的青鱼、鲤等鱼类，水草丰盛的通江湖泊、故道是其最主要的索饵场。刮食性鱼类多以浅水边滩的礁石或砾石滩作为索饵场。杂食性鱼类的索饵场，常零散分布，除通江湖泊、故道外，城镇及村落沿岸，汇入长江的小支流末端，都是其重要索饵水域。鳡、乌鳢、鮊类、鲇科、鳜属鱼类等以鱼类为食的索饵场，与其生活习性及被摄食鱼群分布有关，有的在水体上层，有的在水体下层，有的在两岸及洲滩等浅水水域。鱼类幼苗多以浮游生物为食，通江湖泊、故道浮游生物丰富，鱼类育幼场主要为通江湖泊。干支流的浅水河湾也是鱼类重要的育幼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范围位于荆江下游，河道弯曲，为典型的蜿蜒型河段。在何王庙故道及其进出口，水体流动相对平缓，水质肥沃，有利于浮游生物生长，也是鱼类较好的索饵或育幼场所；在反咀和七弓岭大拐湾段左岸下游河滩非主流水道，是适宜于鱼类的索饵或育幼场所；在洞庭湖汇口，长江干流水面宽阔，水流平缓，也是鱼类的索饵或育幼场所。</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工程区水生植物较少，丰水期会淹没滩地上的一些陆生或湿生植物，可能会有部分鱼类在此索饵，但由于工程区现状为运行中的码头，人为干扰较大，同时根据卫片，枯水期该区域岸线为裸露泥沙底质，工程区不存在大规模鱼类索饵场，距离工程最近的成规模鱼类索饵场位于工程上游约20km的洞庭湖汇口。</w:t>
      </w:r>
    </w:p>
    <w:p>
      <w:pPr>
        <w:pStyle w:val="5"/>
        <w:rPr>
          <w:rFonts w:eastAsiaTheme="minorEastAsia"/>
        </w:rPr>
      </w:pPr>
      <w:r>
        <w:rPr>
          <w:rFonts w:eastAsiaTheme="minorEastAsia"/>
        </w:rPr>
        <w:t>越冬场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每年进入冬季，随着气温下降，水量减少，水位降低，鱼类活动减少，食量降低，鱼类从支流、湖泊等浅水水域进入温度较为稳定的深水水域越冬。鱼类越冬场主要分布于深水的河道深槽中。河道深槽与河床底质，河流走势密切相关，常分布于有矶头伸入河床的上游段洲头下端处或在弯曲型河道的凹岸区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保护区范围内在大马洲水道左岸，河床下切明显，容易形成深槽，是鱼类的越冬场所；在反咀和七弓岭凹岸区域也有存在越冬场所的可能；在靠近洞庭湖汇口长江干流水深水域也是鱼类良好的越冬场所。</w:t>
      </w:r>
    </w:p>
    <w:p>
      <w:pPr>
        <w:pStyle w:val="5"/>
        <w:rPr>
          <w:rFonts w:eastAsiaTheme="minorEastAsia"/>
        </w:rPr>
      </w:pPr>
      <w:r>
        <w:rPr>
          <w:rFonts w:eastAsiaTheme="minorEastAsia"/>
        </w:rPr>
        <w:t>洄游通道</w:t>
      </w:r>
    </w:p>
    <w:p>
      <w:pPr>
        <w:adjustRightInd w:val="0"/>
        <w:snapToGrid w:val="0"/>
        <w:spacing w:line="360" w:lineRule="auto"/>
        <w:ind w:firstLine="480" w:firstLineChars="200"/>
        <w:rPr>
          <w:rFonts w:ascii="Times New Roman" w:hAnsi="Times New Roman" w:eastAsiaTheme="minorEastAsia"/>
          <w:sz w:val="24"/>
          <w:szCs w:val="24"/>
        </w:rPr>
      </w:pPr>
      <w:bookmarkStart w:id="120" w:name="_Toc515895869"/>
      <w:r>
        <w:rPr>
          <w:rFonts w:ascii="Times New Roman" w:hAnsi="Times New Roman" w:eastAsiaTheme="minorEastAsia"/>
          <w:sz w:val="24"/>
          <w:szCs w:val="24"/>
        </w:rPr>
        <w:t>长江内有中华鲟、鳗鲡等江海洄游鱼类，还有四大家鱼等江河洄游鱼类，施工区域所在的长江干流是长江鱼类重要的洄游通道。</w:t>
      </w:r>
    </w:p>
    <w:p>
      <w:pPr>
        <w:pStyle w:val="4"/>
        <w:rPr>
          <w:rFonts w:eastAsiaTheme="minorEastAsia"/>
          <w:szCs w:val="24"/>
        </w:rPr>
      </w:pPr>
      <w:r>
        <w:rPr>
          <w:rFonts w:eastAsiaTheme="minorEastAsia"/>
          <w:szCs w:val="24"/>
        </w:rPr>
        <w:t>鱼类等水生生物繁殖现状与评价</w:t>
      </w:r>
      <w:bookmarkEnd w:id="120"/>
    </w:p>
    <w:p>
      <w:pPr>
        <w:pStyle w:val="5"/>
        <w:rPr>
          <w:rFonts w:eastAsiaTheme="minorEastAsia"/>
        </w:rPr>
      </w:pPr>
      <w:r>
        <w:rPr>
          <w:rFonts w:eastAsiaTheme="minorEastAsia"/>
        </w:rPr>
        <w:t>繁殖类群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根据历史资料及调查人员2019年7月现场鱼类资源调查和访问调查结果，繁殖类群主要分为4个类型</w:t>
      </w:r>
      <w:r>
        <w:rPr>
          <w:rFonts w:hint="eastAsia" w:ascii="Times New Roman" w:hAnsi="Times New Roman" w:eastAsiaTheme="minorEastAsia"/>
          <w:sz w:val="24"/>
          <w:szCs w:val="24"/>
        </w:rPr>
        <w:t>。</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1、产粘沉性卵类群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本水域鱼类绝大多数鱼类为产粘沉性卵类群。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这一类群包括包括翘嘴鲌，鲇形目的黄颡鱼、瓦氏黄颡鱼、鲇，鲤科的鲤、鲫、细鳞鲴，鳅科的泥鳅等；其产卵季节多为春夏间，也有部分种类晚至秋季，且对产卵水域流态底质有不同的适应性，多数种类都需要一定的流水刺激。产出的卵或粘附于石砾、水草发育，或落于石缝间在激流冲击下发育。少数鱼类产卵时不需要水流刺激，可在静缓流水环境下繁殖，产粘性卵，其卵有的黏附于水草发育，如鲤、鲫、泥鳅等；有的黏附于砾石，如鲇等。保护区的主要保护物种翘嘴鲌属于此类，潜于具有繁茂水草丛的静水湖汊或河湾中产卵。此类产卵场在保护区段数量较多。</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2、产漂流性卵类群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产漂流性卵鱼类，产卵需要湍急的水流条件，通常在汛期洪峰发生后产卵。这一类鱼卵比重略大于水，但产出后卵膜吸水膨胀，在水流的外力作用下，鱼卵悬浮在水层中顺水漂流。孵化出的早期仔鱼，仍然要顺水漂流。从卵产出到仔鱼具备溯游能力。这类鱼有鲢、鳙、草鱼、青鱼、鳡等。</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3、产浮性卵类群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鳜、大眼鳜等鱼类的卵具油球，在水中漂浮发育。</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4、特异性产卵类群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中华鳑鲏多产卵于蚌类的鳃瓣中发育。</w:t>
      </w:r>
    </w:p>
    <w:p>
      <w:pPr>
        <w:pStyle w:val="5"/>
        <w:rPr>
          <w:rFonts w:eastAsiaTheme="minorEastAsia"/>
        </w:rPr>
      </w:pPr>
      <w:r>
        <w:rPr>
          <w:rFonts w:eastAsiaTheme="minorEastAsia"/>
        </w:rPr>
        <w:t>生态水文学需求</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评价区鱼类主要繁殖季节为4~6月，鲤、鲫等部分鱼类繁殖期可延续到8月中旬至8月底。保护区内类绝大多数鱼类为产粘沉性卵类群，产出的卵或粘附于石砾、水草发育，或落于石缝间在激流冲击下发育。少数鱼类产卵时不需要水流刺激，可在静缓流水环境下繁殖，产粘性卵，其卵有的黏附于水草发育，如鲤、鲫、泥鳅等；有的黏附于砾石，如鲇等。</w:t>
      </w:r>
    </w:p>
    <w:p>
      <w:pPr>
        <w:pStyle w:val="4"/>
        <w:rPr>
          <w:rFonts w:eastAsiaTheme="minorEastAsia"/>
          <w:szCs w:val="24"/>
        </w:rPr>
      </w:pPr>
      <w:bookmarkStart w:id="121" w:name="_Toc515895870"/>
      <w:r>
        <w:rPr>
          <w:rFonts w:eastAsiaTheme="minorEastAsia"/>
          <w:szCs w:val="24"/>
        </w:rPr>
        <w:t>鱼类等水生生物食性及食物网链关系</w:t>
      </w:r>
      <w:bookmarkEnd w:id="121"/>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为了较为全面准确地评价工程影响河段现有水生生物现状，2019年7月调查组技术人员对本项目影响的长江监利段四大家鱼国家级水产种质资源保护区进行了实地调查，对评价区水域进行水生生态调查。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根据工程的区域和布局，在评价区内共设3个调查断面，分别为码头上游1km，长炼码头，码头下游1km。各调查断面环境因子见表4.10-3所示。</w:t>
      </w:r>
    </w:p>
    <w:p>
      <w:pPr>
        <w:spacing w:line="276" w:lineRule="auto"/>
        <w:jc w:val="center"/>
        <w:rPr>
          <w:rFonts w:ascii="Times New Roman" w:hAnsi="Times New Roman" w:eastAsiaTheme="minorEastAsia"/>
          <w:b/>
          <w:sz w:val="24"/>
          <w:szCs w:val="24"/>
        </w:rPr>
      </w:pPr>
      <w:bookmarkStart w:id="122" w:name="_Toc18083_WPSOffice_Level3"/>
      <w:bookmarkStart w:id="123" w:name="_Toc5196_WPSOffice_Level3"/>
      <w:bookmarkStart w:id="124" w:name="_Toc19475_WPSOffice_Level3"/>
      <w:bookmarkStart w:id="125" w:name="_Toc21540_WPSOffice_Level3"/>
      <w:r>
        <w:rPr>
          <w:rFonts w:ascii="Times New Roman" w:hAnsi="Times New Roman" w:eastAsiaTheme="minorEastAsia"/>
          <w:b/>
          <w:sz w:val="24"/>
          <w:szCs w:val="24"/>
        </w:rPr>
        <w:t>表4.10-3  水生生物采样断面环境因子表</w:t>
      </w:r>
      <w:bookmarkEnd w:id="122"/>
      <w:bookmarkEnd w:id="123"/>
      <w:bookmarkEnd w:id="124"/>
      <w:bookmarkEnd w:id="125"/>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54"/>
        <w:gridCol w:w="1300"/>
        <w:gridCol w:w="1968"/>
        <w:gridCol w:w="710"/>
        <w:gridCol w:w="745"/>
        <w:gridCol w:w="814"/>
        <w:gridCol w:w="652"/>
        <w:gridCol w:w="737"/>
        <w:gridCol w:w="883"/>
        <w:gridCol w:w="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5"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序号</w:t>
            </w:r>
          </w:p>
        </w:tc>
        <w:tc>
          <w:tcPr>
            <w:tcW w:w="714"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采样</w:t>
            </w:r>
          </w:p>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断面</w:t>
            </w:r>
          </w:p>
        </w:tc>
        <w:tc>
          <w:tcPr>
            <w:tcW w:w="1081"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经纬度</w:t>
            </w:r>
          </w:p>
        </w:tc>
        <w:tc>
          <w:tcPr>
            <w:tcW w:w="390"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海拔（m）</w:t>
            </w:r>
          </w:p>
        </w:tc>
        <w:tc>
          <w:tcPr>
            <w:tcW w:w="409"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气温（</w:t>
            </w:r>
            <w:r>
              <w:rPr>
                <w:rFonts w:hint="eastAsia" w:ascii="宋体" w:hAnsi="宋体" w:cs="宋体"/>
                <w:b/>
                <w:bCs/>
                <w:kern w:val="0"/>
              </w:rPr>
              <w:t>℃</w:t>
            </w:r>
            <w:r>
              <w:rPr>
                <w:rFonts w:ascii="Times New Roman" w:hAnsi="Times New Roman" w:eastAsiaTheme="minorEastAsia"/>
                <w:b/>
                <w:bCs/>
                <w:kern w:val="0"/>
              </w:rPr>
              <w:t>）</w:t>
            </w:r>
          </w:p>
        </w:tc>
        <w:tc>
          <w:tcPr>
            <w:tcW w:w="447"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水温（</w:t>
            </w:r>
            <w:r>
              <w:rPr>
                <w:rFonts w:hint="eastAsia" w:ascii="宋体" w:hAnsi="宋体" w:cs="宋体"/>
                <w:b/>
                <w:bCs/>
                <w:kern w:val="0"/>
              </w:rPr>
              <w:t>℃</w:t>
            </w:r>
            <w:r>
              <w:rPr>
                <w:rFonts w:ascii="Times New Roman" w:hAnsi="Times New Roman" w:eastAsiaTheme="minorEastAsia"/>
                <w:b/>
                <w:bCs/>
                <w:kern w:val="0"/>
              </w:rPr>
              <w:t>）</w:t>
            </w:r>
          </w:p>
        </w:tc>
        <w:tc>
          <w:tcPr>
            <w:tcW w:w="358"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水深（m）</w:t>
            </w:r>
          </w:p>
        </w:tc>
        <w:tc>
          <w:tcPr>
            <w:tcW w:w="405"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底质类型</w:t>
            </w:r>
          </w:p>
        </w:tc>
        <w:tc>
          <w:tcPr>
            <w:tcW w:w="485"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透明度（m）</w:t>
            </w:r>
          </w:p>
        </w:tc>
        <w:tc>
          <w:tcPr>
            <w:tcW w:w="405" w:type="pct"/>
            <w:shd w:val="clear" w:color="auto" w:fill="auto"/>
            <w:vAlign w:val="center"/>
          </w:tcPr>
          <w:p>
            <w:pPr>
              <w:widowControl/>
              <w:adjustRightInd w:val="0"/>
              <w:snapToGrid w:val="0"/>
              <w:jc w:val="center"/>
              <w:rPr>
                <w:rFonts w:ascii="Times New Roman" w:hAnsi="Times New Roman" w:eastAsiaTheme="minorEastAsia"/>
                <w:b/>
                <w:bCs/>
                <w:kern w:val="0"/>
              </w:rPr>
            </w:pPr>
            <w:r>
              <w:rPr>
                <w:rFonts w:ascii="Times New Roman" w:hAnsi="Times New Roman" w:eastAsiaTheme="minorEastAsia"/>
                <w:b/>
                <w:bCs/>
                <w:kern w:val="0"/>
              </w:rPr>
              <w:t>流速(m/s)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w:t>
            </w:r>
          </w:p>
        </w:tc>
        <w:tc>
          <w:tcPr>
            <w:tcW w:w="714"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码头上游1km</w:t>
            </w:r>
          </w:p>
        </w:tc>
        <w:tc>
          <w:tcPr>
            <w:tcW w:w="1081"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113°16'8.92"E</w:t>
            </w:r>
          </w:p>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29°35'20.40"N</w:t>
            </w:r>
          </w:p>
        </w:tc>
        <w:tc>
          <w:tcPr>
            <w:tcW w:w="390"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27.2</w:t>
            </w:r>
          </w:p>
        </w:tc>
        <w:tc>
          <w:tcPr>
            <w:tcW w:w="409"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34</w:t>
            </w:r>
          </w:p>
        </w:tc>
        <w:tc>
          <w:tcPr>
            <w:tcW w:w="447"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29.5</w:t>
            </w:r>
          </w:p>
        </w:tc>
        <w:tc>
          <w:tcPr>
            <w:tcW w:w="358"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8</w:t>
            </w:r>
          </w:p>
        </w:tc>
        <w:tc>
          <w:tcPr>
            <w:tcW w:w="4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泥沙</w:t>
            </w:r>
          </w:p>
        </w:tc>
        <w:tc>
          <w:tcPr>
            <w:tcW w:w="48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0.4</w:t>
            </w:r>
          </w:p>
        </w:tc>
        <w:tc>
          <w:tcPr>
            <w:tcW w:w="4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w:t>
            </w:r>
          </w:p>
        </w:tc>
        <w:tc>
          <w:tcPr>
            <w:tcW w:w="714"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长炼码头</w:t>
            </w:r>
          </w:p>
        </w:tc>
        <w:tc>
          <w:tcPr>
            <w:tcW w:w="1081"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113°16'38.76"E</w:t>
            </w:r>
          </w:p>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29°35'48.65"</w:t>
            </w:r>
          </w:p>
        </w:tc>
        <w:tc>
          <w:tcPr>
            <w:tcW w:w="390"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27</w:t>
            </w:r>
          </w:p>
        </w:tc>
        <w:tc>
          <w:tcPr>
            <w:tcW w:w="409"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34</w:t>
            </w:r>
          </w:p>
        </w:tc>
        <w:tc>
          <w:tcPr>
            <w:tcW w:w="447"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29.5</w:t>
            </w:r>
          </w:p>
        </w:tc>
        <w:tc>
          <w:tcPr>
            <w:tcW w:w="358"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7</w:t>
            </w:r>
          </w:p>
        </w:tc>
        <w:tc>
          <w:tcPr>
            <w:tcW w:w="4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泥沙</w:t>
            </w:r>
          </w:p>
        </w:tc>
        <w:tc>
          <w:tcPr>
            <w:tcW w:w="48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0.4</w:t>
            </w:r>
          </w:p>
        </w:tc>
        <w:tc>
          <w:tcPr>
            <w:tcW w:w="4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3</w:t>
            </w:r>
          </w:p>
        </w:tc>
        <w:tc>
          <w:tcPr>
            <w:tcW w:w="714"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码头下游1km</w:t>
            </w:r>
          </w:p>
        </w:tc>
        <w:tc>
          <w:tcPr>
            <w:tcW w:w="1081"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113°17'10.94"E</w:t>
            </w:r>
          </w:p>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29°36'16.28"N</w:t>
            </w:r>
          </w:p>
        </w:tc>
        <w:tc>
          <w:tcPr>
            <w:tcW w:w="390"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26.9</w:t>
            </w:r>
          </w:p>
        </w:tc>
        <w:tc>
          <w:tcPr>
            <w:tcW w:w="409"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34</w:t>
            </w:r>
          </w:p>
        </w:tc>
        <w:tc>
          <w:tcPr>
            <w:tcW w:w="447"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29.5</w:t>
            </w:r>
          </w:p>
        </w:tc>
        <w:tc>
          <w:tcPr>
            <w:tcW w:w="358"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7</w:t>
            </w:r>
          </w:p>
        </w:tc>
        <w:tc>
          <w:tcPr>
            <w:tcW w:w="4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泥沙</w:t>
            </w:r>
          </w:p>
        </w:tc>
        <w:tc>
          <w:tcPr>
            <w:tcW w:w="48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0.4</w:t>
            </w:r>
          </w:p>
        </w:tc>
        <w:tc>
          <w:tcPr>
            <w:tcW w:w="405" w:type="pct"/>
            <w:shd w:val="clear" w:color="auto" w:fill="auto"/>
            <w:vAlign w:val="center"/>
          </w:tcPr>
          <w:p>
            <w:pPr>
              <w:widowControl/>
              <w:adjustRightInd w:val="0"/>
              <w:snapToGrid w:val="0"/>
              <w:jc w:val="center"/>
              <w:rPr>
                <w:rFonts w:ascii="Times New Roman" w:hAnsi="Times New Roman" w:eastAsiaTheme="minorEastAsia"/>
                <w:bCs/>
                <w:kern w:val="0"/>
              </w:rPr>
            </w:pPr>
            <w:r>
              <w:rPr>
                <w:rFonts w:ascii="Times New Roman" w:hAnsi="Times New Roman" w:eastAsiaTheme="minorEastAsia"/>
                <w:bCs/>
                <w:kern w:val="0"/>
              </w:rPr>
              <w:t>0.8</w:t>
            </w:r>
          </w:p>
        </w:tc>
      </w:tr>
    </w:tbl>
    <w:p>
      <w:pPr>
        <w:spacing w:line="360" w:lineRule="auto"/>
        <w:jc w:val="center"/>
        <w:rPr>
          <w:rFonts w:ascii="Times New Roman" w:hAnsi="Times New Roman" w:eastAsiaTheme="minorEastAsia"/>
          <w:b/>
          <w:bCs/>
          <w:sz w:val="24"/>
          <w:szCs w:val="24"/>
        </w:rPr>
      </w:pPr>
    </w:p>
    <w:tbl>
      <w:tblPr>
        <w:tblStyle w:val="72"/>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6"/>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6" w:type="dxa"/>
          </w:tcPr>
          <w:p>
            <w:pPr>
              <w:jc w:val="center"/>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2885440" cy="1825625"/>
                  <wp:effectExtent l="0" t="0" r="0" b="0"/>
                  <wp:docPr id="75" name="图片 75" descr="J:\1负责\9湖南长岭码头7.29\外业\20190802-2采样点\DSC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J:\1负责\9湖南长岭码头7.29\外业\20190802-2采样点\DSC04732.JPG"/>
                          <pic:cNvPicPr>
                            <a:picLocks noChangeAspect="1" noChangeArrowheads="1"/>
                          </pic:cNvPicPr>
                        </pic:nvPicPr>
                        <pic:blipFill>
                          <a:blip r:embed="rId52" cstate="email"/>
                          <a:srcRect/>
                          <a:stretch>
                            <a:fillRect/>
                          </a:stretch>
                        </pic:blipFill>
                        <pic:spPr>
                          <a:xfrm>
                            <a:off x="0" y="0"/>
                            <a:ext cx="2902267" cy="1836397"/>
                          </a:xfrm>
                          <a:prstGeom prst="rect">
                            <a:avLst/>
                          </a:prstGeom>
                          <a:noFill/>
                          <a:ln>
                            <a:noFill/>
                          </a:ln>
                        </pic:spPr>
                      </pic:pic>
                    </a:graphicData>
                  </a:graphic>
                </wp:inline>
              </w:drawing>
            </w:r>
          </w:p>
        </w:tc>
        <w:tc>
          <w:tcPr>
            <w:tcW w:w="4536" w:type="dxa"/>
          </w:tcPr>
          <w:p>
            <w:pPr>
              <w:jc w:val="center"/>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2790190" cy="1816735"/>
                  <wp:effectExtent l="0" t="0" r="0" b="0"/>
                  <wp:docPr id="82" name="图片 82" descr="J:\1负责\9湖南长岭码头7.29\外业\20190802-2采样点\DSC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J:\1负责\9湖南长岭码头7.29\外业\20190802-2采样点\DSC04722.JPG"/>
                          <pic:cNvPicPr>
                            <a:picLocks noChangeAspect="1" noChangeArrowheads="1"/>
                          </pic:cNvPicPr>
                        </pic:nvPicPr>
                        <pic:blipFill>
                          <a:blip r:embed="rId53" cstate="email"/>
                          <a:srcRect/>
                          <a:stretch>
                            <a:fillRect/>
                          </a:stretch>
                        </pic:blipFill>
                        <pic:spPr>
                          <a:xfrm>
                            <a:off x="0" y="0"/>
                            <a:ext cx="2796405" cy="182063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6" w:type="dxa"/>
          </w:tcPr>
          <w:p>
            <w:pPr>
              <w:jc w:val="center"/>
              <w:rPr>
                <w:rFonts w:ascii="Times New Roman" w:hAnsi="Times New Roman" w:eastAsiaTheme="minorEastAsia"/>
                <w:sz w:val="24"/>
                <w:szCs w:val="24"/>
              </w:rPr>
            </w:pPr>
            <w:r>
              <w:rPr>
                <w:rFonts w:ascii="Times New Roman" w:hAnsi="Times New Roman" w:eastAsiaTheme="minorEastAsia"/>
                <w:bCs/>
                <w:kern w:val="0"/>
                <w:sz w:val="24"/>
                <w:szCs w:val="24"/>
              </w:rPr>
              <w:t>码头上游1km</w:t>
            </w:r>
          </w:p>
        </w:tc>
        <w:tc>
          <w:tcPr>
            <w:tcW w:w="4536" w:type="dxa"/>
          </w:tcPr>
          <w:p>
            <w:pPr>
              <w:jc w:val="center"/>
              <w:rPr>
                <w:rFonts w:ascii="Times New Roman" w:hAnsi="Times New Roman" w:eastAsiaTheme="minorEastAsia"/>
                <w:sz w:val="24"/>
                <w:szCs w:val="24"/>
              </w:rPr>
            </w:pPr>
            <w:r>
              <w:rPr>
                <w:rFonts w:ascii="Times New Roman" w:hAnsi="Times New Roman" w:eastAsiaTheme="minorEastAsia"/>
                <w:bCs/>
                <w:kern w:val="0"/>
                <w:sz w:val="24"/>
                <w:szCs w:val="24"/>
              </w:rPr>
              <w:t>长炼码头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6" w:type="dxa"/>
          </w:tcPr>
          <w:p>
            <w:pPr>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2861945" cy="1828800"/>
                  <wp:effectExtent l="0" t="0" r="0" b="0"/>
                  <wp:docPr id="83" name="图片 83" descr="J:\1负责\9湖南长岭码头7.29\外业\20190802-2采样点\DSC0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J:\1负责\9湖南长岭码头7.29\外业\20190802-2采样点\DSC04702.JPG"/>
                          <pic:cNvPicPr>
                            <a:picLocks noChangeAspect="1" noChangeArrowheads="1"/>
                          </pic:cNvPicPr>
                        </pic:nvPicPr>
                        <pic:blipFill>
                          <a:blip r:embed="rId54" cstate="email"/>
                          <a:srcRect/>
                          <a:stretch>
                            <a:fillRect/>
                          </a:stretch>
                        </pic:blipFill>
                        <pic:spPr>
                          <a:xfrm>
                            <a:off x="0" y="0"/>
                            <a:ext cx="2865847" cy="1831288"/>
                          </a:xfrm>
                          <a:prstGeom prst="rect">
                            <a:avLst/>
                          </a:prstGeom>
                          <a:noFill/>
                          <a:ln>
                            <a:noFill/>
                          </a:ln>
                        </pic:spPr>
                      </pic:pic>
                    </a:graphicData>
                  </a:graphic>
                </wp:inline>
              </w:drawing>
            </w:r>
          </w:p>
        </w:tc>
        <w:tc>
          <w:tcPr>
            <w:tcW w:w="4536" w:type="dxa"/>
          </w:tcPr>
          <w:p>
            <w:pPr>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2790190" cy="1828800"/>
                  <wp:effectExtent l="0" t="0" r="0" b="0"/>
                  <wp:docPr id="3" name="图片 3" descr="J:\1负责\9湖南长岭码头7.29\外业\20190802-3工程区\DSC0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1负责\9湖南长岭码头7.29\外业\20190802-3工程区\DSC04682.JPG"/>
                          <pic:cNvPicPr>
                            <a:picLocks noChangeAspect="1" noChangeArrowheads="1"/>
                          </pic:cNvPicPr>
                        </pic:nvPicPr>
                        <pic:blipFill>
                          <a:blip r:embed="rId55" cstate="email"/>
                          <a:srcRect/>
                          <a:stretch>
                            <a:fillRect/>
                          </a:stretch>
                        </pic:blipFill>
                        <pic:spPr>
                          <a:xfrm>
                            <a:off x="0" y="0"/>
                            <a:ext cx="2795484" cy="18319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6" w:type="dxa"/>
          </w:tcPr>
          <w:p>
            <w:pPr>
              <w:jc w:val="center"/>
              <w:rPr>
                <w:rFonts w:ascii="Times New Roman" w:hAnsi="Times New Roman" w:eastAsiaTheme="minorEastAsia"/>
                <w:sz w:val="24"/>
                <w:szCs w:val="24"/>
              </w:rPr>
            </w:pPr>
            <w:r>
              <w:rPr>
                <w:rFonts w:ascii="Times New Roman" w:hAnsi="Times New Roman" w:eastAsiaTheme="minorEastAsia"/>
                <w:bCs/>
                <w:kern w:val="0"/>
                <w:sz w:val="24"/>
                <w:szCs w:val="24"/>
              </w:rPr>
              <w:t>码头下游1km</w:t>
            </w:r>
          </w:p>
        </w:tc>
        <w:tc>
          <w:tcPr>
            <w:tcW w:w="4536" w:type="dxa"/>
          </w:tcPr>
          <w:p>
            <w:pPr>
              <w:jc w:val="center"/>
              <w:rPr>
                <w:rFonts w:ascii="Times New Roman" w:hAnsi="Times New Roman" w:eastAsiaTheme="minorEastAsia"/>
                <w:sz w:val="24"/>
                <w:szCs w:val="24"/>
              </w:rPr>
            </w:pPr>
            <w:r>
              <w:rPr>
                <w:rFonts w:ascii="Times New Roman" w:hAnsi="Times New Roman" w:eastAsiaTheme="minorEastAsia"/>
                <w:sz w:val="24"/>
                <w:szCs w:val="24"/>
              </w:rPr>
              <w:t>长炼码头</w:t>
            </w:r>
          </w:p>
        </w:tc>
      </w:tr>
    </w:tbl>
    <w:p>
      <w:pPr>
        <w:adjustRightInd w:val="0"/>
        <w:snapToGrid w:val="0"/>
        <w:spacing w:line="360" w:lineRule="auto"/>
        <w:ind w:firstLine="480" w:firstLineChars="200"/>
        <w:rPr>
          <w:rFonts w:ascii="Times New Roman" w:hAnsi="Times New Roman" w:eastAsiaTheme="minorEastAsia"/>
          <w:sz w:val="24"/>
          <w:szCs w:val="24"/>
        </w:rPr>
      </w:pPr>
    </w:p>
    <w:p>
      <w:pPr>
        <w:pStyle w:val="5"/>
        <w:rPr>
          <w:rFonts w:eastAsiaTheme="minorEastAsia"/>
        </w:rPr>
      </w:pPr>
      <w:r>
        <w:rPr>
          <w:rFonts w:eastAsiaTheme="minorEastAsia"/>
        </w:rPr>
        <w:t>浮游植物</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1、种类组成</w:t>
      </w:r>
    </w:p>
    <w:p>
      <w:pPr>
        <w:adjustRightInd w:val="0"/>
        <w:snapToGrid w:val="0"/>
        <w:spacing w:line="360" w:lineRule="auto"/>
        <w:ind w:firstLine="480" w:firstLineChars="200"/>
        <w:rPr>
          <w:rStyle w:val="635"/>
          <w:rFonts w:hint="default" w:ascii="Times New Roman" w:hAnsi="Times New Roman" w:cs="Times New Roman" w:eastAsiaTheme="minorEastAsia"/>
        </w:rPr>
      </w:pPr>
      <w:r>
        <w:rPr>
          <w:rFonts w:ascii="Times New Roman" w:hAnsi="Times New Roman" w:eastAsiaTheme="minorEastAsia"/>
          <w:sz w:val="24"/>
          <w:szCs w:val="24"/>
        </w:rPr>
        <w:t>2019年7月，调查组技术人员对本项目影响的保护区河段进行了实地调查，</w:t>
      </w:r>
      <w:r>
        <w:rPr>
          <w:rFonts w:ascii="Times New Roman" w:hAnsi="Times New Roman" w:eastAsiaTheme="minorEastAsia"/>
          <w:bCs/>
          <w:kern w:val="0"/>
          <w:sz w:val="24"/>
          <w:szCs w:val="24"/>
        </w:rPr>
        <w:t>对评价区水域进行水生生态调查，3个调查断面共检出浮游藻类6门，64种（属）。藻类中硅藻门藻类种（属）数最多，为42种（属），占65.63%；绿藻门11种（属），占17.19%；蓝藻门7种（属），占10.94%；裸藻门2种（属），占3.13%；甲藻门和黄藻门各1种（属），各占1.56%。调查河段浮游植物以硅藻为主，绿藻次之。评价区常见类群有小环藻（</w:t>
      </w:r>
      <w:r>
        <w:rPr>
          <w:rFonts w:ascii="Times New Roman" w:hAnsi="Times New Roman" w:eastAsiaTheme="minorEastAsia"/>
          <w:i/>
          <w:iCs/>
          <w:color w:val="000000"/>
          <w:kern w:val="0"/>
          <w:sz w:val="24"/>
          <w:szCs w:val="24"/>
        </w:rPr>
        <w:t xml:space="preserve">Cyclotella </w:t>
      </w:r>
      <w:r>
        <w:rPr>
          <w:rFonts w:ascii="Times New Roman" w:hAnsi="Times New Roman" w:eastAsiaTheme="minorEastAsia"/>
          <w:iCs/>
          <w:color w:val="000000"/>
          <w:kern w:val="0"/>
          <w:sz w:val="24"/>
          <w:szCs w:val="24"/>
        </w:rPr>
        <w:t>sp</w:t>
      </w:r>
      <w:r>
        <w:rPr>
          <w:rFonts w:ascii="Times New Roman" w:hAnsi="Times New Roman" w:eastAsiaTheme="minorEastAsia"/>
          <w:i/>
          <w:iCs/>
          <w:color w:val="000000"/>
          <w:kern w:val="0"/>
          <w:sz w:val="24"/>
          <w:szCs w:val="24"/>
        </w:rPr>
        <w:t>.</w:t>
      </w:r>
      <w:r>
        <w:rPr>
          <w:rFonts w:ascii="Times New Roman" w:hAnsi="Times New Roman" w:eastAsiaTheme="minorEastAsia"/>
          <w:bCs/>
          <w:kern w:val="0"/>
          <w:sz w:val="24"/>
          <w:szCs w:val="24"/>
        </w:rPr>
        <w:t>）、</w:t>
      </w:r>
      <w:r>
        <w:rPr>
          <w:rFonts w:ascii="Times New Roman" w:hAnsi="Times New Roman" w:eastAsiaTheme="minorEastAsia"/>
          <w:color w:val="000000"/>
          <w:kern w:val="0"/>
          <w:sz w:val="24"/>
          <w:szCs w:val="24"/>
        </w:rPr>
        <w:t>曲壳藻</w:t>
      </w:r>
      <w:r>
        <w:rPr>
          <w:rStyle w:val="635"/>
          <w:rFonts w:hint="default" w:ascii="Times New Roman" w:hAnsi="Times New Roman" w:cs="Times New Roman" w:eastAsiaTheme="minorEastAsia"/>
        </w:rPr>
        <w:t>（</w:t>
      </w:r>
      <w:r>
        <w:rPr>
          <w:rFonts w:ascii="Times New Roman" w:hAnsi="Times New Roman" w:eastAsiaTheme="minorEastAsia"/>
          <w:i/>
          <w:iCs/>
          <w:color w:val="000000"/>
          <w:kern w:val="0"/>
          <w:sz w:val="24"/>
          <w:szCs w:val="24"/>
        </w:rPr>
        <w:t xml:space="preserve">Achnanthes </w:t>
      </w:r>
      <w:r>
        <w:rPr>
          <w:rFonts w:ascii="Times New Roman" w:hAnsi="Times New Roman" w:eastAsiaTheme="minorEastAsia"/>
          <w:iCs/>
          <w:color w:val="000000"/>
          <w:kern w:val="0"/>
          <w:sz w:val="24"/>
          <w:szCs w:val="24"/>
        </w:rPr>
        <w:t>sp</w:t>
      </w:r>
      <w:r>
        <w:rPr>
          <w:rFonts w:ascii="Times New Roman" w:hAnsi="Times New Roman" w:eastAsiaTheme="minorEastAsia"/>
          <w:i/>
          <w:iCs/>
          <w:color w:val="000000"/>
          <w:kern w:val="0"/>
          <w:sz w:val="24"/>
          <w:szCs w:val="24"/>
        </w:rPr>
        <w:t>.</w:t>
      </w:r>
      <w:r>
        <w:rPr>
          <w:rStyle w:val="306"/>
          <w:rFonts w:hint="default" w:ascii="Times New Roman" w:hAnsi="Times New Roman" w:eastAsiaTheme="minorEastAsia"/>
          <w:sz w:val="24"/>
          <w:szCs w:val="24"/>
        </w:rPr>
        <w:t>）、</w:t>
      </w:r>
      <w:r>
        <w:rPr>
          <w:rFonts w:ascii="Times New Roman" w:hAnsi="Times New Roman" w:eastAsiaTheme="minorEastAsia"/>
          <w:color w:val="000000"/>
          <w:kern w:val="0"/>
          <w:sz w:val="24"/>
          <w:szCs w:val="24"/>
        </w:rPr>
        <w:t>四尾栅藻</w:t>
      </w:r>
      <w:r>
        <w:rPr>
          <w:rStyle w:val="646"/>
          <w:rFonts w:hint="default" w:ascii="Times New Roman" w:hAnsi="Times New Roman" w:cs="Times New Roman" w:eastAsiaTheme="minorEastAsia"/>
          <w:sz w:val="24"/>
          <w:szCs w:val="24"/>
          <w:lang w:bidi="ar"/>
        </w:rPr>
        <w:t>（</w:t>
      </w:r>
      <w:r>
        <w:rPr>
          <w:rFonts w:ascii="Times New Roman" w:hAnsi="Times New Roman" w:eastAsiaTheme="minorEastAsia"/>
          <w:i/>
          <w:iCs/>
          <w:color w:val="000000"/>
          <w:kern w:val="0"/>
          <w:sz w:val="24"/>
          <w:szCs w:val="24"/>
        </w:rPr>
        <w:t>Scenedesmus quadricauda</w:t>
      </w:r>
      <w:r>
        <w:rPr>
          <w:rStyle w:val="646"/>
          <w:rFonts w:hint="default" w:ascii="Times New Roman" w:hAnsi="Times New Roman" w:cs="Times New Roman" w:eastAsiaTheme="minorEastAsia"/>
          <w:sz w:val="24"/>
          <w:szCs w:val="24"/>
          <w:lang w:bidi="ar"/>
        </w:rPr>
        <w:t>）、</w:t>
      </w:r>
      <w:r>
        <w:rPr>
          <w:rFonts w:ascii="Times New Roman" w:hAnsi="Times New Roman" w:eastAsiaTheme="minorEastAsia"/>
          <w:color w:val="000000"/>
          <w:kern w:val="0"/>
          <w:sz w:val="24"/>
          <w:szCs w:val="24"/>
        </w:rPr>
        <w:t>单角盘星藻</w:t>
      </w:r>
      <w:r>
        <w:rPr>
          <w:rStyle w:val="646"/>
          <w:rFonts w:hint="default" w:ascii="Times New Roman" w:hAnsi="Times New Roman" w:cs="Times New Roman" w:eastAsiaTheme="minorEastAsia"/>
          <w:sz w:val="24"/>
          <w:szCs w:val="24"/>
          <w:lang w:bidi="ar"/>
        </w:rPr>
        <w:t>（</w:t>
      </w:r>
      <w:r>
        <w:rPr>
          <w:rFonts w:ascii="Times New Roman" w:hAnsi="Times New Roman" w:eastAsiaTheme="minorEastAsia"/>
          <w:i/>
          <w:iCs/>
          <w:color w:val="000000"/>
          <w:kern w:val="0"/>
          <w:sz w:val="24"/>
          <w:szCs w:val="24"/>
        </w:rPr>
        <w:t>Pediastrum simplex</w:t>
      </w:r>
      <w:r>
        <w:rPr>
          <w:rStyle w:val="646"/>
          <w:rFonts w:hint="default" w:ascii="Times New Roman" w:hAnsi="Times New Roman" w:cs="Times New Roman" w:eastAsiaTheme="minorEastAsia"/>
          <w:sz w:val="24"/>
          <w:szCs w:val="24"/>
          <w:lang w:bidi="ar"/>
        </w:rPr>
        <w:t>）、</w:t>
      </w:r>
      <w:r>
        <w:rPr>
          <w:rFonts w:ascii="Times New Roman" w:hAnsi="Times New Roman" w:eastAsiaTheme="minorEastAsia"/>
          <w:color w:val="000000"/>
          <w:kern w:val="0"/>
          <w:sz w:val="24"/>
          <w:szCs w:val="24"/>
        </w:rPr>
        <w:t>实球藻（</w:t>
      </w:r>
      <w:r>
        <w:rPr>
          <w:rFonts w:ascii="Times New Roman" w:hAnsi="Times New Roman" w:eastAsiaTheme="minorEastAsia"/>
          <w:i/>
          <w:iCs/>
          <w:color w:val="000000"/>
          <w:kern w:val="0"/>
          <w:sz w:val="24"/>
          <w:szCs w:val="24"/>
        </w:rPr>
        <w:t xml:space="preserve">Pandorina </w:t>
      </w:r>
      <w:r>
        <w:rPr>
          <w:rFonts w:ascii="Times New Roman" w:hAnsi="Times New Roman" w:eastAsiaTheme="minorEastAsia"/>
          <w:iCs/>
          <w:color w:val="000000"/>
          <w:kern w:val="0"/>
          <w:sz w:val="24"/>
          <w:szCs w:val="24"/>
        </w:rPr>
        <w:t>sp</w:t>
      </w:r>
      <w:r>
        <w:rPr>
          <w:rFonts w:ascii="Times New Roman" w:hAnsi="Times New Roman" w:eastAsiaTheme="minorEastAsia"/>
          <w:i/>
          <w:iCs/>
          <w:color w:val="000000"/>
          <w:kern w:val="0"/>
          <w:sz w:val="24"/>
          <w:szCs w:val="24"/>
        </w:rPr>
        <w:t>.</w:t>
      </w:r>
      <w:r>
        <w:rPr>
          <w:rFonts w:ascii="Times New Roman" w:hAnsi="Times New Roman" w:eastAsiaTheme="minorEastAsia"/>
          <w:color w:val="000000"/>
          <w:kern w:val="0"/>
          <w:sz w:val="24"/>
          <w:szCs w:val="24"/>
        </w:rPr>
        <w:t>）</w:t>
      </w:r>
      <w:r>
        <w:rPr>
          <w:rStyle w:val="646"/>
          <w:rFonts w:hint="default" w:ascii="Times New Roman" w:hAnsi="Times New Roman" w:cs="Times New Roman" w:eastAsiaTheme="minorEastAsia"/>
          <w:sz w:val="24"/>
          <w:szCs w:val="24"/>
          <w:lang w:bidi="ar"/>
        </w:rPr>
        <w:t>等。</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2、密度和生物量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采样断面的平均密度为</w:t>
      </w:r>
      <w:r>
        <w:rPr>
          <w:rFonts w:ascii="Times New Roman" w:hAnsi="Times New Roman" w:eastAsiaTheme="minorEastAsia"/>
          <w:kern w:val="0"/>
          <w:sz w:val="24"/>
          <w:szCs w:val="24"/>
        </w:rPr>
        <w:t>39.56</w:t>
      </w:r>
      <w:r>
        <w:rPr>
          <w:rFonts w:ascii="Times New Roman" w:hAnsi="Times New Roman" w:eastAsiaTheme="minorEastAsia"/>
          <w:sz w:val="24"/>
          <w:szCs w:val="24"/>
        </w:rPr>
        <w:t>×10</w:t>
      </w:r>
      <w:r>
        <w:rPr>
          <w:rFonts w:ascii="Times New Roman" w:hAnsi="Times New Roman" w:eastAsiaTheme="minorEastAsia"/>
          <w:sz w:val="24"/>
          <w:szCs w:val="24"/>
          <w:vertAlign w:val="superscript"/>
        </w:rPr>
        <w:t>4</w:t>
      </w:r>
      <w:r>
        <w:rPr>
          <w:rFonts w:ascii="Times New Roman" w:hAnsi="Times New Roman" w:eastAsiaTheme="minorEastAsia"/>
          <w:sz w:val="24"/>
          <w:szCs w:val="24"/>
        </w:rPr>
        <w:t>ind./L，平均生物量为</w:t>
      </w:r>
      <w:r>
        <w:rPr>
          <w:rFonts w:ascii="Times New Roman" w:hAnsi="Times New Roman" w:eastAsiaTheme="minorEastAsia"/>
          <w:kern w:val="0"/>
          <w:sz w:val="24"/>
          <w:szCs w:val="24"/>
        </w:rPr>
        <w:t>0.1481</w:t>
      </w:r>
      <w:r>
        <w:rPr>
          <w:rFonts w:ascii="Times New Roman" w:hAnsi="Times New Roman" w:eastAsiaTheme="minorEastAsia"/>
          <w:sz w:val="24"/>
          <w:szCs w:val="24"/>
        </w:rPr>
        <w:t>mg/L。各采样断面浮游植物密度范围为</w:t>
      </w:r>
      <w:r>
        <w:rPr>
          <w:rFonts w:ascii="Times New Roman" w:hAnsi="Times New Roman" w:eastAsiaTheme="minorEastAsia"/>
          <w:kern w:val="0"/>
          <w:sz w:val="24"/>
          <w:szCs w:val="24"/>
          <w:lang w:bidi="ar"/>
        </w:rPr>
        <w:t>37.56~42.72</w:t>
      </w:r>
      <w:r>
        <w:rPr>
          <w:rFonts w:ascii="Times New Roman" w:hAnsi="Times New Roman" w:eastAsiaTheme="minorEastAsia"/>
          <w:sz w:val="24"/>
          <w:szCs w:val="24"/>
        </w:rPr>
        <w:t>×10</w:t>
      </w:r>
      <w:r>
        <w:rPr>
          <w:rFonts w:ascii="Times New Roman" w:hAnsi="Times New Roman" w:eastAsiaTheme="minorEastAsia"/>
          <w:sz w:val="24"/>
          <w:szCs w:val="24"/>
          <w:vertAlign w:val="superscript"/>
        </w:rPr>
        <w:t>4</w:t>
      </w:r>
      <w:r>
        <w:rPr>
          <w:rFonts w:ascii="Times New Roman" w:hAnsi="Times New Roman" w:eastAsiaTheme="minorEastAsia"/>
          <w:sz w:val="24"/>
          <w:szCs w:val="24"/>
        </w:rPr>
        <w:t>ind./L，生物量变化范围为</w:t>
      </w:r>
      <w:r>
        <w:rPr>
          <w:rFonts w:ascii="Times New Roman" w:hAnsi="Times New Roman" w:eastAsiaTheme="minorEastAsia"/>
          <w:kern w:val="0"/>
          <w:sz w:val="24"/>
          <w:szCs w:val="24"/>
          <w:lang w:bidi="ar"/>
        </w:rPr>
        <w:t>0.1238~0.1683</w:t>
      </w:r>
      <w:r>
        <w:rPr>
          <w:rFonts w:ascii="Times New Roman" w:hAnsi="Times New Roman" w:eastAsiaTheme="minorEastAsia"/>
          <w:sz w:val="24"/>
          <w:szCs w:val="24"/>
        </w:rPr>
        <w:t>mg/L。</w:t>
      </w:r>
    </w:p>
    <w:p>
      <w:pPr>
        <w:pStyle w:val="5"/>
        <w:rPr>
          <w:rFonts w:eastAsiaTheme="minorEastAsia"/>
        </w:rPr>
      </w:pPr>
      <w:r>
        <w:rPr>
          <w:rFonts w:eastAsiaTheme="minorEastAsia"/>
        </w:rPr>
        <w:t>浮游动物</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1、种类组成</w:t>
      </w:r>
    </w:p>
    <w:p>
      <w:pPr>
        <w:autoSpaceDE w:val="0"/>
        <w:autoSpaceDN w:val="0"/>
        <w:adjustRightInd w:val="0"/>
        <w:snapToGrid w:val="0"/>
        <w:spacing w:line="360" w:lineRule="auto"/>
        <w:ind w:firstLine="480" w:firstLineChars="200"/>
        <w:rPr>
          <w:rStyle w:val="643"/>
          <w:rFonts w:eastAsiaTheme="minorEastAsia"/>
          <w:b w:val="0"/>
          <w:sz w:val="24"/>
          <w:szCs w:val="24"/>
          <w:lang w:bidi="ar"/>
        </w:rPr>
      </w:pPr>
      <w:r>
        <w:rPr>
          <w:rFonts w:ascii="Times New Roman" w:hAnsi="Times New Roman" w:eastAsiaTheme="minorEastAsia"/>
          <w:sz w:val="24"/>
          <w:szCs w:val="24"/>
        </w:rPr>
        <w:t>3个采样断面共检出浮游动物58种（属）</w:t>
      </w:r>
      <w:r>
        <w:rPr>
          <w:rFonts w:ascii="Times New Roman" w:hAnsi="Times New Roman" w:eastAsiaTheme="minorEastAsia"/>
          <w:sz w:val="24"/>
          <w:szCs w:val="24"/>
          <w:lang w:val="zh-CN"/>
        </w:rPr>
        <w:t>。其中轮虫</w:t>
      </w:r>
      <w:r>
        <w:rPr>
          <w:rFonts w:ascii="Times New Roman" w:hAnsi="Times New Roman" w:eastAsiaTheme="minorEastAsia"/>
          <w:sz w:val="24"/>
          <w:szCs w:val="24"/>
        </w:rPr>
        <w:t>29</w:t>
      </w:r>
      <w:r>
        <w:rPr>
          <w:rFonts w:ascii="Times New Roman" w:hAnsi="Times New Roman" w:eastAsiaTheme="minorEastAsia"/>
          <w:sz w:val="24"/>
          <w:szCs w:val="24"/>
          <w:lang w:val="zh-CN"/>
        </w:rPr>
        <w:t>种，占浮游动物种类的</w:t>
      </w:r>
      <w:r>
        <w:rPr>
          <w:rFonts w:ascii="Times New Roman" w:hAnsi="Times New Roman" w:eastAsiaTheme="minorEastAsia"/>
          <w:sz w:val="24"/>
          <w:szCs w:val="24"/>
        </w:rPr>
        <w:t>50.00</w:t>
      </w:r>
      <w:r>
        <w:rPr>
          <w:rFonts w:ascii="Times New Roman" w:hAnsi="Times New Roman" w:eastAsiaTheme="minorEastAsia"/>
          <w:sz w:val="24"/>
          <w:szCs w:val="24"/>
          <w:lang w:val="zh-CN"/>
        </w:rPr>
        <w:t>%；原生动物和桡足类各10种，各占</w:t>
      </w:r>
      <w:r>
        <w:rPr>
          <w:rFonts w:ascii="Times New Roman" w:hAnsi="Times New Roman" w:eastAsiaTheme="minorEastAsia"/>
          <w:sz w:val="24"/>
          <w:szCs w:val="24"/>
        </w:rPr>
        <w:t>17.24</w:t>
      </w:r>
      <w:r>
        <w:rPr>
          <w:rFonts w:ascii="Times New Roman" w:hAnsi="Times New Roman" w:eastAsiaTheme="minorEastAsia"/>
          <w:sz w:val="24"/>
          <w:szCs w:val="24"/>
          <w:lang w:val="zh-CN"/>
        </w:rPr>
        <w:t>%；枝角类9种，占</w:t>
      </w:r>
      <w:r>
        <w:rPr>
          <w:rFonts w:ascii="Times New Roman" w:hAnsi="Times New Roman" w:eastAsiaTheme="minorEastAsia"/>
          <w:sz w:val="24"/>
          <w:szCs w:val="24"/>
        </w:rPr>
        <w:t>15.52</w:t>
      </w:r>
      <w:r>
        <w:rPr>
          <w:rFonts w:ascii="Times New Roman" w:hAnsi="Times New Roman" w:eastAsiaTheme="minorEastAsia"/>
          <w:sz w:val="24"/>
          <w:szCs w:val="24"/>
          <w:lang w:val="zh-CN"/>
        </w:rPr>
        <w:t>%。各采样断面，浮游动物常见种类有砂壳虫（</w:t>
      </w:r>
      <w:r>
        <w:rPr>
          <w:rFonts w:ascii="Times New Roman" w:hAnsi="Times New Roman" w:eastAsiaTheme="minorEastAsia"/>
          <w:i/>
          <w:iCs/>
          <w:kern w:val="0"/>
          <w:sz w:val="24"/>
          <w:szCs w:val="24"/>
        </w:rPr>
        <w:t xml:space="preserve">Difflugia </w:t>
      </w:r>
      <w:r>
        <w:rPr>
          <w:rFonts w:ascii="Times New Roman" w:hAnsi="Times New Roman" w:eastAsiaTheme="minorEastAsia"/>
          <w:iCs/>
          <w:kern w:val="0"/>
          <w:sz w:val="24"/>
          <w:szCs w:val="24"/>
        </w:rPr>
        <w:t>sp</w:t>
      </w:r>
      <w:r>
        <w:rPr>
          <w:rFonts w:ascii="Times New Roman" w:hAnsi="Times New Roman" w:eastAsiaTheme="minorEastAsia"/>
          <w:i/>
          <w:iCs/>
          <w:kern w:val="0"/>
          <w:sz w:val="24"/>
          <w:szCs w:val="24"/>
        </w:rPr>
        <w:t>.</w:t>
      </w:r>
      <w:r>
        <w:rPr>
          <w:rFonts w:ascii="Times New Roman" w:hAnsi="Times New Roman" w:eastAsiaTheme="minorEastAsia"/>
          <w:sz w:val="24"/>
          <w:szCs w:val="24"/>
          <w:lang w:val="zh-CN"/>
        </w:rPr>
        <w:t>）、</w:t>
      </w:r>
      <w:r>
        <w:rPr>
          <w:rFonts w:ascii="Times New Roman" w:hAnsi="Times New Roman" w:eastAsiaTheme="minorEastAsia"/>
          <w:color w:val="000000"/>
          <w:kern w:val="0"/>
          <w:sz w:val="24"/>
          <w:szCs w:val="24"/>
        </w:rPr>
        <w:t>钟虫（</w:t>
      </w:r>
      <w:r>
        <w:rPr>
          <w:rFonts w:ascii="Times New Roman" w:hAnsi="Times New Roman" w:eastAsiaTheme="minorEastAsia"/>
          <w:i/>
          <w:iCs/>
          <w:kern w:val="0"/>
          <w:sz w:val="24"/>
          <w:szCs w:val="24"/>
        </w:rPr>
        <w:t xml:space="preserve">Vorticella </w:t>
      </w:r>
      <w:r>
        <w:rPr>
          <w:rFonts w:ascii="Times New Roman" w:hAnsi="Times New Roman" w:eastAsiaTheme="minorEastAsia"/>
          <w:iCs/>
          <w:kern w:val="0"/>
          <w:sz w:val="24"/>
          <w:szCs w:val="24"/>
        </w:rPr>
        <w:t>sp</w:t>
      </w:r>
      <w:r>
        <w:rPr>
          <w:rFonts w:ascii="Times New Roman" w:hAnsi="Times New Roman" w:eastAsiaTheme="minorEastAsia"/>
          <w:i/>
          <w:iCs/>
          <w:kern w:val="0"/>
          <w:sz w:val="24"/>
          <w:szCs w:val="24"/>
        </w:rPr>
        <w:t>.</w:t>
      </w:r>
      <w:r>
        <w:rPr>
          <w:rFonts w:ascii="Times New Roman" w:hAnsi="Times New Roman" w:eastAsiaTheme="minorEastAsia"/>
          <w:color w:val="000000"/>
          <w:kern w:val="0"/>
          <w:sz w:val="24"/>
          <w:szCs w:val="24"/>
        </w:rPr>
        <w:t>）、累枝虫（</w:t>
      </w:r>
      <w:r>
        <w:rPr>
          <w:rFonts w:ascii="Times New Roman" w:hAnsi="Times New Roman" w:eastAsiaTheme="minorEastAsia"/>
          <w:i/>
          <w:iCs/>
          <w:kern w:val="0"/>
          <w:sz w:val="24"/>
          <w:szCs w:val="24"/>
        </w:rPr>
        <w:t xml:space="preserve">Epistylis </w:t>
      </w:r>
      <w:r>
        <w:rPr>
          <w:rFonts w:ascii="Times New Roman" w:hAnsi="Times New Roman" w:eastAsiaTheme="minorEastAsia"/>
          <w:iCs/>
          <w:kern w:val="0"/>
          <w:sz w:val="24"/>
          <w:szCs w:val="24"/>
        </w:rPr>
        <w:t>sp</w:t>
      </w:r>
      <w:r>
        <w:rPr>
          <w:rFonts w:ascii="Times New Roman" w:hAnsi="Times New Roman" w:eastAsiaTheme="minorEastAsia"/>
          <w:i/>
          <w:iCs/>
          <w:kern w:val="0"/>
          <w:sz w:val="24"/>
          <w:szCs w:val="24"/>
        </w:rPr>
        <w:t>.</w:t>
      </w:r>
      <w:r>
        <w:rPr>
          <w:rFonts w:ascii="Times New Roman" w:hAnsi="Times New Roman" w:eastAsiaTheme="minorEastAsia"/>
          <w:color w:val="000000"/>
          <w:kern w:val="0"/>
          <w:sz w:val="24"/>
          <w:szCs w:val="24"/>
        </w:rPr>
        <w:t>）、萼花臂尾轮虫（</w:t>
      </w:r>
      <w:r>
        <w:rPr>
          <w:rFonts w:ascii="Times New Roman" w:hAnsi="Times New Roman" w:eastAsiaTheme="minorEastAsia"/>
          <w:i/>
          <w:iCs/>
          <w:color w:val="000000"/>
          <w:kern w:val="0"/>
          <w:sz w:val="24"/>
          <w:szCs w:val="24"/>
        </w:rPr>
        <w:t>Brachionus calyciflorus</w:t>
      </w:r>
      <w:r>
        <w:rPr>
          <w:rFonts w:ascii="Times New Roman" w:hAnsi="Times New Roman" w:eastAsiaTheme="minorEastAsia"/>
          <w:color w:val="000000"/>
          <w:kern w:val="0"/>
          <w:sz w:val="24"/>
          <w:szCs w:val="24"/>
        </w:rPr>
        <w:t>）、针簇多肢轮虫（</w:t>
      </w:r>
      <w:r>
        <w:rPr>
          <w:rFonts w:ascii="Times New Roman" w:hAnsi="Times New Roman" w:eastAsiaTheme="minorEastAsia"/>
          <w:i/>
          <w:iCs/>
          <w:color w:val="000000"/>
          <w:kern w:val="0"/>
          <w:sz w:val="24"/>
          <w:szCs w:val="24"/>
        </w:rPr>
        <w:t>Polyarthra trigla</w:t>
      </w:r>
      <w:r>
        <w:rPr>
          <w:rFonts w:ascii="Times New Roman" w:hAnsi="Times New Roman" w:eastAsiaTheme="minorEastAsia"/>
          <w:color w:val="000000"/>
          <w:kern w:val="0"/>
          <w:sz w:val="24"/>
          <w:szCs w:val="24"/>
        </w:rPr>
        <w:t>）、前节晶囊轮虫（</w:t>
      </w:r>
      <w:r>
        <w:rPr>
          <w:rFonts w:ascii="Times New Roman" w:hAnsi="Times New Roman" w:eastAsiaTheme="minorEastAsia"/>
          <w:i/>
          <w:iCs/>
          <w:color w:val="000000"/>
          <w:kern w:val="0"/>
          <w:sz w:val="24"/>
          <w:szCs w:val="24"/>
        </w:rPr>
        <w:t>A</w:t>
      </w:r>
      <w:r>
        <w:rPr>
          <w:rFonts w:ascii="Times New Roman" w:hAnsi="Times New Roman" w:eastAsiaTheme="minorEastAsia"/>
          <w:iCs/>
          <w:color w:val="000000"/>
          <w:kern w:val="0"/>
          <w:sz w:val="24"/>
          <w:szCs w:val="24"/>
        </w:rPr>
        <w:t>sp</w:t>
      </w:r>
      <w:r>
        <w:rPr>
          <w:rFonts w:ascii="Times New Roman" w:hAnsi="Times New Roman" w:eastAsiaTheme="minorEastAsia"/>
          <w:i/>
          <w:iCs/>
          <w:color w:val="000000"/>
          <w:kern w:val="0"/>
          <w:sz w:val="24"/>
          <w:szCs w:val="24"/>
        </w:rPr>
        <w:t>lanchna priodonta</w:t>
      </w:r>
      <w:r>
        <w:rPr>
          <w:rFonts w:ascii="Times New Roman" w:hAnsi="Times New Roman" w:eastAsiaTheme="minorEastAsia"/>
          <w:color w:val="000000"/>
          <w:kern w:val="0"/>
          <w:sz w:val="24"/>
          <w:szCs w:val="24"/>
        </w:rPr>
        <w:t>）、短尾秀体溞（</w:t>
      </w:r>
      <w:r>
        <w:rPr>
          <w:rFonts w:ascii="Times New Roman" w:hAnsi="Times New Roman" w:eastAsiaTheme="minorEastAsia"/>
          <w:i/>
          <w:iCs/>
          <w:kern w:val="0"/>
          <w:sz w:val="24"/>
          <w:szCs w:val="24"/>
        </w:rPr>
        <w:t>Diaphanosoma brachyurum</w:t>
      </w:r>
      <w:r>
        <w:rPr>
          <w:rFonts w:ascii="Times New Roman" w:hAnsi="Times New Roman" w:eastAsiaTheme="minorEastAsia"/>
          <w:color w:val="000000"/>
          <w:kern w:val="0"/>
          <w:sz w:val="24"/>
          <w:szCs w:val="24"/>
        </w:rPr>
        <w:t>）等。</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2、密度和生物量</w:t>
      </w:r>
    </w:p>
    <w:p>
      <w:pPr>
        <w:adjustRightInd w:val="0"/>
        <w:snapToGrid w:val="0"/>
        <w:spacing w:line="360" w:lineRule="auto"/>
        <w:ind w:firstLine="470" w:firstLineChars="196"/>
        <w:rPr>
          <w:rFonts w:ascii="Times New Roman" w:hAnsi="Times New Roman" w:eastAsiaTheme="minorEastAsia"/>
          <w:sz w:val="24"/>
          <w:szCs w:val="24"/>
        </w:rPr>
      </w:pPr>
      <w:r>
        <w:rPr>
          <w:rFonts w:ascii="Times New Roman" w:hAnsi="Times New Roman" w:eastAsiaTheme="minorEastAsia"/>
          <w:sz w:val="24"/>
          <w:szCs w:val="24"/>
        </w:rPr>
        <w:t>采样断面的浮游动物平均密度为</w:t>
      </w:r>
      <w:r>
        <w:rPr>
          <w:rFonts w:ascii="Times New Roman" w:hAnsi="Times New Roman" w:eastAsiaTheme="minorEastAsia"/>
          <w:kern w:val="0"/>
          <w:sz w:val="24"/>
          <w:szCs w:val="24"/>
        </w:rPr>
        <w:t>1320.3</w:t>
      </w:r>
      <w:r>
        <w:rPr>
          <w:rFonts w:ascii="Times New Roman" w:hAnsi="Times New Roman" w:eastAsiaTheme="minorEastAsia"/>
          <w:sz w:val="24"/>
          <w:szCs w:val="24"/>
        </w:rPr>
        <w:t>ind./L，平均生物量为</w:t>
      </w:r>
      <w:r>
        <w:rPr>
          <w:rFonts w:ascii="Times New Roman" w:hAnsi="Times New Roman" w:eastAsiaTheme="minorEastAsia"/>
          <w:kern w:val="0"/>
          <w:sz w:val="24"/>
          <w:szCs w:val="24"/>
        </w:rPr>
        <w:t>0.79</w:t>
      </w:r>
      <w:r>
        <w:rPr>
          <w:rFonts w:ascii="Times New Roman" w:hAnsi="Times New Roman" w:eastAsiaTheme="minorEastAsia"/>
          <w:sz w:val="24"/>
          <w:szCs w:val="24"/>
        </w:rPr>
        <w:t>mg/L。各采样断面浮游动物密度范围为</w:t>
      </w:r>
      <w:r>
        <w:rPr>
          <w:rFonts w:ascii="Times New Roman" w:hAnsi="Times New Roman" w:eastAsiaTheme="minorEastAsia"/>
          <w:kern w:val="0"/>
          <w:sz w:val="24"/>
          <w:szCs w:val="24"/>
          <w:lang w:bidi="ar"/>
        </w:rPr>
        <w:t>1171~1528</w:t>
      </w:r>
      <w:r>
        <w:rPr>
          <w:rFonts w:ascii="Times New Roman" w:hAnsi="Times New Roman" w:eastAsiaTheme="minorEastAsia"/>
          <w:sz w:val="24"/>
          <w:szCs w:val="24"/>
        </w:rPr>
        <w:t>ind./L，生物量变化范围为</w:t>
      </w:r>
      <w:r>
        <w:rPr>
          <w:rFonts w:ascii="Times New Roman" w:hAnsi="Times New Roman" w:eastAsiaTheme="minorEastAsia"/>
          <w:kern w:val="0"/>
          <w:sz w:val="24"/>
          <w:szCs w:val="24"/>
          <w:lang w:bidi="ar"/>
        </w:rPr>
        <w:t>0.61~1.01</w:t>
      </w:r>
      <w:r>
        <w:rPr>
          <w:rFonts w:ascii="Times New Roman" w:hAnsi="Times New Roman" w:eastAsiaTheme="minorEastAsia"/>
          <w:sz w:val="24"/>
          <w:szCs w:val="24"/>
        </w:rPr>
        <w:t>mg/L。</w:t>
      </w:r>
    </w:p>
    <w:p>
      <w:pPr>
        <w:pStyle w:val="5"/>
        <w:rPr>
          <w:rFonts w:eastAsiaTheme="minorEastAsia"/>
        </w:rPr>
      </w:pPr>
      <w:r>
        <w:rPr>
          <w:rFonts w:eastAsiaTheme="minorEastAsia"/>
        </w:rPr>
        <w:t>底栖动物</w:t>
      </w:r>
    </w:p>
    <w:p>
      <w:pPr>
        <w:widowControl/>
        <w:adjustRightInd w:val="0"/>
        <w:snapToGrid w:val="0"/>
        <w:spacing w:line="360" w:lineRule="auto"/>
        <w:ind w:firstLine="482" w:firstLineChars="200"/>
        <w:jc w:val="left"/>
        <w:rPr>
          <w:rFonts w:ascii="Times New Roman" w:hAnsi="Times New Roman" w:eastAsiaTheme="minorEastAsia"/>
          <w:b/>
          <w:kern w:val="0"/>
          <w:sz w:val="24"/>
          <w:szCs w:val="24"/>
        </w:rPr>
      </w:pPr>
      <w:r>
        <w:rPr>
          <w:rFonts w:ascii="Times New Roman" w:hAnsi="Times New Roman" w:eastAsiaTheme="minorEastAsia"/>
          <w:b/>
          <w:kern w:val="0"/>
          <w:sz w:val="24"/>
          <w:szCs w:val="24"/>
        </w:rPr>
        <w:t>1、种类组成</w:t>
      </w:r>
    </w:p>
    <w:p>
      <w:pPr>
        <w:widowControl/>
        <w:adjustRightInd w:val="0"/>
        <w:snapToGrid w:val="0"/>
        <w:spacing w:line="360" w:lineRule="auto"/>
        <w:ind w:firstLine="480" w:firstLineChars="200"/>
        <w:rPr>
          <w:rFonts w:ascii="Times New Roman" w:hAnsi="Times New Roman" w:eastAsiaTheme="minorEastAsia"/>
          <w:kern w:val="0"/>
          <w:sz w:val="24"/>
          <w:szCs w:val="24"/>
          <w:lang w:val="zh-CN"/>
        </w:rPr>
      </w:pPr>
      <w:r>
        <w:rPr>
          <w:rFonts w:ascii="Times New Roman" w:hAnsi="Times New Roman" w:eastAsiaTheme="minorEastAsia"/>
          <w:sz w:val="24"/>
          <w:szCs w:val="24"/>
          <w:lang w:val="zh-CN"/>
        </w:rPr>
        <w:t>评价区有底栖动物3门</w:t>
      </w:r>
      <w:r>
        <w:rPr>
          <w:rFonts w:ascii="Times New Roman" w:hAnsi="Times New Roman" w:eastAsiaTheme="minorEastAsia"/>
          <w:sz w:val="24"/>
          <w:szCs w:val="24"/>
        </w:rPr>
        <w:t>20</w:t>
      </w:r>
      <w:r>
        <w:rPr>
          <w:rFonts w:ascii="Times New Roman" w:hAnsi="Times New Roman" w:eastAsiaTheme="minorEastAsia"/>
          <w:sz w:val="24"/>
          <w:szCs w:val="24"/>
          <w:lang w:val="zh-CN"/>
        </w:rPr>
        <w:t>种（属）</w:t>
      </w:r>
      <w:r>
        <w:rPr>
          <w:rFonts w:ascii="Times New Roman" w:hAnsi="Times New Roman" w:eastAsiaTheme="minorEastAsia"/>
          <w:kern w:val="0"/>
          <w:sz w:val="24"/>
          <w:szCs w:val="24"/>
        </w:rPr>
        <w:t>，其中节肢动物9种，占总数的</w:t>
      </w:r>
      <w:r>
        <w:rPr>
          <w:rFonts w:ascii="Times New Roman" w:hAnsi="Times New Roman" w:eastAsiaTheme="minorEastAsia"/>
          <w:sz w:val="24"/>
          <w:szCs w:val="24"/>
        </w:rPr>
        <w:t>45.00</w:t>
      </w:r>
      <w:r>
        <w:rPr>
          <w:rFonts w:ascii="Times New Roman" w:hAnsi="Times New Roman" w:eastAsiaTheme="minorEastAsia"/>
          <w:sz w:val="24"/>
          <w:szCs w:val="24"/>
          <w:lang w:val="zh-CN"/>
        </w:rPr>
        <w:t>%；软体动物</w:t>
      </w:r>
      <w:r>
        <w:rPr>
          <w:rFonts w:ascii="Times New Roman" w:hAnsi="Times New Roman" w:eastAsiaTheme="minorEastAsia"/>
          <w:sz w:val="24"/>
          <w:szCs w:val="24"/>
        </w:rPr>
        <w:t>7</w:t>
      </w:r>
      <w:r>
        <w:rPr>
          <w:rFonts w:ascii="Times New Roman" w:hAnsi="Times New Roman" w:eastAsiaTheme="minorEastAsia"/>
          <w:sz w:val="24"/>
          <w:szCs w:val="24"/>
          <w:lang w:val="zh-CN"/>
        </w:rPr>
        <w:t>种，占总数的35.00%；环节动物</w:t>
      </w:r>
      <w:r>
        <w:rPr>
          <w:rFonts w:ascii="Times New Roman" w:hAnsi="Times New Roman" w:eastAsiaTheme="minorEastAsia"/>
          <w:sz w:val="24"/>
          <w:szCs w:val="24"/>
        </w:rPr>
        <w:t>4</w:t>
      </w:r>
      <w:r>
        <w:rPr>
          <w:rFonts w:ascii="Times New Roman" w:hAnsi="Times New Roman" w:eastAsiaTheme="minorEastAsia"/>
          <w:sz w:val="24"/>
          <w:szCs w:val="24"/>
          <w:lang w:val="zh-CN"/>
        </w:rPr>
        <w:t>种，占总数的</w:t>
      </w:r>
      <w:r>
        <w:rPr>
          <w:rFonts w:ascii="Times New Roman" w:hAnsi="Times New Roman" w:eastAsiaTheme="minorEastAsia"/>
          <w:sz w:val="24"/>
          <w:szCs w:val="24"/>
        </w:rPr>
        <w:t>20.00</w:t>
      </w:r>
      <w:r>
        <w:rPr>
          <w:rFonts w:ascii="Times New Roman" w:hAnsi="Times New Roman" w:eastAsiaTheme="minorEastAsia"/>
          <w:sz w:val="24"/>
          <w:szCs w:val="24"/>
          <w:lang w:val="zh-CN"/>
        </w:rPr>
        <w:t>%。常见种类为中华颤蚓（</w:t>
      </w:r>
      <w:r>
        <w:rPr>
          <w:rFonts w:ascii="Times New Roman" w:hAnsi="Times New Roman" w:eastAsiaTheme="minorEastAsia"/>
          <w:i/>
          <w:sz w:val="24"/>
          <w:szCs w:val="24"/>
        </w:rPr>
        <w:t>Tubifex sinicus</w:t>
      </w:r>
      <w:r>
        <w:rPr>
          <w:rFonts w:ascii="Times New Roman" w:hAnsi="Times New Roman" w:eastAsiaTheme="minorEastAsia"/>
          <w:sz w:val="24"/>
          <w:szCs w:val="24"/>
          <w:lang w:val="zh-CN"/>
        </w:rPr>
        <w:t>）、铜锈环棱螺（</w:t>
      </w:r>
      <w:r>
        <w:rPr>
          <w:rFonts w:ascii="Times New Roman" w:hAnsi="Times New Roman" w:eastAsiaTheme="minorEastAsia"/>
          <w:i/>
          <w:sz w:val="24"/>
          <w:szCs w:val="24"/>
        </w:rPr>
        <w:t>Bellamya aeruginosa</w:t>
      </w:r>
      <w:r>
        <w:rPr>
          <w:rFonts w:ascii="Times New Roman" w:hAnsi="Times New Roman" w:eastAsiaTheme="minorEastAsia"/>
          <w:sz w:val="24"/>
          <w:szCs w:val="24"/>
          <w:lang w:val="zh-CN"/>
        </w:rPr>
        <w:t>）、新米虾（</w:t>
      </w:r>
      <w:r>
        <w:rPr>
          <w:rFonts w:ascii="Times New Roman" w:hAnsi="Times New Roman" w:eastAsiaTheme="minorEastAsia"/>
          <w:i/>
          <w:iCs/>
          <w:sz w:val="24"/>
          <w:szCs w:val="24"/>
          <w:lang w:val="zh-CN"/>
        </w:rPr>
        <w:t>Caridina</w:t>
      </w:r>
      <w:r>
        <w:rPr>
          <w:rFonts w:ascii="Times New Roman" w:hAnsi="Times New Roman" w:eastAsiaTheme="minorEastAsia"/>
          <w:sz w:val="24"/>
          <w:szCs w:val="24"/>
          <w:lang w:val="zh-CN"/>
        </w:rPr>
        <w:t xml:space="preserve"> sp.）、摇蚊（</w:t>
      </w:r>
      <w:r>
        <w:rPr>
          <w:rFonts w:ascii="Times New Roman" w:hAnsi="Times New Roman" w:eastAsiaTheme="minorEastAsia"/>
          <w:i/>
          <w:color w:val="000000"/>
          <w:sz w:val="24"/>
          <w:szCs w:val="24"/>
        </w:rPr>
        <w:t xml:space="preserve">Tendipus </w:t>
      </w:r>
      <w:r>
        <w:rPr>
          <w:rFonts w:ascii="Times New Roman" w:hAnsi="Times New Roman" w:eastAsiaTheme="minorEastAsia"/>
          <w:color w:val="000000"/>
          <w:sz w:val="24"/>
          <w:szCs w:val="24"/>
        </w:rPr>
        <w:t>sp.</w:t>
      </w:r>
      <w:r>
        <w:rPr>
          <w:rFonts w:ascii="Times New Roman" w:hAnsi="Times New Roman" w:eastAsiaTheme="minorEastAsia"/>
          <w:sz w:val="24"/>
          <w:szCs w:val="24"/>
          <w:lang w:val="zh-CN"/>
        </w:rPr>
        <w:t>）等。</w:t>
      </w:r>
    </w:p>
    <w:p>
      <w:pPr>
        <w:widowControl/>
        <w:adjustRightInd w:val="0"/>
        <w:snapToGrid w:val="0"/>
        <w:spacing w:line="360" w:lineRule="auto"/>
        <w:ind w:firstLine="482" w:firstLineChars="200"/>
        <w:jc w:val="left"/>
        <w:rPr>
          <w:rFonts w:ascii="Times New Roman" w:hAnsi="Times New Roman" w:eastAsiaTheme="minorEastAsia"/>
          <w:b/>
          <w:kern w:val="0"/>
          <w:sz w:val="24"/>
          <w:szCs w:val="24"/>
        </w:rPr>
      </w:pPr>
      <w:r>
        <w:rPr>
          <w:rFonts w:ascii="Times New Roman" w:hAnsi="Times New Roman" w:eastAsiaTheme="minorEastAsia"/>
          <w:b/>
          <w:kern w:val="0"/>
          <w:sz w:val="24"/>
          <w:szCs w:val="24"/>
        </w:rPr>
        <w:t>2、密度和生物量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kern w:val="0"/>
          <w:sz w:val="24"/>
          <w:szCs w:val="24"/>
        </w:rPr>
        <w:t>调查断面底栖动物平均密度为29.0ind./m</w:t>
      </w:r>
      <w:r>
        <w:rPr>
          <w:rFonts w:ascii="Times New Roman" w:hAnsi="Times New Roman" w:eastAsiaTheme="minorEastAsia"/>
          <w:kern w:val="0"/>
          <w:sz w:val="24"/>
          <w:szCs w:val="24"/>
          <w:vertAlign w:val="superscript"/>
        </w:rPr>
        <w:t>2</w:t>
      </w:r>
      <w:r>
        <w:rPr>
          <w:rFonts w:ascii="Times New Roman" w:hAnsi="Times New Roman" w:eastAsiaTheme="minorEastAsia"/>
          <w:sz w:val="24"/>
          <w:szCs w:val="24"/>
        </w:rPr>
        <w:t>；平均生物量为3.79g/m</w:t>
      </w:r>
      <w:r>
        <w:rPr>
          <w:rFonts w:ascii="Times New Roman" w:hAnsi="Times New Roman" w:eastAsiaTheme="minorEastAsia"/>
          <w:sz w:val="24"/>
          <w:szCs w:val="24"/>
          <w:vertAlign w:val="superscript"/>
        </w:rPr>
        <w:t>2</w:t>
      </w:r>
      <w:r>
        <w:rPr>
          <w:rFonts w:ascii="Times New Roman" w:hAnsi="Times New Roman" w:eastAsiaTheme="minorEastAsia"/>
          <w:sz w:val="24"/>
          <w:szCs w:val="24"/>
        </w:rPr>
        <w:t>。评价区底栖动物密度变化范围为22~34ind./m</w:t>
      </w:r>
      <w:r>
        <w:rPr>
          <w:rFonts w:ascii="Times New Roman" w:hAnsi="Times New Roman" w:eastAsiaTheme="minorEastAsia"/>
          <w:sz w:val="24"/>
          <w:szCs w:val="24"/>
          <w:vertAlign w:val="superscript"/>
        </w:rPr>
        <w:t>2</w:t>
      </w:r>
      <w:r>
        <w:rPr>
          <w:rFonts w:ascii="Times New Roman" w:hAnsi="Times New Roman" w:eastAsiaTheme="minorEastAsia"/>
          <w:sz w:val="24"/>
          <w:szCs w:val="24"/>
        </w:rPr>
        <w:t>；生物量变化范围为2.97~4.59 g/m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pStyle w:val="5"/>
        <w:rPr>
          <w:rFonts w:eastAsiaTheme="minorEastAsia"/>
        </w:rPr>
      </w:pPr>
      <w:r>
        <w:rPr>
          <w:rFonts w:eastAsiaTheme="minorEastAsia"/>
        </w:rPr>
        <w:t>水生维管束植物</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根据调查，保护区江段共有水生维管束植物30种。沉水植物有金鱼藻（</w:t>
      </w:r>
      <w:r>
        <w:rPr>
          <w:rFonts w:ascii="Times New Roman" w:hAnsi="Times New Roman" w:eastAsiaTheme="minorEastAsia"/>
          <w:i/>
          <w:iCs/>
          <w:kern w:val="0"/>
          <w:sz w:val="24"/>
          <w:szCs w:val="24"/>
        </w:rPr>
        <w:t>Ceratophyllum demersum</w:t>
      </w:r>
      <w:r>
        <w:rPr>
          <w:rFonts w:ascii="Times New Roman" w:hAnsi="Times New Roman" w:eastAsiaTheme="minorEastAsia"/>
          <w:bCs/>
          <w:sz w:val="24"/>
          <w:szCs w:val="24"/>
        </w:rPr>
        <w:t>）、黑藻（</w:t>
      </w:r>
      <w:r>
        <w:rPr>
          <w:rFonts w:ascii="Times New Roman" w:hAnsi="Times New Roman" w:eastAsiaTheme="minorEastAsia"/>
          <w:i/>
          <w:iCs/>
          <w:kern w:val="0"/>
          <w:sz w:val="24"/>
          <w:szCs w:val="24"/>
        </w:rPr>
        <w:t>Hydrilla verticillata</w:t>
      </w:r>
      <w:r>
        <w:rPr>
          <w:rFonts w:ascii="Times New Roman" w:hAnsi="Times New Roman" w:eastAsiaTheme="minorEastAsia"/>
          <w:bCs/>
          <w:sz w:val="24"/>
          <w:szCs w:val="24"/>
        </w:rPr>
        <w:t>）等；挺水植物有</w:t>
      </w:r>
      <w:r>
        <w:rPr>
          <w:rFonts w:ascii="Times New Roman" w:hAnsi="Times New Roman" w:eastAsiaTheme="minorEastAsia"/>
          <w:sz w:val="24"/>
          <w:szCs w:val="24"/>
        </w:rPr>
        <w:t>菰（</w:t>
      </w:r>
      <w:r>
        <w:rPr>
          <w:rFonts w:ascii="Times New Roman" w:hAnsi="Times New Roman" w:eastAsiaTheme="minorEastAsia"/>
          <w:i/>
          <w:iCs/>
          <w:sz w:val="24"/>
          <w:szCs w:val="24"/>
        </w:rPr>
        <w:t>Zizania latifolia</w:t>
      </w:r>
      <w:r>
        <w:rPr>
          <w:rFonts w:ascii="Times New Roman" w:hAnsi="Times New Roman" w:eastAsiaTheme="minorEastAsia"/>
          <w:sz w:val="24"/>
          <w:szCs w:val="24"/>
        </w:rPr>
        <w:t>）、</w:t>
      </w:r>
      <w:r>
        <w:rPr>
          <w:rFonts w:ascii="Times New Roman" w:hAnsi="Times New Roman" w:eastAsiaTheme="minorEastAsia"/>
          <w:color w:val="000000"/>
          <w:kern w:val="0"/>
          <w:sz w:val="24"/>
          <w:szCs w:val="24"/>
        </w:rPr>
        <w:t>水蓼（</w:t>
      </w:r>
      <w:r>
        <w:rPr>
          <w:rFonts w:ascii="Times New Roman" w:hAnsi="Times New Roman" w:eastAsiaTheme="minorEastAsia"/>
          <w:i/>
          <w:iCs/>
          <w:color w:val="000000"/>
          <w:kern w:val="0"/>
          <w:sz w:val="24"/>
          <w:szCs w:val="24"/>
        </w:rPr>
        <w:t>Polygonum hydropiper</w:t>
      </w:r>
      <w:r>
        <w:rPr>
          <w:rFonts w:ascii="Times New Roman" w:hAnsi="Times New Roman" w:eastAsiaTheme="minorEastAsia"/>
          <w:color w:val="000000"/>
          <w:kern w:val="0"/>
          <w:sz w:val="24"/>
          <w:szCs w:val="24"/>
        </w:rPr>
        <w:t>）、</w:t>
      </w:r>
      <w:r>
        <w:rPr>
          <w:rFonts w:ascii="Times New Roman" w:hAnsi="Times New Roman" w:eastAsiaTheme="minorEastAsia"/>
          <w:kern w:val="0"/>
          <w:sz w:val="24"/>
          <w:szCs w:val="24"/>
        </w:rPr>
        <w:t>稗（</w:t>
      </w:r>
      <w:r>
        <w:rPr>
          <w:rFonts w:ascii="Times New Roman" w:hAnsi="Times New Roman" w:eastAsiaTheme="minorEastAsia"/>
          <w:i/>
          <w:iCs/>
          <w:color w:val="333333"/>
          <w:sz w:val="24"/>
          <w:szCs w:val="24"/>
          <w:shd w:val="clear" w:color="auto" w:fill="FFFFFF"/>
        </w:rPr>
        <w:t>Echinochloa crusgalli</w:t>
      </w:r>
      <w:r>
        <w:rPr>
          <w:rFonts w:ascii="Times New Roman" w:hAnsi="Times New Roman" w:eastAsiaTheme="minorEastAsia"/>
          <w:kern w:val="0"/>
          <w:sz w:val="24"/>
          <w:szCs w:val="24"/>
        </w:rPr>
        <w:t>）等；浮叶植物有荇菜（</w:t>
      </w:r>
      <w:r>
        <w:rPr>
          <w:rFonts w:ascii="Times New Roman" w:hAnsi="Times New Roman" w:eastAsiaTheme="minorEastAsia"/>
          <w:i/>
          <w:iCs/>
          <w:kern w:val="0"/>
          <w:sz w:val="24"/>
          <w:szCs w:val="24"/>
        </w:rPr>
        <w:t>Nymphoides peltatum</w:t>
      </w:r>
      <w:r>
        <w:rPr>
          <w:rFonts w:ascii="Times New Roman" w:hAnsi="Times New Roman" w:eastAsiaTheme="minorEastAsia"/>
          <w:kern w:val="0"/>
          <w:sz w:val="24"/>
          <w:szCs w:val="24"/>
        </w:rPr>
        <w:t>）、</w:t>
      </w:r>
      <w:r>
        <w:rPr>
          <w:rFonts w:ascii="Times New Roman" w:hAnsi="Times New Roman" w:eastAsiaTheme="minorEastAsia"/>
          <w:color w:val="000000"/>
          <w:kern w:val="0"/>
          <w:sz w:val="24"/>
          <w:szCs w:val="24"/>
        </w:rPr>
        <w:t>水鳖（</w:t>
      </w:r>
      <w:r>
        <w:rPr>
          <w:rFonts w:ascii="Times New Roman" w:hAnsi="Times New Roman" w:eastAsiaTheme="minorEastAsia"/>
          <w:i/>
          <w:iCs/>
          <w:kern w:val="0"/>
          <w:sz w:val="24"/>
          <w:szCs w:val="24"/>
        </w:rPr>
        <w:t>Hydrocharis dubia</w:t>
      </w:r>
      <w:r>
        <w:rPr>
          <w:rFonts w:ascii="Times New Roman" w:hAnsi="Times New Roman" w:eastAsiaTheme="minorEastAsia"/>
          <w:color w:val="000000"/>
          <w:kern w:val="0"/>
          <w:sz w:val="24"/>
          <w:szCs w:val="24"/>
        </w:rPr>
        <w:t>）等；漂浮植物有凤眼蓝（</w:t>
      </w:r>
      <w:r>
        <w:rPr>
          <w:rFonts w:ascii="Times New Roman" w:hAnsi="Times New Roman" w:eastAsiaTheme="minorEastAsia"/>
          <w:i/>
          <w:iCs/>
          <w:kern w:val="0"/>
          <w:sz w:val="24"/>
          <w:szCs w:val="24"/>
        </w:rPr>
        <w:t>Eichhornia crassipes</w:t>
      </w:r>
      <w:r>
        <w:rPr>
          <w:rFonts w:ascii="Times New Roman" w:hAnsi="Times New Roman" w:eastAsiaTheme="minorEastAsia"/>
          <w:color w:val="000000"/>
          <w:kern w:val="0"/>
          <w:sz w:val="24"/>
          <w:szCs w:val="24"/>
        </w:rPr>
        <w:t>）、</w:t>
      </w:r>
      <w:r>
        <w:rPr>
          <w:rFonts w:ascii="Times New Roman" w:hAnsi="Times New Roman" w:eastAsiaTheme="minorEastAsia"/>
          <w:kern w:val="0"/>
          <w:sz w:val="24"/>
          <w:szCs w:val="24"/>
        </w:rPr>
        <w:t>浮萍（</w:t>
      </w:r>
      <w:r>
        <w:rPr>
          <w:rFonts w:ascii="Times New Roman" w:hAnsi="Times New Roman" w:eastAsiaTheme="minorEastAsia"/>
          <w:i/>
          <w:iCs/>
          <w:kern w:val="0"/>
          <w:sz w:val="24"/>
          <w:szCs w:val="24"/>
        </w:rPr>
        <w:t>Lemna minor</w:t>
      </w:r>
      <w:r>
        <w:rPr>
          <w:rFonts w:ascii="Times New Roman" w:hAnsi="Times New Roman" w:eastAsiaTheme="minorEastAsia"/>
          <w:kern w:val="0"/>
          <w:sz w:val="24"/>
          <w:szCs w:val="24"/>
        </w:rPr>
        <w:t>）、满江红（</w:t>
      </w:r>
      <w:r>
        <w:rPr>
          <w:rFonts w:ascii="Times New Roman" w:hAnsi="Times New Roman" w:eastAsiaTheme="minorEastAsia"/>
          <w:i/>
          <w:color w:val="333333"/>
          <w:sz w:val="24"/>
          <w:szCs w:val="24"/>
          <w:shd w:val="clear" w:color="auto" w:fill="FFFFFF"/>
        </w:rPr>
        <w:t>Azolla imbricata</w:t>
      </w:r>
      <w:r>
        <w:rPr>
          <w:rFonts w:ascii="Times New Roman" w:hAnsi="Times New Roman" w:eastAsiaTheme="minorEastAsia"/>
          <w:kern w:val="0"/>
          <w:sz w:val="24"/>
          <w:szCs w:val="24"/>
        </w:rPr>
        <w:t>）等。</w:t>
      </w:r>
      <w:r>
        <w:rPr>
          <w:rFonts w:ascii="Times New Roman" w:hAnsi="Times New Roman" w:eastAsiaTheme="minorEastAsia"/>
          <w:bCs/>
          <w:sz w:val="24"/>
          <w:szCs w:val="24"/>
        </w:rPr>
        <w:t>工程区水生植物稀少，分布一些陆生或湿生植物。</w:t>
      </w:r>
    </w:p>
    <w:p>
      <w:pPr>
        <w:pStyle w:val="69"/>
        <w:ind w:firstLine="0" w:firstLineChars="0"/>
        <w:rPr>
          <w:rFonts w:cs="Times New Roman" w:eastAsiaTheme="minorEastAsia"/>
        </w:rPr>
      </w:pPr>
    </w:p>
    <w:p>
      <w:pPr>
        <w:pStyle w:val="69"/>
        <w:ind w:firstLine="480"/>
        <w:rPr>
          <w:rFonts w:cs="Times New Roman" w:eastAsiaTheme="minorEastAsia"/>
        </w:rPr>
        <w:sectPr>
          <w:headerReference r:id="rId12"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126" w:name="_Toc30699"/>
      <w:r>
        <w:rPr>
          <w:rFonts w:eastAsiaTheme="minorEastAsia"/>
          <w:b/>
          <w:sz w:val="32"/>
          <w:szCs w:val="32"/>
        </w:rPr>
        <w:t>环境可行性分析</w:t>
      </w:r>
      <w:bookmarkEnd w:id="126"/>
    </w:p>
    <w:p>
      <w:pPr>
        <w:pStyle w:val="3"/>
        <w:rPr>
          <w:rFonts w:ascii="Times New Roman" w:hAnsi="Times New Roman" w:eastAsiaTheme="minorEastAsia"/>
          <w:b/>
        </w:rPr>
      </w:pPr>
      <w:bookmarkStart w:id="127" w:name="_Toc1372"/>
      <w:r>
        <w:rPr>
          <w:rFonts w:ascii="Times New Roman" w:hAnsi="Times New Roman" w:eastAsiaTheme="minorEastAsia"/>
          <w:b/>
        </w:rPr>
        <w:t>项目建设必要性</w:t>
      </w:r>
      <w:bookmarkEnd w:id="127"/>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1、本项目对老旧码头设施进行改建，提高生产效率的同时能够减少能源浪费和降低废气排放，是积极响应总书记号召恢复长江生态，走生态优先、绿色发展之路的发展需要。</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习近平总书记2018年在武汉主持召开深入推动长江经济带发展座谈会并发表重要讲话中指出，新形势下推动长江经济带发展，关键是要正确把握整体推进和重点突破、生态环境保护和经济发展、总体谋划和久久为功、破除旧动能和培育新动能、自我发展和协同发展的关系，坚持新发展理念，坚持稳中求进工作总基调，坚持共抓大保护、不搞大开发，加强改革创新、战略统筹、规划引导，以长江经济带发展推动经济高质量发展，不搞大开发不是不要开发，而是不搞破坏性开发，要走生态优先、绿色发展之路。</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本项目对老旧码头设施进行改建，同时完善了油品供应配套设施，促进了运输行业发展方式转变，提高码头生产效率，减少了能源浪费和降低废气排放，有利于提高运输行业节能减排总体水平，因此本项目建设是积极响应总书记号召恢复长江生态，走生态优先、绿色发展之路的发展需要。</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2、本项目的建设是落实湖南省政府关于推进长江岸线湖南段港口码头专项整治工作的需要。</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为贯彻落实习近平总书记在深入推动长江经济带发展座谈会和岳阳视察时的重要讲话精神，2018年5月至今，湖南省多次专题研究推进长江岸线湖南段港口码头专项整治工作。根据专项整治工作的会议要求，对正在运行的13家单位40个泊位需要提质改造，其中本批提质改造10家单位28个泊位，待总规确定后提质改造3家单位12个泊位。本批有提质改造任务的10家单位聘请有资质的设计单位，于2018年6月30日前拿出切实可行的提质改造实施方案，方案要符合生态港口和现代化码头的要求，送省交通运输厅审批。省交通运输厅组织专家评审，2018年7月30日前完成方案评审后组织实施。其余3家单位和暂停建设的5家单位待总规确定过后拿出提质改造或关闭、搬迁方案报批后实施。长岭分公司港口部码头即属于本次提质改造10家单位之一。</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根据湖南省交通运输厅湘交函〔2018〕320号“关于报送长江岸线湖南段港口码头渡口提质改造实施方案的函（长江岸线湖南段港口码头提质改造指导意见）”要求，结合平安港口、生态港口和现代化码头需求，在完成港口码头整治第一阶段任务后，两年时间内完成长江岸线湖南段港口码头提质改造工作。</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根据2018年7月湖南省水运管理局发布了《长江岸线湖南段港口码头提质改造实施方案指南》，指南提出了港容、生态、安全、智能四大目标，最终将岳阳港打造成以绿色、平安、智能的现代化港口，成为湖南省的生态线、融入长江经济带和“一带一路”的出入线。</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长岭公司现有码头建成较早，存在较大的安全环保隐患，与现代化港口的各项要求存在较大差距，本项目的建设对老旧码头的技术升级，有利于推进港口质量、安全管理体系和安全生产标准化工作，因此本项目的建设是落实湖南省政府关于推进长江岸线湖南段港口码头专项整治工作的需要。</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3、本项目建设对老旧码头进行升级改造，完善了安全生产及相应消防设施，满足相应法律法规要求，是长岭炼化公司经营生产的发展需要。</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长岭炼化公司港口部码头于上世纪70年代初期建成投产，现共有四个危化品码头和1个工作码头，8个危化品装卸泊位和1个工作泊位，装卸及中转品种15个左右，除满足长岭炼化公司原料和产品接卸中转外，还承担湖南省市场汽柴油、岳阳绿色化工产业园、沿长江企业原料及产品的接卸中转业务，并承担长江航道消防、紧急救援、锚地管理、航道运转管理等居多社会职能。由于码头建成较早，相关配套、消防设施已不满足目前各项现行安全生产法律法规的要求，存在较大隐患，一旦因此发生事故对长岭公司的经营发展十分不利。</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本项目建设完善了安全生产及相应消防设施，满足相应法律法规要求，因此，本项目是长岭炼化公司经营生产的发展需要。</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4、原设计承载能力不能满足现有及未来发展要求</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hint="eastAsia" w:ascii="宋体" w:hAnsi="宋体" w:cs="宋体"/>
          <w:bCs/>
          <w:sz w:val="24"/>
          <w:szCs w:val="24"/>
        </w:rPr>
        <w:t>⑴</w:t>
      </w:r>
      <w:r>
        <w:rPr>
          <w:rFonts w:ascii="Times New Roman" w:hAnsi="Times New Roman" w:eastAsiaTheme="minorEastAsia"/>
          <w:bCs/>
          <w:sz w:val="24"/>
          <w:szCs w:val="24"/>
        </w:rPr>
        <w:t xml:space="preserve"> 输送品种及管线增加较多。</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所有码头原设计均只有原油，设计时引桥结构并没有预留增加其他品种的余地，而目前输送品种包括绥中原油、汽油、柴油、乙烯裂解料、石脑油、高等级道路沥青、200#沥青、蜡油、油浆、二甲苯、醋酸、醋酸仲丁酯、醋酸甲酯等品种。汽柴油等品种几个码头均装卸，未来还需要增加航煤、烷基化油、甲苯、液化天然气及化工园原料和产品，每个码头输送物料由原设计的一个品种，增加到4~5个甚至更多，输送管线增加到4~5根甚至更多。</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hint="eastAsia" w:ascii="宋体" w:hAnsi="宋体" w:cs="宋体"/>
          <w:bCs/>
          <w:sz w:val="24"/>
          <w:szCs w:val="24"/>
        </w:rPr>
        <w:t>⑵</w:t>
      </w:r>
      <w:r>
        <w:rPr>
          <w:rFonts w:ascii="Times New Roman" w:hAnsi="Times New Roman" w:eastAsiaTheme="minorEastAsia"/>
          <w:bCs/>
          <w:sz w:val="24"/>
          <w:szCs w:val="24"/>
        </w:rPr>
        <w:t xml:space="preserve"> 增加的品种管线较大。</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尽管现有及未来输送的单个品种，年输送总量远小于原油，但码头输送管线大小是按照单艘运输船在一定时间内装卸完进行设计的，所需的输送管径及重量依然较大。</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hint="eastAsia" w:ascii="宋体" w:hAnsi="宋体" w:cs="宋体"/>
          <w:bCs/>
          <w:sz w:val="24"/>
          <w:szCs w:val="24"/>
        </w:rPr>
        <w:t>⑶</w:t>
      </w:r>
      <w:r>
        <w:rPr>
          <w:rFonts w:ascii="Times New Roman" w:hAnsi="Times New Roman" w:eastAsiaTheme="minorEastAsia"/>
          <w:bCs/>
          <w:sz w:val="24"/>
          <w:szCs w:val="24"/>
        </w:rPr>
        <w:t xml:space="preserve"> 还需要增加其他承载。</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本次提质升级改造，还需要在每个码头及引桥上增加生活污水、生产污水输送管线，油气回收管线，并改造和增加安全、消防、供电、防漏油收集、照明、自动控制等设施。</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hint="eastAsia" w:ascii="宋体" w:hAnsi="宋体" w:cs="宋体"/>
          <w:bCs/>
          <w:sz w:val="24"/>
          <w:szCs w:val="24"/>
        </w:rPr>
        <w:t>⑷</w:t>
      </w:r>
      <w:r>
        <w:rPr>
          <w:rFonts w:ascii="Times New Roman" w:hAnsi="Times New Roman" w:eastAsiaTheme="minorEastAsia"/>
          <w:bCs/>
          <w:sz w:val="24"/>
          <w:szCs w:val="24"/>
        </w:rPr>
        <w:t xml:space="preserve"> 实际承载量已经超过最大设计承载能力。</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现有及未来码头及引桥需要的结构承载能力，大大超过原设计承载能力一倍以上甚至更多，二航院（所有码头均为二航院设计，原始基础资料较完整）在进行核算时，发现目前实际情况下，所有码头及引桥的承载，均超过原有设计的最大承载能力，存在较大的安全风险。</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hint="eastAsia" w:ascii="宋体" w:hAnsi="宋体" w:cs="宋体"/>
          <w:bCs/>
          <w:sz w:val="24"/>
          <w:szCs w:val="24"/>
        </w:rPr>
        <w:t>⑸</w:t>
      </w:r>
      <w:r>
        <w:rPr>
          <w:rFonts w:ascii="Times New Roman" w:hAnsi="Times New Roman" w:eastAsiaTheme="minorEastAsia"/>
          <w:bCs/>
          <w:sz w:val="24"/>
          <w:szCs w:val="24"/>
        </w:rPr>
        <w:t xml:space="preserve"> 结构强度不能满足要求。</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为了进一步评估码头及引桥安全风险，2018年8月，长岭委托检测单位，对每个码头的结构、钢引桥的安全及承载能力情况进行了检测。检测报告表明，所有引桥的结构强度均难以满足新的标准规范要求，如果在现有引桥的基础上对每个码头进行改造，改造工程量和投资均较大（基本拆除重建），对正常生产运行的影响也很大。</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5、业务功能需要进行优化调整</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长岭现有码头的功能和装卸品种的分配是逐步添加的，没有进行统一的规划，也未考虑对未来发展的适应要求，功能布局较为凌乱。同时随着湖南省成品油和航空煤油的市场需求不断扩大，未来从长岭码头转输的汽柴油、航煤的数量可能进一步增加，沿江企业互供料品种和数量也将进一步发生变化，区域化工行业的发展，通过长岭码头接卸的物料品种和数量也会发生变化，因此，需要对码头的业务和功能分配进行统一的优化和调整，适应未来发展的需要。</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6、泊位等级难以适应航运发展要求</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长岭码头现有趸船接卸等级均为3000吨级，随着长江航运的发展，高于3000吨级的危化品运输船只总量逐年增加，2017年接卸装载量超过3000吨的船只达到296艘，其中5000吨船只51艘，2018年接卸的装载量超过3000吨的船只达到239艘，其中5000吨船30艘，2018年装载量大于3000吨船只，占总接卸船只比例为37.37%，3000吨级趸船接卸3000吨以上船舶存在安全风险，长江航运管理的日益规范化，主管部门的查处也越来越严格，因此需要提高趸船的接卸等级，将部分趸船的接卸等级提高到5000吨级，以适应长江航运发展的需要。</w:t>
      </w:r>
    </w:p>
    <w:p>
      <w:pPr>
        <w:pStyle w:val="3"/>
        <w:rPr>
          <w:rFonts w:ascii="Times New Roman" w:hAnsi="Times New Roman" w:eastAsiaTheme="minorEastAsia"/>
          <w:b/>
        </w:rPr>
      </w:pPr>
      <w:bookmarkStart w:id="128" w:name="_Toc2796"/>
      <w:r>
        <w:rPr>
          <w:rFonts w:ascii="Times New Roman" w:hAnsi="Times New Roman" w:eastAsiaTheme="minorEastAsia"/>
          <w:b/>
        </w:rPr>
        <w:t>产业政策符合性分析</w:t>
      </w:r>
      <w:bookmarkEnd w:id="128"/>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根据《产业结构调整指导目录（2019年本）》中内容，本项目属于“鼓励类”第七条“石油、天然气”中的“原油、天然气、液化天然气、成品油的储运和管道输送设施及网络建设”和第二十五条“水运”中的“深水泊位（沿海万吨级、内河千吨级及以上）建设”项目。另外，本项目不属于《限制用地项目目录（2012年本）》和《禁止用地项目目录（2012年本）》中的限制用地和禁止用地。因此，本项目的建设符合国家产业政策和相关法律、法规的要求。</w:t>
      </w:r>
    </w:p>
    <w:p>
      <w:pPr>
        <w:pStyle w:val="3"/>
        <w:rPr>
          <w:rFonts w:ascii="Times New Roman" w:hAnsi="Times New Roman" w:eastAsiaTheme="minorEastAsia"/>
          <w:b/>
        </w:rPr>
      </w:pPr>
      <w:bookmarkStart w:id="129" w:name="_Toc3460"/>
      <w:r>
        <w:rPr>
          <w:rFonts w:ascii="Times New Roman" w:hAnsi="Times New Roman" w:eastAsiaTheme="minorEastAsia"/>
          <w:b/>
        </w:rPr>
        <w:t>相关规划符合性分析</w:t>
      </w:r>
      <w:bookmarkEnd w:id="129"/>
    </w:p>
    <w:p>
      <w:pPr>
        <w:pStyle w:val="4"/>
        <w:rPr>
          <w:rFonts w:eastAsiaTheme="minorEastAsia"/>
          <w:szCs w:val="24"/>
        </w:rPr>
      </w:pPr>
      <w:r>
        <w:rPr>
          <w:rFonts w:eastAsiaTheme="minorEastAsia"/>
          <w:szCs w:val="24"/>
        </w:rPr>
        <w:t>与</w:t>
      </w:r>
      <w:r>
        <w:rPr>
          <w:rFonts w:eastAsiaTheme="minorEastAsia"/>
          <w:color w:val="000000"/>
          <w:szCs w:val="24"/>
        </w:rPr>
        <w:t>《长江干线航道总体规划纲要》、《长江干线航道建设规划》</w:t>
      </w:r>
      <w:r>
        <w:rPr>
          <w:rFonts w:eastAsiaTheme="minorEastAsia"/>
          <w:szCs w:val="24"/>
        </w:rPr>
        <w:t>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根据《长江干线航道总体规划纲要》、《长江干线航道建设规划》，重庆至城陵矶河段：一级航道标准，其中宜昌至城陵矶航道为内河</w:t>
      </w:r>
      <w:r>
        <w:rPr>
          <w:rFonts w:hint="eastAsia" w:ascii="宋体" w:hAnsi="宋体" w:cs="宋体"/>
          <w:color w:val="000000"/>
          <w:sz w:val="24"/>
          <w:szCs w:val="24"/>
        </w:rPr>
        <w:t>Ⅰ</w:t>
      </w:r>
      <w:r>
        <w:rPr>
          <w:rFonts w:ascii="Times New Roman" w:hAnsi="Times New Roman" w:eastAsiaTheme="minorEastAsia"/>
          <w:color w:val="000000"/>
          <w:sz w:val="24"/>
          <w:szCs w:val="24"/>
        </w:rPr>
        <w:t>级，水深3.5m；城陵矶至武汉河段：一级航道标准，水深3.7m，通航由3000t级驳船组成的万t级船队，利用航道自然水深通航3000t级江海轮，洪水时通行5000t级江海轮。武汉以下航道为内河</w:t>
      </w:r>
      <w:r>
        <w:rPr>
          <w:rFonts w:hint="eastAsia" w:ascii="宋体" w:hAnsi="宋体" w:cs="宋体"/>
          <w:color w:val="000000"/>
          <w:sz w:val="24"/>
          <w:szCs w:val="24"/>
        </w:rPr>
        <w:t>Ⅰ</w:t>
      </w:r>
      <w:r>
        <w:rPr>
          <w:rFonts w:ascii="Times New Roman" w:hAnsi="Times New Roman" w:eastAsiaTheme="minorEastAsia"/>
          <w:color w:val="000000"/>
          <w:sz w:val="24"/>
          <w:szCs w:val="24"/>
        </w:rPr>
        <w:t>级，水深4.5m以上，5000t级江海轮可在自然水深条件下通航。</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拟建码头位于“城陵矶至武汉河段”，码头进出船舶航行及靠泊便利，码头前沿停靠作业水域和船舶回旋水域不占用主航道。拟建码头设计水位为30.79m，连接主航道及码头的港池水域的2~4#泊位码头前沿设计河底高程为11.8m，5~6#泊位码头前沿设计河底高程为12.7m，5000吨级油船和3000吨级液体散货船的设计航道水深分别为4.7m、3.8m，能够满足满足3000t和5000t级船舶的航行要求。</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因此，本项目与航道现状及规划是协调一致的。</w:t>
      </w:r>
    </w:p>
    <w:p>
      <w:pPr>
        <w:pStyle w:val="4"/>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与《长江岸线保护和开发利用总体规划》的符合性分析</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长江岸线保护和开发利用总体规划》共划分岸线保护区516个，长度1964.2km，占岸线总长度的11.3%；岸线保留区1034个，长度为9306.3km，占岸线总长度的53.5%；岸线控制利用区817个，长度为4642.8km，占岸线总长度的26.7%；岸线开发利用区232个，长度为1480.4km，占岸线总长度的8.5%。</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根据长江岸线功能区分区规划，本项目位于长江右岸陆城，属于控制利用区，陆域及水深条件较好，预留港口发展岸线。拟建码头不在岸线保护区和保留区内，符合《长江岸线保护和开发利用总体规划》的要求。</w:t>
      </w:r>
    </w:p>
    <w:p>
      <w:pPr>
        <w:pStyle w:val="4"/>
        <w:rPr>
          <w:rFonts w:eastAsiaTheme="minorEastAsia"/>
          <w:szCs w:val="24"/>
        </w:rPr>
      </w:pPr>
      <w:r>
        <w:rPr>
          <w:rFonts w:eastAsiaTheme="minorEastAsia"/>
          <w:szCs w:val="24"/>
        </w:rPr>
        <w:t>与《长江经济带发展负面清单指南（试行）》的符合性分析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长江经济带发展负面清单指南（试行）》（第89号）指出，禁止建设不符合全国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本项目属于岳阳港总体规划的码头项目，并且不在自然保护区及饮用水水源保护区范围内，与《长江经济带发展负面清单指南（试行）》（第89号）中的要求是不相冲突的。</w:t>
      </w:r>
    </w:p>
    <w:p>
      <w:pPr>
        <w:pStyle w:val="4"/>
        <w:rPr>
          <w:rFonts w:eastAsiaTheme="minorEastAsia"/>
        </w:rPr>
      </w:pPr>
      <w:r>
        <w:rPr>
          <w:rFonts w:eastAsiaTheme="minorEastAsia"/>
        </w:rPr>
        <w:t>与</w:t>
      </w:r>
      <w:r>
        <w:rPr>
          <w:rFonts w:eastAsiaTheme="minorEastAsia"/>
          <w:color w:val="000000"/>
          <w:szCs w:val="24"/>
        </w:rPr>
        <w:t>《湖南省交通运输“十三五”发展规划》</w:t>
      </w:r>
      <w:r>
        <w:rPr>
          <w:rFonts w:eastAsiaTheme="minorEastAsia"/>
        </w:rPr>
        <w:t>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湖南省交通运输“十三五”发展规划》：“港口：重点加快岳阳港现代化建设步伐，围绕“一百万标箱、两亿吨大港”目标，将岳阳港打造成长江沿线枢纽港、上海港重要的喂给港、我省内河水运中转枢纽港；积极推动长株潭港口群一体化建设；统筹推进常德港、益阳港、永州港、衡阳港等地区重要港口建设；到2020年，新增1000吨级及以上泊位126个</w:t>
      </w:r>
      <w:r>
        <w:rPr>
          <w:rFonts w:hint="eastAsia" w:ascii="Times New Roman" w:hAnsi="Times New Roman" w:eastAsiaTheme="minorEastAsia"/>
          <w:color w:val="000000"/>
          <w:sz w:val="24"/>
          <w:szCs w:val="24"/>
        </w:rPr>
        <w:t>，</w:t>
      </w:r>
      <w:r>
        <w:rPr>
          <w:rFonts w:ascii="Times New Roman" w:hAnsi="Times New Roman" w:eastAsiaTheme="minorEastAsia"/>
          <w:color w:val="000000"/>
          <w:sz w:val="24"/>
          <w:szCs w:val="24"/>
        </w:rPr>
        <w:t>达到232个，全省港口总通过能力超过3亿吨，其中集装箱通过能力达150万标箱。”本项目的实施是有助“将岳阳港打造成长江沿线枢纽港、上海港重要的喂给港、我省内河水运中转枢纽港”的。</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因此，本项目是符合《湖南省交通运输“十三五”发展规划》的。</w:t>
      </w:r>
    </w:p>
    <w:p>
      <w:pPr>
        <w:pStyle w:val="4"/>
        <w:rPr>
          <w:rFonts w:eastAsiaTheme="minorEastAsia"/>
        </w:rPr>
      </w:pPr>
      <w:r>
        <w:rPr>
          <w:rFonts w:eastAsiaTheme="minorEastAsia"/>
        </w:rPr>
        <w:t>与《湖南省港口布局规划》的符合性分析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湖南省港口布局规划》，湖南省形成以岳阳港、长沙港2个主要港口为核心，以衡阳港、湘潭港、株洲港、益阳港、常德港、桃源港、津市港、南县港、沅江港、泸溪港、辰溪港、邵阳港、资兴港等13个地区重要港口为基础，其他一般港口为补充的，布局合理、层次分明、功能明确、与区域经济发展水平相适应的港口体系。根据港辖区范围的调整思路，将岳阳市所辖的各县（市）内港口统称为一个县（市）级港区。因此，规划岳阳港辖岳阳楼港区、七里山港区、城陵矶港区、道仁矶港区、陆城港区、君山港区、湘阴港区、汨罗港区、华容港区、岳阳县港区、临湘港区等11个港区。本项目位于岳阳港的云溪港区陆城作业区范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因此，本项目是符合《湖南省港口布局规划》要求的。</w:t>
      </w:r>
    </w:p>
    <w:p>
      <w:pPr>
        <w:pStyle w:val="4"/>
        <w:rPr>
          <w:rFonts w:eastAsiaTheme="minorEastAsia"/>
        </w:rPr>
      </w:pPr>
      <w:r>
        <w:rPr>
          <w:rFonts w:eastAsiaTheme="minorEastAsia"/>
        </w:rPr>
        <w:t>与《岳阳市城市总体规划（2008-2030）》的符合性分析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岳阳市城市总体规划（2008-2030）》指出，岳阳港是我国内河主要港口、长江沿线枢纽港之一、上海港的喂给港；湖南“3+5城市群”的水运中转枢纽；是湖南现代物流的重要支撑和对外开放、发展外向型经济的重要依托。应继续贯彻“以港兴市”的战略思想，规划城陵矶（包括松杨湖港）、岳阳楼、七里山、道仁矶、陆城、君山、湘阴、汨罗、岳阳县、华容、临湘等十一个港区，将协调岸线资源和港口功能的发挥作为重大基础设施和社会服务设施对接。该规划指出，将陆城作业区是以石化企业的原油及成品油运输服务的货主综合性港区。本项目建成后，其主要为长岭分公司服务。主要运输货种为液化石油气、化工品及原料。</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因此，本项目的建设符合《岳阳市城市总体规划（2008-2030）》的要求。</w:t>
      </w:r>
    </w:p>
    <w:p>
      <w:pPr>
        <w:pStyle w:val="4"/>
        <w:rPr>
          <w:rFonts w:eastAsiaTheme="minorEastAsia"/>
        </w:rPr>
      </w:pPr>
      <w:r>
        <w:rPr>
          <w:rFonts w:eastAsiaTheme="minorEastAsia"/>
        </w:rPr>
        <w:t>与《岳阳市生态环境保护“十三五”规划》的符合性分析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岳阳市生态环境保护“十三五”规划》提出“严禁港口码头生产生活废水直排，促进船舶标准化，船舶、港口、码头生活垃圾上岸处置”。本项目产生的生活废水均进入长岭分公司第二污水处理厂，处理达标后最终排入长江。码头的生活垃圾交由环卫部门统一处置。</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因此，本项目是与《岳阳市生态环境保护“十三五”规划》相符合的。</w:t>
      </w:r>
    </w:p>
    <w:p>
      <w:pPr>
        <w:pStyle w:val="4"/>
        <w:rPr>
          <w:rFonts w:eastAsiaTheme="minorEastAsia"/>
        </w:rPr>
      </w:pPr>
      <w:r>
        <w:rPr>
          <w:rFonts w:eastAsiaTheme="minorEastAsia"/>
        </w:rPr>
        <w:t>与《岳阳市国民经济和社会发展第十三个五年规划纲要》符合性分析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岳阳市国民经济和社会发展第十三个五年规划纲要》中指出：“畅通水运通道。加强岳阳楼、七里山、城陵矶、道仁矶4个重要港区和陆城、君山、湘阴、汨罗、岳阳县、华容、临湘7个一般港区建设，完善港口集疏运体系，提升港口服务功能，启动洞庭湖水利综合枢纽工程前期工作。积极推动城陵矶至武汉长江干线航道疏浚治理，实现常年维护水深6</w:t>
      </w:r>
      <w:r>
        <w:rPr>
          <w:rFonts w:hint="eastAsia" w:ascii="Times New Roman" w:hAnsi="Times New Roman" w:eastAsiaTheme="minorEastAsia"/>
          <w:color w:val="000000"/>
          <w:sz w:val="24"/>
          <w:szCs w:val="24"/>
        </w:rPr>
        <w:t>m</w:t>
      </w:r>
      <w:r>
        <w:rPr>
          <w:rFonts w:ascii="Times New Roman" w:hAnsi="Times New Roman" w:eastAsiaTheme="minorEastAsia"/>
          <w:color w:val="000000"/>
          <w:sz w:val="24"/>
          <w:szCs w:val="24"/>
        </w:rPr>
        <w:t>，达到常年散货1.2万吨级、集装箱5000吨级通航标准。加强湘江干线岳阳段疏浚治理，形成与长江干线有机衔接的支线网络。到2020年，四级及以上航道里程达到354</w:t>
      </w:r>
      <w:r>
        <w:rPr>
          <w:rFonts w:ascii="Times New Roman" w:hAnsi="Times New Roman" w:eastAsiaTheme="minorEastAsia"/>
          <w:color w:val="000000" w:themeColor="text1"/>
          <w:sz w:val="24"/>
          <w:szCs w:val="24"/>
          <w14:textFill>
            <w14:solidFill>
              <w14:schemeClr w14:val="tx1"/>
            </w14:solidFill>
          </w14:textFill>
        </w:rPr>
        <w:t>km</w:t>
      </w:r>
      <w:r>
        <w:rPr>
          <w:rFonts w:ascii="Times New Roman" w:hAnsi="Times New Roman" w:eastAsiaTheme="minorEastAsia"/>
          <w:color w:val="000000"/>
          <w:sz w:val="24"/>
          <w:szCs w:val="24"/>
        </w:rPr>
        <w:t>。”由此可知，本项目属于陆城作业区的建设内容。</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因此，本项目是符合《岳阳市国民经济和社会发展第十三个五年规划纲要》的。</w:t>
      </w:r>
    </w:p>
    <w:p>
      <w:pPr>
        <w:pStyle w:val="4"/>
        <w:rPr>
          <w:rFonts w:eastAsiaTheme="minorEastAsia"/>
        </w:rPr>
      </w:pPr>
      <w:r>
        <w:rPr>
          <w:rFonts w:eastAsiaTheme="minorEastAsia"/>
        </w:rPr>
        <w:t>与《岳阳港总体规划》的符合性分析</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根据《岳阳港总体规划》：“陆城作业区上起临江矶，下至新港，规划港口岸线1680</w:t>
      </w:r>
      <w:r>
        <w:rPr>
          <w:rFonts w:hint="eastAsia" w:ascii="Times New Roman" w:hAnsi="Times New Roman" w:eastAsiaTheme="minorEastAsia"/>
          <w:color w:val="FF0000"/>
          <w:sz w:val="24"/>
          <w:szCs w:val="24"/>
          <w:u w:val="single"/>
        </w:rPr>
        <w:t>m</w:t>
      </w:r>
      <w:r>
        <w:rPr>
          <w:rFonts w:ascii="Times New Roman" w:hAnsi="Times New Roman" w:eastAsiaTheme="minorEastAsia"/>
          <w:color w:val="FF0000"/>
          <w:sz w:val="24"/>
          <w:szCs w:val="24"/>
          <w:u w:val="single"/>
        </w:rPr>
        <w:t>。规划以原油及制品运输为主，主要为长岭炼油厂及后方工业园的油品运输服务。规划保留并提质升级现有的长岭炼油厂液体化工码头。在关停取缔现有的福强码头、顺帆码头基础上，规划布置3</w:t>
      </w:r>
      <w:r>
        <w:rPr>
          <w:rFonts w:hint="eastAsia" w:ascii="Times New Roman" w:hAnsi="Times New Roman" w:eastAsiaTheme="minorEastAsia"/>
          <w:color w:val="FF0000"/>
          <w:sz w:val="24"/>
          <w:szCs w:val="24"/>
          <w:u w:val="single"/>
        </w:rPr>
        <w:t>个5000吨级泊位和2个3000吨级</w:t>
      </w:r>
      <w:r>
        <w:rPr>
          <w:rFonts w:ascii="Times New Roman" w:hAnsi="Times New Roman" w:eastAsiaTheme="minorEastAsia"/>
          <w:color w:val="FF0000"/>
          <w:sz w:val="24"/>
          <w:szCs w:val="24"/>
          <w:u w:val="single"/>
        </w:rPr>
        <w:t>的液体散货泊位，</w:t>
      </w:r>
      <w:r>
        <w:rPr>
          <w:rFonts w:hint="eastAsia" w:ascii="Times New Roman" w:hAnsi="Times New Roman" w:eastAsiaTheme="minorEastAsia"/>
          <w:color w:val="FF0000"/>
          <w:sz w:val="24"/>
          <w:szCs w:val="24"/>
          <w:u w:val="single"/>
        </w:rPr>
        <w:t>占用岸线长度768m</w:t>
      </w:r>
      <w:r>
        <w:rPr>
          <w:rFonts w:ascii="Times New Roman" w:hAnsi="Times New Roman" w:eastAsiaTheme="minorEastAsia"/>
          <w:color w:val="FF0000"/>
          <w:sz w:val="24"/>
          <w:szCs w:val="24"/>
          <w:u w:val="single"/>
        </w:rPr>
        <w:t>，后方陆域纵深400</w:t>
      </w:r>
      <w:r>
        <w:rPr>
          <w:rFonts w:hint="eastAsia" w:ascii="Times New Roman" w:hAnsi="Times New Roman" w:eastAsiaTheme="minorEastAsia"/>
          <w:color w:val="FF0000"/>
          <w:sz w:val="24"/>
          <w:szCs w:val="24"/>
          <w:u w:val="single"/>
        </w:rPr>
        <w:t>m</w:t>
      </w:r>
      <w:r>
        <w:rPr>
          <w:rFonts w:ascii="Times New Roman" w:hAnsi="Times New Roman" w:eastAsiaTheme="minorEastAsia"/>
          <w:color w:val="FF0000"/>
          <w:sz w:val="24"/>
          <w:szCs w:val="24"/>
          <w:u w:val="single"/>
        </w:rPr>
        <w:t>，形成通过能力400万吨。将岳阳海事局陆城巡航执法大队海事趸船保留布置在长岭炼油厂生活码头岸线”。本项目即为“规划保留并提质升级现有的长岭炼油厂液体化工码头”，码头以原油及制品运输为主，主要为长岭炼油厂及后方工业园的油品运输服务。</w:t>
      </w:r>
      <w:r>
        <w:rPr>
          <w:rFonts w:hint="eastAsia" w:ascii="Times New Roman" w:hAnsi="Times New Roman" w:eastAsiaTheme="minorEastAsia"/>
          <w:color w:val="FF0000"/>
          <w:sz w:val="24"/>
          <w:szCs w:val="24"/>
          <w:u w:val="single"/>
        </w:rPr>
        <w:t>同时，本项目</w:t>
      </w:r>
      <w:r>
        <w:rPr>
          <w:rFonts w:ascii="Times New Roman" w:hAnsi="Times New Roman" w:eastAsiaTheme="minorEastAsia"/>
          <w:color w:val="FF0000"/>
          <w:sz w:val="24"/>
          <w:szCs w:val="24"/>
          <w:u w:val="single"/>
        </w:rPr>
        <w:t>也取得了</w:t>
      </w:r>
      <w:r>
        <w:rPr>
          <w:rFonts w:hint="eastAsia" w:ascii="Times New Roman" w:hAnsi="Times New Roman" w:eastAsiaTheme="minorEastAsia"/>
          <w:color w:val="FF0000"/>
          <w:sz w:val="24"/>
          <w:szCs w:val="24"/>
          <w:u w:val="single"/>
        </w:rPr>
        <w:t>湖南</w:t>
      </w:r>
      <w:r>
        <w:rPr>
          <w:rFonts w:ascii="Times New Roman" w:hAnsi="Times New Roman" w:eastAsiaTheme="minorEastAsia"/>
          <w:color w:val="FF0000"/>
          <w:sz w:val="24"/>
          <w:szCs w:val="24"/>
          <w:u w:val="single"/>
        </w:rPr>
        <w:t>省交通运输厅对工可研究报告的审查意见（</w:t>
      </w:r>
      <w:r>
        <w:rPr>
          <w:rFonts w:hint="eastAsia" w:ascii="Times New Roman" w:hAnsi="Times New Roman" w:eastAsiaTheme="minorEastAsia"/>
          <w:color w:val="FF0000"/>
          <w:sz w:val="24"/>
          <w:szCs w:val="24"/>
          <w:u w:val="single"/>
        </w:rPr>
        <w:t>湘交函〔2020〕383号</w:t>
      </w:r>
      <w:r>
        <w:rPr>
          <w:rFonts w:ascii="Times New Roman" w:hAnsi="Times New Roman" w:eastAsiaTheme="minorEastAsia"/>
          <w:color w:val="FF0000"/>
          <w:sz w:val="24"/>
          <w:szCs w:val="24"/>
          <w:u w:val="single"/>
        </w:rPr>
        <w:t>）</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详见附件</w:t>
      </w:r>
      <w:r>
        <w:rPr>
          <w:rFonts w:hint="eastAsia" w:ascii="Times New Roman" w:hAnsi="Times New Roman" w:eastAsiaTheme="minorEastAsia"/>
          <w:color w:val="FF0000"/>
          <w:sz w:val="24"/>
          <w:szCs w:val="24"/>
          <w:u w:val="single"/>
          <w:lang w:val="en-US" w:eastAsia="zh-CN"/>
        </w:rPr>
        <w:t>3</w:t>
      </w:r>
      <w:r>
        <w:rPr>
          <w:rFonts w:ascii="Times New Roman" w:hAnsi="Times New Roman" w:eastAsiaTheme="minorEastAsia"/>
          <w:color w:val="FF0000"/>
          <w:sz w:val="24"/>
          <w:szCs w:val="24"/>
          <w:u w:val="single"/>
        </w:rPr>
        <w:t>。</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FF0000"/>
          <w:sz w:val="24"/>
          <w:szCs w:val="24"/>
          <w:u w:val="single"/>
        </w:rPr>
        <w:t>因此，本项目符合《岳阳港总体规划》对该岸线的规划利用、功能区划与定位。</w:t>
      </w:r>
    </w:p>
    <w:p>
      <w:pPr>
        <w:pStyle w:val="4"/>
        <w:rPr>
          <w:rFonts w:eastAsiaTheme="minorEastAsia"/>
        </w:rPr>
      </w:pPr>
      <w:r>
        <w:rPr>
          <w:rFonts w:eastAsiaTheme="minorEastAsia"/>
        </w:rPr>
        <w:t>与《岳阳港总体规划环评》及评价结论的符合性分析</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Times New Roman" w:hAnsi="Times New Roman" w:eastAsiaTheme="minorEastAsia"/>
          <w:kern w:val="0"/>
          <w:sz w:val="24"/>
          <w:szCs w:val="24"/>
        </w:rPr>
        <w:t>2020年3月27日</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对</w:t>
      </w:r>
      <w:r>
        <w:rPr>
          <w:rFonts w:ascii="Times New Roman" w:hAnsi="Times New Roman" w:eastAsiaTheme="minorEastAsia"/>
          <w:kern w:val="0"/>
          <w:sz w:val="24"/>
          <w:szCs w:val="24"/>
        </w:rPr>
        <w:t>《岳阳港总体规划</w:t>
      </w:r>
      <w:r>
        <w:rPr>
          <w:rFonts w:hint="eastAsia" w:ascii="Times New Roman" w:hAnsi="Times New Roman" w:eastAsiaTheme="minorEastAsia"/>
          <w:kern w:val="0"/>
          <w:sz w:val="24"/>
          <w:szCs w:val="24"/>
        </w:rPr>
        <w:t>环境影响</w:t>
      </w:r>
      <w:r>
        <w:rPr>
          <w:rFonts w:ascii="Times New Roman" w:hAnsi="Times New Roman" w:eastAsiaTheme="minorEastAsia"/>
          <w:kern w:val="0"/>
          <w:sz w:val="24"/>
          <w:szCs w:val="24"/>
        </w:rPr>
        <w:t>报告书》</w:t>
      </w:r>
      <w:r>
        <w:rPr>
          <w:rFonts w:hint="eastAsia" w:ascii="Times New Roman" w:hAnsi="Times New Roman" w:eastAsiaTheme="minorEastAsia"/>
          <w:kern w:val="0"/>
          <w:sz w:val="24"/>
          <w:szCs w:val="24"/>
        </w:rPr>
        <w:t>组织</w:t>
      </w:r>
      <w:r>
        <w:rPr>
          <w:rFonts w:ascii="Times New Roman" w:hAnsi="Times New Roman" w:eastAsiaTheme="minorEastAsia"/>
          <w:kern w:val="0"/>
          <w:sz w:val="24"/>
          <w:szCs w:val="24"/>
        </w:rPr>
        <w:t>了</w:t>
      </w:r>
      <w:r>
        <w:rPr>
          <w:rFonts w:hint="eastAsia" w:ascii="Times New Roman" w:hAnsi="Times New Roman" w:eastAsiaTheme="minorEastAsia"/>
          <w:kern w:val="0"/>
          <w:sz w:val="24"/>
          <w:szCs w:val="24"/>
        </w:rPr>
        <w:t>专家</w:t>
      </w:r>
      <w:r>
        <w:rPr>
          <w:rFonts w:ascii="Times New Roman" w:hAnsi="Times New Roman" w:eastAsiaTheme="minorEastAsia"/>
          <w:kern w:val="0"/>
          <w:sz w:val="24"/>
          <w:szCs w:val="24"/>
        </w:rPr>
        <w:t>评审，</w:t>
      </w:r>
      <w:r>
        <w:rPr>
          <w:rFonts w:hint="eastAsia" w:ascii="Times New Roman" w:hAnsi="Times New Roman" w:eastAsiaTheme="minorEastAsia"/>
          <w:kern w:val="0"/>
          <w:sz w:val="24"/>
          <w:szCs w:val="24"/>
        </w:rPr>
        <w:t>岳阳港</w:t>
      </w:r>
      <w:r>
        <w:rPr>
          <w:rFonts w:ascii="Times New Roman" w:hAnsi="Times New Roman" w:eastAsiaTheme="minorEastAsia"/>
          <w:kern w:val="0"/>
          <w:sz w:val="24"/>
          <w:szCs w:val="24"/>
        </w:rPr>
        <w:t>环评报告顺利通过了评审</w:t>
      </w:r>
      <w:r>
        <w:rPr>
          <w:rFonts w:hint="eastAsia" w:ascii="Times New Roman" w:hAnsi="Times New Roman" w:eastAsiaTheme="minorEastAsia"/>
          <w:kern w:val="0"/>
          <w:sz w:val="24"/>
          <w:szCs w:val="24"/>
        </w:rPr>
        <w:t>；2020年5月13日</w:t>
      </w:r>
      <w:r>
        <w:rPr>
          <w:rFonts w:ascii="Times New Roman" w:hAnsi="Times New Roman" w:eastAsiaTheme="minorEastAsia"/>
          <w:kern w:val="0"/>
          <w:sz w:val="24"/>
          <w:szCs w:val="24"/>
        </w:rPr>
        <w:t>，生态环境</w:t>
      </w:r>
      <w:r>
        <w:rPr>
          <w:rFonts w:hint="eastAsia" w:ascii="Times New Roman" w:hAnsi="Times New Roman" w:eastAsiaTheme="minorEastAsia"/>
          <w:kern w:val="0"/>
          <w:sz w:val="24"/>
          <w:szCs w:val="24"/>
        </w:rPr>
        <w:t>部出具了关于《岳阳港总体规划（2017-2035年）环境影响报告书》的审查意见（环审〔2020〕65号</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根据</w:t>
      </w:r>
      <w:r>
        <w:rPr>
          <w:rFonts w:hint="eastAsia" w:ascii="Times New Roman" w:hAnsi="Times New Roman" w:eastAsiaTheme="minorEastAsia"/>
          <w:kern w:val="0"/>
          <w:sz w:val="24"/>
          <w:szCs w:val="24"/>
        </w:rPr>
        <w:t>规划</w:t>
      </w:r>
      <w:r>
        <w:rPr>
          <w:rFonts w:ascii="Times New Roman" w:hAnsi="Times New Roman" w:eastAsiaTheme="minorEastAsia"/>
          <w:kern w:val="0"/>
          <w:sz w:val="24"/>
          <w:szCs w:val="24"/>
        </w:rPr>
        <w:t>环评报告书及审查意见</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详见附件</w:t>
      </w:r>
      <w:r>
        <w:rPr>
          <w:rFonts w:hint="eastAsia" w:ascii="Times New Roman" w:hAnsi="Times New Roman" w:eastAsiaTheme="minorEastAsia"/>
          <w:kern w:val="0"/>
          <w:sz w:val="24"/>
          <w:szCs w:val="24"/>
          <w:lang w:val="en-US" w:eastAsia="zh-CN"/>
        </w:rPr>
        <w:t>13</w:t>
      </w:r>
      <w:r>
        <w:rPr>
          <w:rFonts w:ascii="Times New Roman" w:hAnsi="Times New Roman" w:eastAsiaTheme="minorEastAsia"/>
          <w:kern w:val="0"/>
          <w:sz w:val="24"/>
          <w:szCs w:val="24"/>
        </w:rPr>
        <w:t>。本项目</w:t>
      </w:r>
      <w:r>
        <w:rPr>
          <w:rFonts w:hint="eastAsia" w:ascii="Times New Roman" w:hAnsi="Times New Roman" w:eastAsiaTheme="minorEastAsia"/>
          <w:kern w:val="0"/>
          <w:sz w:val="24"/>
          <w:szCs w:val="24"/>
        </w:rPr>
        <w:t>纳入</w:t>
      </w:r>
      <w:r>
        <w:rPr>
          <w:rFonts w:ascii="Times New Roman" w:hAnsi="Times New Roman" w:eastAsiaTheme="minorEastAsia"/>
          <w:kern w:val="0"/>
          <w:sz w:val="24"/>
          <w:szCs w:val="24"/>
        </w:rPr>
        <w:t>《岳阳港总体规划</w:t>
      </w:r>
      <w:r>
        <w:rPr>
          <w:rFonts w:hint="eastAsia" w:ascii="Times New Roman" w:hAnsi="Times New Roman" w:eastAsiaTheme="minorEastAsia"/>
          <w:kern w:val="0"/>
          <w:sz w:val="24"/>
          <w:szCs w:val="24"/>
        </w:rPr>
        <w:t>环境影响</w:t>
      </w:r>
      <w:r>
        <w:rPr>
          <w:rFonts w:ascii="Times New Roman" w:hAnsi="Times New Roman" w:eastAsiaTheme="minorEastAsia"/>
          <w:kern w:val="0"/>
          <w:sz w:val="24"/>
          <w:szCs w:val="24"/>
        </w:rPr>
        <w:t>报告书》</w:t>
      </w:r>
      <w:r>
        <w:rPr>
          <w:rFonts w:hint="eastAsia" w:ascii="Times New Roman" w:hAnsi="Times New Roman" w:eastAsiaTheme="minorEastAsia"/>
          <w:kern w:val="0"/>
          <w:sz w:val="24"/>
          <w:szCs w:val="24"/>
        </w:rPr>
        <w:t>规划范围</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规划中</w:t>
      </w:r>
      <w:r>
        <w:rPr>
          <w:rFonts w:ascii="Times New Roman" w:hAnsi="Times New Roman" w:eastAsiaTheme="minorEastAsia"/>
          <w:kern w:val="0"/>
          <w:sz w:val="24"/>
          <w:szCs w:val="24"/>
        </w:rPr>
        <w:t>要求</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占用耕地必须在</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占优补优、占水田补水田</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的原则下补充数量、质量相当的耕地；规划实施前应按照要求开展专题论证，综合评估规划实施可能造成的水生生物资源的损失和长期影响。</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本项目均在</w:t>
      </w:r>
      <w:r>
        <w:rPr>
          <w:rFonts w:ascii="Times New Roman" w:hAnsi="Times New Roman" w:eastAsiaTheme="minorEastAsia"/>
          <w:kern w:val="0"/>
          <w:sz w:val="24"/>
          <w:szCs w:val="24"/>
        </w:rPr>
        <w:t>现有占地范围内</w:t>
      </w:r>
      <w:r>
        <w:rPr>
          <w:rFonts w:hint="eastAsia" w:ascii="Times New Roman" w:hAnsi="Times New Roman" w:eastAsiaTheme="minorEastAsia"/>
          <w:kern w:val="0"/>
          <w:sz w:val="24"/>
          <w:szCs w:val="24"/>
        </w:rPr>
        <w:t>提质</w:t>
      </w:r>
      <w:r>
        <w:rPr>
          <w:rFonts w:ascii="Times New Roman" w:hAnsi="Times New Roman" w:eastAsiaTheme="minorEastAsia"/>
          <w:kern w:val="0"/>
          <w:sz w:val="24"/>
          <w:szCs w:val="24"/>
        </w:rPr>
        <w:t>改造</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不涉及新增占地，且</w:t>
      </w:r>
      <w:r>
        <w:rPr>
          <w:rFonts w:hint="eastAsia" w:ascii="Times New Roman" w:hAnsi="Times New Roman" w:eastAsiaTheme="minorEastAsia"/>
          <w:kern w:val="0"/>
          <w:sz w:val="24"/>
          <w:szCs w:val="24"/>
        </w:rPr>
        <w:t>已委托</w:t>
      </w:r>
      <w:r>
        <w:rPr>
          <w:rFonts w:ascii="Times New Roman" w:hAnsi="Times New Roman" w:eastAsiaTheme="minorEastAsia"/>
          <w:kern w:val="0"/>
          <w:sz w:val="24"/>
          <w:szCs w:val="24"/>
        </w:rPr>
        <w:t>相关咨询单位开展了</w:t>
      </w:r>
      <w:r>
        <w:rPr>
          <w:rFonts w:hint="eastAsia" w:ascii="Times New Roman" w:hAnsi="Times New Roman" w:eastAsiaTheme="minorEastAsia"/>
          <w:kern w:val="0"/>
          <w:sz w:val="24"/>
          <w:szCs w:val="24"/>
        </w:rPr>
        <w:t>涉及长江监利段四大家鱼国家级水产种质资源保护区的</w:t>
      </w:r>
      <w:r>
        <w:rPr>
          <w:rFonts w:ascii="Times New Roman" w:hAnsi="Times New Roman" w:eastAsiaTheme="minorEastAsia"/>
          <w:kern w:val="0"/>
          <w:sz w:val="24"/>
          <w:szCs w:val="24"/>
        </w:rPr>
        <w:t>生态影响专题报告。</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Times New Roman" w:hAnsi="Times New Roman" w:eastAsiaTheme="minorEastAsia"/>
          <w:kern w:val="0"/>
          <w:sz w:val="24"/>
          <w:szCs w:val="24"/>
        </w:rPr>
        <w:t>因此</w:t>
      </w:r>
      <w:r>
        <w:rPr>
          <w:rFonts w:ascii="Times New Roman" w:hAnsi="Times New Roman" w:eastAsiaTheme="minorEastAsia"/>
          <w:kern w:val="0"/>
          <w:sz w:val="24"/>
          <w:szCs w:val="24"/>
        </w:rPr>
        <w:t>，本项目</w:t>
      </w:r>
      <w:r>
        <w:rPr>
          <w:rFonts w:hint="eastAsia" w:ascii="Times New Roman" w:hAnsi="Times New Roman" w:eastAsiaTheme="minorEastAsia"/>
          <w:kern w:val="0"/>
          <w:sz w:val="24"/>
          <w:szCs w:val="24"/>
        </w:rPr>
        <w:t>是</w:t>
      </w:r>
      <w:r>
        <w:rPr>
          <w:rFonts w:ascii="Times New Roman" w:hAnsi="Times New Roman" w:eastAsiaTheme="minorEastAsia"/>
          <w:kern w:val="0"/>
          <w:sz w:val="24"/>
          <w:szCs w:val="24"/>
        </w:rPr>
        <w:t>与《岳阳港总体规划环评》</w:t>
      </w:r>
      <w:r>
        <w:rPr>
          <w:rFonts w:hint="eastAsia" w:ascii="Times New Roman" w:hAnsi="Times New Roman" w:eastAsiaTheme="minorEastAsia"/>
          <w:kern w:val="0"/>
          <w:sz w:val="24"/>
          <w:szCs w:val="24"/>
        </w:rPr>
        <w:t>相符合</w:t>
      </w:r>
      <w:r>
        <w:rPr>
          <w:rFonts w:ascii="Times New Roman" w:hAnsi="Times New Roman" w:eastAsiaTheme="minorEastAsia"/>
          <w:kern w:val="0"/>
          <w:sz w:val="24"/>
          <w:szCs w:val="24"/>
        </w:rPr>
        <w:t>的。</w:t>
      </w:r>
    </w:p>
    <w:p>
      <w:pPr>
        <w:pStyle w:val="4"/>
        <w:rPr>
          <w:rFonts w:eastAsiaTheme="minorEastAsia"/>
        </w:rPr>
      </w:pPr>
      <w:r>
        <w:rPr>
          <w:rFonts w:eastAsiaTheme="minorEastAsia"/>
        </w:rPr>
        <w:t>与“共抓大保护，不搞大开发”相关要求的符合性分析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利用先进技术降低非甲烷总烃在装卸过程中对大气环境的影响；码头产生的废水均收集运至后方港口部污水处理站处理，不向长江排放；水下施工选在枯水期，降低水下施工对水生生物的影响，并通过增殖放流等措施降低工程施工对水生生态的影响。满足习总书记提出的“要坚持在发展中保护、在保护中发展，不能把生态环境和经济发展分割开来，更不能对立起来。”的要求。</w:t>
      </w:r>
    </w:p>
    <w:p>
      <w:pPr>
        <w:pStyle w:val="3"/>
        <w:rPr>
          <w:rFonts w:ascii="Times New Roman" w:hAnsi="Times New Roman" w:eastAsiaTheme="minorEastAsia"/>
          <w:b/>
          <w:szCs w:val="24"/>
        </w:rPr>
      </w:pPr>
      <w:bookmarkStart w:id="130" w:name="_Toc13587"/>
      <w:r>
        <w:rPr>
          <w:rFonts w:ascii="Times New Roman" w:hAnsi="Times New Roman" w:eastAsiaTheme="minorEastAsia"/>
          <w:b/>
        </w:rPr>
        <w:t>与“三线一单”的符合性分析</w:t>
      </w:r>
      <w:bookmarkEnd w:id="130"/>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1、与生态保护红线相符性分析</w:t>
      </w:r>
    </w:p>
    <w:p>
      <w:pPr>
        <w:adjustRightInd w:val="0"/>
        <w:snapToGrid w:val="0"/>
        <w:spacing w:line="360" w:lineRule="auto"/>
        <w:ind w:firstLine="504" w:firstLineChars="200"/>
        <w:rPr>
          <w:rFonts w:ascii="Times New Roman" w:hAnsi="Times New Roman" w:eastAsiaTheme="minorEastAsia"/>
          <w:spacing w:val="6"/>
          <w:kern w:val="0"/>
          <w:sz w:val="24"/>
          <w:szCs w:val="24"/>
        </w:rPr>
      </w:pPr>
      <w:r>
        <w:rPr>
          <w:rFonts w:ascii="Times New Roman" w:hAnsi="Times New Roman" w:eastAsiaTheme="minorEastAsia"/>
          <w:spacing w:val="6"/>
          <w:kern w:val="0"/>
          <w:sz w:val="24"/>
          <w:szCs w:val="24"/>
        </w:rPr>
        <w:t>根据《湖南省人民政府关于印发〈湖南省生态保护红线〉的通知》（湘政发〔2018〕20号）划定结果，湖南省生态保护红线划定面积为4.28万km</w:t>
      </w:r>
      <w:r>
        <w:rPr>
          <w:rFonts w:ascii="Times New Roman" w:hAnsi="Times New Roman" w:eastAsiaTheme="minorEastAsia"/>
          <w:spacing w:val="6"/>
          <w:kern w:val="0"/>
          <w:sz w:val="24"/>
          <w:szCs w:val="24"/>
          <w:vertAlign w:val="superscript"/>
        </w:rPr>
        <w:t>2</w:t>
      </w:r>
      <w:r>
        <w:rPr>
          <w:rFonts w:ascii="Times New Roman" w:hAnsi="Times New Roman" w:eastAsiaTheme="minorEastAsia"/>
          <w:spacing w:val="6"/>
          <w:kern w:val="0"/>
          <w:sz w:val="24"/>
          <w:szCs w:val="24"/>
        </w:rPr>
        <w:t>，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通过本项目选址位置与湖南省生态保护红线区域的位置关系对比，本项目不涉及生态红线保护区，距离本项目最近的生态红线保护区域为云溪白泥湖国家湿地公园，最近直线距离约2.4km。因此，本项目符合生态保护红线要求。</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2、环境质量底线</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本项目营运期船舶废水由船舶交给海事部门环保船接收处理，码头生活污水、码头冲洗水、初期雨水和废气吸收废水经厂区废水处理站处理后排入长岭分公司第二污水处理厂处理达到</w:t>
      </w:r>
      <w:r>
        <w:rPr>
          <w:rFonts w:ascii="Times New Roman" w:hAnsi="Times New Roman" w:eastAsiaTheme="minorEastAsia"/>
          <w:kern w:val="0"/>
          <w:sz w:val="24"/>
          <w:szCs w:val="24"/>
        </w:rPr>
        <w:t>《石油炼制工业污染物排放标准》（GB31570-2015）表1中直接排放限值后排入长江</w:t>
      </w:r>
      <w:r>
        <w:rPr>
          <w:rFonts w:ascii="Times New Roman" w:hAnsi="Times New Roman" w:eastAsiaTheme="minorEastAsia"/>
          <w:color w:val="000000"/>
          <w:sz w:val="24"/>
          <w:szCs w:val="24"/>
        </w:rPr>
        <w:t>；码头前方作业区周边200m范围内无居民点等敏感点，项目噪声不会产生扰民现象；固废全部处置。因此，本项目固废全部处置，废气、废水经处理后可达标排放，噪声不会产生扰民现象，不会改变区域环境质量，满足环境质量底线要求。</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3、资源利用上线</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本项目位于原陆城镇西侧1.2km处，本项目所需水、电供给较为便利，也未突破区域资源消耗的上线。</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4、环境准入负面清单</w:t>
      </w:r>
    </w:p>
    <w:p>
      <w:pPr>
        <w:tabs>
          <w:tab w:val="left" w:pos="900"/>
        </w:tabs>
        <w:snapToGrid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根据</w:t>
      </w:r>
      <w:r>
        <w:rPr>
          <w:rFonts w:ascii="Times New Roman" w:hAnsi="Times New Roman"/>
          <w:color w:val="000000"/>
          <w:sz w:val="24"/>
        </w:rPr>
        <w:t>“湖南省发展和改革委员会关于印发《湖南省国家重点生态功能区产业准入负面清单》的通知”</w:t>
      </w:r>
      <w:r>
        <w:rPr>
          <w:rFonts w:hint="eastAsia" w:ascii="Times New Roman" w:hAnsi="Times New Roman"/>
          <w:color w:val="000000"/>
          <w:sz w:val="24"/>
        </w:rPr>
        <w:t>（</w:t>
      </w:r>
      <w:r>
        <w:rPr>
          <w:rFonts w:ascii="Times New Roman" w:hAnsi="Times New Roman"/>
          <w:color w:val="000000"/>
          <w:sz w:val="24"/>
        </w:rPr>
        <w:t>湘发改规划〔2018〕373号</w:t>
      </w:r>
      <w:r>
        <w:rPr>
          <w:rFonts w:hint="eastAsia" w:ascii="Times New Roman" w:hAnsi="Times New Roman"/>
          <w:color w:val="000000"/>
          <w:sz w:val="24"/>
        </w:rPr>
        <w:t>）和</w:t>
      </w:r>
      <w:r>
        <w:rPr>
          <w:rFonts w:ascii="Times New Roman" w:hAnsi="Times New Roman"/>
          <w:color w:val="000000"/>
          <w:sz w:val="24"/>
        </w:rPr>
        <w:t>“</w:t>
      </w:r>
      <w:r>
        <w:rPr>
          <w:rFonts w:hint="eastAsia" w:ascii="Times New Roman" w:hAnsi="Times New Roman"/>
          <w:color w:val="000000"/>
          <w:sz w:val="24"/>
        </w:rPr>
        <w:t>湖南省发展和改革委员会关于印发《湖南省新增19个国家重点生态功能区产业准入负面清单（试行）》的通知</w:t>
      </w:r>
      <w:r>
        <w:rPr>
          <w:rFonts w:ascii="Times New Roman" w:hAnsi="Times New Roman"/>
          <w:color w:val="000000"/>
          <w:sz w:val="24"/>
        </w:rPr>
        <w:t>”</w:t>
      </w:r>
      <w:r>
        <w:rPr>
          <w:rFonts w:hint="eastAsia" w:ascii="Times New Roman" w:hAnsi="Times New Roman"/>
          <w:color w:val="000000"/>
          <w:sz w:val="24"/>
        </w:rPr>
        <w:t>（湘发改规划〔2018〕972号），本项目</w:t>
      </w:r>
      <w:r>
        <w:rPr>
          <w:rFonts w:ascii="Times New Roman" w:hAnsi="Times New Roman"/>
          <w:color w:val="000000"/>
          <w:sz w:val="24"/>
        </w:rPr>
        <w:t>未纳入</w:t>
      </w:r>
      <w:r>
        <w:rPr>
          <w:rFonts w:hint="eastAsia" w:ascii="Times New Roman" w:hAnsi="Times New Roman"/>
          <w:color w:val="000000"/>
          <w:sz w:val="24"/>
        </w:rPr>
        <w:t>湖南省</w:t>
      </w:r>
      <w:r>
        <w:rPr>
          <w:rFonts w:ascii="Times New Roman" w:hAnsi="Times New Roman"/>
          <w:color w:val="000000"/>
          <w:sz w:val="24"/>
        </w:rPr>
        <w:t>的</w:t>
      </w:r>
      <w:r>
        <w:rPr>
          <w:rFonts w:hint="eastAsia" w:ascii="Times New Roman" w:hAnsi="Times New Roman"/>
          <w:color w:val="000000"/>
          <w:sz w:val="24"/>
        </w:rPr>
        <w:t>产业准入负面清单。</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长江经济带发展负面清单指南（试行）》（第89号）指出，禁止建设不符合全国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本项目属于岳阳港总体规划的码头项目，并且不在自然保护区及饮用水水源保护区范围内，本项目不属于所在长江经济带发展负面清单列明的项目。</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本项目不在生态保护红线范围内，项目的建设不会造成所在区域环境质量下降或恶化，符合资源利用上限中相关规定，且不属于港口岸线利用功能准入负面清单中所列明的禁止项目，符合“三线一单”的要求。</w:t>
      </w:r>
    </w:p>
    <w:p>
      <w:pPr>
        <w:pStyle w:val="3"/>
        <w:rPr>
          <w:rFonts w:ascii="Times New Roman" w:hAnsi="Times New Roman" w:eastAsiaTheme="minorEastAsia"/>
          <w:b/>
        </w:rPr>
      </w:pPr>
      <w:bookmarkStart w:id="131" w:name="_Toc13523"/>
      <w:r>
        <w:rPr>
          <w:rFonts w:ascii="Times New Roman" w:hAnsi="Times New Roman" w:eastAsiaTheme="minorEastAsia"/>
          <w:b/>
        </w:rPr>
        <w:t>选址的可行性</w:t>
      </w:r>
      <w:bookmarkEnd w:id="131"/>
    </w:p>
    <w:p>
      <w:pPr>
        <w:pStyle w:val="69"/>
        <w:ind w:firstLine="480"/>
        <w:rPr>
          <w:rFonts w:cs="Times New Roman" w:eastAsiaTheme="minorEastAsia"/>
          <w:color w:val="000000"/>
          <w:szCs w:val="24"/>
        </w:rPr>
      </w:pPr>
      <w:r>
        <w:rPr>
          <w:rFonts w:cs="Times New Roman" w:eastAsiaTheme="minorEastAsia"/>
          <w:color w:val="000000"/>
          <w:szCs w:val="24"/>
        </w:rPr>
        <w:t>本项目位于岳阳市云溪港区陆城作业区，荆岳长江大桥下游7.7km的长江右岸。</w:t>
      </w:r>
    </w:p>
    <w:p>
      <w:pPr>
        <w:pStyle w:val="69"/>
        <w:ind w:firstLine="482"/>
        <w:rPr>
          <w:rFonts w:cs="Times New Roman" w:eastAsiaTheme="minorEastAsia"/>
          <w:b/>
          <w:color w:val="000000"/>
          <w:szCs w:val="24"/>
        </w:rPr>
      </w:pPr>
      <w:r>
        <w:rPr>
          <w:rFonts w:cs="Times New Roman" w:eastAsiaTheme="minorEastAsia"/>
          <w:b/>
          <w:color w:val="000000"/>
          <w:szCs w:val="24"/>
        </w:rPr>
        <w:t>1、工程选址的地质及水域条件</w:t>
      </w:r>
    </w:p>
    <w:p>
      <w:pPr>
        <w:pStyle w:val="69"/>
        <w:ind w:firstLine="480"/>
        <w:rPr>
          <w:rFonts w:cs="Times New Roman" w:eastAsiaTheme="minorEastAsia"/>
          <w:color w:val="000000"/>
          <w:szCs w:val="24"/>
        </w:rPr>
      </w:pPr>
      <w:r>
        <w:rPr>
          <w:rFonts w:cs="Times New Roman" w:eastAsiaTheme="minorEastAsia"/>
          <w:color w:val="000000"/>
          <w:szCs w:val="24"/>
        </w:rPr>
        <w:t>拟建码头河段河床稳定，前沿江面宽阔，水深条件较好，无需疏浚。工程范围内的地质条件较好，适用于桩基结构。码头建成后，码头前满足水深和航行条件，其前水域在不影响主航道的前提下，可满足停泊水域及回旋水域宽度要求。</w:t>
      </w:r>
      <w:r>
        <w:rPr>
          <w:rFonts w:cs="Times New Roman" w:eastAsiaTheme="minorEastAsia"/>
          <w:bCs/>
          <w:szCs w:val="24"/>
        </w:rPr>
        <w:t>拟建码头与大桥的距离也满足《河港工程总体设计规范》（JTJ212-2006）中对桥梁下游新建码头距离需大于4倍设计船长的要求。</w:t>
      </w:r>
    </w:p>
    <w:p>
      <w:pPr>
        <w:pStyle w:val="69"/>
        <w:ind w:firstLine="480"/>
        <w:rPr>
          <w:rFonts w:cs="Times New Roman" w:eastAsiaTheme="minorEastAsia"/>
          <w:color w:val="000000"/>
          <w:szCs w:val="24"/>
        </w:rPr>
      </w:pPr>
      <w:r>
        <w:rPr>
          <w:rFonts w:cs="Times New Roman" w:eastAsiaTheme="minorEastAsia"/>
          <w:color w:val="000000"/>
          <w:szCs w:val="24"/>
        </w:rPr>
        <w:t>因此，码头的建设区域，满足航道安全通航的相关要求。</w:t>
      </w:r>
    </w:p>
    <w:p>
      <w:pPr>
        <w:pStyle w:val="69"/>
        <w:ind w:firstLine="482"/>
        <w:rPr>
          <w:rFonts w:cs="Times New Roman" w:eastAsiaTheme="minorEastAsia"/>
          <w:b/>
          <w:color w:val="000000"/>
          <w:szCs w:val="24"/>
        </w:rPr>
      </w:pPr>
      <w:r>
        <w:rPr>
          <w:rFonts w:cs="Times New Roman" w:eastAsiaTheme="minorEastAsia"/>
          <w:b/>
          <w:color w:val="000000"/>
          <w:szCs w:val="24"/>
        </w:rPr>
        <w:t>2、交通运输的便捷性</w:t>
      </w:r>
    </w:p>
    <w:p>
      <w:pPr>
        <w:pStyle w:val="69"/>
        <w:ind w:firstLine="480"/>
        <w:rPr>
          <w:rFonts w:cs="Times New Roman" w:eastAsiaTheme="minorEastAsia"/>
          <w:bCs/>
          <w:szCs w:val="24"/>
        </w:rPr>
      </w:pPr>
      <w:r>
        <w:rPr>
          <w:rFonts w:cs="Times New Roman" w:eastAsiaTheme="minorEastAsia"/>
          <w:bCs/>
          <w:szCs w:val="24"/>
        </w:rPr>
        <w:t>本项目港外交通条件较好，港区后方靠近S201，可与G107、岳临高速连接，能快捷到达市区各处。码头接S201约1.5km；在云溪镇接G107，约9km；由云溪镇接岳临高速约9.5km，公路运输十分便捷。此外，京广铁路经过后方云溪镇，设有云溪编组站；码头处面临长江</w:t>
      </w:r>
      <w:r>
        <w:rPr>
          <w:rFonts w:hint="eastAsia" w:ascii="宋体" w:hAnsi="宋体" w:cs="宋体"/>
          <w:bCs/>
          <w:szCs w:val="24"/>
        </w:rPr>
        <w:t>Ⅰ</w:t>
      </w:r>
      <w:r>
        <w:rPr>
          <w:rFonts w:cs="Times New Roman" w:eastAsiaTheme="minorEastAsia"/>
          <w:bCs/>
          <w:szCs w:val="24"/>
        </w:rPr>
        <w:t>级航道，水路条件优越。</w:t>
      </w:r>
    </w:p>
    <w:p>
      <w:pPr>
        <w:pStyle w:val="69"/>
        <w:ind w:firstLine="480"/>
        <w:rPr>
          <w:rFonts w:cs="Times New Roman" w:eastAsiaTheme="minorEastAsia"/>
          <w:bCs/>
          <w:szCs w:val="24"/>
        </w:rPr>
      </w:pPr>
      <w:r>
        <w:rPr>
          <w:rFonts w:cs="Times New Roman" w:eastAsiaTheme="minorEastAsia"/>
          <w:bCs/>
          <w:szCs w:val="24"/>
        </w:rPr>
        <w:t>综上，港区水陆交通条件极其优越。</w:t>
      </w:r>
    </w:p>
    <w:p>
      <w:pPr>
        <w:pStyle w:val="69"/>
        <w:ind w:firstLine="466"/>
        <w:rPr>
          <w:rFonts w:cs="Times New Roman" w:eastAsiaTheme="minorEastAsia"/>
          <w:b/>
          <w:color w:val="000000"/>
          <w:spacing w:val="-4"/>
          <w:szCs w:val="24"/>
        </w:rPr>
      </w:pPr>
      <w:r>
        <w:rPr>
          <w:rFonts w:cs="Times New Roman" w:eastAsiaTheme="minorEastAsia"/>
          <w:b/>
          <w:color w:val="000000"/>
          <w:spacing w:val="-4"/>
          <w:szCs w:val="24"/>
        </w:rPr>
        <w:t>3、供水、供电等配套设施的完整性</w:t>
      </w:r>
    </w:p>
    <w:p>
      <w:pPr>
        <w:pStyle w:val="69"/>
        <w:ind w:firstLine="480"/>
        <w:rPr>
          <w:rFonts w:cs="Times New Roman" w:eastAsiaTheme="minorEastAsia"/>
          <w:color w:val="000000"/>
          <w:szCs w:val="24"/>
        </w:rPr>
      </w:pPr>
      <w:r>
        <w:rPr>
          <w:rFonts w:cs="Times New Roman" w:eastAsiaTheme="minorEastAsia"/>
          <w:bCs/>
          <w:szCs w:val="24"/>
        </w:rPr>
        <w:t>本项目给水、排水、供电、电信均可依托公共设施，项目后方陆域开阔，地质条件较好，施工便利。</w:t>
      </w:r>
    </w:p>
    <w:p>
      <w:pPr>
        <w:pStyle w:val="3"/>
        <w:rPr>
          <w:rFonts w:ascii="Times New Roman" w:hAnsi="Times New Roman" w:eastAsiaTheme="minorEastAsia"/>
          <w:b/>
        </w:rPr>
      </w:pPr>
      <w:bookmarkStart w:id="132" w:name="_Toc423004649"/>
      <w:bookmarkStart w:id="133" w:name="_Toc1276"/>
      <w:r>
        <w:rPr>
          <w:rFonts w:ascii="Times New Roman" w:hAnsi="Times New Roman" w:eastAsiaTheme="minorEastAsia"/>
          <w:b/>
        </w:rPr>
        <w:t>平面布置的合理性</w:t>
      </w:r>
      <w:bookmarkEnd w:id="132"/>
      <w:bookmarkEnd w:id="133"/>
    </w:p>
    <w:p>
      <w:pPr>
        <w:pStyle w:val="69"/>
        <w:ind w:firstLine="480"/>
        <w:rPr>
          <w:rFonts w:cs="Times New Roman" w:eastAsiaTheme="minorEastAsia"/>
          <w:bCs/>
          <w:szCs w:val="24"/>
        </w:rPr>
      </w:pPr>
      <w:r>
        <w:rPr>
          <w:rFonts w:cs="Times New Roman" w:eastAsiaTheme="minorEastAsia"/>
          <w:bCs/>
          <w:szCs w:val="24"/>
        </w:rPr>
        <w:t>1、港区陆域按生产区、辅助生产区的使用功能分区布置。港区陆域布置结合装卸工艺流程和自然条件合理组织各种运输系统，使港区用电和用水合理，减少相互干扰。</w:t>
      </w:r>
    </w:p>
    <w:p>
      <w:pPr>
        <w:pStyle w:val="69"/>
        <w:ind w:firstLine="480"/>
        <w:rPr>
          <w:rFonts w:cs="Times New Roman" w:eastAsiaTheme="minorEastAsia"/>
          <w:bCs/>
          <w:szCs w:val="24"/>
        </w:rPr>
      </w:pPr>
      <w:r>
        <w:rPr>
          <w:rFonts w:cs="Times New Roman" w:eastAsiaTheme="minorEastAsia"/>
          <w:bCs/>
          <w:szCs w:val="24"/>
        </w:rPr>
        <w:t>2、码头的布置满足装卸机械经济运距的要求，减少水平运输距离。</w:t>
      </w:r>
    </w:p>
    <w:p>
      <w:pPr>
        <w:pStyle w:val="69"/>
        <w:ind w:firstLine="480"/>
        <w:rPr>
          <w:rFonts w:cs="Times New Roman" w:eastAsiaTheme="minorEastAsia"/>
          <w:bCs/>
          <w:szCs w:val="24"/>
        </w:rPr>
      </w:pPr>
      <w:r>
        <w:rPr>
          <w:rFonts w:cs="Times New Roman" w:eastAsiaTheme="minorEastAsia"/>
          <w:bCs/>
          <w:szCs w:val="24"/>
        </w:rPr>
        <w:t>3、码头作业线协调布置有利于安全生产和方便船舶及物流运转，节约能源、降低能耗。</w:t>
      </w:r>
    </w:p>
    <w:p>
      <w:pPr>
        <w:pStyle w:val="69"/>
        <w:ind w:firstLine="480"/>
        <w:rPr>
          <w:rFonts w:cs="Times New Roman" w:eastAsiaTheme="minorEastAsia"/>
          <w:bCs/>
          <w:szCs w:val="24"/>
        </w:rPr>
      </w:pPr>
      <w:r>
        <w:rPr>
          <w:rFonts w:cs="Times New Roman" w:eastAsiaTheme="minorEastAsia"/>
          <w:bCs/>
          <w:szCs w:val="24"/>
        </w:rPr>
        <w:t>4、港区布置时，考虑了风向及水流流向对周围环境及水质的影响，同时码头布局与总体布局相互协调。</w:t>
      </w:r>
    </w:p>
    <w:p>
      <w:pPr>
        <w:pStyle w:val="69"/>
        <w:ind w:firstLine="480"/>
        <w:rPr>
          <w:rFonts w:cs="Times New Roman" w:eastAsiaTheme="minorEastAsia"/>
          <w:bCs/>
          <w:szCs w:val="24"/>
        </w:rPr>
      </w:pPr>
      <w:r>
        <w:rPr>
          <w:rFonts w:cs="Times New Roman" w:eastAsiaTheme="minorEastAsia"/>
          <w:bCs/>
          <w:szCs w:val="24"/>
        </w:rPr>
        <w:t>5、码头前沿线的位置确定，结合了地形特点及码头使用要求，合理利用了天然水深，以尽量降低工程造价。</w:t>
      </w:r>
    </w:p>
    <w:p>
      <w:pPr>
        <w:pStyle w:val="69"/>
        <w:ind w:firstLine="480"/>
        <w:rPr>
          <w:rFonts w:cs="Times New Roman" w:eastAsiaTheme="minorEastAsia"/>
          <w:bCs/>
          <w:szCs w:val="24"/>
        </w:rPr>
      </w:pPr>
      <w:r>
        <w:rPr>
          <w:rFonts w:cs="Times New Roman" w:eastAsiaTheme="minorEastAsia"/>
          <w:bCs/>
          <w:szCs w:val="24"/>
        </w:rPr>
        <w:t>6、总平面布置时，结合港区地形地质条件，综合考虑了码头建成后对河床冲淤变化的影响及对岸坡稳定的影响。</w:t>
      </w:r>
    </w:p>
    <w:p>
      <w:pPr>
        <w:pStyle w:val="69"/>
        <w:ind w:firstLine="480"/>
        <w:rPr>
          <w:rFonts w:cs="Times New Roman" w:eastAsiaTheme="minorEastAsia"/>
          <w:bCs/>
          <w:szCs w:val="24"/>
        </w:rPr>
      </w:pPr>
      <w:r>
        <w:rPr>
          <w:rFonts w:cs="Times New Roman" w:eastAsiaTheme="minorEastAsia"/>
          <w:bCs/>
          <w:szCs w:val="24"/>
        </w:rPr>
        <w:t>7、港区符合《岳阳港口总体规划》中对港区作业区划分和泊位布置。进港道路与规划道路网能良好衔接。</w:t>
      </w:r>
    </w:p>
    <w:p>
      <w:pPr>
        <w:pStyle w:val="69"/>
        <w:ind w:firstLine="480"/>
        <w:rPr>
          <w:rFonts w:cs="Times New Roman" w:eastAsiaTheme="minorEastAsia"/>
          <w:bCs/>
          <w:szCs w:val="24"/>
        </w:rPr>
      </w:pPr>
      <w:r>
        <w:rPr>
          <w:rFonts w:cs="Times New Roman" w:eastAsiaTheme="minorEastAsia"/>
          <w:bCs/>
          <w:szCs w:val="24"/>
        </w:rPr>
        <w:t>8、本项目总平面布置应符合《港口工程环境保护设计规范》（JTS149-1-2007）、《河港工程总体设计规范》（JTJ212-2006）、《港口工程劳动安全卫生设计规定》（JT320-1997）、《工业企业设计卫生标准》（GBZ 1-2010）、《生产过程安全卫生要求总则》（GB/T12801-2008）、</w:t>
      </w:r>
      <w:r>
        <w:rPr>
          <w:rFonts w:cs="Times New Roman" w:eastAsiaTheme="minorEastAsia"/>
          <w:szCs w:val="24"/>
        </w:rPr>
        <w:t>《石油化工厂企业设计防火规范》（GB 50160-2008 2018版）和《油品装载系统油气回收设施设计规范》（GB50759-2010）</w:t>
      </w:r>
      <w:r>
        <w:rPr>
          <w:rFonts w:cs="Times New Roman" w:eastAsiaTheme="minorEastAsia"/>
          <w:bCs/>
          <w:szCs w:val="24"/>
        </w:rPr>
        <w:t>等有关要求。</w:t>
      </w:r>
    </w:p>
    <w:p>
      <w:pPr>
        <w:pStyle w:val="69"/>
        <w:ind w:firstLine="480"/>
        <w:rPr>
          <w:rFonts w:cs="Times New Roman" w:eastAsiaTheme="minorEastAsia"/>
          <w:bCs/>
          <w:szCs w:val="24"/>
        </w:rPr>
      </w:pPr>
      <w:r>
        <w:rPr>
          <w:rFonts w:cs="Times New Roman" w:eastAsiaTheme="minorEastAsia"/>
          <w:bCs/>
          <w:szCs w:val="24"/>
        </w:rPr>
        <w:t>因此，本项目平面布置是合理的。</w:t>
      </w:r>
    </w:p>
    <w:p>
      <w:pPr>
        <w:pStyle w:val="3"/>
        <w:rPr>
          <w:rFonts w:ascii="Times New Roman" w:hAnsi="Times New Roman" w:eastAsiaTheme="minorEastAsia"/>
          <w:b/>
        </w:rPr>
      </w:pPr>
      <w:bookmarkStart w:id="134" w:name="_Toc20020"/>
      <w:r>
        <w:rPr>
          <w:rFonts w:ascii="Times New Roman" w:hAnsi="Times New Roman" w:eastAsiaTheme="minorEastAsia"/>
          <w:b/>
        </w:rPr>
        <w:t>环境制约因素及解决方案</w:t>
      </w:r>
      <w:bookmarkEnd w:id="134"/>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长江监利段四大家鱼国家级水产种质资源保护区</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1、制约因素</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本项目水域工程位于长江监利段四大家鱼国家级水产种质资源保护区的实验区范围内。</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2、解决方法</w:t>
      </w:r>
    </w:p>
    <w:p>
      <w:pPr>
        <w:tabs>
          <w:tab w:val="left" w:pos="900"/>
        </w:tabs>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建设单位已委托华中师范大学编制了《中国石化集团资产经营管理有限公司长岭分公司港口部码头提质改造工程对</w:t>
      </w:r>
      <w:r>
        <w:rPr>
          <w:rFonts w:ascii="Times New Roman" w:hAnsi="Times New Roman" w:eastAsiaTheme="minorEastAsia"/>
          <w:color w:val="FF0000"/>
          <w:kern w:val="0"/>
          <w:sz w:val="24"/>
          <w:szCs w:val="24"/>
          <w:u w:val="single"/>
        </w:rPr>
        <w:t>长江监利四大家鱼国家级水产</w:t>
      </w:r>
      <w:r>
        <w:rPr>
          <w:rFonts w:ascii="Times New Roman" w:hAnsi="Times New Roman" w:eastAsiaTheme="minorEastAsia"/>
          <w:color w:val="FF0000"/>
          <w:sz w:val="24"/>
          <w:szCs w:val="24"/>
          <w:u w:val="single"/>
        </w:rPr>
        <w:t>种质资源保护区影响专题论证报告》，</w:t>
      </w:r>
      <w:r>
        <w:rPr>
          <w:rFonts w:hint="eastAsia" w:ascii="Times New Roman" w:hAnsi="Times New Roman" w:eastAsiaTheme="minorEastAsia"/>
          <w:color w:val="FF0000"/>
          <w:sz w:val="24"/>
          <w:szCs w:val="24"/>
          <w:u w:val="single"/>
        </w:rPr>
        <w:t>现已</w:t>
      </w:r>
      <w:r>
        <w:rPr>
          <w:rFonts w:ascii="Times New Roman" w:hAnsi="Times New Roman" w:eastAsiaTheme="minorEastAsia"/>
          <w:color w:val="FF0000"/>
          <w:sz w:val="24"/>
          <w:szCs w:val="24"/>
          <w:u w:val="single"/>
        </w:rPr>
        <w:t>征得</w:t>
      </w:r>
      <w:r>
        <w:rPr>
          <w:rFonts w:hint="eastAsia" w:ascii="Times New Roman" w:hAnsi="Times New Roman" w:eastAsiaTheme="minorEastAsia"/>
          <w:color w:val="FF0000"/>
          <w:sz w:val="24"/>
          <w:szCs w:val="24"/>
          <w:u w:val="single"/>
        </w:rPr>
        <w:t>主管</w:t>
      </w:r>
      <w:r>
        <w:rPr>
          <w:rFonts w:ascii="Times New Roman" w:hAnsi="Times New Roman" w:eastAsiaTheme="minorEastAsia"/>
          <w:color w:val="FF0000"/>
          <w:sz w:val="24"/>
          <w:szCs w:val="24"/>
          <w:u w:val="single"/>
        </w:rPr>
        <w:t>单位湖北省监</w:t>
      </w:r>
      <w:r>
        <w:rPr>
          <w:rFonts w:hint="eastAsia" w:ascii="Times New Roman" w:hAnsi="Times New Roman" w:eastAsiaTheme="minorEastAsia"/>
          <w:color w:val="FF0000"/>
          <w:sz w:val="24"/>
          <w:szCs w:val="24"/>
          <w:u w:val="single"/>
        </w:rPr>
        <w:t>利县农业农村局同意意见，见</w:t>
      </w:r>
      <w:r>
        <w:rPr>
          <w:rFonts w:ascii="Times New Roman" w:hAnsi="Times New Roman" w:eastAsiaTheme="minorEastAsia"/>
          <w:color w:val="FF0000"/>
          <w:sz w:val="24"/>
          <w:szCs w:val="24"/>
          <w:u w:val="single"/>
        </w:rPr>
        <w:t>附件</w:t>
      </w:r>
      <w:r>
        <w:rPr>
          <w:rFonts w:hint="eastAsia" w:ascii="Times New Roman" w:hAnsi="Times New Roman" w:eastAsiaTheme="minorEastAsia"/>
          <w:color w:val="FF0000"/>
          <w:sz w:val="24"/>
          <w:szCs w:val="24"/>
          <w:u w:val="single"/>
          <w:lang w:val="en-US" w:eastAsia="zh-CN"/>
        </w:rPr>
        <w:t>10</w:t>
      </w:r>
      <w:r>
        <w:rPr>
          <w:rFonts w:ascii="Times New Roman" w:hAnsi="Times New Roman" w:eastAsiaTheme="minorEastAsia"/>
          <w:color w:val="FF0000"/>
          <w:sz w:val="24"/>
          <w:szCs w:val="24"/>
          <w:u w:val="single"/>
        </w:rPr>
        <w:t>。</w:t>
      </w:r>
      <w:r>
        <w:rPr>
          <w:rFonts w:hint="eastAsia" w:ascii="Times New Roman" w:hAnsi="Times New Roman" w:eastAsiaTheme="minorEastAsia"/>
          <w:color w:val="FF0000"/>
          <w:sz w:val="24"/>
          <w:szCs w:val="24"/>
          <w:u w:val="single"/>
        </w:rPr>
        <w:t>此外</w:t>
      </w:r>
      <w:r>
        <w:rPr>
          <w:rFonts w:ascii="Times New Roman" w:hAnsi="Times New Roman" w:eastAsiaTheme="minorEastAsia"/>
          <w:color w:val="FF0000"/>
          <w:sz w:val="24"/>
          <w:szCs w:val="24"/>
          <w:u w:val="single"/>
        </w:rPr>
        <w:t>，《中国石化集团资产经营管理有限公司长岭分公司港口部码头提质改造工程对</w:t>
      </w:r>
      <w:r>
        <w:rPr>
          <w:rFonts w:ascii="Times New Roman" w:hAnsi="Times New Roman" w:eastAsiaTheme="minorEastAsia"/>
          <w:color w:val="FF0000"/>
          <w:kern w:val="0"/>
          <w:sz w:val="24"/>
          <w:szCs w:val="24"/>
          <w:u w:val="single"/>
        </w:rPr>
        <w:t>长江监利四大家鱼国家级水产</w:t>
      </w:r>
      <w:r>
        <w:rPr>
          <w:rFonts w:ascii="Times New Roman" w:hAnsi="Times New Roman" w:eastAsiaTheme="minorEastAsia"/>
          <w:color w:val="FF0000"/>
          <w:sz w:val="24"/>
          <w:szCs w:val="24"/>
          <w:u w:val="single"/>
        </w:rPr>
        <w:t>种质资源保护区影响专题论证报告》</w:t>
      </w:r>
      <w:r>
        <w:rPr>
          <w:rFonts w:hint="eastAsia" w:ascii="Times New Roman" w:hAnsi="Times New Roman" w:eastAsiaTheme="minorEastAsia"/>
          <w:color w:val="FF0000"/>
          <w:sz w:val="24"/>
          <w:szCs w:val="24"/>
          <w:u w:val="single"/>
          <w:lang w:eastAsia="zh-CN"/>
        </w:rPr>
        <w:t>已通过</w:t>
      </w:r>
      <w:r>
        <w:rPr>
          <w:rFonts w:ascii="Times New Roman" w:hAnsi="Times New Roman" w:eastAsiaTheme="minorEastAsia"/>
          <w:color w:val="FF0000"/>
          <w:sz w:val="24"/>
          <w:szCs w:val="24"/>
          <w:u w:val="single"/>
        </w:rPr>
        <w:t>湖北省农业农村厅</w:t>
      </w:r>
      <w:r>
        <w:rPr>
          <w:rFonts w:hint="eastAsia" w:ascii="Times New Roman" w:hAnsi="Times New Roman" w:eastAsiaTheme="minorEastAsia"/>
          <w:color w:val="FF0000"/>
          <w:sz w:val="24"/>
          <w:szCs w:val="24"/>
          <w:u w:val="single"/>
          <w:lang w:eastAsia="zh-CN"/>
        </w:rPr>
        <w:t>组织的专家审查会，详见附件</w:t>
      </w:r>
      <w:r>
        <w:rPr>
          <w:rFonts w:hint="eastAsia" w:ascii="Times New Roman" w:hAnsi="Times New Roman" w:eastAsiaTheme="minorEastAsia"/>
          <w:color w:val="FF0000"/>
          <w:sz w:val="24"/>
          <w:szCs w:val="24"/>
          <w:u w:val="single"/>
          <w:lang w:val="en-US" w:eastAsia="zh-CN"/>
        </w:rPr>
        <w:t>11</w:t>
      </w:r>
      <w:r>
        <w:rPr>
          <w:rFonts w:ascii="Times New Roman" w:hAnsi="Times New Roman" w:eastAsiaTheme="minorEastAsia"/>
          <w:color w:val="FF0000"/>
          <w:sz w:val="24"/>
          <w:szCs w:val="24"/>
          <w:u w:val="single"/>
        </w:rPr>
        <w:t>。</w:t>
      </w:r>
    </w:p>
    <w:p>
      <w:pPr>
        <w:pStyle w:val="4"/>
        <w:rPr>
          <w:rFonts w:eastAsiaTheme="minorEastAsia"/>
          <w:color w:val="000000" w:themeColor="text1"/>
          <w14:textFill>
            <w14:solidFill>
              <w14:schemeClr w14:val="tx1"/>
            </w14:solidFill>
          </w14:textFill>
        </w:rPr>
      </w:pPr>
      <w:r>
        <w:rPr>
          <w:rFonts w:eastAsiaTheme="minorEastAsia"/>
          <w:bCs w:val="0"/>
          <w:color w:val="000000" w:themeColor="text1"/>
          <w14:textFill>
            <w14:solidFill>
              <w14:schemeClr w14:val="tx1"/>
            </w14:solidFill>
          </w14:textFill>
        </w:rPr>
        <w:t>岳阳市云溪区陆城镇水厂文桥镇水厂长江取水口饮用水源保护区</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1、制约因素</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本项目水域工程位于阳市云溪区陆城镇水厂文桥镇水厂长江取水口饮用水源保护区的二级保护区范围内。</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2、解决方法</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根据</w:t>
      </w:r>
      <w:r>
        <w:rPr>
          <w:rFonts w:ascii="Times New Roman" w:hAnsi="Times New Roman" w:eastAsiaTheme="minorEastAsia"/>
          <w:color w:val="000000" w:themeColor="text1"/>
          <w:sz w:val="24"/>
          <w:szCs w:val="24"/>
          <w14:textFill>
            <w14:solidFill>
              <w14:schemeClr w14:val="tx1"/>
            </w14:solidFill>
          </w14:textFill>
        </w:rPr>
        <w:t>《岳阳市云溪区陆城镇水厂文桥镇水厂长江取水口饮用水源保护区划分技术报告》（2019年9月）</w:t>
      </w:r>
      <w:r>
        <w:rPr>
          <w:rFonts w:hint="eastAsia" w:ascii="Times New Roman" w:hAnsi="Times New Roman" w:eastAsiaTheme="minorEastAsia"/>
          <w:color w:val="000000" w:themeColor="text1"/>
          <w:sz w:val="24"/>
          <w:szCs w:val="24"/>
          <w14:textFill>
            <w14:solidFill>
              <w14:schemeClr w14:val="tx1"/>
            </w14:solidFill>
          </w14:textFill>
        </w:rPr>
        <w:t>的一级</w:t>
      </w:r>
      <w:r>
        <w:rPr>
          <w:rFonts w:ascii="Times New Roman" w:hAnsi="Times New Roman" w:eastAsiaTheme="minorEastAsia"/>
          <w:color w:val="000000" w:themeColor="text1"/>
          <w:sz w:val="24"/>
          <w:szCs w:val="24"/>
          <w14:textFill>
            <w14:solidFill>
              <w14:schemeClr w14:val="tx1"/>
            </w14:solidFill>
          </w14:textFill>
        </w:rPr>
        <w:t>、二级保护区划分</w:t>
      </w:r>
      <w:r>
        <w:rPr>
          <w:rFonts w:hint="eastAsia" w:ascii="Times New Roman" w:hAnsi="Times New Roman" w:eastAsiaTheme="minorEastAsia"/>
          <w:color w:val="000000" w:themeColor="text1"/>
          <w:sz w:val="24"/>
          <w:szCs w:val="24"/>
          <w14:textFill>
            <w14:solidFill>
              <w14:schemeClr w14:val="tx1"/>
            </w14:solidFill>
          </w14:textFill>
        </w:rPr>
        <w:t>范围，</w:t>
      </w:r>
      <w:r>
        <w:rPr>
          <w:rFonts w:ascii="Times New Roman" w:hAnsi="Times New Roman" w:eastAsiaTheme="minorEastAsia"/>
          <w:color w:val="000000" w:themeColor="text1"/>
          <w:sz w:val="24"/>
          <w:szCs w:val="24"/>
          <w14:textFill>
            <w14:solidFill>
              <w14:schemeClr w14:val="tx1"/>
            </w14:solidFill>
          </w14:textFill>
        </w:rPr>
        <w:t>本项目</w:t>
      </w:r>
      <w:r>
        <w:rPr>
          <w:rFonts w:hint="eastAsia" w:ascii="Times New Roman" w:hAnsi="Times New Roman" w:eastAsiaTheme="minorEastAsia"/>
          <w:color w:val="000000" w:themeColor="text1"/>
          <w:sz w:val="24"/>
          <w:szCs w:val="24"/>
          <w14:textFill>
            <w14:solidFill>
              <w14:schemeClr w14:val="tx1"/>
            </w14:solidFill>
          </w14:textFill>
        </w:rPr>
        <w:t>位于水源地</w:t>
      </w:r>
      <w:r>
        <w:rPr>
          <w:rFonts w:ascii="Times New Roman" w:hAnsi="Times New Roman" w:eastAsiaTheme="minorEastAsia"/>
          <w:color w:val="000000" w:themeColor="text1"/>
          <w:sz w:val="24"/>
          <w:szCs w:val="24"/>
          <w14:textFill>
            <w14:solidFill>
              <w14:schemeClr w14:val="tx1"/>
            </w14:solidFill>
          </w14:textFill>
        </w:rPr>
        <w:t>保护范围内。经</w:t>
      </w:r>
      <w:r>
        <w:rPr>
          <w:rFonts w:hint="eastAsia" w:ascii="Times New Roman" w:hAnsi="Times New Roman" w:eastAsiaTheme="minorEastAsia"/>
          <w:color w:val="000000" w:themeColor="text1"/>
          <w:sz w:val="24"/>
          <w:szCs w:val="24"/>
          <w14:textFill>
            <w14:solidFill>
              <w14:schemeClr w14:val="tx1"/>
            </w14:solidFill>
          </w14:textFill>
        </w:rPr>
        <w:t>现场实地</w:t>
      </w:r>
      <w:r>
        <w:rPr>
          <w:rFonts w:ascii="Times New Roman" w:hAnsi="Times New Roman" w:eastAsiaTheme="minorEastAsia"/>
          <w:color w:val="000000" w:themeColor="text1"/>
          <w:sz w:val="24"/>
          <w:szCs w:val="24"/>
          <w14:textFill>
            <w14:solidFill>
              <w14:schemeClr w14:val="tx1"/>
            </w14:solidFill>
          </w14:textFill>
        </w:rPr>
        <w:t>考察，水源地划分技术报告的取水口位置</w:t>
      </w:r>
      <w:r>
        <w:rPr>
          <w:rFonts w:hint="eastAsia" w:ascii="Times New Roman" w:hAnsi="Times New Roman" w:eastAsiaTheme="minorEastAsia"/>
          <w:color w:val="000000" w:themeColor="text1"/>
          <w:sz w:val="24"/>
          <w:szCs w:val="24"/>
          <w14:textFill>
            <w14:solidFill>
              <w14:schemeClr w14:val="tx1"/>
            </w14:solidFill>
          </w14:textFill>
        </w:rPr>
        <w:t>定点</w:t>
      </w:r>
      <w:r>
        <w:rPr>
          <w:rFonts w:ascii="Times New Roman" w:hAnsi="Times New Roman" w:eastAsiaTheme="minorEastAsia"/>
          <w:color w:val="000000" w:themeColor="text1"/>
          <w:sz w:val="24"/>
          <w:szCs w:val="24"/>
          <w14:textFill>
            <w14:solidFill>
              <w14:schemeClr w14:val="tx1"/>
            </w14:solidFill>
          </w14:textFill>
        </w:rPr>
        <w:t>错误</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为此，</w:t>
      </w:r>
      <w:r>
        <w:rPr>
          <w:rFonts w:hint="eastAsia" w:ascii="Times New Roman" w:hAnsi="Times New Roman" w:eastAsiaTheme="minorEastAsia"/>
          <w:color w:val="000000" w:themeColor="text1"/>
          <w:sz w:val="24"/>
          <w:szCs w:val="24"/>
          <w14:textFill>
            <w14:solidFill>
              <w14:schemeClr w14:val="tx1"/>
            </w14:solidFill>
          </w14:textFill>
        </w:rPr>
        <w:t>岳阳市</w:t>
      </w:r>
      <w:r>
        <w:rPr>
          <w:rFonts w:ascii="Times New Roman" w:hAnsi="Times New Roman" w:eastAsiaTheme="minorEastAsia"/>
          <w:color w:val="000000" w:themeColor="text1"/>
          <w:sz w:val="24"/>
          <w:szCs w:val="24"/>
          <w14:textFill>
            <w14:solidFill>
              <w14:schemeClr w14:val="tx1"/>
            </w14:solidFill>
          </w14:textFill>
        </w:rPr>
        <w:t>云溪区人民政府</w:t>
      </w:r>
      <w:r>
        <w:rPr>
          <w:rFonts w:hint="eastAsia" w:ascii="Times New Roman" w:hAnsi="Times New Roman" w:eastAsiaTheme="minorEastAsia"/>
          <w:color w:val="000000" w:themeColor="text1"/>
          <w:sz w:val="24"/>
          <w:szCs w:val="24"/>
          <w14:textFill>
            <w14:solidFill>
              <w14:schemeClr w14:val="tx1"/>
            </w14:solidFill>
          </w14:textFill>
        </w:rPr>
        <w:t>出具了</w:t>
      </w:r>
      <w:r>
        <w:rPr>
          <w:rFonts w:ascii="Times New Roman" w:hAnsi="Times New Roman" w:eastAsiaTheme="minorEastAsia"/>
          <w:color w:val="000000" w:themeColor="text1"/>
          <w:sz w:val="24"/>
          <w:szCs w:val="24"/>
          <w14:textFill>
            <w14:solidFill>
              <w14:schemeClr w14:val="tx1"/>
            </w14:solidFill>
          </w14:textFill>
        </w:rPr>
        <w:t>“关于协调解决中国石化集团资产经营管理有限公司长岭分</w:t>
      </w:r>
      <w:r>
        <w:rPr>
          <w:rFonts w:hint="eastAsia" w:ascii="Times New Roman" w:hAnsi="Times New Roman" w:eastAsiaTheme="minorEastAsia"/>
          <w:color w:val="000000" w:themeColor="text1"/>
          <w:sz w:val="24"/>
          <w:szCs w:val="24"/>
          <w14:textFill>
            <w14:solidFill>
              <w14:schemeClr w14:val="tx1"/>
            </w14:solidFill>
          </w14:textFill>
        </w:rPr>
        <w:t>公司港口部</w:t>
      </w:r>
      <w:r>
        <w:rPr>
          <w:rFonts w:ascii="Times New Roman" w:hAnsi="Times New Roman" w:eastAsiaTheme="minorEastAsia"/>
          <w:color w:val="000000" w:themeColor="text1"/>
          <w:sz w:val="24"/>
          <w:szCs w:val="24"/>
          <w14:textFill>
            <w14:solidFill>
              <w14:schemeClr w14:val="tx1"/>
            </w14:solidFill>
          </w14:textFill>
        </w:rPr>
        <w:t>码头列入饮用水水源保护区问题的复函”</w:t>
      </w:r>
      <w:r>
        <w:rPr>
          <w:rFonts w:hint="eastAsia" w:ascii="Times New Roman" w:hAnsi="Times New Roman" w:eastAsiaTheme="minorEastAsia"/>
          <w:color w:val="000000" w:themeColor="text1"/>
          <w:sz w:val="24"/>
          <w:szCs w:val="24"/>
          <w14:textFill>
            <w14:solidFill>
              <w14:schemeClr w14:val="tx1"/>
            </w14:solidFill>
          </w14:textFill>
        </w:rPr>
        <w:t>（岳</w:t>
      </w:r>
      <w:r>
        <w:rPr>
          <w:rFonts w:ascii="Times New Roman" w:hAnsi="Times New Roman" w:eastAsiaTheme="minorEastAsia"/>
          <w:color w:val="000000" w:themeColor="text1"/>
          <w:sz w:val="24"/>
          <w:szCs w:val="24"/>
          <w14:textFill>
            <w14:solidFill>
              <w14:schemeClr w14:val="tx1"/>
            </w14:solidFill>
          </w14:textFill>
        </w:rPr>
        <w:t>云政函〔</w:t>
      </w:r>
      <w:r>
        <w:rPr>
          <w:rFonts w:hint="eastAsia" w:ascii="Times New Roman" w:hAnsi="Times New Roman" w:eastAsiaTheme="minorEastAsia"/>
          <w:color w:val="000000" w:themeColor="text1"/>
          <w:sz w:val="24"/>
          <w:szCs w:val="24"/>
          <w14:textFill>
            <w14:solidFill>
              <w14:schemeClr w14:val="tx1"/>
            </w14:solidFill>
          </w14:textFill>
        </w:rPr>
        <w:t>2020〕32号</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，该取水</w:t>
      </w:r>
      <w:r>
        <w:rPr>
          <w:rFonts w:ascii="Times New Roman" w:hAnsi="Times New Roman" w:eastAsiaTheme="minorEastAsia"/>
          <w:color w:val="000000" w:themeColor="text1"/>
          <w:sz w:val="24"/>
          <w:szCs w:val="24"/>
          <w14:textFill>
            <w14:solidFill>
              <w14:schemeClr w14:val="tx1"/>
            </w14:solidFill>
          </w14:textFill>
        </w:rPr>
        <w:t>口实际</w:t>
      </w:r>
      <w:r>
        <w:rPr>
          <w:rFonts w:hint="eastAsia" w:ascii="Times New Roman" w:hAnsi="Times New Roman" w:eastAsiaTheme="minorEastAsia"/>
          <w:color w:val="000000" w:themeColor="text1"/>
          <w:sz w:val="24"/>
          <w:szCs w:val="24"/>
          <w14:textFill>
            <w14:solidFill>
              <w14:schemeClr w14:val="tx1"/>
            </w14:solidFill>
          </w14:textFill>
        </w:rPr>
        <w:t>坐标为</w:t>
      </w:r>
      <w:r>
        <w:rPr>
          <w:rFonts w:ascii="Times New Roman" w:hAnsi="Times New Roman" w:eastAsiaTheme="minorEastAsia"/>
          <w:color w:val="000000" w:themeColor="text1"/>
          <w:sz w:val="24"/>
          <w:szCs w:val="24"/>
          <w14:textFill>
            <w14:solidFill>
              <w14:schemeClr w14:val="tx1"/>
            </w14:solidFill>
          </w14:textFill>
        </w:rPr>
        <w:t>E：113°16'19.47"，N：29°35'24.357"</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根据</w:t>
      </w:r>
      <w:r>
        <w:rPr>
          <w:rFonts w:hint="eastAsia" w:ascii="Times New Roman" w:hAnsi="Times New Roman" w:eastAsiaTheme="minorEastAsia"/>
          <w:color w:val="000000" w:themeColor="text1"/>
          <w:sz w:val="24"/>
          <w:szCs w:val="24"/>
          <w14:textFill>
            <w14:solidFill>
              <w14:schemeClr w14:val="tx1"/>
            </w14:solidFill>
          </w14:textFill>
        </w:rPr>
        <w:t>取水口实际</w:t>
      </w:r>
      <w:r>
        <w:rPr>
          <w:rFonts w:ascii="Times New Roman" w:hAnsi="Times New Roman" w:eastAsiaTheme="minorEastAsia"/>
          <w:color w:val="000000" w:themeColor="text1"/>
          <w:sz w:val="24"/>
          <w:szCs w:val="24"/>
          <w14:textFill>
            <w14:solidFill>
              <w14:schemeClr w14:val="tx1"/>
            </w14:solidFill>
          </w14:textFill>
        </w:rPr>
        <w:t>位置</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按照技术规范划定</w:t>
      </w:r>
      <w:r>
        <w:rPr>
          <w:rFonts w:hint="eastAsia" w:ascii="Times New Roman" w:hAnsi="Times New Roman" w:eastAsiaTheme="minorEastAsia"/>
          <w:color w:val="000000" w:themeColor="text1"/>
          <w:sz w:val="24"/>
          <w:szCs w:val="24"/>
          <w14:textFill>
            <w14:solidFill>
              <w14:schemeClr w14:val="tx1"/>
            </w14:solidFill>
          </w14:textFill>
        </w:rPr>
        <w:t>该水源地</w:t>
      </w:r>
      <w:r>
        <w:rPr>
          <w:rFonts w:ascii="Times New Roman" w:hAnsi="Times New Roman" w:eastAsiaTheme="minorEastAsia"/>
          <w:color w:val="000000" w:themeColor="text1"/>
          <w:sz w:val="24"/>
          <w:szCs w:val="24"/>
          <w14:textFill>
            <w14:solidFill>
              <w14:schemeClr w14:val="tx1"/>
            </w14:solidFill>
          </w14:textFill>
        </w:rPr>
        <w:t>保护区范围，该水源地二级保护区下边界与本项目的上边界最近直线距离约370m，</w:t>
      </w:r>
      <w:r>
        <w:rPr>
          <w:rFonts w:hint="eastAsia" w:ascii="Times New Roman" w:hAnsi="Times New Roman" w:eastAsiaTheme="minorEastAsia"/>
          <w:color w:val="000000" w:themeColor="text1"/>
          <w:sz w:val="24"/>
          <w:szCs w:val="24"/>
          <w14:textFill>
            <w14:solidFill>
              <w14:schemeClr w14:val="tx1"/>
            </w14:solidFill>
          </w14:textFill>
        </w:rPr>
        <w:t>本项目</w:t>
      </w:r>
      <w:r>
        <w:rPr>
          <w:rFonts w:ascii="Times New Roman" w:hAnsi="Times New Roman" w:eastAsiaTheme="minorEastAsia"/>
          <w:color w:val="000000" w:themeColor="text1"/>
          <w:sz w:val="24"/>
          <w:szCs w:val="24"/>
          <w14:textFill>
            <w14:solidFill>
              <w14:schemeClr w14:val="tx1"/>
            </w14:solidFill>
          </w14:textFill>
        </w:rPr>
        <w:t>不涉及</w:t>
      </w:r>
      <w:r>
        <w:rPr>
          <w:rFonts w:hint="eastAsia" w:ascii="Times New Roman" w:hAnsi="Times New Roman" w:eastAsiaTheme="minorEastAsia"/>
          <w:color w:val="000000" w:themeColor="text1"/>
          <w:sz w:val="24"/>
          <w:szCs w:val="24"/>
          <w14:textFill>
            <w14:solidFill>
              <w14:schemeClr w14:val="tx1"/>
            </w14:solidFill>
          </w14:textFill>
        </w:rPr>
        <w:t>水源地</w:t>
      </w:r>
      <w:r>
        <w:rPr>
          <w:rFonts w:ascii="Times New Roman" w:hAnsi="Times New Roman" w:eastAsiaTheme="minorEastAsia"/>
          <w:color w:val="000000" w:themeColor="text1"/>
          <w:sz w:val="24"/>
          <w:szCs w:val="24"/>
          <w14:textFill>
            <w14:solidFill>
              <w14:schemeClr w14:val="tx1"/>
            </w14:solidFill>
          </w14:textFill>
        </w:rPr>
        <w:t>保护区</w:t>
      </w:r>
      <w:r>
        <w:rPr>
          <w:rFonts w:hint="eastAsia" w:ascii="Times New Roman" w:hAnsi="Times New Roman" w:eastAsiaTheme="minorEastAsia"/>
          <w:color w:val="000000" w:themeColor="text1"/>
          <w:sz w:val="24"/>
          <w:szCs w:val="24"/>
          <w14:textFill>
            <w14:solidFill>
              <w14:schemeClr w14:val="tx1"/>
            </w14:solidFill>
          </w14:textFill>
        </w:rPr>
        <w:t>范围。此外</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lang w:eastAsia="zh-CN"/>
          <w14:textFill>
            <w14:solidFill>
              <w14:schemeClr w14:val="tx1"/>
            </w14:solidFill>
          </w14:textFill>
        </w:rPr>
        <w:t>地方政府拟从铁山水库引水供</w:t>
      </w:r>
      <w:r>
        <w:rPr>
          <w:rFonts w:ascii="Times New Roman" w:hAnsi="Times New Roman" w:eastAsiaTheme="minorEastAsia"/>
          <w:color w:val="000000" w:themeColor="text1"/>
          <w:sz w:val="24"/>
          <w:szCs w:val="24"/>
          <w14:textFill>
            <w14:solidFill>
              <w14:schemeClr w14:val="tx1"/>
            </w14:solidFill>
          </w14:textFill>
        </w:rPr>
        <w:t>陆城镇</w:t>
      </w:r>
      <w:r>
        <w:rPr>
          <w:rFonts w:hint="eastAsia" w:ascii="Times New Roman" w:hAnsi="Times New Roman" w:eastAsiaTheme="minorEastAsia"/>
          <w:color w:val="000000" w:themeColor="text1"/>
          <w:sz w:val="24"/>
          <w:szCs w:val="24"/>
          <w:lang w:eastAsia="zh-CN"/>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文桥镇</w:t>
      </w:r>
      <w:r>
        <w:rPr>
          <w:rFonts w:hint="eastAsia" w:ascii="Times New Roman" w:hAnsi="Times New Roman" w:eastAsiaTheme="minorEastAsia"/>
          <w:color w:val="000000" w:themeColor="text1"/>
          <w:sz w:val="24"/>
          <w:szCs w:val="24"/>
          <w:lang w:eastAsia="zh-CN"/>
          <w14:textFill>
            <w14:solidFill>
              <w14:schemeClr w14:val="tx1"/>
            </w14:solidFill>
          </w14:textFill>
        </w:rPr>
        <w:t>居民使用</w:t>
      </w:r>
      <w:r>
        <w:rPr>
          <w:rFonts w:ascii="Times New Roman" w:hAnsi="Times New Roman" w:eastAsiaTheme="minorEastAsia"/>
          <w:color w:val="000000" w:themeColor="text1"/>
          <w:sz w:val="24"/>
          <w:szCs w:val="24"/>
          <w14:textFill>
            <w14:solidFill>
              <w14:schemeClr w14:val="tx1"/>
            </w14:solidFill>
          </w14:textFill>
        </w:rPr>
        <w:t>。待该饮用水水源保护区取消后，本项目码头工程选址将不在涉及饮用水水源地和取水口。</w:t>
      </w:r>
    </w:p>
    <w:p>
      <w:pPr>
        <w:tabs>
          <w:tab w:val="left" w:pos="900"/>
        </w:tabs>
        <w:snapToGrid w:val="0"/>
        <w:spacing w:line="360" w:lineRule="auto"/>
        <w:rPr>
          <w:rFonts w:ascii="Times New Roman" w:hAnsi="Times New Roman" w:eastAsiaTheme="minorEastAsia"/>
          <w:color w:val="000000"/>
          <w:sz w:val="24"/>
          <w:szCs w:val="24"/>
        </w:rPr>
      </w:pPr>
    </w:p>
    <w:p>
      <w:pPr>
        <w:pStyle w:val="39"/>
        <w:adjustRightInd w:val="0"/>
        <w:snapToGrid w:val="0"/>
        <w:spacing w:after="0" w:line="360" w:lineRule="auto"/>
        <w:ind w:left="0" w:leftChars="0" w:firstLine="480" w:firstLineChars="200"/>
        <w:rPr>
          <w:rFonts w:ascii="Times New Roman" w:hAnsi="Times New Roman" w:eastAsiaTheme="minorEastAsia"/>
          <w:sz w:val="24"/>
          <w:szCs w:val="24"/>
        </w:rPr>
        <w:sectPr>
          <w:headerReference r:id="rId13"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135" w:name="_Toc3487"/>
      <w:r>
        <w:rPr>
          <w:rFonts w:eastAsiaTheme="minorEastAsia"/>
          <w:b/>
          <w:sz w:val="32"/>
          <w:szCs w:val="32"/>
        </w:rPr>
        <w:t>环境影响预测与评价</w:t>
      </w:r>
      <w:bookmarkEnd w:id="135"/>
    </w:p>
    <w:p>
      <w:pPr>
        <w:pStyle w:val="3"/>
        <w:rPr>
          <w:rFonts w:ascii="Times New Roman" w:hAnsi="Times New Roman" w:eastAsiaTheme="minorEastAsia"/>
          <w:b/>
        </w:rPr>
      </w:pPr>
      <w:bookmarkStart w:id="136" w:name="_Toc1647851"/>
      <w:bookmarkEnd w:id="136"/>
      <w:bookmarkStart w:id="137" w:name="_Toc335720735"/>
      <w:bookmarkEnd w:id="137"/>
      <w:bookmarkStart w:id="138" w:name="_Toc26005"/>
      <w:r>
        <w:rPr>
          <w:rFonts w:ascii="Times New Roman" w:hAnsi="Times New Roman" w:eastAsiaTheme="minorEastAsia"/>
          <w:b/>
        </w:rPr>
        <w:t>地表水环境影响影响评价</w:t>
      </w:r>
      <w:bookmarkEnd w:id="138"/>
    </w:p>
    <w:p>
      <w:pPr>
        <w:pStyle w:val="4"/>
        <w:rPr>
          <w:rFonts w:eastAsiaTheme="minorEastAsia"/>
        </w:rPr>
      </w:pPr>
      <w:r>
        <w:rPr>
          <w:rFonts w:eastAsiaTheme="minorEastAsia"/>
        </w:rPr>
        <w:t>施工期地表水环境影响分析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拟建项目施工期污水主要发生在泊位建设、岸上辅助设施等建设过程中，对水环境的影响主要是底泥疏浚、主体结构水下施工对水环境的影响以及施工期生活污水、生产废水及船舶油污水对水环境的影响。</w:t>
      </w:r>
    </w:p>
    <w:p>
      <w:pPr>
        <w:pStyle w:val="5"/>
        <w:rPr>
          <w:rFonts w:eastAsiaTheme="minorEastAsia"/>
        </w:rPr>
      </w:pPr>
      <w:r>
        <w:rPr>
          <w:rFonts w:eastAsiaTheme="minorEastAsia"/>
        </w:rPr>
        <w:t>码头主体结构施工的水环境影响分析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码头主体结构的水域施工会对河流底泥进行扰动，造成施工区域附近水中SS浓度增高，影响水体水质。本项目码头主体结构的水域施工采取围堰法，码头主体结构施工过程在围堰内完成，对围堰外水域的影响较小，对水体的扰动仅发生在围堰的安装和拆除过程。</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施工方案，本项目码头主体结构利用枯水期构筑围堰干地施工。根据同类工程类比分析，围堰施工和拆除过程中，局部水域的SS浓度在80~160mg/L之间，但施工点下游100m范围外SS增量不超过50mg/L，对下游100m范围外水域水质不产生污染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因此，码头主体结构施工对水体影响范围在施工点100m以内，持续时间短，围堰和围堰拆除过程结束，这种影响也不复存在，对水质影响轻微。</w:t>
      </w:r>
    </w:p>
    <w:p>
      <w:pPr>
        <w:pStyle w:val="5"/>
        <w:rPr>
          <w:rFonts w:eastAsiaTheme="minorEastAsia"/>
        </w:rPr>
      </w:pPr>
      <w:r>
        <w:rPr>
          <w:rFonts w:eastAsiaTheme="minorEastAsia"/>
        </w:rPr>
        <w:t>码头前沿疏浚的水环境影响分析</w:t>
      </w:r>
    </w:p>
    <w:p>
      <w:pPr>
        <w:adjustRightInd w:val="0"/>
        <w:snapToGrid w:val="0"/>
        <w:spacing w:line="360" w:lineRule="auto"/>
        <w:ind w:firstLine="482"/>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本项目水下土方疏浚量为4.7万m</w:t>
      </w:r>
      <w:r>
        <w:rPr>
          <w:rFonts w:ascii="Times New Roman" w:hAnsi="Times New Roman" w:eastAsiaTheme="minorEastAsia"/>
          <w:color w:val="FF0000"/>
          <w:sz w:val="24"/>
          <w:szCs w:val="24"/>
          <w:u w:val="single"/>
          <w:vertAlign w:val="superscript"/>
        </w:rPr>
        <w:t>3</w:t>
      </w:r>
      <w:r>
        <w:rPr>
          <w:rFonts w:ascii="Times New Roman" w:hAnsi="Times New Roman" w:eastAsiaTheme="minorEastAsia"/>
          <w:color w:val="FF0000"/>
          <w:sz w:val="24"/>
          <w:szCs w:val="24"/>
          <w:u w:val="single"/>
        </w:rPr>
        <w:t>，采用绞吸式挖泥船进行疏浚，类比相关试验研究结果</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戴明新，挖泥船疏浚作业对环境影响的试验研究[J].交通环保，1997(4):7-9</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，在绞刀头作业点附近，底层水体悬浮物含量为200~260mg/L，表层水体悬浮物含量为100~180mg/L，悬浮物随流扩散120m左右后，水中悬浮物含量基本接近本底浓度，因此不会对施工河段水域水质产生明显影响</w:t>
      </w:r>
      <w:r>
        <w:rPr>
          <w:rFonts w:hint="eastAsia" w:ascii="Times New Roman" w:hAnsi="Times New Roman" w:eastAsiaTheme="minorEastAsia"/>
          <w:color w:val="FF0000"/>
          <w:sz w:val="24"/>
          <w:szCs w:val="24"/>
          <w:u w:val="single"/>
          <w:lang w:eastAsia="zh-CN"/>
        </w:rPr>
        <w:t>，</w:t>
      </w:r>
      <w:r>
        <w:rPr>
          <w:rFonts w:hint="eastAsia" w:ascii="Times New Roman" w:hAnsi="Times New Roman" w:eastAsiaTheme="minorEastAsia"/>
          <w:color w:val="FF0000"/>
          <w:sz w:val="24"/>
          <w:szCs w:val="24"/>
          <w:u w:val="single"/>
          <w:lang w:val="en-US" w:eastAsia="zh-CN"/>
        </w:rPr>
        <w:t>对下游4.8km处的</w:t>
      </w:r>
      <w:r>
        <w:rPr>
          <w:rFonts w:ascii="Times New Roman" w:hAnsi="Times New Roman" w:eastAsiaTheme="minorEastAsia"/>
          <w:color w:val="FF0000"/>
          <w:sz w:val="24"/>
          <w:szCs w:val="24"/>
          <w:u w:val="single"/>
        </w:rPr>
        <w:t>临湘市工业园滨江产业示范区自来水厂取水口</w:t>
      </w:r>
      <w:r>
        <w:rPr>
          <w:rFonts w:hint="eastAsia" w:ascii="Times New Roman" w:hAnsi="Times New Roman" w:eastAsiaTheme="minorEastAsia"/>
          <w:color w:val="FF0000"/>
          <w:sz w:val="24"/>
          <w:szCs w:val="24"/>
          <w:u w:val="single"/>
          <w:lang w:val="en-US" w:eastAsia="zh-CN"/>
        </w:rPr>
        <w:t>几乎无影响。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疏浚产生的水下方在码头用地范围内堆存，经风干后，用于码头作业平台的回填土。由于水下方含水量较大，堆存过程中产生溢流的泥浆水，主要污染物为悬浮物。溢流泥浆水经堆场溢流堰流出，在堆场设置的沉淀池内沉淀后部分回用于施工现场抑尘用水等，其余部分排入长炼第二污水处理</w:t>
      </w:r>
      <w:r>
        <w:rPr>
          <w:rFonts w:hint="eastAsia" w:ascii="Times New Roman" w:hAnsi="Times New Roman" w:eastAsiaTheme="minorEastAsia"/>
          <w:sz w:val="24"/>
          <w:szCs w:val="24"/>
        </w:rPr>
        <w:t>厂</w:t>
      </w:r>
      <w:r>
        <w:rPr>
          <w:rFonts w:ascii="Times New Roman" w:hAnsi="Times New Roman" w:eastAsiaTheme="minorEastAsia"/>
          <w:sz w:val="24"/>
          <w:szCs w:val="24"/>
        </w:rPr>
        <w:t>。</w:t>
      </w:r>
    </w:p>
    <w:p>
      <w:pPr>
        <w:pStyle w:val="5"/>
        <w:rPr>
          <w:rFonts w:eastAsiaTheme="minorEastAsia"/>
        </w:rPr>
      </w:pPr>
      <w:r>
        <w:rPr>
          <w:rFonts w:eastAsiaTheme="minorEastAsia"/>
        </w:rPr>
        <w:t>施工期生活污水和施工船舶油污水影响分析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陆域施工人员生活污水依托码头后方厂区内废水处理站，经厂区内废水处理站处理达接管标准后排入区域污水管网，送长炼第二</w:t>
      </w:r>
      <w:r>
        <w:rPr>
          <w:rFonts w:hint="eastAsia" w:ascii="Times New Roman" w:hAnsi="Times New Roman" w:eastAsiaTheme="minorEastAsia"/>
          <w:sz w:val="24"/>
          <w:szCs w:val="24"/>
          <w:lang w:eastAsia="zh-CN"/>
        </w:rPr>
        <w:t>污水处理厂</w:t>
      </w:r>
      <w:r>
        <w:rPr>
          <w:rFonts w:ascii="Times New Roman" w:hAnsi="Times New Roman" w:eastAsiaTheme="minorEastAsia"/>
          <w:sz w:val="24"/>
          <w:szCs w:val="24"/>
        </w:rPr>
        <w:t>深度处理；施工期船舶产生的船舶油污水和生活污水由施工单位负责交海事部门环保船接收处理，对周边水域水质影响较小。</w:t>
      </w:r>
    </w:p>
    <w:p>
      <w:pPr>
        <w:pStyle w:val="5"/>
        <w:rPr>
          <w:rFonts w:eastAsiaTheme="minorEastAsia"/>
        </w:rPr>
      </w:pPr>
      <w:r>
        <w:rPr>
          <w:rFonts w:eastAsiaTheme="minorEastAsia"/>
        </w:rPr>
        <w:t>施工期生产废水环境影响分析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施工废水主要来自施工场地机械冲洗废水、砂石料冲洗废水及施工场地地表径流水等。</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机械跑、冒、滴、漏的污油及冲洗后产生的油污染废水主要含石油类，如不经处理直接排放，会对项目所在地地表水造成油污染，污染水体如用于灌溉则会对农作物生长产生不利影响。砂石料冲洗废水SS含量较高，不处理直接排放会引起地表水浑浊。此外，雨水对施工场地上物料、机械冲刷形成的径流也含有SS、石油类等污染物。</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码头建设项目施工废水特征，施工期间在施工场地四周设置截水沟截留雨水径流，并在施工场地内设置隔油池和沉淀池对收集的施工废水进行隔油、沉淀处理，处理水首先循环回用于施工生产，其余用于施工现场的洒水防尘和车辆、机械冲洗，不向外排放，对本项目所在地地表水环境的影响较小。</w:t>
      </w:r>
    </w:p>
    <w:p>
      <w:pPr>
        <w:pStyle w:val="5"/>
        <w:rPr>
          <w:rFonts w:eastAsiaTheme="minorEastAsia"/>
        </w:rPr>
      </w:pPr>
      <w:r>
        <w:rPr>
          <w:rFonts w:eastAsiaTheme="minorEastAsia"/>
        </w:rPr>
        <w:t>其它污水的水环境影响分析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结构施工时的砂浆、石灰等废液，以及建筑材料堆放时产生的初期雨水若处置不当，会污染周围环境，因此应采取以下措施：</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⑴ </w:t>
      </w:r>
      <w:r>
        <w:rPr>
          <w:rFonts w:ascii="Times New Roman" w:hAnsi="Times New Roman" w:eastAsiaTheme="minorEastAsia"/>
          <w:sz w:val="24"/>
          <w:szCs w:val="24"/>
        </w:rPr>
        <w:t>施工期的砂浆、石灰等废液应集中处理，干燥后与固体废物一起处置。</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⑵ </w:t>
      </w:r>
      <w:r>
        <w:rPr>
          <w:rFonts w:ascii="Times New Roman" w:hAnsi="Times New Roman" w:eastAsiaTheme="minorEastAsia"/>
          <w:sz w:val="24"/>
          <w:szCs w:val="24"/>
        </w:rPr>
        <w:t>水泥、黄砂、石灰类的建筑材料需集中堆放，并采取一定的防护措施，以免雨水冲刷污染附近水体，同时也避免了不必要的建筑材料经济损失。</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综上所述，施工期污水由于量小且较为分散，可以通过加强施工管理、充分利用各种污水处理设施来减轻其不利影响，其给环境带来的影响是局部的、短期的、可逆的、一般性的，一旦施工结束，影响也将很快消除。</w:t>
      </w:r>
    </w:p>
    <w:p>
      <w:pPr>
        <w:pStyle w:val="4"/>
        <w:rPr>
          <w:rFonts w:eastAsiaTheme="minorEastAsia"/>
        </w:rPr>
      </w:pPr>
      <w:r>
        <w:rPr>
          <w:rFonts w:eastAsiaTheme="minorEastAsia"/>
        </w:rPr>
        <w:t>营运期地表水环境影响分析</w:t>
      </w:r>
    </w:p>
    <w:p>
      <w:pPr>
        <w:pStyle w:val="5"/>
        <w:rPr>
          <w:rFonts w:eastAsiaTheme="minorEastAsia"/>
        </w:rPr>
      </w:pPr>
      <w:r>
        <w:rPr>
          <w:rFonts w:eastAsiaTheme="minorEastAsia"/>
        </w:rPr>
        <w:t>对河流水质影响分析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根据工程分析，本项目运营期的主要污水为：船舶含油废水、船舶生活污水、码头地面冲洗水、初期雨水、码头生活污水、废气吸收废水等。</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船舶含油废水经船舱自备油水分离器处理后由海事部门指定的接污船接收处理，船舶生活污水由船舶交给海事部门环保船接收处理，不得在码头水域内排放，不会对项目所在地水环境质量产生影响。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码头地面冲洗水、初期雨水中含有一定的COD、SS和石油类，将该部分废水接入码头后长炼码头厂区内废水处理站处理达接管标准后排入区域污水管网，送至长炼第二</w:t>
      </w:r>
      <w:r>
        <w:rPr>
          <w:rFonts w:hint="eastAsia" w:ascii="Times New Roman" w:hAnsi="Times New Roman" w:eastAsiaTheme="minorEastAsia"/>
          <w:sz w:val="24"/>
          <w:szCs w:val="24"/>
          <w:lang w:eastAsia="zh-CN"/>
        </w:rPr>
        <w:t>污水处理厂</w:t>
      </w:r>
      <w:r>
        <w:rPr>
          <w:rFonts w:ascii="Times New Roman" w:hAnsi="Times New Roman" w:eastAsiaTheme="minorEastAsia"/>
          <w:sz w:val="24"/>
          <w:szCs w:val="24"/>
        </w:rPr>
        <w:t>深度处理。</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本码头工程不设置卫生间</w:t>
      </w:r>
      <w:r>
        <w:rPr>
          <w:rFonts w:hint="eastAsia" w:ascii="Times New Roman" w:hAnsi="Times New Roman" w:eastAsiaTheme="minorEastAsia"/>
          <w:sz w:val="24"/>
          <w:szCs w:val="24"/>
        </w:rPr>
        <w:t>（</w:t>
      </w:r>
      <w:r>
        <w:rPr>
          <w:rFonts w:ascii="Times New Roman" w:hAnsi="Times New Roman" w:eastAsiaTheme="minorEastAsia"/>
          <w:sz w:val="24"/>
          <w:szCs w:val="24"/>
        </w:rPr>
        <w:t>依托码头后长炼码头厂区内卫生间</w:t>
      </w:r>
      <w:r>
        <w:rPr>
          <w:rFonts w:hint="eastAsia" w:ascii="Times New Roman" w:hAnsi="Times New Roman" w:eastAsiaTheme="minorEastAsia"/>
          <w:sz w:val="24"/>
          <w:szCs w:val="24"/>
        </w:rPr>
        <w:t>）</w:t>
      </w:r>
      <w:r>
        <w:rPr>
          <w:rFonts w:ascii="Times New Roman" w:hAnsi="Times New Roman" w:eastAsiaTheme="minorEastAsia"/>
          <w:sz w:val="24"/>
          <w:szCs w:val="24"/>
        </w:rPr>
        <w:t>，码头生活污水经厂区内废水处理站处理达接管标准后排入区域污水管网，送至长炼第二污水处理</w:t>
      </w:r>
      <w:r>
        <w:rPr>
          <w:rFonts w:hint="eastAsia" w:ascii="Times New Roman" w:hAnsi="Times New Roman" w:eastAsiaTheme="minorEastAsia"/>
          <w:sz w:val="24"/>
          <w:szCs w:val="24"/>
          <w:lang w:val="en-US" w:eastAsia="zh-CN"/>
        </w:rPr>
        <w:t>厂</w:t>
      </w:r>
      <w:r>
        <w:rPr>
          <w:rFonts w:ascii="Times New Roman" w:hAnsi="Times New Roman" w:eastAsiaTheme="minorEastAsia"/>
          <w:sz w:val="24"/>
          <w:szCs w:val="24"/>
        </w:rPr>
        <w:t>深度处理。</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醋酸、柴油等液体设置废气吸收装置处理装卸废气将产生少量废气吸收废水，废气吸收废水经排入区域污水管网，送至长炼第二</w:t>
      </w:r>
      <w:r>
        <w:rPr>
          <w:rFonts w:hint="eastAsia" w:ascii="Times New Roman" w:hAnsi="Times New Roman" w:eastAsiaTheme="minorEastAsia"/>
          <w:sz w:val="24"/>
          <w:szCs w:val="24"/>
          <w:lang w:eastAsia="zh-CN"/>
        </w:rPr>
        <w:t>污水处理厂</w:t>
      </w:r>
      <w:r>
        <w:rPr>
          <w:rFonts w:ascii="Times New Roman" w:hAnsi="Times New Roman" w:eastAsiaTheme="minorEastAsia"/>
          <w:sz w:val="24"/>
          <w:szCs w:val="24"/>
        </w:rPr>
        <w:t>处理达标排放。</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综上所述，本项目废水均得到有效处理，对周围水体水质影响较小。项目废水类别、污染物及污染治理设施信息见表6.1-1。废水间接排放口基本情况见表6.1-2。</w:t>
      </w:r>
    </w:p>
    <w:p>
      <w:pPr>
        <w:adjustRightInd w:val="0"/>
        <w:snapToGrid w:val="0"/>
        <w:spacing w:line="360" w:lineRule="auto"/>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sectPr>
          <w:headerReference r:id="rId14"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表6.1-1  废水类别、污染物及污染治理设施信息表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96"/>
        <w:gridCol w:w="1283"/>
        <w:gridCol w:w="1852"/>
        <w:gridCol w:w="1706"/>
        <w:gridCol w:w="1748"/>
        <w:gridCol w:w="1268"/>
        <w:gridCol w:w="1268"/>
        <w:gridCol w:w="1125"/>
        <w:gridCol w:w="1283"/>
        <w:gridCol w:w="1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8" w:hRule="atLeast"/>
        </w:trPr>
        <w:tc>
          <w:tcPr>
            <w:tcW w:w="248"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45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废水类别</w:t>
            </w:r>
          </w:p>
        </w:tc>
        <w:tc>
          <w:tcPr>
            <w:tcW w:w="660"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608"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排放去向</w:t>
            </w:r>
          </w:p>
        </w:tc>
        <w:tc>
          <w:tcPr>
            <w:tcW w:w="623"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排放规律</w:t>
            </w:r>
          </w:p>
        </w:tc>
        <w:tc>
          <w:tcPr>
            <w:tcW w:w="904"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污染治理设施</w:t>
            </w:r>
          </w:p>
        </w:tc>
        <w:tc>
          <w:tcPr>
            <w:tcW w:w="401"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排放编号</w:t>
            </w:r>
          </w:p>
        </w:tc>
        <w:tc>
          <w:tcPr>
            <w:tcW w:w="45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排放口设置是否符合要求</w:t>
            </w:r>
          </w:p>
        </w:tc>
        <w:tc>
          <w:tcPr>
            <w:tcW w:w="643"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7" w:hRule="atLeast"/>
        </w:trPr>
        <w:tc>
          <w:tcPr>
            <w:tcW w:w="248" w:type="pct"/>
            <w:vMerge w:val="continue"/>
            <w:vAlign w:val="center"/>
          </w:tcPr>
          <w:p>
            <w:pPr>
              <w:adjustRightInd w:val="0"/>
              <w:snapToGrid w:val="0"/>
              <w:jc w:val="center"/>
              <w:rPr>
                <w:rFonts w:ascii="Times New Roman" w:hAnsi="Times New Roman" w:eastAsiaTheme="minorEastAsia"/>
                <w:b/>
              </w:rPr>
            </w:pPr>
          </w:p>
        </w:tc>
        <w:tc>
          <w:tcPr>
            <w:tcW w:w="457" w:type="pct"/>
            <w:vMerge w:val="continue"/>
            <w:vAlign w:val="center"/>
          </w:tcPr>
          <w:p>
            <w:pPr>
              <w:adjustRightInd w:val="0"/>
              <w:snapToGrid w:val="0"/>
              <w:jc w:val="center"/>
              <w:rPr>
                <w:rFonts w:ascii="Times New Roman" w:hAnsi="Times New Roman" w:eastAsiaTheme="minorEastAsia"/>
                <w:b/>
              </w:rPr>
            </w:pPr>
          </w:p>
        </w:tc>
        <w:tc>
          <w:tcPr>
            <w:tcW w:w="660" w:type="pct"/>
            <w:vMerge w:val="continue"/>
            <w:vAlign w:val="center"/>
          </w:tcPr>
          <w:p>
            <w:pPr>
              <w:adjustRightInd w:val="0"/>
              <w:snapToGrid w:val="0"/>
              <w:jc w:val="center"/>
              <w:rPr>
                <w:rFonts w:ascii="Times New Roman" w:hAnsi="Times New Roman" w:eastAsiaTheme="minorEastAsia"/>
                <w:b/>
              </w:rPr>
            </w:pPr>
          </w:p>
        </w:tc>
        <w:tc>
          <w:tcPr>
            <w:tcW w:w="608" w:type="pct"/>
            <w:vMerge w:val="continue"/>
            <w:vAlign w:val="center"/>
          </w:tcPr>
          <w:p>
            <w:pPr>
              <w:adjustRightInd w:val="0"/>
              <w:snapToGrid w:val="0"/>
              <w:jc w:val="center"/>
              <w:rPr>
                <w:rFonts w:ascii="Times New Roman" w:hAnsi="Times New Roman" w:eastAsiaTheme="minorEastAsia"/>
                <w:b/>
              </w:rPr>
            </w:pPr>
          </w:p>
        </w:tc>
        <w:tc>
          <w:tcPr>
            <w:tcW w:w="623" w:type="pct"/>
            <w:vMerge w:val="continue"/>
            <w:vAlign w:val="center"/>
          </w:tcPr>
          <w:p>
            <w:pPr>
              <w:adjustRightInd w:val="0"/>
              <w:snapToGrid w:val="0"/>
              <w:jc w:val="center"/>
              <w:rPr>
                <w:rFonts w:ascii="Times New Roman" w:hAnsi="Times New Roman" w:eastAsiaTheme="minorEastAsia"/>
                <w:b/>
              </w:rPr>
            </w:pPr>
          </w:p>
        </w:tc>
        <w:tc>
          <w:tcPr>
            <w:tcW w:w="45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污染治理设施编号</w:t>
            </w:r>
          </w:p>
        </w:tc>
        <w:tc>
          <w:tcPr>
            <w:tcW w:w="45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污染治理设施名称</w:t>
            </w:r>
          </w:p>
        </w:tc>
        <w:tc>
          <w:tcPr>
            <w:tcW w:w="401" w:type="pct"/>
            <w:vMerge w:val="continue"/>
            <w:vAlign w:val="center"/>
          </w:tcPr>
          <w:p>
            <w:pPr>
              <w:adjustRightInd w:val="0"/>
              <w:snapToGrid w:val="0"/>
              <w:jc w:val="center"/>
              <w:rPr>
                <w:rFonts w:ascii="Times New Roman" w:hAnsi="Times New Roman" w:eastAsiaTheme="minorEastAsia"/>
                <w:b/>
              </w:rPr>
            </w:pPr>
          </w:p>
        </w:tc>
        <w:tc>
          <w:tcPr>
            <w:tcW w:w="457" w:type="pct"/>
            <w:vMerge w:val="continue"/>
            <w:vAlign w:val="center"/>
          </w:tcPr>
          <w:p>
            <w:pPr>
              <w:adjustRightInd w:val="0"/>
              <w:snapToGrid w:val="0"/>
              <w:jc w:val="center"/>
              <w:rPr>
                <w:rFonts w:ascii="Times New Roman" w:hAnsi="Times New Roman" w:eastAsiaTheme="minorEastAsia"/>
                <w:b/>
              </w:rPr>
            </w:pPr>
          </w:p>
        </w:tc>
        <w:tc>
          <w:tcPr>
            <w:tcW w:w="643" w:type="pct"/>
            <w:vMerge w:val="continue"/>
            <w:vAlign w:val="center"/>
          </w:tcPr>
          <w:p>
            <w:pPr>
              <w:adjustRightInd w:val="0"/>
              <w:snapToGrid w:val="0"/>
              <w:jc w:val="center"/>
              <w:rPr>
                <w:rFonts w:ascii="Times New Roman" w:hAnsi="Times New Roman" w:eastAsiaTheme="minorEastAsia"/>
                <w: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24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45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综合废水</w:t>
            </w:r>
          </w:p>
        </w:tc>
        <w:tc>
          <w:tcPr>
            <w:tcW w:w="66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COD、悬浮物、氨氮、总磷、总氮、石油类</w:t>
            </w:r>
          </w:p>
        </w:tc>
        <w:tc>
          <w:tcPr>
            <w:tcW w:w="608" w:type="pct"/>
            <w:vAlign w:val="center"/>
          </w:tcPr>
          <w:p>
            <w:pPr>
              <w:adjustRightInd w:val="0"/>
              <w:snapToGrid w:val="0"/>
              <w:jc w:val="center"/>
              <w:rPr>
                <w:rFonts w:hint="eastAsia" w:ascii="Times New Roman" w:hAnsi="Times New Roman" w:eastAsiaTheme="minorEastAsia"/>
                <w:lang w:eastAsia="zh-CN"/>
              </w:rPr>
            </w:pPr>
            <w:r>
              <w:rPr>
                <w:rFonts w:ascii="Times New Roman" w:hAnsi="Times New Roman" w:eastAsiaTheme="minorEastAsia"/>
              </w:rPr>
              <w:t>长炼第二</w:t>
            </w:r>
            <w:r>
              <w:rPr>
                <w:rFonts w:hint="eastAsia" w:ascii="Times New Roman" w:hAnsi="Times New Roman" w:eastAsiaTheme="minorEastAsia"/>
                <w:lang w:eastAsia="zh-CN"/>
              </w:rPr>
              <w:t>污水处理厂</w:t>
            </w:r>
          </w:p>
        </w:tc>
        <w:tc>
          <w:tcPr>
            <w:tcW w:w="62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间断排放，排放期间流量不稳定且无规律，但不属于冲击型排放</w:t>
            </w:r>
          </w:p>
        </w:tc>
        <w:tc>
          <w:tcPr>
            <w:tcW w:w="45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45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废水处理站</w:t>
            </w:r>
          </w:p>
        </w:tc>
        <w:tc>
          <w:tcPr>
            <w:tcW w:w="40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DW001</w:t>
            </w:r>
          </w:p>
        </w:tc>
        <w:tc>
          <w:tcPr>
            <w:tcW w:w="457" w:type="pct"/>
            <w:vAlign w:val="center"/>
          </w:tcPr>
          <w:p>
            <w:pPr>
              <w:adjustRightInd w:val="0"/>
              <w:snapToGrid w:val="0"/>
              <w:jc w:val="center"/>
              <w:rPr>
                <w:rFonts w:ascii="Times New Roman" w:hAnsi="Times New Roman" w:eastAsiaTheme="minorEastAsia"/>
              </w:rPr>
            </w:pPr>
            <w:r>
              <w:rPr>
                <w:rFonts w:ascii="Segoe UI Symbol" w:hAnsi="Segoe UI Symbol" w:cs="Segoe UI Symbol" w:eastAsiaTheme="minorEastAsia"/>
              </w:rPr>
              <w:t>☑</w:t>
            </w:r>
            <w:r>
              <w:rPr>
                <w:rFonts w:ascii="Times New Roman" w:hAnsi="Times New Roman" w:eastAsiaTheme="minorEastAsia"/>
              </w:rPr>
              <w:t>是</w:t>
            </w:r>
          </w:p>
          <w:p>
            <w:pPr>
              <w:adjustRightInd w:val="0"/>
              <w:snapToGrid w:val="0"/>
              <w:jc w:val="center"/>
              <w:rPr>
                <w:rFonts w:ascii="Times New Roman" w:hAnsi="Times New Roman" w:eastAsiaTheme="minorEastAsia"/>
              </w:rPr>
            </w:pPr>
            <w:r>
              <w:rPr>
                <w:rFonts w:ascii="Times New Roman" w:hAnsi="Times New Roman" w:eastAsiaTheme="minorEastAsia"/>
              </w:rPr>
              <w:t>口否</w:t>
            </w:r>
          </w:p>
        </w:tc>
        <w:tc>
          <w:tcPr>
            <w:tcW w:w="643" w:type="pct"/>
            <w:vAlign w:val="center"/>
          </w:tcPr>
          <w:p>
            <w:pPr>
              <w:adjustRightInd w:val="0"/>
              <w:snapToGrid w:val="0"/>
              <w:rPr>
                <w:rFonts w:ascii="Times New Roman" w:hAnsi="Times New Roman" w:eastAsiaTheme="minorEastAsia"/>
              </w:rPr>
            </w:pPr>
            <w:r>
              <w:rPr>
                <w:rFonts w:ascii="Segoe UI Symbol" w:hAnsi="Segoe UI Symbol" w:cs="Segoe UI Symbol" w:eastAsiaTheme="minorEastAsia"/>
              </w:rPr>
              <w:t>☑</w:t>
            </w:r>
            <w:r>
              <w:rPr>
                <w:rFonts w:ascii="Times New Roman" w:hAnsi="Times New Roman" w:eastAsiaTheme="minorEastAsia"/>
              </w:rPr>
              <w:t>企业总排</w:t>
            </w:r>
          </w:p>
          <w:p>
            <w:pPr>
              <w:adjustRightInd w:val="0"/>
              <w:snapToGrid w:val="0"/>
              <w:rPr>
                <w:rFonts w:ascii="Times New Roman" w:hAnsi="Times New Roman" w:eastAsiaTheme="minorEastAsia"/>
              </w:rPr>
            </w:pPr>
            <w:r>
              <w:rPr>
                <w:rFonts w:ascii="Times New Roman" w:hAnsi="Times New Roman" w:eastAsiaTheme="minorEastAsia"/>
              </w:rPr>
              <w:t>口雨水排放</w:t>
            </w:r>
          </w:p>
          <w:p>
            <w:pPr>
              <w:adjustRightInd w:val="0"/>
              <w:snapToGrid w:val="0"/>
              <w:rPr>
                <w:rFonts w:ascii="Times New Roman" w:hAnsi="Times New Roman" w:eastAsiaTheme="minorEastAsia"/>
              </w:rPr>
            </w:pPr>
            <w:r>
              <w:rPr>
                <w:rFonts w:ascii="Times New Roman" w:hAnsi="Times New Roman" w:eastAsiaTheme="minorEastAsia"/>
              </w:rPr>
              <w:t>口清净下水排放</w:t>
            </w:r>
          </w:p>
          <w:p>
            <w:pPr>
              <w:adjustRightInd w:val="0"/>
              <w:snapToGrid w:val="0"/>
              <w:rPr>
                <w:rFonts w:ascii="Times New Roman" w:hAnsi="Times New Roman" w:eastAsiaTheme="minorEastAsia"/>
              </w:rPr>
            </w:pPr>
            <w:r>
              <w:rPr>
                <w:rFonts w:ascii="Times New Roman" w:hAnsi="Times New Roman" w:eastAsiaTheme="minorEastAsia"/>
              </w:rPr>
              <w:t>口温排水排放</w:t>
            </w:r>
          </w:p>
          <w:p>
            <w:pPr>
              <w:adjustRightInd w:val="0"/>
              <w:snapToGrid w:val="0"/>
              <w:rPr>
                <w:rFonts w:ascii="Times New Roman" w:hAnsi="Times New Roman" w:eastAsiaTheme="minorEastAsia"/>
              </w:rPr>
            </w:pPr>
            <w:r>
              <w:rPr>
                <w:rFonts w:ascii="Times New Roman" w:hAnsi="Times New Roman" w:eastAsiaTheme="minorEastAsia"/>
              </w:rPr>
              <w:t>口车间或车间处理设施排放口</w:t>
            </w:r>
          </w:p>
        </w:tc>
      </w:tr>
    </w:tbl>
    <w:p>
      <w:pPr>
        <w:adjustRightInd w:val="0"/>
        <w:snapToGrid w:val="0"/>
        <w:spacing w:line="360" w:lineRule="auto"/>
        <w:ind w:firstLine="482"/>
        <w:rPr>
          <w:rFonts w:ascii="Times New Roman" w:hAnsi="Times New Roman" w:eastAsiaTheme="minorEastAsia"/>
          <w:b/>
          <w:sz w:val="24"/>
          <w:szCs w:val="24"/>
        </w:rPr>
      </w:pP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表6.1-2  废水间接排放口基本情况表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01"/>
        <w:gridCol w:w="988"/>
        <w:gridCol w:w="1417"/>
        <w:gridCol w:w="1333"/>
        <w:gridCol w:w="1131"/>
        <w:gridCol w:w="1106"/>
        <w:gridCol w:w="1280"/>
        <w:gridCol w:w="1283"/>
        <w:gridCol w:w="859"/>
        <w:gridCol w:w="1274"/>
        <w:gridCol w:w="26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250"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352"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排放口编号</w:t>
            </w:r>
          </w:p>
        </w:tc>
        <w:tc>
          <w:tcPr>
            <w:tcW w:w="980"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排污口地理坐标</w:t>
            </w:r>
          </w:p>
        </w:tc>
        <w:tc>
          <w:tcPr>
            <w:tcW w:w="403"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废水排放量（万吨/年）</w:t>
            </w:r>
          </w:p>
        </w:tc>
        <w:tc>
          <w:tcPr>
            <w:tcW w:w="394"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排放去向</w:t>
            </w:r>
          </w:p>
        </w:tc>
        <w:tc>
          <w:tcPr>
            <w:tcW w:w="456"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排放规律</w:t>
            </w:r>
          </w:p>
        </w:tc>
        <w:tc>
          <w:tcPr>
            <w:tcW w:w="45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间歇排放时段</w:t>
            </w:r>
          </w:p>
        </w:tc>
        <w:tc>
          <w:tcPr>
            <w:tcW w:w="1708" w:type="pct"/>
            <w:gridSpan w:val="3"/>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250" w:type="pct"/>
            <w:vMerge w:val="continue"/>
            <w:vAlign w:val="center"/>
          </w:tcPr>
          <w:p>
            <w:pPr>
              <w:adjustRightInd w:val="0"/>
              <w:snapToGrid w:val="0"/>
              <w:jc w:val="center"/>
              <w:rPr>
                <w:rFonts w:ascii="Times New Roman" w:hAnsi="Times New Roman" w:eastAsiaTheme="minorEastAsia"/>
                <w:b/>
              </w:rPr>
            </w:pPr>
          </w:p>
        </w:tc>
        <w:tc>
          <w:tcPr>
            <w:tcW w:w="352" w:type="pct"/>
            <w:vMerge w:val="continue"/>
            <w:vAlign w:val="center"/>
          </w:tcPr>
          <w:p>
            <w:pPr>
              <w:adjustRightInd w:val="0"/>
              <w:snapToGrid w:val="0"/>
              <w:jc w:val="center"/>
              <w:rPr>
                <w:rFonts w:ascii="Times New Roman" w:hAnsi="Times New Roman" w:eastAsiaTheme="minorEastAsia"/>
                <w:b/>
              </w:rPr>
            </w:pPr>
          </w:p>
        </w:tc>
        <w:tc>
          <w:tcPr>
            <w:tcW w:w="50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经度</w:t>
            </w:r>
          </w:p>
        </w:tc>
        <w:tc>
          <w:tcPr>
            <w:tcW w:w="47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纬度</w:t>
            </w:r>
          </w:p>
        </w:tc>
        <w:tc>
          <w:tcPr>
            <w:tcW w:w="403" w:type="pct"/>
            <w:vMerge w:val="continue"/>
            <w:vAlign w:val="center"/>
          </w:tcPr>
          <w:p>
            <w:pPr>
              <w:adjustRightInd w:val="0"/>
              <w:snapToGrid w:val="0"/>
              <w:jc w:val="center"/>
              <w:rPr>
                <w:rFonts w:ascii="Times New Roman" w:hAnsi="Times New Roman" w:eastAsiaTheme="minorEastAsia"/>
                <w:b/>
              </w:rPr>
            </w:pPr>
          </w:p>
        </w:tc>
        <w:tc>
          <w:tcPr>
            <w:tcW w:w="394" w:type="pct"/>
            <w:vMerge w:val="continue"/>
            <w:vAlign w:val="center"/>
          </w:tcPr>
          <w:p>
            <w:pPr>
              <w:adjustRightInd w:val="0"/>
              <w:snapToGrid w:val="0"/>
              <w:jc w:val="center"/>
              <w:rPr>
                <w:rFonts w:ascii="Times New Roman" w:hAnsi="Times New Roman" w:eastAsiaTheme="minorEastAsia"/>
                <w:b/>
              </w:rPr>
            </w:pPr>
          </w:p>
        </w:tc>
        <w:tc>
          <w:tcPr>
            <w:tcW w:w="456" w:type="pct"/>
            <w:vMerge w:val="continue"/>
            <w:vAlign w:val="center"/>
          </w:tcPr>
          <w:p>
            <w:pPr>
              <w:adjustRightInd w:val="0"/>
              <w:snapToGrid w:val="0"/>
              <w:jc w:val="center"/>
              <w:rPr>
                <w:rFonts w:ascii="Times New Roman" w:hAnsi="Times New Roman" w:eastAsiaTheme="minorEastAsia"/>
                <w:b/>
              </w:rPr>
            </w:pPr>
          </w:p>
        </w:tc>
        <w:tc>
          <w:tcPr>
            <w:tcW w:w="457" w:type="pct"/>
            <w:vMerge w:val="continue"/>
            <w:vAlign w:val="center"/>
          </w:tcPr>
          <w:p>
            <w:pPr>
              <w:adjustRightInd w:val="0"/>
              <w:snapToGrid w:val="0"/>
              <w:jc w:val="center"/>
              <w:rPr>
                <w:rFonts w:ascii="Times New Roman" w:hAnsi="Times New Roman" w:eastAsiaTheme="minorEastAsia"/>
                <w:b/>
              </w:rPr>
            </w:pPr>
          </w:p>
        </w:tc>
        <w:tc>
          <w:tcPr>
            <w:tcW w:w="30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名称</w:t>
            </w:r>
          </w:p>
        </w:tc>
        <w:tc>
          <w:tcPr>
            <w:tcW w:w="45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94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国家或地方污染物排放标准浓度限值/（毫克/升）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0" w:hRule="atLeast"/>
        </w:trPr>
        <w:tc>
          <w:tcPr>
            <w:tcW w:w="250"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352"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DW001</w:t>
            </w:r>
          </w:p>
        </w:tc>
        <w:tc>
          <w:tcPr>
            <w:tcW w:w="505"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113°17′2.41″</w:t>
            </w:r>
          </w:p>
        </w:tc>
        <w:tc>
          <w:tcPr>
            <w:tcW w:w="475"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29°35′17.43″</w:t>
            </w:r>
          </w:p>
        </w:tc>
        <w:tc>
          <w:tcPr>
            <w:tcW w:w="403"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0.6643</w:t>
            </w:r>
          </w:p>
        </w:tc>
        <w:tc>
          <w:tcPr>
            <w:tcW w:w="394" w:type="pct"/>
            <w:vMerge w:val="restart"/>
            <w:vAlign w:val="center"/>
          </w:tcPr>
          <w:p>
            <w:pPr>
              <w:adjustRightInd w:val="0"/>
              <w:snapToGrid w:val="0"/>
              <w:jc w:val="center"/>
              <w:rPr>
                <w:rFonts w:hint="eastAsia" w:ascii="Times New Roman" w:hAnsi="Times New Roman" w:eastAsiaTheme="minorEastAsia"/>
                <w:lang w:eastAsia="zh-CN"/>
              </w:rPr>
            </w:pPr>
            <w:r>
              <w:rPr>
                <w:rFonts w:ascii="Times New Roman" w:hAnsi="Times New Roman" w:eastAsiaTheme="minorEastAsia"/>
              </w:rPr>
              <w:t>进入长炼第二</w:t>
            </w:r>
            <w:r>
              <w:rPr>
                <w:rFonts w:hint="eastAsia" w:ascii="Times New Roman" w:hAnsi="Times New Roman" w:eastAsiaTheme="minorEastAsia"/>
                <w:lang w:eastAsia="zh-CN"/>
              </w:rPr>
              <w:t>污水处理厂</w:t>
            </w:r>
          </w:p>
        </w:tc>
        <w:tc>
          <w:tcPr>
            <w:tcW w:w="456"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间断排放，排放期间流量不稳定且无规律</w:t>
            </w:r>
          </w:p>
        </w:tc>
        <w:tc>
          <w:tcPr>
            <w:tcW w:w="457"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根据生活用水、地面冲洗用水、初期雨水时段排放</w:t>
            </w:r>
          </w:p>
        </w:tc>
        <w:tc>
          <w:tcPr>
            <w:tcW w:w="306" w:type="pct"/>
            <w:vMerge w:val="restart"/>
            <w:vAlign w:val="center"/>
          </w:tcPr>
          <w:p>
            <w:pPr>
              <w:adjustRightInd w:val="0"/>
              <w:snapToGrid w:val="0"/>
              <w:jc w:val="center"/>
              <w:rPr>
                <w:rFonts w:hint="eastAsia" w:ascii="Times New Roman" w:hAnsi="Times New Roman" w:eastAsiaTheme="minorEastAsia"/>
                <w:lang w:eastAsia="zh-CN"/>
              </w:rPr>
            </w:pPr>
            <w:r>
              <w:rPr>
                <w:rFonts w:ascii="Times New Roman" w:hAnsi="Times New Roman" w:eastAsiaTheme="minorEastAsia"/>
              </w:rPr>
              <w:t>长炼第二</w:t>
            </w:r>
            <w:r>
              <w:rPr>
                <w:rFonts w:hint="eastAsia" w:ascii="Times New Roman" w:hAnsi="Times New Roman" w:eastAsiaTheme="minorEastAsia"/>
                <w:lang w:eastAsia="zh-CN"/>
              </w:rPr>
              <w:t>污水处理厂</w:t>
            </w:r>
          </w:p>
        </w:tc>
        <w:tc>
          <w:tcPr>
            <w:tcW w:w="4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w:t>
            </w:r>
          </w:p>
        </w:tc>
        <w:tc>
          <w:tcPr>
            <w:tcW w:w="94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7" w:hRule="atLeast"/>
        </w:trPr>
        <w:tc>
          <w:tcPr>
            <w:tcW w:w="250" w:type="pct"/>
            <w:vMerge w:val="continue"/>
            <w:vAlign w:val="center"/>
          </w:tcPr>
          <w:p>
            <w:pPr>
              <w:adjustRightInd w:val="0"/>
              <w:snapToGrid w:val="0"/>
              <w:jc w:val="center"/>
              <w:rPr>
                <w:rFonts w:ascii="Times New Roman" w:hAnsi="Times New Roman" w:eastAsiaTheme="minorEastAsia"/>
              </w:rPr>
            </w:pPr>
          </w:p>
        </w:tc>
        <w:tc>
          <w:tcPr>
            <w:tcW w:w="352" w:type="pct"/>
            <w:vMerge w:val="continue"/>
            <w:vAlign w:val="center"/>
          </w:tcPr>
          <w:p>
            <w:pPr>
              <w:adjustRightInd w:val="0"/>
              <w:snapToGrid w:val="0"/>
              <w:jc w:val="center"/>
              <w:rPr>
                <w:rFonts w:ascii="Times New Roman" w:hAnsi="Times New Roman" w:eastAsiaTheme="minorEastAsia"/>
              </w:rPr>
            </w:pPr>
          </w:p>
        </w:tc>
        <w:tc>
          <w:tcPr>
            <w:tcW w:w="505" w:type="pct"/>
            <w:vMerge w:val="continue"/>
            <w:vAlign w:val="center"/>
          </w:tcPr>
          <w:p>
            <w:pPr>
              <w:adjustRightInd w:val="0"/>
              <w:snapToGrid w:val="0"/>
              <w:jc w:val="center"/>
              <w:rPr>
                <w:rFonts w:ascii="Times New Roman" w:hAnsi="Times New Roman" w:eastAsiaTheme="minorEastAsia"/>
              </w:rPr>
            </w:pPr>
          </w:p>
        </w:tc>
        <w:tc>
          <w:tcPr>
            <w:tcW w:w="475" w:type="pct"/>
            <w:vMerge w:val="continue"/>
            <w:vAlign w:val="center"/>
          </w:tcPr>
          <w:p>
            <w:pPr>
              <w:adjustRightInd w:val="0"/>
              <w:snapToGrid w:val="0"/>
              <w:jc w:val="center"/>
              <w:rPr>
                <w:rFonts w:ascii="Times New Roman" w:hAnsi="Times New Roman" w:eastAsiaTheme="minorEastAsia"/>
              </w:rPr>
            </w:pPr>
          </w:p>
        </w:tc>
        <w:tc>
          <w:tcPr>
            <w:tcW w:w="403" w:type="pct"/>
            <w:vMerge w:val="continue"/>
            <w:vAlign w:val="center"/>
          </w:tcPr>
          <w:p>
            <w:pPr>
              <w:adjustRightInd w:val="0"/>
              <w:snapToGrid w:val="0"/>
              <w:jc w:val="center"/>
              <w:rPr>
                <w:rFonts w:ascii="Times New Roman" w:hAnsi="Times New Roman" w:eastAsiaTheme="minorEastAsia"/>
              </w:rPr>
            </w:pPr>
          </w:p>
        </w:tc>
        <w:tc>
          <w:tcPr>
            <w:tcW w:w="394" w:type="pct"/>
            <w:vMerge w:val="continue"/>
            <w:vAlign w:val="center"/>
          </w:tcPr>
          <w:p>
            <w:pPr>
              <w:adjustRightInd w:val="0"/>
              <w:snapToGrid w:val="0"/>
              <w:jc w:val="center"/>
              <w:rPr>
                <w:rFonts w:ascii="Times New Roman" w:hAnsi="Times New Roman" w:eastAsiaTheme="minorEastAsia"/>
              </w:rPr>
            </w:pPr>
          </w:p>
        </w:tc>
        <w:tc>
          <w:tcPr>
            <w:tcW w:w="456" w:type="pct"/>
            <w:vMerge w:val="continue"/>
            <w:vAlign w:val="center"/>
          </w:tcPr>
          <w:p>
            <w:pPr>
              <w:adjustRightInd w:val="0"/>
              <w:snapToGrid w:val="0"/>
              <w:jc w:val="center"/>
              <w:rPr>
                <w:rFonts w:ascii="Times New Roman" w:hAnsi="Times New Roman" w:eastAsiaTheme="minorEastAsia"/>
              </w:rPr>
            </w:pPr>
          </w:p>
        </w:tc>
        <w:tc>
          <w:tcPr>
            <w:tcW w:w="457" w:type="pct"/>
            <w:vMerge w:val="continue"/>
            <w:vAlign w:val="center"/>
          </w:tcPr>
          <w:p>
            <w:pPr>
              <w:adjustRightInd w:val="0"/>
              <w:snapToGrid w:val="0"/>
              <w:jc w:val="center"/>
              <w:rPr>
                <w:rFonts w:ascii="Times New Roman" w:hAnsi="Times New Roman" w:eastAsiaTheme="minorEastAsia"/>
              </w:rPr>
            </w:pPr>
          </w:p>
        </w:tc>
        <w:tc>
          <w:tcPr>
            <w:tcW w:w="306" w:type="pct"/>
            <w:vMerge w:val="continue"/>
            <w:vAlign w:val="center"/>
          </w:tcPr>
          <w:p>
            <w:pPr>
              <w:adjustRightInd w:val="0"/>
              <w:snapToGrid w:val="0"/>
              <w:jc w:val="center"/>
              <w:rPr>
                <w:rFonts w:ascii="Times New Roman" w:hAnsi="Times New Roman" w:eastAsiaTheme="minorEastAsia"/>
              </w:rPr>
            </w:pPr>
          </w:p>
        </w:tc>
        <w:tc>
          <w:tcPr>
            <w:tcW w:w="4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w:t>
            </w:r>
          </w:p>
        </w:tc>
        <w:tc>
          <w:tcPr>
            <w:tcW w:w="94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7" w:hRule="atLeast"/>
        </w:trPr>
        <w:tc>
          <w:tcPr>
            <w:tcW w:w="250" w:type="pct"/>
            <w:vMerge w:val="continue"/>
            <w:vAlign w:val="center"/>
          </w:tcPr>
          <w:p>
            <w:pPr>
              <w:adjustRightInd w:val="0"/>
              <w:snapToGrid w:val="0"/>
              <w:jc w:val="center"/>
              <w:rPr>
                <w:rFonts w:ascii="Times New Roman" w:hAnsi="Times New Roman" w:eastAsiaTheme="minorEastAsia"/>
              </w:rPr>
            </w:pPr>
          </w:p>
        </w:tc>
        <w:tc>
          <w:tcPr>
            <w:tcW w:w="352" w:type="pct"/>
            <w:vMerge w:val="continue"/>
            <w:vAlign w:val="center"/>
          </w:tcPr>
          <w:p>
            <w:pPr>
              <w:adjustRightInd w:val="0"/>
              <w:snapToGrid w:val="0"/>
              <w:jc w:val="center"/>
              <w:rPr>
                <w:rFonts w:ascii="Times New Roman" w:hAnsi="Times New Roman" w:eastAsiaTheme="minorEastAsia"/>
              </w:rPr>
            </w:pPr>
          </w:p>
        </w:tc>
        <w:tc>
          <w:tcPr>
            <w:tcW w:w="505" w:type="pct"/>
            <w:vMerge w:val="continue"/>
            <w:vAlign w:val="center"/>
          </w:tcPr>
          <w:p>
            <w:pPr>
              <w:adjustRightInd w:val="0"/>
              <w:snapToGrid w:val="0"/>
              <w:jc w:val="center"/>
              <w:rPr>
                <w:rFonts w:ascii="Times New Roman" w:hAnsi="Times New Roman" w:eastAsiaTheme="minorEastAsia"/>
              </w:rPr>
            </w:pPr>
          </w:p>
        </w:tc>
        <w:tc>
          <w:tcPr>
            <w:tcW w:w="475" w:type="pct"/>
            <w:vMerge w:val="continue"/>
            <w:vAlign w:val="center"/>
          </w:tcPr>
          <w:p>
            <w:pPr>
              <w:adjustRightInd w:val="0"/>
              <w:snapToGrid w:val="0"/>
              <w:jc w:val="center"/>
              <w:rPr>
                <w:rFonts w:ascii="Times New Roman" w:hAnsi="Times New Roman" w:eastAsiaTheme="minorEastAsia"/>
              </w:rPr>
            </w:pPr>
          </w:p>
        </w:tc>
        <w:tc>
          <w:tcPr>
            <w:tcW w:w="403" w:type="pct"/>
            <w:vMerge w:val="continue"/>
            <w:vAlign w:val="center"/>
          </w:tcPr>
          <w:p>
            <w:pPr>
              <w:adjustRightInd w:val="0"/>
              <w:snapToGrid w:val="0"/>
              <w:jc w:val="center"/>
              <w:rPr>
                <w:rFonts w:ascii="Times New Roman" w:hAnsi="Times New Roman" w:eastAsiaTheme="minorEastAsia"/>
              </w:rPr>
            </w:pPr>
          </w:p>
        </w:tc>
        <w:tc>
          <w:tcPr>
            <w:tcW w:w="394" w:type="pct"/>
            <w:vMerge w:val="continue"/>
            <w:vAlign w:val="center"/>
          </w:tcPr>
          <w:p>
            <w:pPr>
              <w:adjustRightInd w:val="0"/>
              <w:snapToGrid w:val="0"/>
              <w:jc w:val="center"/>
              <w:rPr>
                <w:rFonts w:ascii="Times New Roman" w:hAnsi="Times New Roman" w:eastAsiaTheme="minorEastAsia"/>
              </w:rPr>
            </w:pPr>
          </w:p>
        </w:tc>
        <w:tc>
          <w:tcPr>
            <w:tcW w:w="456" w:type="pct"/>
            <w:vMerge w:val="continue"/>
            <w:vAlign w:val="center"/>
          </w:tcPr>
          <w:p>
            <w:pPr>
              <w:adjustRightInd w:val="0"/>
              <w:snapToGrid w:val="0"/>
              <w:jc w:val="center"/>
              <w:rPr>
                <w:rFonts w:ascii="Times New Roman" w:hAnsi="Times New Roman" w:eastAsiaTheme="minorEastAsia"/>
              </w:rPr>
            </w:pPr>
          </w:p>
        </w:tc>
        <w:tc>
          <w:tcPr>
            <w:tcW w:w="457" w:type="pct"/>
            <w:vMerge w:val="continue"/>
            <w:vAlign w:val="center"/>
          </w:tcPr>
          <w:p>
            <w:pPr>
              <w:adjustRightInd w:val="0"/>
              <w:snapToGrid w:val="0"/>
              <w:jc w:val="center"/>
              <w:rPr>
                <w:rFonts w:ascii="Times New Roman" w:hAnsi="Times New Roman" w:eastAsiaTheme="minorEastAsia"/>
              </w:rPr>
            </w:pPr>
          </w:p>
        </w:tc>
        <w:tc>
          <w:tcPr>
            <w:tcW w:w="306" w:type="pct"/>
            <w:vMerge w:val="continue"/>
            <w:vAlign w:val="center"/>
          </w:tcPr>
          <w:p>
            <w:pPr>
              <w:adjustRightInd w:val="0"/>
              <w:snapToGrid w:val="0"/>
              <w:jc w:val="center"/>
              <w:rPr>
                <w:rFonts w:ascii="Times New Roman" w:hAnsi="Times New Roman" w:eastAsiaTheme="minorEastAsia"/>
              </w:rPr>
            </w:pPr>
          </w:p>
        </w:tc>
        <w:tc>
          <w:tcPr>
            <w:tcW w:w="4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氨氮</w:t>
            </w:r>
          </w:p>
        </w:tc>
        <w:tc>
          <w:tcPr>
            <w:tcW w:w="94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7" w:hRule="atLeast"/>
        </w:trPr>
        <w:tc>
          <w:tcPr>
            <w:tcW w:w="250" w:type="pct"/>
            <w:vMerge w:val="continue"/>
            <w:vAlign w:val="center"/>
          </w:tcPr>
          <w:p>
            <w:pPr>
              <w:adjustRightInd w:val="0"/>
              <w:snapToGrid w:val="0"/>
              <w:jc w:val="center"/>
              <w:rPr>
                <w:rFonts w:ascii="Times New Roman" w:hAnsi="Times New Roman" w:eastAsiaTheme="minorEastAsia"/>
              </w:rPr>
            </w:pPr>
          </w:p>
        </w:tc>
        <w:tc>
          <w:tcPr>
            <w:tcW w:w="352" w:type="pct"/>
            <w:vMerge w:val="continue"/>
            <w:vAlign w:val="center"/>
          </w:tcPr>
          <w:p>
            <w:pPr>
              <w:adjustRightInd w:val="0"/>
              <w:snapToGrid w:val="0"/>
              <w:jc w:val="center"/>
              <w:rPr>
                <w:rFonts w:ascii="Times New Roman" w:hAnsi="Times New Roman" w:eastAsiaTheme="minorEastAsia"/>
              </w:rPr>
            </w:pPr>
          </w:p>
        </w:tc>
        <w:tc>
          <w:tcPr>
            <w:tcW w:w="505" w:type="pct"/>
            <w:vMerge w:val="continue"/>
            <w:vAlign w:val="center"/>
          </w:tcPr>
          <w:p>
            <w:pPr>
              <w:adjustRightInd w:val="0"/>
              <w:snapToGrid w:val="0"/>
              <w:jc w:val="center"/>
              <w:rPr>
                <w:rFonts w:ascii="Times New Roman" w:hAnsi="Times New Roman" w:eastAsiaTheme="minorEastAsia"/>
              </w:rPr>
            </w:pPr>
          </w:p>
        </w:tc>
        <w:tc>
          <w:tcPr>
            <w:tcW w:w="475" w:type="pct"/>
            <w:vMerge w:val="continue"/>
            <w:vAlign w:val="center"/>
          </w:tcPr>
          <w:p>
            <w:pPr>
              <w:adjustRightInd w:val="0"/>
              <w:snapToGrid w:val="0"/>
              <w:jc w:val="center"/>
              <w:rPr>
                <w:rFonts w:ascii="Times New Roman" w:hAnsi="Times New Roman" w:eastAsiaTheme="minorEastAsia"/>
              </w:rPr>
            </w:pPr>
          </w:p>
        </w:tc>
        <w:tc>
          <w:tcPr>
            <w:tcW w:w="403" w:type="pct"/>
            <w:vMerge w:val="continue"/>
            <w:vAlign w:val="center"/>
          </w:tcPr>
          <w:p>
            <w:pPr>
              <w:adjustRightInd w:val="0"/>
              <w:snapToGrid w:val="0"/>
              <w:jc w:val="center"/>
              <w:rPr>
                <w:rFonts w:ascii="Times New Roman" w:hAnsi="Times New Roman" w:eastAsiaTheme="minorEastAsia"/>
              </w:rPr>
            </w:pPr>
          </w:p>
        </w:tc>
        <w:tc>
          <w:tcPr>
            <w:tcW w:w="394" w:type="pct"/>
            <w:vMerge w:val="continue"/>
            <w:vAlign w:val="center"/>
          </w:tcPr>
          <w:p>
            <w:pPr>
              <w:adjustRightInd w:val="0"/>
              <w:snapToGrid w:val="0"/>
              <w:jc w:val="center"/>
              <w:rPr>
                <w:rFonts w:ascii="Times New Roman" w:hAnsi="Times New Roman" w:eastAsiaTheme="minorEastAsia"/>
              </w:rPr>
            </w:pPr>
          </w:p>
        </w:tc>
        <w:tc>
          <w:tcPr>
            <w:tcW w:w="456" w:type="pct"/>
            <w:vMerge w:val="continue"/>
            <w:vAlign w:val="center"/>
          </w:tcPr>
          <w:p>
            <w:pPr>
              <w:adjustRightInd w:val="0"/>
              <w:snapToGrid w:val="0"/>
              <w:jc w:val="center"/>
              <w:rPr>
                <w:rFonts w:ascii="Times New Roman" w:hAnsi="Times New Roman" w:eastAsiaTheme="minorEastAsia"/>
              </w:rPr>
            </w:pPr>
          </w:p>
        </w:tc>
        <w:tc>
          <w:tcPr>
            <w:tcW w:w="457" w:type="pct"/>
            <w:vMerge w:val="continue"/>
            <w:vAlign w:val="center"/>
          </w:tcPr>
          <w:p>
            <w:pPr>
              <w:adjustRightInd w:val="0"/>
              <w:snapToGrid w:val="0"/>
              <w:jc w:val="center"/>
              <w:rPr>
                <w:rFonts w:ascii="Times New Roman" w:hAnsi="Times New Roman" w:eastAsiaTheme="minorEastAsia"/>
              </w:rPr>
            </w:pPr>
          </w:p>
        </w:tc>
        <w:tc>
          <w:tcPr>
            <w:tcW w:w="306" w:type="pct"/>
            <w:vMerge w:val="continue"/>
            <w:vAlign w:val="center"/>
          </w:tcPr>
          <w:p>
            <w:pPr>
              <w:adjustRightInd w:val="0"/>
              <w:snapToGrid w:val="0"/>
              <w:jc w:val="center"/>
              <w:rPr>
                <w:rFonts w:ascii="Times New Roman" w:hAnsi="Times New Roman" w:eastAsiaTheme="minorEastAsia"/>
              </w:rPr>
            </w:pPr>
          </w:p>
        </w:tc>
        <w:tc>
          <w:tcPr>
            <w:tcW w:w="4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总磷</w:t>
            </w:r>
          </w:p>
        </w:tc>
        <w:tc>
          <w:tcPr>
            <w:tcW w:w="94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7" w:hRule="atLeast"/>
        </w:trPr>
        <w:tc>
          <w:tcPr>
            <w:tcW w:w="250" w:type="pct"/>
            <w:vMerge w:val="continue"/>
            <w:vAlign w:val="center"/>
          </w:tcPr>
          <w:p>
            <w:pPr>
              <w:adjustRightInd w:val="0"/>
              <w:snapToGrid w:val="0"/>
              <w:jc w:val="center"/>
              <w:rPr>
                <w:rFonts w:ascii="Times New Roman" w:hAnsi="Times New Roman" w:eastAsiaTheme="minorEastAsia"/>
              </w:rPr>
            </w:pPr>
          </w:p>
        </w:tc>
        <w:tc>
          <w:tcPr>
            <w:tcW w:w="352" w:type="pct"/>
            <w:vMerge w:val="continue"/>
            <w:vAlign w:val="center"/>
          </w:tcPr>
          <w:p>
            <w:pPr>
              <w:adjustRightInd w:val="0"/>
              <w:snapToGrid w:val="0"/>
              <w:jc w:val="center"/>
              <w:rPr>
                <w:rFonts w:ascii="Times New Roman" w:hAnsi="Times New Roman" w:eastAsiaTheme="minorEastAsia"/>
              </w:rPr>
            </w:pPr>
          </w:p>
        </w:tc>
        <w:tc>
          <w:tcPr>
            <w:tcW w:w="505" w:type="pct"/>
            <w:vMerge w:val="continue"/>
            <w:vAlign w:val="center"/>
          </w:tcPr>
          <w:p>
            <w:pPr>
              <w:adjustRightInd w:val="0"/>
              <w:snapToGrid w:val="0"/>
              <w:jc w:val="center"/>
              <w:rPr>
                <w:rFonts w:ascii="Times New Roman" w:hAnsi="Times New Roman" w:eastAsiaTheme="minorEastAsia"/>
              </w:rPr>
            </w:pPr>
          </w:p>
        </w:tc>
        <w:tc>
          <w:tcPr>
            <w:tcW w:w="475" w:type="pct"/>
            <w:vMerge w:val="continue"/>
            <w:vAlign w:val="center"/>
          </w:tcPr>
          <w:p>
            <w:pPr>
              <w:adjustRightInd w:val="0"/>
              <w:snapToGrid w:val="0"/>
              <w:jc w:val="center"/>
              <w:rPr>
                <w:rFonts w:ascii="Times New Roman" w:hAnsi="Times New Roman" w:eastAsiaTheme="minorEastAsia"/>
              </w:rPr>
            </w:pPr>
          </w:p>
        </w:tc>
        <w:tc>
          <w:tcPr>
            <w:tcW w:w="403" w:type="pct"/>
            <w:vMerge w:val="continue"/>
            <w:vAlign w:val="center"/>
          </w:tcPr>
          <w:p>
            <w:pPr>
              <w:adjustRightInd w:val="0"/>
              <w:snapToGrid w:val="0"/>
              <w:jc w:val="center"/>
              <w:rPr>
                <w:rFonts w:ascii="Times New Roman" w:hAnsi="Times New Roman" w:eastAsiaTheme="minorEastAsia"/>
              </w:rPr>
            </w:pPr>
          </w:p>
        </w:tc>
        <w:tc>
          <w:tcPr>
            <w:tcW w:w="394" w:type="pct"/>
            <w:vMerge w:val="continue"/>
            <w:vAlign w:val="center"/>
          </w:tcPr>
          <w:p>
            <w:pPr>
              <w:adjustRightInd w:val="0"/>
              <w:snapToGrid w:val="0"/>
              <w:jc w:val="center"/>
              <w:rPr>
                <w:rFonts w:ascii="Times New Roman" w:hAnsi="Times New Roman" w:eastAsiaTheme="minorEastAsia"/>
              </w:rPr>
            </w:pPr>
          </w:p>
        </w:tc>
        <w:tc>
          <w:tcPr>
            <w:tcW w:w="456" w:type="pct"/>
            <w:vMerge w:val="continue"/>
            <w:vAlign w:val="center"/>
          </w:tcPr>
          <w:p>
            <w:pPr>
              <w:adjustRightInd w:val="0"/>
              <w:snapToGrid w:val="0"/>
              <w:jc w:val="center"/>
              <w:rPr>
                <w:rFonts w:ascii="Times New Roman" w:hAnsi="Times New Roman" w:eastAsiaTheme="minorEastAsia"/>
              </w:rPr>
            </w:pPr>
          </w:p>
        </w:tc>
        <w:tc>
          <w:tcPr>
            <w:tcW w:w="457" w:type="pct"/>
            <w:vMerge w:val="continue"/>
            <w:vAlign w:val="center"/>
          </w:tcPr>
          <w:p>
            <w:pPr>
              <w:adjustRightInd w:val="0"/>
              <w:snapToGrid w:val="0"/>
              <w:jc w:val="center"/>
              <w:rPr>
                <w:rFonts w:ascii="Times New Roman" w:hAnsi="Times New Roman" w:eastAsiaTheme="minorEastAsia"/>
              </w:rPr>
            </w:pPr>
          </w:p>
        </w:tc>
        <w:tc>
          <w:tcPr>
            <w:tcW w:w="306" w:type="pct"/>
            <w:vMerge w:val="continue"/>
            <w:vAlign w:val="center"/>
          </w:tcPr>
          <w:p>
            <w:pPr>
              <w:adjustRightInd w:val="0"/>
              <w:snapToGrid w:val="0"/>
              <w:jc w:val="center"/>
              <w:rPr>
                <w:rFonts w:ascii="Times New Roman" w:hAnsi="Times New Roman" w:eastAsiaTheme="minorEastAsia"/>
              </w:rPr>
            </w:pPr>
          </w:p>
        </w:tc>
        <w:tc>
          <w:tcPr>
            <w:tcW w:w="4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总氮</w:t>
            </w:r>
          </w:p>
        </w:tc>
        <w:tc>
          <w:tcPr>
            <w:tcW w:w="94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7" w:hRule="atLeast"/>
        </w:trPr>
        <w:tc>
          <w:tcPr>
            <w:tcW w:w="250" w:type="pct"/>
            <w:vMerge w:val="continue"/>
            <w:vAlign w:val="center"/>
          </w:tcPr>
          <w:p>
            <w:pPr>
              <w:adjustRightInd w:val="0"/>
              <w:snapToGrid w:val="0"/>
              <w:jc w:val="center"/>
              <w:rPr>
                <w:rFonts w:ascii="Times New Roman" w:hAnsi="Times New Roman" w:eastAsiaTheme="minorEastAsia"/>
              </w:rPr>
            </w:pPr>
          </w:p>
        </w:tc>
        <w:tc>
          <w:tcPr>
            <w:tcW w:w="352" w:type="pct"/>
            <w:vMerge w:val="continue"/>
            <w:vAlign w:val="center"/>
          </w:tcPr>
          <w:p>
            <w:pPr>
              <w:adjustRightInd w:val="0"/>
              <w:snapToGrid w:val="0"/>
              <w:jc w:val="center"/>
              <w:rPr>
                <w:rFonts w:ascii="Times New Roman" w:hAnsi="Times New Roman" w:eastAsiaTheme="minorEastAsia"/>
              </w:rPr>
            </w:pPr>
          </w:p>
        </w:tc>
        <w:tc>
          <w:tcPr>
            <w:tcW w:w="505" w:type="pct"/>
            <w:vMerge w:val="continue"/>
            <w:vAlign w:val="center"/>
          </w:tcPr>
          <w:p>
            <w:pPr>
              <w:adjustRightInd w:val="0"/>
              <w:snapToGrid w:val="0"/>
              <w:jc w:val="center"/>
              <w:rPr>
                <w:rFonts w:ascii="Times New Roman" w:hAnsi="Times New Roman" w:eastAsiaTheme="minorEastAsia"/>
              </w:rPr>
            </w:pPr>
          </w:p>
        </w:tc>
        <w:tc>
          <w:tcPr>
            <w:tcW w:w="475" w:type="pct"/>
            <w:vMerge w:val="continue"/>
            <w:vAlign w:val="center"/>
          </w:tcPr>
          <w:p>
            <w:pPr>
              <w:adjustRightInd w:val="0"/>
              <w:snapToGrid w:val="0"/>
              <w:jc w:val="center"/>
              <w:rPr>
                <w:rFonts w:ascii="Times New Roman" w:hAnsi="Times New Roman" w:eastAsiaTheme="minorEastAsia"/>
              </w:rPr>
            </w:pPr>
          </w:p>
        </w:tc>
        <w:tc>
          <w:tcPr>
            <w:tcW w:w="403" w:type="pct"/>
            <w:vMerge w:val="continue"/>
            <w:vAlign w:val="center"/>
          </w:tcPr>
          <w:p>
            <w:pPr>
              <w:adjustRightInd w:val="0"/>
              <w:snapToGrid w:val="0"/>
              <w:jc w:val="center"/>
              <w:rPr>
                <w:rFonts w:ascii="Times New Roman" w:hAnsi="Times New Roman" w:eastAsiaTheme="minorEastAsia"/>
              </w:rPr>
            </w:pPr>
          </w:p>
        </w:tc>
        <w:tc>
          <w:tcPr>
            <w:tcW w:w="394" w:type="pct"/>
            <w:vMerge w:val="continue"/>
            <w:vAlign w:val="center"/>
          </w:tcPr>
          <w:p>
            <w:pPr>
              <w:adjustRightInd w:val="0"/>
              <w:snapToGrid w:val="0"/>
              <w:jc w:val="center"/>
              <w:rPr>
                <w:rFonts w:ascii="Times New Roman" w:hAnsi="Times New Roman" w:eastAsiaTheme="minorEastAsia"/>
              </w:rPr>
            </w:pPr>
          </w:p>
        </w:tc>
        <w:tc>
          <w:tcPr>
            <w:tcW w:w="456" w:type="pct"/>
            <w:vMerge w:val="continue"/>
            <w:vAlign w:val="center"/>
          </w:tcPr>
          <w:p>
            <w:pPr>
              <w:adjustRightInd w:val="0"/>
              <w:snapToGrid w:val="0"/>
              <w:jc w:val="center"/>
              <w:rPr>
                <w:rFonts w:ascii="Times New Roman" w:hAnsi="Times New Roman" w:eastAsiaTheme="minorEastAsia"/>
              </w:rPr>
            </w:pPr>
          </w:p>
        </w:tc>
        <w:tc>
          <w:tcPr>
            <w:tcW w:w="457" w:type="pct"/>
            <w:vMerge w:val="continue"/>
            <w:vAlign w:val="center"/>
          </w:tcPr>
          <w:p>
            <w:pPr>
              <w:adjustRightInd w:val="0"/>
              <w:snapToGrid w:val="0"/>
              <w:jc w:val="center"/>
              <w:rPr>
                <w:rFonts w:ascii="Times New Roman" w:hAnsi="Times New Roman" w:eastAsiaTheme="minorEastAsia"/>
              </w:rPr>
            </w:pPr>
          </w:p>
        </w:tc>
        <w:tc>
          <w:tcPr>
            <w:tcW w:w="306" w:type="pct"/>
            <w:vMerge w:val="continue"/>
            <w:vAlign w:val="center"/>
          </w:tcPr>
          <w:p>
            <w:pPr>
              <w:adjustRightInd w:val="0"/>
              <w:snapToGrid w:val="0"/>
              <w:jc w:val="center"/>
              <w:rPr>
                <w:rFonts w:ascii="Times New Roman" w:hAnsi="Times New Roman" w:eastAsiaTheme="minorEastAsia"/>
              </w:rPr>
            </w:pPr>
          </w:p>
        </w:tc>
        <w:tc>
          <w:tcPr>
            <w:tcW w:w="4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石油类</w:t>
            </w:r>
          </w:p>
        </w:tc>
        <w:tc>
          <w:tcPr>
            <w:tcW w:w="948"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r>
              <w:rPr>
                <w:rFonts w:hint="eastAsia" w:ascii="Times New Roman" w:hAnsi="Times New Roman" w:eastAsiaTheme="minorEastAsia"/>
                <w:color w:val="000000" w:themeColor="text1"/>
                <w14:textFill>
                  <w14:solidFill>
                    <w14:schemeClr w14:val="tx1"/>
                  </w14:solidFill>
                </w14:textFill>
              </w:rPr>
              <w:t>.0</w:t>
            </w:r>
          </w:p>
        </w:tc>
      </w:tr>
    </w:tbl>
    <w:p>
      <w:pPr>
        <w:adjustRightInd w:val="0"/>
        <w:snapToGrid w:val="0"/>
        <w:spacing w:line="360" w:lineRule="auto"/>
        <w:rPr>
          <w:rFonts w:ascii="Times New Roman" w:hAnsi="Times New Roman" w:eastAsiaTheme="minorEastAsia"/>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Theme="minorEastAsia"/>
        </w:rPr>
        <w:t>注：1、*括号内数值为水温≤12 C时的控制指标。</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项目废水污染物排放执行标准见表6.1-3</w:t>
      </w:r>
      <w:r>
        <w:rPr>
          <w:rFonts w:hint="eastAsia" w:ascii="Times New Roman" w:hAnsi="Times New Roman" w:eastAsiaTheme="minorEastAsia"/>
          <w:sz w:val="24"/>
          <w:szCs w:val="24"/>
        </w:rPr>
        <w:t>。</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表6.1-3  废水污染物排放执行标准表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50"/>
        <w:gridCol w:w="1281"/>
        <w:gridCol w:w="1423"/>
        <w:gridCol w:w="2848"/>
        <w:gridCol w:w="26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704"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排放口编号</w:t>
            </w:r>
          </w:p>
        </w:tc>
        <w:tc>
          <w:tcPr>
            <w:tcW w:w="782"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3047"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b/>
              </w:rPr>
            </w:pPr>
          </w:p>
        </w:tc>
        <w:tc>
          <w:tcPr>
            <w:tcW w:w="704" w:type="pct"/>
            <w:vMerge w:val="continue"/>
            <w:vAlign w:val="center"/>
          </w:tcPr>
          <w:p>
            <w:pPr>
              <w:adjustRightInd w:val="0"/>
              <w:snapToGrid w:val="0"/>
              <w:jc w:val="center"/>
              <w:rPr>
                <w:rFonts w:ascii="Times New Roman" w:hAnsi="Times New Roman" w:eastAsiaTheme="minorEastAsia"/>
                <w:b/>
              </w:rPr>
            </w:pPr>
          </w:p>
        </w:tc>
        <w:tc>
          <w:tcPr>
            <w:tcW w:w="782" w:type="pct"/>
            <w:vMerge w:val="continue"/>
            <w:vAlign w:val="center"/>
          </w:tcPr>
          <w:p>
            <w:pPr>
              <w:adjustRightInd w:val="0"/>
              <w:snapToGrid w:val="0"/>
              <w:jc w:val="center"/>
              <w:rPr>
                <w:rFonts w:ascii="Times New Roman" w:hAnsi="Times New Roman" w:eastAsiaTheme="minorEastAsia"/>
                <w:b/>
              </w:rPr>
            </w:pPr>
          </w:p>
        </w:tc>
        <w:tc>
          <w:tcPr>
            <w:tcW w:w="156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148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浓度限值/（毫克/升）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7"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04"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DW001</w:t>
            </w:r>
          </w:p>
        </w:tc>
        <w:tc>
          <w:tcPr>
            <w:tcW w:w="782"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COD、悬浮物、氨氮、总磷、总氮、石油类</w:t>
            </w: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氨氮</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总磷</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总氮</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石油类</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项目废水污染物排放信息见表6.1-4</w:t>
      </w:r>
      <w:r>
        <w:rPr>
          <w:rFonts w:hint="eastAsia" w:ascii="Times New Roman" w:hAnsi="Times New Roman" w:eastAsiaTheme="minorEastAsia"/>
          <w:sz w:val="24"/>
          <w:szCs w:val="24"/>
        </w:rPr>
        <w:t>。</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表6.1-4  废水污染物排放信息表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08"/>
        <w:gridCol w:w="1279"/>
        <w:gridCol w:w="1281"/>
        <w:gridCol w:w="2139"/>
        <w:gridCol w:w="1856"/>
        <w:gridCol w:w="1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8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70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排放口编号</w:t>
            </w:r>
          </w:p>
        </w:tc>
        <w:tc>
          <w:tcPr>
            <w:tcW w:w="70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117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排放浓度（毫克/升）</w:t>
            </w:r>
          </w:p>
        </w:tc>
        <w:tc>
          <w:tcPr>
            <w:tcW w:w="102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日排放量（吨/天）</w:t>
            </w:r>
          </w:p>
        </w:tc>
        <w:tc>
          <w:tcPr>
            <w:tcW w:w="100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年排放量（吨/年）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89"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03"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DW001</w:t>
            </w: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44.7</w:t>
            </w:r>
          </w:p>
        </w:tc>
        <w:tc>
          <w:tcPr>
            <w:tcW w:w="1020"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rPr>
              <w:t>0.001052</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0.3841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w:t>
            </w:r>
          </w:p>
        </w:tc>
        <w:tc>
          <w:tcPr>
            <w:tcW w:w="1175" w:type="pct"/>
            <w:vAlign w:val="center"/>
          </w:tcPr>
          <w:p>
            <w:pPr>
              <w:jc w:val="center"/>
              <w:rPr>
                <w:rFonts w:ascii="Times New Roman" w:hAnsi="Times New Roman" w:eastAsiaTheme="minorEastAsia"/>
              </w:rPr>
            </w:pPr>
            <w:r>
              <w:rPr>
                <w:rFonts w:ascii="Times New Roman" w:hAnsi="Times New Roman" w:eastAsiaTheme="minorEastAsia"/>
                <w:color w:val="000000" w:themeColor="text1"/>
                <w14:textFill>
                  <w14:solidFill>
                    <w14:schemeClr w14:val="tx1"/>
                  </w14:solidFill>
                </w14:textFill>
              </w:rPr>
              <w:t>15</w:t>
            </w:r>
            <w:r>
              <w:rPr>
                <w:rFonts w:hint="eastAsia" w:ascii="Times New Roman" w:hAnsi="Times New Roman" w:eastAsiaTheme="minorEastAsia"/>
                <w:color w:val="000000" w:themeColor="text1"/>
                <w14:textFill>
                  <w14:solidFill>
                    <w14:schemeClr w14:val="tx1"/>
                  </w14:solidFill>
                </w14:textFill>
              </w:rPr>
              <w:t>.7</w:t>
            </w:r>
          </w:p>
        </w:tc>
        <w:tc>
          <w:tcPr>
            <w:tcW w:w="1020"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0.003695</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1.3488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氨氮</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2.9</w:t>
            </w:r>
          </w:p>
        </w:tc>
        <w:tc>
          <w:tcPr>
            <w:tcW w:w="1020"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6.81E-05</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0.0248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总磷</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0.8</w:t>
            </w:r>
          </w:p>
        </w:tc>
        <w:tc>
          <w:tcPr>
            <w:tcW w:w="1020"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1.9E-05</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0.0069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总氮</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0.7</w:t>
            </w:r>
          </w:p>
        </w:tc>
        <w:tc>
          <w:tcPr>
            <w:tcW w:w="1020"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1.66E-05</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0.0061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石油类</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8.1</w:t>
            </w:r>
          </w:p>
        </w:tc>
        <w:tc>
          <w:tcPr>
            <w:tcW w:w="1020"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0.00019</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0.0693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092" w:type="pct"/>
            <w:gridSpan w:val="2"/>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全厂排放口合计</w:t>
            </w: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0.3841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1.3488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氨氮</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0.0248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总磷</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0.0069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总氮</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0.0061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石油类</w:t>
            </w:r>
          </w:p>
        </w:tc>
        <w:tc>
          <w:tcPr>
            <w:tcW w:w="100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kern w:val="0"/>
              </w:rPr>
              <w:t>0.0693</w:t>
            </w:r>
          </w:p>
        </w:tc>
      </w:tr>
    </w:tbl>
    <w:p>
      <w:pPr>
        <w:adjustRightInd w:val="0"/>
        <w:snapToGrid w:val="0"/>
        <w:spacing w:line="360" w:lineRule="auto"/>
        <w:ind w:firstLine="482"/>
        <w:rPr>
          <w:rFonts w:ascii="Times New Roman" w:hAnsi="Times New Roman" w:eastAsiaTheme="minorEastAsia"/>
          <w:sz w:val="24"/>
          <w:szCs w:val="24"/>
        </w:rPr>
      </w:pPr>
    </w:p>
    <w:p>
      <w:pPr>
        <w:pStyle w:val="5"/>
        <w:rPr>
          <w:rFonts w:eastAsiaTheme="minorEastAsia"/>
        </w:rPr>
      </w:pPr>
      <w:r>
        <w:rPr>
          <w:rFonts w:eastAsiaTheme="minorEastAsia"/>
        </w:rPr>
        <w:t>对河流水文影响分析</w:t>
      </w:r>
    </w:p>
    <w:p>
      <w:pPr>
        <w:adjustRightInd w:val="0"/>
        <w:snapToGrid w:val="0"/>
        <w:spacing w:line="360" w:lineRule="auto"/>
        <w:ind w:firstLine="482"/>
        <w:rPr>
          <w:rFonts w:hint="eastAsia" w:ascii="Times New Roman" w:hAnsi="Times New Roman" w:eastAsiaTheme="minorEastAsia"/>
          <w:sz w:val="24"/>
          <w:szCs w:val="24"/>
          <w:lang w:eastAsia="zh-CN"/>
        </w:rPr>
      </w:pPr>
      <w:r>
        <w:rPr>
          <w:rFonts w:ascii="Times New Roman" w:hAnsi="Times New Roman" w:eastAsiaTheme="minorEastAsia"/>
          <w:sz w:val="24"/>
          <w:szCs w:val="24"/>
        </w:rPr>
        <w:t>根据《中国石化集团资产经营管理有限公司长岭分公司港口部码头提质改造工程可行性研究报告》，本码头为顺岸式布置，采用直立式岸壁结构，底部与长江河岸线基本在一平面线上，没有束窄河道，对长江的水面面积、水量、径流过程、水位、水深、流速、水面宽、冲淤变化等基本没有影响。因此，本项目对长江河水文要素影响较小</w:t>
      </w:r>
      <w:r>
        <w:rPr>
          <w:rFonts w:hint="eastAsia" w:ascii="Times New Roman" w:hAnsi="Times New Roman" w:eastAsiaTheme="minorEastAsia"/>
          <w:sz w:val="24"/>
          <w:szCs w:val="24"/>
          <w:lang w:eastAsia="zh-CN"/>
        </w:rPr>
        <w:t>。</w:t>
      </w:r>
    </w:p>
    <w:p>
      <w:pPr>
        <w:pStyle w:val="3"/>
        <w:rPr>
          <w:rFonts w:ascii="Times New Roman" w:hAnsi="Times New Roman" w:eastAsiaTheme="minorEastAsia"/>
          <w:b/>
        </w:rPr>
      </w:pPr>
      <w:bookmarkStart w:id="139" w:name="_Toc9407"/>
      <w:r>
        <w:rPr>
          <w:rFonts w:ascii="Times New Roman" w:hAnsi="Times New Roman" w:eastAsiaTheme="minorEastAsia"/>
          <w:b/>
        </w:rPr>
        <w:t>地下水环境影响评价</w:t>
      </w:r>
      <w:bookmarkEnd w:id="139"/>
    </w:p>
    <w:p>
      <w:pPr>
        <w:pStyle w:val="4"/>
        <w:rPr>
          <w:rFonts w:eastAsiaTheme="minorEastAsia"/>
          <w:szCs w:val="24"/>
        </w:rPr>
      </w:pPr>
      <w:r>
        <w:rPr>
          <w:rFonts w:eastAsiaTheme="minorEastAsia"/>
        </w:rPr>
        <w:t>施工期地下水环境影响分析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施工期对地下水环境的影响主要表现在施工期含油污水、建筑材料堆放期间的淋渗水等对地下水环境的影响。材料堆场若物料、油料堆放管理不严，施工机械设备漏油、机械维修过程中的残油等可能污染地下水。因此，为防止油料等物质不慎泄露对堆放场地附近的地下水环境带来影响，可在建筑材料堆放地设置一定的防渗区域，专门存放油料等物质。</w:t>
      </w:r>
    </w:p>
    <w:p>
      <w:pPr>
        <w:pStyle w:val="4"/>
        <w:rPr>
          <w:rFonts w:eastAsiaTheme="minorEastAsia"/>
        </w:rPr>
      </w:pPr>
      <w:r>
        <w:rPr>
          <w:rFonts w:eastAsiaTheme="minorEastAsia"/>
        </w:rPr>
        <w:t>营运期地下水环境影响分析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码头主要为化学品的装卸作业，码头不设置储罐区，卸船通过管道直接输送至后方厂区储罐，装船从后方厂区储罐通过管道直接输送至船舶，化学品在密闭的压力管道内输送。本码头在码头接卸口处设置了收集池和围堰，收集池和围堰均采取了正确的防渗保护措施，物料接卸过程中滴漏的少量化学品通过收集池收集回收，围堰用于收集泄漏事故泄漏的化学品、以及消防废水。因此，正常工况下本项目不会发生化学品渗漏，不会对地下水水质产生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鉴于本项目特点，本次模拟设定输送管道因腐蚀等因素造成管道破裂，发生化学品渗漏，预测在非正常状况渗漏情景下污染物在地下水中的迁移过程，进一步分析污染物影响范围。</w:t>
      </w:r>
    </w:p>
    <w:p>
      <w:pPr>
        <w:pStyle w:val="5"/>
        <w:rPr>
          <w:rFonts w:eastAsiaTheme="minorEastAsia"/>
        </w:rPr>
      </w:pPr>
      <w:r>
        <w:rPr>
          <w:rFonts w:eastAsiaTheme="minorEastAsia"/>
        </w:rPr>
        <w:t>预测范围和时段</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地下水环境影响预测范围与调查评价范围一致，为项目周边6km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范围。潜水含水层较承压层水层易于污染，是建设项目需要考虑的最敏感含水层，因此作为本次影响预测的目的层。</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考虑项目运营和退役期，将地下水环境影响预测时段拟定为1000天。结合工程特征与环境特征，预测污染发生100天、1000天及10000天后污染物迁移情况。</w:t>
      </w:r>
    </w:p>
    <w:p>
      <w:pPr>
        <w:pStyle w:val="5"/>
        <w:rPr>
          <w:rFonts w:eastAsiaTheme="minorEastAsia"/>
        </w:rPr>
      </w:pPr>
      <w:r>
        <w:rPr>
          <w:rFonts w:eastAsiaTheme="minorEastAsia"/>
        </w:rPr>
        <w:t>预测源强</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码头装卸的化学品包括乙酸甲酯、二甲苯、乙烯裂解料、乙酸仲丁酯、醋酸等，本次评价考虑非正常工况下醋酸输送管道发生破裂，醋酸发生短时泄漏，并渗入地下水。本次评价泄漏时间取30min，醋酸浓度为1830000m/L。</w:t>
      </w:r>
    </w:p>
    <w:p>
      <w:pPr>
        <w:pStyle w:val="5"/>
        <w:rPr>
          <w:rFonts w:eastAsiaTheme="minorEastAsia"/>
        </w:rPr>
      </w:pPr>
      <w:r>
        <w:rPr>
          <w:rFonts w:eastAsiaTheme="minorEastAsia"/>
        </w:rPr>
        <w:t>影响预测</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1、预测模型</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污染物非正常排放工况的潜水环境影响预测采用《环境影响评价技术导则 地下水环境》</w:t>
      </w:r>
      <w:r>
        <w:rPr>
          <w:rFonts w:hint="eastAsia" w:ascii="Times New Roman" w:hAnsi="Times New Roman" w:eastAsiaTheme="minorEastAsia"/>
          <w:sz w:val="24"/>
          <w:szCs w:val="24"/>
        </w:rPr>
        <w:t>（</w:t>
      </w:r>
      <w:r>
        <w:rPr>
          <w:rFonts w:ascii="Times New Roman" w:hAnsi="Times New Roman" w:eastAsiaTheme="minorEastAsia"/>
          <w:sz w:val="24"/>
          <w:szCs w:val="24"/>
        </w:rPr>
        <w:t>HJ610-2016</w:t>
      </w:r>
      <w:r>
        <w:rPr>
          <w:rFonts w:hint="eastAsia" w:ascii="Times New Roman" w:hAnsi="Times New Roman" w:eastAsiaTheme="minorEastAsia"/>
          <w:sz w:val="24"/>
          <w:szCs w:val="24"/>
        </w:rPr>
        <w:t>）</w:t>
      </w:r>
      <w:r>
        <w:rPr>
          <w:rFonts w:ascii="Times New Roman" w:hAnsi="Times New Roman" w:eastAsiaTheme="minorEastAsia"/>
          <w:sz w:val="24"/>
          <w:szCs w:val="24"/>
        </w:rPr>
        <w:t>推荐的一维稳定流动一维水动力弥散模型，概化条件为一维半无限长多孔介质柱体，一端为定浓度边界。其解析解为：</w:t>
      </w:r>
    </w:p>
    <w:p>
      <w:pPr>
        <w:adjustRightInd w:val="0"/>
        <w:snapToGrid w:val="0"/>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2818765" cy="57086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6"/>
                    <a:stretch>
                      <a:fillRect/>
                    </a:stretch>
                  </pic:blipFill>
                  <pic:spPr>
                    <a:xfrm>
                      <a:off x="0" y="0"/>
                      <a:ext cx="2819048" cy="571429"/>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式中：x—预测点距污染源强的距离，m；</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t—预测时间，d；</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C—t时刻x处的污染物浓度，mg/L；</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Co—地下水污染源强浓度，mg/L；</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u—水流速度，m/d；</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D</w:t>
      </w:r>
      <w:r>
        <w:rPr>
          <w:rFonts w:ascii="Times New Roman" w:hAnsi="Times New Roman" w:eastAsiaTheme="minorEastAsia"/>
          <w:sz w:val="24"/>
          <w:szCs w:val="24"/>
          <w:vertAlign w:val="subscript"/>
        </w:rPr>
        <w:t>L</w:t>
      </w:r>
      <w:r>
        <w:rPr>
          <w:rFonts w:ascii="Times New Roman" w:hAnsi="Times New Roman" w:eastAsiaTheme="minorEastAsia"/>
          <w:sz w:val="24"/>
          <w:szCs w:val="24"/>
        </w:rPr>
        <w:t>—纵向弥散系数，m</w:t>
      </w:r>
      <w:r>
        <w:rPr>
          <w:rFonts w:ascii="Times New Roman" w:hAnsi="Times New Roman" w:eastAsiaTheme="minorEastAsia"/>
          <w:sz w:val="24"/>
          <w:szCs w:val="24"/>
          <w:vertAlign w:val="superscript"/>
        </w:rPr>
        <w:t>2</w:t>
      </w:r>
      <w:r>
        <w:rPr>
          <w:rFonts w:ascii="Times New Roman" w:hAnsi="Times New Roman" w:eastAsiaTheme="minorEastAsia"/>
          <w:sz w:val="24"/>
          <w:szCs w:val="24"/>
        </w:rPr>
        <w:t>/d；</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erfc( )—余误差函数。</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计算参数根据场地地质勘查数据并根据含水层中砂砾石颗粒大小、颗粒均匀度和排列情况类比取得的水文地质参数，详见表6.2-1和表6.2-2。</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地下水实际流速和弥散系数的确定按下列方法取得：</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sz w:val="24"/>
          <w:szCs w:val="24"/>
        </w:rPr>
        <w:t>U=K×I/n</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sz w:val="24"/>
          <w:szCs w:val="24"/>
        </w:rPr>
        <w:t>D=aL×Um</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式中：U—地下水实际流速，m/d；</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K—渗透系数，m/d；</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I—水力坡度，‰；</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n—孔隙度；</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D—弥散系数，m</w:t>
      </w:r>
      <w:r>
        <w:rPr>
          <w:rFonts w:ascii="Times New Roman" w:hAnsi="Times New Roman" w:eastAsiaTheme="minorEastAsia"/>
          <w:sz w:val="24"/>
          <w:szCs w:val="24"/>
          <w:vertAlign w:val="superscript"/>
        </w:rPr>
        <w:t>2</w:t>
      </w:r>
      <w:r>
        <w:rPr>
          <w:rFonts w:ascii="Times New Roman" w:hAnsi="Times New Roman" w:eastAsiaTheme="minorEastAsia"/>
          <w:sz w:val="24"/>
          <w:szCs w:val="24"/>
        </w:rPr>
        <w:t>/d；</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aL—弥散度，m；</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m—指数。</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表6.2-1 地下水含水层参数</w:t>
      </w:r>
    </w:p>
    <w:tbl>
      <w:tblPr>
        <w:tblStyle w:val="72"/>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270"/>
        <w:gridCol w:w="2276"/>
        <w:gridCol w:w="2275"/>
        <w:gridCol w:w="2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248"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指标</w:t>
            </w:r>
          </w:p>
        </w:tc>
        <w:tc>
          <w:tcPr>
            <w:tcW w:w="1251"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渗透系数K（cm/s）</w:t>
            </w:r>
          </w:p>
        </w:tc>
        <w:tc>
          <w:tcPr>
            <w:tcW w:w="1250"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水力坡度I（‰）</w:t>
            </w:r>
          </w:p>
        </w:tc>
        <w:tc>
          <w:tcPr>
            <w:tcW w:w="1250"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孔隙度n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248"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参数</w:t>
            </w:r>
          </w:p>
        </w:tc>
        <w:tc>
          <w:tcPr>
            <w:tcW w:w="1251"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5×10</w:t>
            </w:r>
            <w:r>
              <w:rPr>
                <w:rFonts w:ascii="Times New Roman" w:hAnsi="Times New Roman" w:eastAsiaTheme="minorEastAsia"/>
                <w:vertAlign w:val="superscript"/>
              </w:rPr>
              <w:t>-5</w:t>
            </w:r>
          </w:p>
        </w:tc>
        <w:tc>
          <w:tcPr>
            <w:tcW w:w="1250"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w:t>
            </w:r>
          </w:p>
        </w:tc>
        <w:tc>
          <w:tcPr>
            <w:tcW w:w="1250"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0.32</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计算参数结果见表6.2-2。</w:t>
      </w:r>
    </w:p>
    <w:p>
      <w:pPr>
        <w:adjustRightInd w:val="0"/>
        <w:snapToGrid w:val="0"/>
        <w:spacing w:line="276" w:lineRule="auto"/>
        <w:jc w:val="center"/>
        <w:rPr>
          <w:rFonts w:ascii="Times New Roman" w:hAnsi="Times New Roman" w:eastAsiaTheme="minorEastAsia"/>
          <w:sz w:val="24"/>
          <w:szCs w:val="24"/>
        </w:rPr>
      </w:pPr>
      <w:r>
        <w:rPr>
          <w:rFonts w:ascii="Times New Roman" w:hAnsi="Times New Roman" w:eastAsiaTheme="minorEastAsia"/>
          <w:b/>
          <w:sz w:val="24"/>
          <w:szCs w:val="24"/>
        </w:rPr>
        <w:t>表6.2-2 计算参数一览表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273"/>
        <w:gridCol w:w="2277"/>
        <w:gridCol w:w="2275"/>
        <w:gridCol w:w="2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含水层参数</w:t>
            </w:r>
          </w:p>
        </w:tc>
        <w:tc>
          <w:tcPr>
            <w:tcW w:w="125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地下水实际流速U（m/d）</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弥散系数D（m</w:t>
            </w:r>
            <w:r>
              <w:rPr>
                <w:rFonts w:ascii="Times New Roman" w:hAnsi="Times New Roman" w:eastAsiaTheme="minorEastAsia"/>
                <w:b/>
                <w:vertAlign w:val="superscript"/>
              </w:rPr>
              <w:t>2</w:t>
            </w:r>
            <w:r>
              <w:rPr>
                <w:rFonts w:ascii="Times New Roman" w:hAnsi="Times New Roman" w:eastAsiaTheme="minorEastAsia"/>
                <w:b/>
              </w:rPr>
              <w:t>/d）</w:t>
            </w:r>
          </w:p>
        </w:tc>
        <w:tc>
          <w:tcPr>
            <w:tcW w:w="125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污染源强C</w:t>
            </w:r>
            <w:r>
              <w:rPr>
                <w:rFonts w:ascii="Times New Roman" w:hAnsi="Times New Roman" w:eastAsiaTheme="minorEastAsia"/>
                <w:b/>
                <w:vertAlign w:val="subscript"/>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项目建设区含水层</w:t>
            </w:r>
          </w:p>
        </w:tc>
        <w:tc>
          <w:tcPr>
            <w:tcW w:w="125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0.000171875</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0.0000031</w:t>
            </w:r>
          </w:p>
        </w:tc>
        <w:tc>
          <w:tcPr>
            <w:tcW w:w="125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醋酸1830000mg/L</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2、预测结果</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本项目典型污染物因子运移范围计算结果见表6.2-3。</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表6.2-3  醋酸污染运移范围预测结果表</w:t>
      </w:r>
      <w:r>
        <w:rPr>
          <w:rFonts w:hint="eastAsia" w:ascii="Times New Roman" w:hAnsi="Times New Roman" w:eastAsiaTheme="minorEastAsia"/>
          <w:b/>
          <w:sz w:val="24"/>
          <w:szCs w:val="24"/>
        </w:rPr>
        <w:t xml:space="preserve"> </w:t>
      </w:r>
      <w:r>
        <w:rPr>
          <w:rFonts w:ascii="Times New Roman" w:hAnsi="Times New Roman" w:eastAsiaTheme="minorEastAsia"/>
          <w:b/>
          <w:sz w:val="24"/>
          <w:szCs w:val="24"/>
        </w:rPr>
        <w:t xml:space="preserve">        </w:t>
      </w:r>
      <w:r>
        <w:rPr>
          <w:rFonts w:ascii="Times New Roman" w:hAnsi="Times New Roman" w:eastAsiaTheme="minorEastAsia"/>
          <w:sz w:val="24"/>
          <w:szCs w:val="24"/>
        </w:rPr>
        <w:t>单位：mg/L</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273"/>
        <w:gridCol w:w="2277"/>
        <w:gridCol w:w="2275"/>
        <w:gridCol w:w="2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距离（m）时间（d）</w:t>
            </w:r>
          </w:p>
        </w:tc>
        <w:tc>
          <w:tcPr>
            <w:tcW w:w="125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100</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1000</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c>
          <w:tcPr>
            <w:tcW w:w="125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4.17E+01</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1.54E+00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4.06E-10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w:t>
            </w:r>
          </w:p>
        </w:tc>
        <w:tc>
          <w:tcPr>
            <w:tcW w:w="125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1.43E+00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1.75E+01</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3.86E-09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w:t>
            </w:r>
          </w:p>
        </w:tc>
        <w:tc>
          <w:tcPr>
            <w:tcW w:w="125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1.42E-09</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3.40E+01</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4.96E-08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w:t>
            </w:r>
          </w:p>
        </w:tc>
        <w:tc>
          <w:tcPr>
            <w:tcW w:w="125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1.22E+01</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5.56E-07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0.4</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8.37E-01</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5.30E-06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0.5</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1.11E-02</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4.29E-05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0.6</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2 86E-05</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2.95E-04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0.7</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1.45E-08</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1.73E-03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0.8</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8.58E-03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0.9</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3.62E-02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1.30E-01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3.96E-01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1.03E+00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1.3</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2.26E+00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1.4</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4.23E+00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6.74E+00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1.6</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9.12E+00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rPr>
              <w:t>1.7</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1.05E+01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1.8</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1.03E+01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1.9</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8.55E+01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rPr>
              <w:t>2</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6.05E+00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2.2</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1.86E+00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2.4</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3.00E-01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2.6</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2.53E-02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2.8</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1.12E-03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3.0</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2.59E-05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3.5</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2.03E-10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widowControl/>
              <w:jc w:val="center"/>
              <w:rPr>
                <w:rFonts w:ascii="Times New Roman" w:hAnsi="Times New Roman" w:eastAsiaTheme="minorEastAsia"/>
                <w:color w:val="000000"/>
                <w:kern w:val="0"/>
              </w:rPr>
            </w:pPr>
            <w:r>
              <w:rPr>
                <w:rFonts w:ascii="Times New Roman" w:hAnsi="Times New Roman" w:eastAsiaTheme="minorEastAsia"/>
                <w:color w:val="000000"/>
              </w:rPr>
              <w:t>4</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5</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6</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7</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8</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9</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249" w:type="pct"/>
            <w:vAlign w:val="center"/>
          </w:tcPr>
          <w:p>
            <w:pPr>
              <w:jc w:val="center"/>
              <w:rPr>
                <w:rFonts w:ascii="Times New Roman" w:hAnsi="Times New Roman" w:eastAsiaTheme="minorEastAsia"/>
                <w:color w:val="000000"/>
              </w:rPr>
            </w:pPr>
            <w:r>
              <w:rPr>
                <w:rFonts w:ascii="Times New Roman" w:hAnsi="Times New Roman" w:eastAsiaTheme="minorEastAsia"/>
                <w:color w:val="000000"/>
              </w:rPr>
              <w:t>10</w:t>
            </w:r>
          </w:p>
        </w:tc>
        <w:tc>
          <w:tcPr>
            <w:tcW w:w="1251"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c>
          <w:tcPr>
            <w:tcW w:w="1250" w:type="pct"/>
            <w:vAlign w:val="center"/>
          </w:tcPr>
          <w:p>
            <w:pPr>
              <w:jc w:val="center"/>
              <w:rPr>
                <w:rFonts w:ascii="Times New Roman" w:hAnsi="Times New Roman" w:eastAsiaTheme="minorEastAsia"/>
              </w:rPr>
            </w:pPr>
            <w:r>
              <w:rPr>
                <w:rFonts w:ascii="Times New Roman" w:hAnsi="Times New Roman" w:eastAsiaTheme="minorEastAsia"/>
              </w:rPr>
              <w:t>0</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导则推荐的一维半无限长多孔介质柱体模型和类比取得的水文地质参数，预测醋酸在地下水中浓度的变化。由表6.2-3可见，醋酸的最大浓度出现在排放泄漏点附近，影响范围内醋酸浓度随时间增长而升高。根据模型预测醋酸影响范围为：100d扩散到0.2m，1000d年将扩散到0.7m，10000d将扩散到3.5m。</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由以上预测结果可知，醋酸排放10000天内扩散范围较小，对周围地下水影响范围较小。</w:t>
      </w:r>
    </w:p>
    <w:p>
      <w:pPr>
        <w:pStyle w:val="5"/>
        <w:rPr>
          <w:rFonts w:eastAsiaTheme="minorEastAsia"/>
        </w:rPr>
      </w:pPr>
      <w:r>
        <w:rPr>
          <w:rFonts w:eastAsiaTheme="minorEastAsia"/>
        </w:rPr>
        <w:t>评价结论</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码头在码头接卸口处设置了收集池和围堰，收集池和围堰均采取了正确的防渗保护措施，正常工况下本项目不会发生化学品渗漏，不会对地下水水质产生影响；非正常工况下输送管道发生破裂发生短时泄漏并渗入地下水。根据模型预测醋酸泄漏影响范围为：100d扩散到0.2m，1000d年将扩散到0.7m，10000d 将扩散到3.5m。因此，醋酸排放10000天内扩散范围较小，对周围地下水影响范围较小。</w:t>
      </w:r>
    </w:p>
    <w:p>
      <w:pPr>
        <w:pStyle w:val="3"/>
        <w:rPr>
          <w:rFonts w:ascii="Times New Roman" w:hAnsi="Times New Roman" w:eastAsiaTheme="minorEastAsia"/>
          <w:b/>
        </w:rPr>
      </w:pPr>
      <w:bookmarkStart w:id="140" w:name="_Toc13581"/>
      <w:r>
        <w:rPr>
          <w:rFonts w:ascii="Times New Roman" w:hAnsi="Times New Roman" w:eastAsiaTheme="minorEastAsia"/>
          <w:b/>
        </w:rPr>
        <w:t>环境空气影响评价</w:t>
      </w:r>
      <w:bookmarkEnd w:id="140"/>
    </w:p>
    <w:p>
      <w:pPr>
        <w:pStyle w:val="4"/>
        <w:rPr>
          <w:rFonts w:eastAsiaTheme="minorEastAsia"/>
          <w:szCs w:val="24"/>
        </w:rPr>
      </w:pPr>
      <w:r>
        <w:rPr>
          <w:rFonts w:eastAsiaTheme="minorEastAsia"/>
        </w:rPr>
        <w:t>施工期环境空气影响分析</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w:t>
      </w:r>
      <w:r>
        <w:rPr>
          <w:rFonts w:ascii="Times New Roman" w:hAnsi="Times New Roman" w:eastAsiaTheme="minorEastAsia"/>
          <w:b/>
          <w:sz w:val="24"/>
          <w:szCs w:val="24"/>
        </w:rPr>
        <w:t>扬尘</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在施工过程中，扬尘污染主要来源于：</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土方的挖掘、堆放、清运、土方回填和场地平整等过程产生的扬尘</w:t>
      </w:r>
      <w:r>
        <w:rPr>
          <w:rFonts w:hint="eastAsia" w:ascii="Times New Roman" w:hAnsi="Times New Roman" w:eastAsiaTheme="minorEastAsia"/>
          <w:sz w:val="24"/>
          <w:szCs w:val="24"/>
        </w:rPr>
        <w:t>；</w:t>
      </w:r>
      <w:r>
        <w:rPr>
          <w:rFonts w:ascii="Times New Roman" w:hAnsi="Times New Roman" w:eastAsiaTheme="minorEastAsia"/>
          <w:sz w:val="24"/>
          <w:szCs w:val="24"/>
        </w:rPr>
        <w:t>建筑材料如水泥、白灰、砂子等在其装卸、运输、堆放过程中，因风力作用将产生扬尘污染；搅拌车辆和运输车辆往来将造成地面扬尘；施工垃圾在其堆放和清运过程中将产生扬尘。</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上述施工过程中产生的废气、扬尘将会造成周围大气环境污染，其中又以扬尘的危害较为严重。施工期间产生的扬尘污染主要决定于施工作业方式、材料的堆放及风力等因素，其中受风力因素的影响最大。在一般气象条件下，平均风速为2.5m/s，建筑工地内TSP浓度为其上风向对照点的2~2.5倍，建筑施工扬尘的影响范围在其下风向可达150m，影响范围内TSP浓度平均值可达0.49m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当有围栏时，同等条件下其影响距离可缩短40%。当风速大于5m/s，施工现场及其下风向部分区域的TSP浓度将超过空气质量标准中的三级标准，而且随着风速的增加，施工扬尘产生的污染程度和超标范围也将随之增强和扩大。</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由于本项目建设周期短，牵涉的范围也较小，且当地的大气扩散条件较好，空气湿润，降雨量大，这在一定程度上可减轻扬尘的影响。因此工程施工造成的TSP污染程度较小、时间较短。随着施工的结束，这种影响也随之结束。</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w:t>
      </w:r>
      <w:r>
        <w:rPr>
          <w:rFonts w:ascii="Times New Roman" w:hAnsi="Times New Roman" w:eastAsiaTheme="minorEastAsia"/>
          <w:b/>
          <w:sz w:val="24"/>
          <w:szCs w:val="24"/>
        </w:rPr>
        <w:t>恶臭</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河道底泥富含腐殖质，在受到扰动和堆置地面时，会引起恶臭物质</w:t>
      </w:r>
      <w:r>
        <w:rPr>
          <w:rFonts w:hint="eastAsia" w:ascii="Times New Roman" w:hAnsi="Times New Roman" w:eastAsiaTheme="minorEastAsia"/>
          <w:sz w:val="24"/>
          <w:szCs w:val="24"/>
        </w:rPr>
        <w:t>（</w:t>
      </w:r>
      <w:r>
        <w:rPr>
          <w:rFonts w:ascii="Times New Roman" w:hAnsi="Times New Roman" w:eastAsiaTheme="minorEastAsia"/>
          <w:sz w:val="24"/>
          <w:szCs w:val="24"/>
        </w:rPr>
        <w:t>主要是氨、硫化氢</w:t>
      </w:r>
      <w:r>
        <w:rPr>
          <w:rFonts w:hint="eastAsia" w:ascii="Times New Roman" w:hAnsi="Times New Roman" w:eastAsiaTheme="minorEastAsia"/>
          <w:sz w:val="24"/>
          <w:szCs w:val="24"/>
        </w:rPr>
        <w:t>）</w:t>
      </w:r>
      <w:r>
        <w:rPr>
          <w:rFonts w:ascii="Times New Roman" w:hAnsi="Times New Roman" w:eastAsiaTheme="minorEastAsia"/>
          <w:sz w:val="24"/>
          <w:szCs w:val="24"/>
        </w:rPr>
        <w:t>呈无组织状态释放，从而影响周围环境空气质量。本项目的恶臭影响主要来自疏浚底泥堆场。</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恶臭气体是多组分、低浓度化学物质形成的混合物，成份和含量均难以确定，是一种感官性指标。根</w:t>
      </w:r>
      <w:r>
        <w:rPr>
          <w:rFonts w:ascii="Times New Roman" w:hAnsi="Times New Roman" w:eastAsiaTheme="minorEastAsia"/>
          <w:color w:val="000000" w:themeColor="text1"/>
          <w:sz w:val="24"/>
          <w:szCs w:val="24"/>
          <w14:textFill>
            <w14:solidFill>
              <w14:schemeClr w14:val="tx1"/>
            </w14:solidFill>
          </w14:textFill>
        </w:rPr>
        <w:t>据同类工程底泥堆场的类比调查结果，距离疏浚底泥堆场30~50m处有轻微臭味，距离80~100m处基本无臭味。本项目底泥在码头西侧区域进行临时堆存，堆场周围300m范围内无大气环境保护目标，因此堆场恶臭对周围居民的影响较小。</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营运期环境空气影响分析</w:t>
      </w:r>
    </w:p>
    <w:p>
      <w:pPr>
        <w:pStyle w:val="5"/>
        <w:rPr>
          <w:rFonts w:eastAsiaTheme="minorEastAsia"/>
        </w:rPr>
      </w:pPr>
      <w:r>
        <w:rPr>
          <w:rFonts w:eastAsiaTheme="minorEastAsia"/>
        </w:rPr>
        <w:t>废气源强</w:t>
      </w:r>
    </w:p>
    <w:p>
      <w:pPr>
        <w:spacing w:line="480" w:lineRule="exact"/>
        <w:ind w:firstLine="422" w:firstLineChars="176"/>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污染物评价标准和来源见下表。</w:t>
      </w:r>
    </w:p>
    <w:p>
      <w:pPr>
        <w:adjustRightInd w:val="0"/>
        <w:snapToGrid w:val="0"/>
        <w:spacing w:line="276"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w:t>
      </w:r>
      <w:r>
        <w:rPr>
          <w:rFonts w:ascii="Times New Roman" w:hAnsi="Times New Roman" w:eastAsiaTheme="minorEastAsia"/>
          <w:b/>
          <w:color w:val="000000" w:themeColor="text1"/>
          <w:sz w:val="24"/>
          <w:szCs w:val="24"/>
          <w14:textFill>
            <w14:solidFill>
              <w14:schemeClr w14:val="tx1"/>
            </w14:solidFill>
          </w14:textFill>
        </w:rPr>
        <w:t>3</w:t>
      </w:r>
      <w:r>
        <w:rPr>
          <w:rFonts w:hint="eastAsia" w:ascii="Times New Roman" w:hAnsi="Times New Roman" w:eastAsiaTheme="minorEastAsia"/>
          <w:b/>
          <w:color w:val="000000" w:themeColor="text1"/>
          <w:sz w:val="24"/>
          <w:szCs w:val="24"/>
          <w14:textFill>
            <w14:solidFill>
              <w14:schemeClr w14:val="tx1"/>
            </w14:solidFill>
          </w14:textFill>
        </w:rPr>
        <w:t>-1</w:t>
      </w:r>
      <w:r>
        <w:rPr>
          <w:rFonts w:ascii="Times New Roman" w:hAnsi="Times New Roman" w:eastAsiaTheme="minorEastAsia"/>
          <w:b/>
          <w:color w:val="000000" w:themeColor="text1"/>
          <w:sz w:val="24"/>
          <w:szCs w:val="24"/>
          <w14:textFill>
            <w14:solidFill>
              <w14:schemeClr w14:val="tx1"/>
            </w14:solidFill>
          </w14:textFill>
        </w:rPr>
        <w:t xml:space="preserve">  污染物评价标准</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12"/>
        <w:gridCol w:w="1052"/>
        <w:gridCol w:w="1232"/>
        <w:gridCol w:w="1232"/>
        <w:gridCol w:w="4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6"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污染物名称</w:t>
            </w:r>
          </w:p>
        </w:tc>
        <w:tc>
          <w:tcPr>
            <w:tcW w:w="578"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功能区</w:t>
            </w:r>
          </w:p>
        </w:tc>
        <w:tc>
          <w:tcPr>
            <w:tcW w:w="677"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取值时间</w:t>
            </w:r>
          </w:p>
        </w:tc>
        <w:tc>
          <w:tcPr>
            <w:tcW w:w="677"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标准值(μg/m³)</w:t>
            </w:r>
          </w:p>
        </w:tc>
        <w:tc>
          <w:tcPr>
            <w:tcW w:w="2292" w:type="pct"/>
            <w:tcBorders>
              <w:tl2br w:val="nil"/>
              <w:tr2bl w:val="nil"/>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TVOC</w:t>
            </w:r>
          </w:p>
        </w:tc>
        <w:tc>
          <w:tcPr>
            <w:tcW w:w="578"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二类限区</w:t>
            </w:r>
          </w:p>
        </w:tc>
        <w:tc>
          <w:tcPr>
            <w:tcW w:w="677"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8小时</w:t>
            </w:r>
          </w:p>
        </w:tc>
        <w:tc>
          <w:tcPr>
            <w:tcW w:w="677"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600.0</w:t>
            </w:r>
          </w:p>
        </w:tc>
        <w:tc>
          <w:tcPr>
            <w:tcW w:w="229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《环境影响评价技术导则-大气环境》 HJ 2.2-2018 附录D</w:t>
            </w:r>
          </w:p>
        </w:tc>
      </w:tr>
    </w:tbl>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根据工程分析，本项目大气污染物预测源强及预测参数见表6.3-</w:t>
      </w:r>
      <w:r>
        <w:rPr>
          <w:rFonts w:hint="eastAsia" w:ascii="Times New Roman" w:hAnsi="Times New Roman" w:eastAsiaTheme="minorEastAsia"/>
          <w:color w:val="000000" w:themeColor="text1"/>
          <w:sz w:val="24"/>
          <w:szCs w:val="24"/>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表</w:t>
      </w:r>
      <w:r>
        <w:rPr>
          <w:rFonts w:hint="eastAsia" w:ascii="Times New Roman" w:hAnsi="Times New Roman" w:eastAsiaTheme="minorEastAsia"/>
          <w:color w:val="000000" w:themeColor="text1"/>
          <w:sz w:val="24"/>
          <w:szCs w:val="24"/>
          <w14:textFill>
            <w14:solidFill>
              <w14:schemeClr w14:val="tx1"/>
            </w14:solidFill>
          </w14:textFill>
        </w:rPr>
        <w:t>6.3</w:t>
      </w:r>
      <w:r>
        <w:rPr>
          <w:rFonts w:ascii="Times New Roman" w:hAnsi="Times New Roman" w:eastAsiaTheme="minorEastAsia"/>
          <w:color w:val="000000" w:themeColor="text1"/>
          <w:sz w:val="24"/>
          <w:szCs w:val="24"/>
          <w14:textFill>
            <w14:solidFill>
              <w14:schemeClr w14:val="tx1"/>
            </w14:solidFill>
          </w14:textFill>
        </w:rPr>
        <w:t>-3。</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w:t>
      </w:r>
      <w:r>
        <w:rPr>
          <w:rFonts w:ascii="Times New Roman" w:hAnsi="Times New Roman" w:eastAsiaTheme="minorEastAsia"/>
          <w:b/>
          <w:color w:val="000000" w:themeColor="text1"/>
          <w:sz w:val="24"/>
          <w:szCs w:val="24"/>
          <w14:textFill>
            <w14:solidFill>
              <w14:schemeClr w14:val="tx1"/>
            </w14:solidFill>
          </w14:textFill>
        </w:rPr>
        <w:t>3</w:t>
      </w:r>
      <w:r>
        <w:rPr>
          <w:rFonts w:hint="eastAsia" w:ascii="Times New Roman" w:hAnsi="Times New Roman" w:eastAsiaTheme="minorEastAsia"/>
          <w:b/>
          <w:color w:val="000000" w:themeColor="text1"/>
          <w:sz w:val="24"/>
          <w:szCs w:val="24"/>
          <w14:textFill>
            <w14:solidFill>
              <w14:schemeClr w14:val="tx1"/>
            </w14:solidFill>
          </w14:textFill>
        </w:rPr>
        <w:t>-2</w:t>
      </w:r>
      <w:r>
        <w:rPr>
          <w:rFonts w:ascii="Times New Roman" w:hAnsi="Times New Roman" w:eastAsiaTheme="minorEastAsia"/>
          <w:b/>
          <w:color w:val="000000" w:themeColor="text1"/>
          <w:sz w:val="24"/>
          <w:szCs w:val="24"/>
          <w14:textFill>
            <w14:solidFill>
              <w14:schemeClr w14:val="tx1"/>
            </w14:solidFill>
          </w14:textFill>
        </w:rPr>
        <w:t xml:space="preserve">  主要废气污染源参数一览表</w:t>
      </w:r>
      <w:r>
        <w:rPr>
          <w:rFonts w:hint="eastAsia" w:ascii="Times New Roman" w:hAnsi="Times New Roman" w:eastAsiaTheme="minorEastAsia"/>
          <w:b/>
          <w:color w:val="000000" w:themeColor="text1"/>
          <w:sz w:val="24"/>
          <w:szCs w:val="24"/>
          <w14:textFill>
            <w14:solidFill>
              <w14:schemeClr w14:val="tx1"/>
            </w14:solidFill>
          </w14:textFill>
        </w:rPr>
        <w:t>（点源）</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17"/>
        <w:gridCol w:w="1239"/>
        <w:gridCol w:w="1139"/>
        <w:gridCol w:w="726"/>
        <w:gridCol w:w="932"/>
        <w:gridCol w:w="932"/>
        <w:gridCol w:w="1334"/>
        <w:gridCol w:w="730"/>
        <w:gridCol w:w="1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39" w:type="pct"/>
            <w:vMerge w:val="restar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污染源名称</w:t>
            </w:r>
          </w:p>
        </w:tc>
        <w:tc>
          <w:tcPr>
            <w:tcW w:w="1307" w:type="pct"/>
            <w:gridSpan w:val="2"/>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排气筒底部中心坐标(°)</w:t>
            </w:r>
          </w:p>
        </w:tc>
        <w:tc>
          <w:tcPr>
            <w:tcW w:w="2557" w:type="pct"/>
            <w:gridSpan w:val="5"/>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排气筒参数</w:t>
            </w:r>
          </w:p>
        </w:tc>
        <w:tc>
          <w:tcPr>
            <w:tcW w:w="797"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39" w:type="pct"/>
            <w:vMerge w:val="continue"/>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p>
        </w:tc>
        <w:tc>
          <w:tcPr>
            <w:tcW w:w="681"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经度</w:t>
            </w:r>
          </w:p>
        </w:tc>
        <w:tc>
          <w:tcPr>
            <w:tcW w:w="626"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纬度</w:t>
            </w:r>
          </w:p>
        </w:tc>
        <w:tc>
          <w:tcPr>
            <w:tcW w:w="399"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排气筒底部海拔高度(m)</w:t>
            </w:r>
          </w:p>
        </w:tc>
        <w:tc>
          <w:tcPr>
            <w:tcW w:w="512"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高度(m)</w:t>
            </w:r>
          </w:p>
        </w:tc>
        <w:tc>
          <w:tcPr>
            <w:tcW w:w="512"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内径(m)</w:t>
            </w:r>
          </w:p>
        </w:tc>
        <w:tc>
          <w:tcPr>
            <w:tcW w:w="733"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温度（</w:t>
            </w:r>
            <w:r>
              <w:rPr>
                <w:rFonts w:hint="eastAsia" w:cs="宋体"/>
                <w:b/>
                <w:color w:val="000000" w:themeColor="text1"/>
                <w14:textFill>
                  <w14:solidFill>
                    <w14:schemeClr w14:val="tx1"/>
                  </w14:solidFill>
                </w14:textFill>
              </w:rPr>
              <w:t>℃</w:t>
            </w:r>
            <w:r>
              <w:rPr>
                <w:rFonts w:ascii="Times New Roman" w:hAnsi="Times New Roman" w:eastAsiaTheme="minorEastAsia"/>
                <w:b/>
                <w:color w:val="000000" w:themeColor="text1"/>
                <w14:textFill>
                  <w14:solidFill>
                    <w14:schemeClr w14:val="tx1"/>
                  </w14:solidFill>
                </w14:textFill>
              </w:rPr>
              <w:t>）</w:t>
            </w:r>
          </w:p>
        </w:tc>
        <w:tc>
          <w:tcPr>
            <w:tcW w:w="401"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流速(m/s)</w:t>
            </w:r>
          </w:p>
        </w:tc>
        <w:tc>
          <w:tcPr>
            <w:tcW w:w="797"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39"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点源</w:t>
            </w:r>
          </w:p>
        </w:tc>
        <w:tc>
          <w:tcPr>
            <w:tcW w:w="681"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113.278402</w:t>
            </w:r>
          </w:p>
        </w:tc>
        <w:tc>
          <w:tcPr>
            <w:tcW w:w="626"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29.591141</w:t>
            </w:r>
          </w:p>
        </w:tc>
        <w:tc>
          <w:tcPr>
            <w:tcW w:w="399"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34.00</w:t>
            </w:r>
          </w:p>
        </w:tc>
        <w:tc>
          <w:tcPr>
            <w:tcW w:w="512"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15.00</w:t>
            </w:r>
          </w:p>
        </w:tc>
        <w:tc>
          <w:tcPr>
            <w:tcW w:w="512"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0.50</w:t>
            </w:r>
          </w:p>
        </w:tc>
        <w:tc>
          <w:tcPr>
            <w:tcW w:w="733"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20.00</w:t>
            </w:r>
          </w:p>
        </w:tc>
        <w:tc>
          <w:tcPr>
            <w:tcW w:w="401"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14.0</w:t>
            </w:r>
          </w:p>
        </w:tc>
        <w:tc>
          <w:tcPr>
            <w:tcW w:w="797" w:type="pct"/>
            <w:tcBorders>
              <w:tl2br w:val="nil"/>
              <w:tr2bl w:val="nil"/>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0.0340</w:t>
            </w:r>
          </w:p>
        </w:tc>
      </w:tr>
    </w:tbl>
    <w:p>
      <w:pPr>
        <w:adjustRightInd w:val="0"/>
        <w:snapToGrid w:val="0"/>
        <w:spacing w:line="360" w:lineRule="auto"/>
        <w:jc w:val="center"/>
        <w:rPr>
          <w:rFonts w:ascii="Times New Roman" w:hAnsi="Times New Roman" w:eastAsiaTheme="minorEastAsia"/>
          <w:b/>
          <w:color w:val="000000" w:themeColor="text1"/>
          <w:sz w:val="24"/>
          <w:szCs w:val="24"/>
          <w14:textFill>
            <w14:solidFill>
              <w14:schemeClr w14:val="tx1"/>
            </w14:solidFill>
          </w14:textFill>
        </w:rPr>
      </w:pPr>
    </w:p>
    <w:p>
      <w:pPr>
        <w:spacing w:line="480" w:lineRule="exact"/>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w:t>
      </w:r>
      <w:r>
        <w:rPr>
          <w:rFonts w:ascii="Times New Roman" w:hAnsi="Times New Roman" w:eastAsiaTheme="minorEastAsia"/>
          <w:b/>
          <w:color w:val="000000" w:themeColor="text1"/>
          <w:sz w:val="24"/>
          <w:szCs w:val="24"/>
          <w14:textFill>
            <w14:solidFill>
              <w14:schemeClr w14:val="tx1"/>
            </w14:solidFill>
          </w14:textFill>
        </w:rPr>
        <w:t>3</w:t>
      </w:r>
      <w:r>
        <w:rPr>
          <w:rFonts w:hint="eastAsia" w:ascii="Times New Roman" w:hAnsi="Times New Roman" w:eastAsiaTheme="minorEastAsia"/>
          <w:b/>
          <w:color w:val="000000" w:themeColor="text1"/>
          <w:sz w:val="24"/>
          <w:szCs w:val="24"/>
          <w14:textFill>
            <w14:solidFill>
              <w14:schemeClr w14:val="tx1"/>
            </w14:solidFill>
          </w14:textFill>
        </w:rPr>
        <w:t>-</w:t>
      </w:r>
      <w:r>
        <w:rPr>
          <w:rFonts w:ascii="Times New Roman" w:hAnsi="Times New Roman" w:eastAsiaTheme="minorEastAsia"/>
          <w:b/>
          <w:color w:val="000000" w:themeColor="text1"/>
          <w:sz w:val="24"/>
          <w:szCs w:val="24"/>
          <w14:textFill>
            <w14:solidFill>
              <w14:schemeClr w14:val="tx1"/>
            </w14:solidFill>
          </w14:textFill>
        </w:rPr>
        <w:t>3  主要废气污染源参数一览表</w:t>
      </w:r>
      <w:r>
        <w:rPr>
          <w:rFonts w:hint="eastAsia" w:ascii="Times New Roman" w:hAnsi="Times New Roman" w:eastAsiaTheme="minorEastAsia"/>
          <w:b/>
          <w:color w:val="000000" w:themeColor="text1"/>
          <w:sz w:val="24"/>
          <w:szCs w:val="24"/>
          <w14:textFill>
            <w14:solidFill>
              <w14:schemeClr w14:val="tx1"/>
            </w14:solidFill>
          </w14:textFill>
        </w:rPr>
        <w:t>（</w:t>
      </w:r>
      <w:r>
        <w:rPr>
          <w:rFonts w:ascii="Times New Roman" w:hAnsi="Times New Roman" w:eastAsiaTheme="minorEastAsia"/>
          <w:b/>
          <w:color w:val="000000" w:themeColor="text1"/>
          <w:sz w:val="24"/>
          <w:szCs w:val="24"/>
          <w14:textFill>
            <w14:solidFill>
              <w14:schemeClr w14:val="tx1"/>
            </w14:solidFill>
          </w14:textFill>
        </w:rPr>
        <w:t>矩形面源</w:t>
      </w:r>
      <w:r>
        <w:rPr>
          <w:rFonts w:hint="eastAsia" w:ascii="Times New Roman" w:hAnsi="Times New Roman" w:eastAsiaTheme="minorEastAsia"/>
          <w:b/>
          <w:color w:val="000000" w:themeColor="text1"/>
          <w:sz w:val="24"/>
          <w:szCs w:val="24"/>
          <w14:textFill>
            <w14:solidFill>
              <w14:schemeClr w14:val="tx1"/>
            </w14:solidFill>
          </w14:textFill>
        </w:rPr>
        <w:t>）</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81"/>
        <w:gridCol w:w="1240"/>
        <w:gridCol w:w="1138"/>
        <w:gridCol w:w="950"/>
        <w:gridCol w:w="992"/>
        <w:gridCol w:w="992"/>
        <w:gridCol w:w="960"/>
        <w:gridCol w:w="1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84" w:type="pct"/>
            <w:vMerge w:val="restar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污染源名称</w:t>
            </w:r>
          </w:p>
        </w:tc>
        <w:tc>
          <w:tcPr>
            <w:tcW w:w="1306" w:type="pct"/>
            <w:gridSpan w:val="2"/>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坐标</w:t>
            </w:r>
            <w:r>
              <w:rPr>
                <w:rFonts w:ascii="Times New Roman" w:hAnsi="Times New Roman"/>
                <w:b/>
                <w:color w:val="000000" w:themeColor="text1"/>
                <w14:textFill>
                  <w14:solidFill>
                    <w14:schemeClr w14:val="tx1"/>
                  </w14:solidFill>
                </w14:textFill>
              </w:rPr>
              <w:t>(°)</w:t>
            </w:r>
          </w:p>
        </w:tc>
        <w:tc>
          <w:tcPr>
            <w:tcW w:w="2139" w:type="pct"/>
            <w:gridSpan w:val="4"/>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矩形面源</w:t>
            </w:r>
          </w:p>
        </w:tc>
        <w:tc>
          <w:tcPr>
            <w:tcW w:w="1069"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84" w:type="pct"/>
            <w:vMerge w:val="continue"/>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p>
        </w:tc>
        <w:tc>
          <w:tcPr>
            <w:tcW w:w="681"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经度</w:t>
            </w:r>
          </w:p>
        </w:tc>
        <w:tc>
          <w:tcPr>
            <w:tcW w:w="625"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纬度</w:t>
            </w:r>
          </w:p>
        </w:tc>
        <w:tc>
          <w:tcPr>
            <w:tcW w:w="522"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海拔高度</w:t>
            </w:r>
            <w:r>
              <w:rPr>
                <w:rFonts w:ascii="Times New Roman" w:hAnsi="Times New Roman"/>
                <w:b/>
                <w:color w:val="000000" w:themeColor="text1"/>
                <w14:textFill>
                  <w14:solidFill>
                    <w14:schemeClr w14:val="tx1"/>
                  </w14:solidFill>
                </w14:textFill>
              </w:rPr>
              <w:t>(m)</w:t>
            </w:r>
          </w:p>
        </w:tc>
        <w:tc>
          <w:tcPr>
            <w:tcW w:w="545"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长度</w:t>
            </w:r>
            <w:r>
              <w:rPr>
                <w:rFonts w:ascii="Times New Roman" w:hAnsi="Times New Roman"/>
                <w:b/>
                <w:color w:val="000000" w:themeColor="text1"/>
                <w14:textFill>
                  <w14:solidFill>
                    <w14:schemeClr w14:val="tx1"/>
                  </w14:solidFill>
                </w14:textFill>
              </w:rPr>
              <w:t>(m)</w:t>
            </w:r>
          </w:p>
        </w:tc>
        <w:tc>
          <w:tcPr>
            <w:tcW w:w="545"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宽度</w:t>
            </w:r>
            <w:r>
              <w:rPr>
                <w:rFonts w:ascii="Times New Roman" w:hAnsi="Times New Roman"/>
                <w:b/>
                <w:color w:val="000000" w:themeColor="text1"/>
                <w14:textFill>
                  <w14:solidFill>
                    <w14:schemeClr w14:val="tx1"/>
                  </w14:solidFill>
                </w14:textFill>
              </w:rPr>
              <w:t>(m)</w:t>
            </w:r>
          </w:p>
        </w:tc>
        <w:tc>
          <w:tcPr>
            <w:tcW w:w="526"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有效高度</w:t>
            </w:r>
            <w:r>
              <w:rPr>
                <w:rFonts w:ascii="Times New Roman" w:hAnsi="Times New Roman"/>
                <w:b/>
                <w:color w:val="000000" w:themeColor="text1"/>
                <w14:textFill>
                  <w14:solidFill>
                    <w14:schemeClr w14:val="tx1"/>
                  </w14:solidFill>
                </w14:textFill>
              </w:rPr>
              <w:t>(m)</w:t>
            </w:r>
          </w:p>
        </w:tc>
        <w:tc>
          <w:tcPr>
            <w:tcW w:w="1069" w:type="pct"/>
            <w:tcBorders>
              <w:tl2br w:val="nil"/>
              <w:tr2bl w:val="nil"/>
            </w:tcBorders>
            <w:vAlign w:val="center"/>
          </w:tcPr>
          <w:p>
            <w:pPr>
              <w:pStyle w:val="26"/>
              <w:adjustRightInd w:val="0"/>
              <w:snapToGrid w:val="0"/>
              <w:spacing w:before="0" w:beforeAutospacing="0" w:after="0" w:afterAutospacing="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84"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矩形面源</w:t>
            </w:r>
          </w:p>
        </w:tc>
        <w:tc>
          <w:tcPr>
            <w:tcW w:w="681"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113.281347</w:t>
            </w:r>
          </w:p>
        </w:tc>
        <w:tc>
          <w:tcPr>
            <w:tcW w:w="62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29.606835</w:t>
            </w:r>
          </w:p>
        </w:tc>
        <w:tc>
          <w:tcPr>
            <w:tcW w:w="522"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31.00</w:t>
            </w:r>
          </w:p>
        </w:tc>
        <w:tc>
          <w:tcPr>
            <w:tcW w:w="54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1282.49</w:t>
            </w:r>
          </w:p>
        </w:tc>
        <w:tc>
          <w:tcPr>
            <w:tcW w:w="545"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1914.87</w:t>
            </w:r>
          </w:p>
        </w:tc>
        <w:tc>
          <w:tcPr>
            <w:tcW w:w="526"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15.00</w:t>
            </w:r>
          </w:p>
        </w:tc>
        <w:tc>
          <w:tcPr>
            <w:tcW w:w="1069"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3"/>
                <w:szCs w:val="23"/>
                <w14:textFill>
                  <w14:solidFill>
                    <w14:schemeClr w14:val="tx1"/>
                  </w14:solidFill>
                </w14:textFill>
              </w:rPr>
              <w:t>0.0230</w:t>
            </w:r>
          </w:p>
        </w:tc>
      </w:tr>
    </w:tbl>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pStyle w:val="5"/>
        <w:rPr>
          <w:rFonts w:eastAsiaTheme="minorEastAsia"/>
        </w:rPr>
      </w:pPr>
      <w:r>
        <w:rPr>
          <w:rFonts w:eastAsiaTheme="minorEastAsia"/>
        </w:rPr>
        <w:t>预测模式</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根据《环境影响评价技术导则</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大气环境》</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HJ2.2-2018</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要求，选择正常排放情况下排放的污染物，采用估算模式AERSCREEN对正常工况下各污染源各污染物分别进行估算以确定评价等级，计算参数如表6.3-</w:t>
      </w:r>
      <w:r>
        <w:rPr>
          <w:rFonts w:hint="eastAsia" w:ascii="Times New Roman" w:hAnsi="Times New Roman" w:eastAsiaTheme="minorEastAsia"/>
          <w:color w:val="000000" w:themeColor="text1"/>
          <w:sz w:val="24"/>
          <w:szCs w:val="24"/>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所示。</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表6.3-4  估算模型参数表</w:t>
      </w:r>
    </w:p>
    <w:tbl>
      <w:tblPr>
        <w:tblStyle w:val="7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704"/>
        <w:gridCol w:w="1689"/>
        <w:gridCol w:w="1804"/>
        <w:gridCol w:w="2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参数</w:t>
            </w:r>
          </w:p>
        </w:tc>
        <w:tc>
          <w:tcPr>
            <w:tcW w:w="2585"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城市/农村选项</w:t>
            </w:r>
          </w:p>
        </w:tc>
        <w:tc>
          <w:tcPr>
            <w:tcW w:w="1919"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城市/农村</w:t>
            </w:r>
          </w:p>
        </w:tc>
        <w:tc>
          <w:tcPr>
            <w:tcW w:w="1594"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000000" w:themeColor="text1"/>
                <w14:textFill>
                  <w14:solidFill>
                    <w14:schemeClr w14:val="tx1"/>
                  </w14:solidFill>
                </w14:textFill>
              </w:rPr>
            </w:pPr>
          </w:p>
        </w:tc>
        <w:tc>
          <w:tcPr>
            <w:tcW w:w="1919"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人口数</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城市人口数</w:t>
            </w:r>
            <w:r>
              <w:rPr>
                <w:rFonts w:hint="eastAsia" w:ascii="Times New Roman" w:hAnsi="Times New Roman"/>
                <w:color w:val="000000" w:themeColor="text1"/>
                <w14:textFill>
                  <w14:solidFill>
                    <w14:schemeClr w14:val="tx1"/>
                  </w14:solidFill>
                </w14:textFill>
              </w:rPr>
              <w:t>）</w:t>
            </w:r>
          </w:p>
        </w:tc>
        <w:tc>
          <w:tcPr>
            <w:tcW w:w="1594"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最高环境温度</w:t>
            </w:r>
          </w:p>
        </w:tc>
        <w:tc>
          <w:tcPr>
            <w:tcW w:w="2585"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最低环境温度</w:t>
            </w:r>
          </w:p>
        </w:tc>
        <w:tc>
          <w:tcPr>
            <w:tcW w:w="2585"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土地利用类型</w:t>
            </w:r>
          </w:p>
        </w:tc>
        <w:tc>
          <w:tcPr>
            <w:tcW w:w="2585"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区域湿度条件</w:t>
            </w:r>
          </w:p>
        </w:tc>
        <w:tc>
          <w:tcPr>
            <w:tcW w:w="2585"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是否考虑地形</w:t>
            </w:r>
          </w:p>
        </w:tc>
        <w:tc>
          <w:tcPr>
            <w:tcW w:w="1919"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考虑地形</w:t>
            </w:r>
          </w:p>
        </w:tc>
        <w:tc>
          <w:tcPr>
            <w:tcW w:w="1594"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000000" w:themeColor="text1"/>
                <w14:textFill>
                  <w14:solidFill>
                    <w14:schemeClr w14:val="tx1"/>
                  </w14:solidFill>
                </w14:textFill>
              </w:rPr>
            </w:pPr>
          </w:p>
        </w:tc>
        <w:tc>
          <w:tcPr>
            <w:tcW w:w="1919"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地形数据分辨率(m)</w:t>
            </w:r>
          </w:p>
        </w:tc>
        <w:tc>
          <w:tcPr>
            <w:tcW w:w="1594"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是否考虑岸线熏烟</w:t>
            </w:r>
          </w:p>
        </w:tc>
        <w:tc>
          <w:tcPr>
            <w:tcW w:w="1919"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考虑岸线熏烟</w:t>
            </w:r>
          </w:p>
        </w:tc>
        <w:tc>
          <w:tcPr>
            <w:tcW w:w="1594"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000000" w:themeColor="text1"/>
                <w14:textFill>
                  <w14:solidFill>
                    <w14:schemeClr w14:val="tx1"/>
                  </w14:solidFill>
                </w14:textFill>
              </w:rPr>
            </w:pPr>
          </w:p>
        </w:tc>
        <w:tc>
          <w:tcPr>
            <w:tcW w:w="1919"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岸线距离/m</w:t>
            </w:r>
          </w:p>
        </w:tc>
        <w:tc>
          <w:tcPr>
            <w:tcW w:w="1594"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000000" w:themeColor="text1"/>
                <w14:textFill>
                  <w14:solidFill>
                    <w14:schemeClr w14:val="tx1"/>
                  </w14:solidFill>
                </w14:textFill>
              </w:rPr>
            </w:pPr>
          </w:p>
        </w:tc>
        <w:tc>
          <w:tcPr>
            <w:tcW w:w="1919" w:type="pct"/>
            <w:gridSpan w:val="2"/>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岸线方向/°</w:t>
            </w:r>
          </w:p>
        </w:tc>
        <w:tc>
          <w:tcPr>
            <w:tcW w:w="1594"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bl>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pStyle w:val="5"/>
        <w:rPr>
          <w:rFonts w:eastAsiaTheme="minorEastAsia"/>
        </w:rPr>
      </w:pPr>
      <w:r>
        <w:rPr>
          <w:rFonts w:eastAsiaTheme="minorEastAsia"/>
        </w:rPr>
        <w:t>地形数据</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地形数据采用美国NASA2000年的SRTM90m数字高程地形数据，精度约为90m。</w:t>
      </w:r>
    </w:p>
    <w:p>
      <w:pPr>
        <w:pStyle w:val="5"/>
        <w:rPr>
          <w:rFonts w:eastAsiaTheme="minorEastAsia"/>
        </w:rPr>
      </w:pPr>
      <w:r>
        <w:rPr>
          <w:rFonts w:eastAsiaTheme="minorEastAsia"/>
        </w:rPr>
        <w:t>评价等级</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本项目所有污染源的正常排放的污染物的Pmax和D10%预测结果如下：</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表6.3-5  Pmax和D10%预测和计算结果一览表</w:t>
      </w:r>
    </w:p>
    <w:tbl>
      <w:tblPr>
        <w:tblStyle w:val="7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13"/>
        <w:gridCol w:w="1195"/>
        <w:gridCol w:w="2293"/>
        <w:gridCol w:w="1995"/>
        <w:gridCol w:w="1088"/>
        <w:gridCol w:w="11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777" w:type="pct"/>
            <w:tcBorders>
              <w:tl2br w:val="nil"/>
              <w:tr2bl w:val="nil"/>
            </w:tcBorders>
            <w:vAlign w:val="center"/>
          </w:tcPr>
          <w:p>
            <w:pPr>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污染源名称</w:t>
            </w:r>
          </w:p>
        </w:tc>
        <w:tc>
          <w:tcPr>
            <w:tcW w:w="657" w:type="pct"/>
            <w:tcBorders>
              <w:tl2br w:val="nil"/>
              <w:tr2bl w:val="nil"/>
            </w:tcBorders>
            <w:vAlign w:val="center"/>
          </w:tcPr>
          <w:p>
            <w:pPr>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评价因子</w:t>
            </w:r>
          </w:p>
        </w:tc>
        <w:tc>
          <w:tcPr>
            <w:tcW w:w="1261" w:type="pct"/>
            <w:tcBorders>
              <w:tl2br w:val="nil"/>
              <w:tr2bl w:val="nil"/>
            </w:tcBorders>
            <w:vAlign w:val="center"/>
          </w:tcPr>
          <w:p>
            <w:pPr>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评价标准(μg/m³)</w:t>
            </w:r>
          </w:p>
        </w:tc>
        <w:tc>
          <w:tcPr>
            <w:tcW w:w="1097" w:type="pct"/>
            <w:tcBorders>
              <w:tl2br w:val="nil"/>
              <w:tr2bl w:val="nil"/>
            </w:tcBorders>
            <w:vAlign w:val="center"/>
          </w:tcPr>
          <w:p>
            <w:pPr>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Cmax(μg/m³)</w:t>
            </w:r>
          </w:p>
        </w:tc>
        <w:tc>
          <w:tcPr>
            <w:tcW w:w="598" w:type="pct"/>
            <w:tcBorders>
              <w:tl2br w:val="nil"/>
              <w:tr2bl w:val="nil"/>
            </w:tcBorders>
            <w:vAlign w:val="center"/>
          </w:tcPr>
          <w:p>
            <w:pPr>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Pmax(%)</w:t>
            </w:r>
          </w:p>
        </w:tc>
        <w:tc>
          <w:tcPr>
            <w:tcW w:w="611" w:type="pct"/>
            <w:tcBorders>
              <w:tl2br w:val="nil"/>
              <w:tr2bl w:val="nil"/>
            </w:tcBorders>
            <w:vAlign w:val="center"/>
          </w:tcPr>
          <w:p>
            <w:pPr>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D10%(m)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trPr>
        <w:tc>
          <w:tcPr>
            <w:tcW w:w="777"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矩形面源</w:t>
            </w:r>
          </w:p>
        </w:tc>
        <w:tc>
          <w:tcPr>
            <w:tcW w:w="657"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VOCs</w:t>
            </w:r>
          </w:p>
        </w:tc>
        <w:tc>
          <w:tcPr>
            <w:tcW w:w="1261"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1200.0</w:t>
            </w:r>
          </w:p>
        </w:tc>
        <w:tc>
          <w:tcPr>
            <w:tcW w:w="1097"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0.6165</w:t>
            </w:r>
          </w:p>
        </w:tc>
        <w:tc>
          <w:tcPr>
            <w:tcW w:w="598"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0.0500</w:t>
            </w:r>
          </w:p>
        </w:tc>
        <w:tc>
          <w:tcPr>
            <w:tcW w:w="611"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777"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点源</w:t>
            </w:r>
          </w:p>
        </w:tc>
        <w:tc>
          <w:tcPr>
            <w:tcW w:w="657"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VOCs</w:t>
            </w:r>
          </w:p>
        </w:tc>
        <w:tc>
          <w:tcPr>
            <w:tcW w:w="1261"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1200.0</w:t>
            </w:r>
          </w:p>
        </w:tc>
        <w:tc>
          <w:tcPr>
            <w:tcW w:w="1097"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75.1250</w:t>
            </w:r>
          </w:p>
        </w:tc>
        <w:tc>
          <w:tcPr>
            <w:tcW w:w="598"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6.2600</w:t>
            </w:r>
          </w:p>
        </w:tc>
        <w:tc>
          <w:tcPr>
            <w:tcW w:w="611" w:type="pct"/>
            <w:tcBorders>
              <w:tl2br w:val="nil"/>
              <w:tr2bl w:val="nil"/>
            </w:tcBorders>
            <w:vAlign w:val="center"/>
          </w:tcPr>
          <w:p>
            <w:pPr>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r>
    </w:tbl>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本项目Pmax最大值出现为点源排放的VOCsPmax值为6.26%</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Cmax为75.125μg/m³，根据《环境影响评价技术导则 大气环境》（HJ2.2-2018）分级判据，确定本项目大气环境影响评价工作等级为二级。</w:t>
      </w:r>
    </w:p>
    <w:p>
      <w:pPr>
        <w:pStyle w:val="5"/>
        <w:rPr>
          <w:rFonts w:eastAsiaTheme="minorEastAsia"/>
        </w:rPr>
      </w:pPr>
      <w:r>
        <w:rPr>
          <w:rFonts w:eastAsiaTheme="minorEastAsia"/>
        </w:rPr>
        <w:t>预测结果</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估算模式详细预测结果见表6.3-6。</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表6.3-6  面源污染物预测结果一览表</w:t>
      </w:r>
    </w:p>
    <w:tbl>
      <w:tblPr>
        <w:tblStyle w:val="7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240"/>
        <w:gridCol w:w="3255"/>
        <w:gridCol w:w="2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781" w:type="pct"/>
            <w:vMerge w:val="restart"/>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下风向距离</w:t>
            </w:r>
          </w:p>
        </w:tc>
        <w:tc>
          <w:tcPr>
            <w:tcW w:w="3218" w:type="pct"/>
            <w:gridSpan w:val="2"/>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矩形面源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781" w:type="pct"/>
            <w:vMerge w:val="continue"/>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p>
        </w:tc>
        <w:tc>
          <w:tcPr>
            <w:tcW w:w="1789" w:type="pct"/>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VOCs浓度(μg/m³)</w:t>
            </w:r>
          </w:p>
        </w:tc>
        <w:tc>
          <w:tcPr>
            <w:tcW w:w="1428" w:type="pct"/>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VOCs占标率(%)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0.3021</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25.0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0.3045</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50.0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0.3115</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0.3185</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100.0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0.3254</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200.0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0.3533</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300.0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0.3811</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400.0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0.4094</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500.0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0.4380</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600.0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0.4665</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700.0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0.4954</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800.0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0.5244</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900.0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0.5534</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1000.0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0.5822</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1500.0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0.6105</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2000.0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0.5934</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2500.0</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0.5739</w:t>
            </w:r>
          </w:p>
        </w:tc>
        <w:tc>
          <w:tcPr>
            <w:tcW w:w="1428"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下风向最大浓度</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0.6165</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下风向最大浓度出现距离</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1170.0</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1170.0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D10%最远距离</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428"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r>
    </w:tbl>
    <w:p>
      <w:pPr>
        <w:adjustRightInd w:val="0"/>
        <w:snapToGrid w:val="0"/>
        <w:spacing w:line="276" w:lineRule="auto"/>
        <w:rPr>
          <w:rFonts w:ascii="Times New Roman" w:hAnsi="Times New Roman" w:eastAsiaTheme="minorEastAsia"/>
          <w:b/>
          <w:color w:val="000000" w:themeColor="text1"/>
          <w:sz w:val="24"/>
          <w:szCs w:val="24"/>
          <w14:textFill>
            <w14:solidFill>
              <w14:schemeClr w14:val="tx1"/>
            </w14:solidFill>
          </w14:textFill>
        </w:rPr>
      </w:pP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表6.3-7  点源污染物预测结果一览表</w:t>
      </w:r>
    </w:p>
    <w:tbl>
      <w:tblPr>
        <w:tblStyle w:val="7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240"/>
        <w:gridCol w:w="3254"/>
        <w:gridCol w:w="25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781" w:type="pct"/>
            <w:vMerge w:val="restart"/>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下风向距离</w:t>
            </w:r>
          </w:p>
        </w:tc>
        <w:tc>
          <w:tcPr>
            <w:tcW w:w="3218" w:type="pct"/>
            <w:gridSpan w:val="2"/>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点源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781" w:type="pct"/>
            <w:vMerge w:val="continue"/>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p>
        </w:tc>
        <w:tc>
          <w:tcPr>
            <w:tcW w:w="1789" w:type="pct"/>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VOCs浓度(μg/m³)</w:t>
            </w:r>
          </w:p>
        </w:tc>
        <w:tc>
          <w:tcPr>
            <w:tcW w:w="1429" w:type="pct"/>
            <w:tcBorders>
              <w:tl2br w:val="nil"/>
              <w:tr2bl w:val="nil"/>
            </w:tcBorders>
            <w:vAlign w:val="center"/>
          </w:tcPr>
          <w:p>
            <w:pPr>
              <w:adjustRightInd w:val="0"/>
              <w:snapToGrid w:val="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VOCs占标率(%)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0.0000</w:t>
            </w:r>
          </w:p>
        </w:tc>
        <w:tc>
          <w:tcPr>
            <w:tcW w:w="142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25.0</w:t>
            </w:r>
          </w:p>
        </w:tc>
        <w:tc>
          <w:tcPr>
            <w:tcW w:w="178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0.4727</w:t>
            </w:r>
          </w:p>
        </w:tc>
        <w:tc>
          <w:tcPr>
            <w:tcW w:w="1429"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1.0172</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75.0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2.3440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2.6220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56.4790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17.6570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8.8711</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7.1301</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600.0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17.6890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10.4890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800.0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4.4485</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2.4520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4.3512</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4.9200</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2000.0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2.2719</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2500.0</w:t>
            </w:r>
          </w:p>
        </w:tc>
        <w:tc>
          <w:tcPr>
            <w:tcW w:w="178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0.2983</w:t>
            </w:r>
          </w:p>
        </w:tc>
        <w:tc>
          <w:tcPr>
            <w:tcW w:w="1429" w:type="pc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下风向最大浓度</w:t>
            </w:r>
          </w:p>
        </w:tc>
        <w:tc>
          <w:tcPr>
            <w:tcW w:w="3321" w:type="dxa"/>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75.1250</w:t>
            </w:r>
          </w:p>
        </w:tc>
        <w:tc>
          <w:tcPr>
            <w:tcW w:w="2653" w:type="dxa"/>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下风向最大浓度出现距离</w:t>
            </w:r>
          </w:p>
        </w:tc>
        <w:tc>
          <w:tcPr>
            <w:tcW w:w="3321" w:type="dxa"/>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175.0</w:t>
            </w:r>
          </w:p>
        </w:tc>
        <w:tc>
          <w:tcPr>
            <w:tcW w:w="2653" w:type="dxa"/>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sz w:val="21"/>
                <w:szCs w:val="21"/>
              </w:rPr>
              <w:t>175.0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81" w:type="pct"/>
            <w:tcBorders>
              <w:tl2br w:val="nil"/>
              <w:tr2bl w:val="nil"/>
            </w:tcBorders>
            <w:vAlign w:val="center"/>
          </w:tcPr>
          <w:p>
            <w:pPr>
              <w:adjustRightInd w:val="0"/>
              <w:snapToGrid w:val="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D10%最远距离</w:t>
            </w:r>
          </w:p>
        </w:tc>
        <w:tc>
          <w:tcPr>
            <w:tcW w:w="178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color w:val="0000FF"/>
                <w:sz w:val="21"/>
                <w:szCs w:val="21"/>
              </w:rPr>
              <w:t>/</w:t>
            </w:r>
          </w:p>
        </w:tc>
        <w:tc>
          <w:tcPr>
            <w:tcW w:w="1429" w:type="pct"/>
            <w:tcBorders>
              <w:tl2br w:val="nil"/>
              <w:tr2bl w:val="nil"/>
            </w:tcBorders>
            <w:vAlign w:val="center"/>
          </w:tcPr>
          <w:p>
            <w:pPr>
              <w:adjustRightInd w:val="0"/>
              <w:snapToGrid w:val="0"/>
              <w:jc w:val="center"/>
              <w:rPr>
                <w:rFonts w:ascii="Times New Roman" w:hAnsi="Times New Roman"/>
                <w:color w:val="0000FF"/>
                <w:sz w:val="21"/>
                <w:szCs w:val="21"/>
              </w:rPr>
            </w:pPr>
            <w:r>
              <w:rPr>
                <w:rFonts w:ascii="Times New Roman" w:hAnsi="Times New Roman"/>
                <w:color w:val="0000FF"/>
                <w:sz w:val="21"/>
                <w:szCs w:val="21"/>
              </w:rPr>
              <w:t>/</w:t>
            </w:r>
          </w:p>
        </w:tc>
      </w:tr>
    </w:tbl>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从估算模式的计算结果表可以看出，无组织排放的VOCs最大落地浓度为0.6165μg/m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，对应的最大占标率为0.05%，不超过1%，满足《环境影响评价技术导则大气环境》</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HJ2.2-2018）附录D中相应限值要求。有组织排放的VOCs最大落地浓度为75.125μg/m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，对应的最大占标率为6.26%，满足《环境影响评价技术导则大气环境》</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HJ2.2-2018）附录D中相应限值要求。</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污染物排放量核算</w:t>
      </w:r>
    </w:p>
    <w:p>
      <w:pPr>
        <w:pStyle w:val="25"/>
        <w:adjustRightInd w:val="0"/>
        <w:snapToGrid w:val="0"/>
        <w:spacing w:after="0"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本项目大气环境影响评价工作等级为二级，根据《环境影响评价技术导则 大气环境》（HJ2.2-2018）中8.1.2内容：二级评价项目不进行进一步预测与评价，只对污染物排放量进行核算。</w:t>
      </w:r>
    </w:p>
    <w:p>
      <w:pPr>
        <w:pStyle w:val="689"/>
        <w:snapToGrid w:val="0"/>
        <w:spacing w:beforeLines="0" w:afterLines="0" w:line="276" w:lineRule="auto"/>
        <w:ind w:firstLine="482"/>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表6.3-8  大气污染物有组织排放量核算表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81"/>
        <w:gridCol w:w="1212"/>
        <w:gridCol w:w="1574"/>
        <w:gridCol w:w="1698"/>
        <w:gridCol w:w="1993"/>
        <w:gridCol w:w="19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4"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666"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排放口编号</w:t>
            </w:r>
          </w:p>
        </w:tc>
        <w:tc>
          <w:tcPr>
            <w:tcW w:w="865"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污染物</w:t>
            </w:r>
          </w:p>
        </w:tc>
        <w:tc>
          <w:tcPr>
            <w:tcW w:w="933"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核算排放速率/</w:t>
            </w:r>
          </w:p>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（kg/h）</w:t>
            </w:r>
          </w:p>
        </w:tc>
        <w:tc>
          <w:tcPr>
            <w:tcW w:w="1095"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核算排放浓度/</w:t>
            </w:r>
          </w:p>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（mg/m</w:t>
            </w:r>
            <w:r>
              <w:rPr>
                <w:rFonts w:ascii="Times New Roman" w:hAnsi="Times New Roman" w:eastAsiaTheme="minorEastAsia"/>
                <w:b/>
                <w:color w:val="000000" w:themeColor="text1"/>
                <w:vertAlign w:val="superscript"/>
                <w14:textFill>
                  <w14:solidFill>
                    <w14:schemeClr w14:val="tx1"/>
                  </w14:solidFill>
                </w14:textFill>
              </w:rPr>
              <w:t>3</w:t>
            </w:r>
            <w:r>
              <w:rPr>
                <w:rFonts w:ascii="Times New Roman" w:hAnsi="Times New Roman" w:eastAsiaTheme="minorEastAsia"/>
                <w:b/>
                <w:color w:val="000000" w:themeColor="text1"/>
                <w14:textFill>
                  <w14:solidFill>
                    <w14:schemeClr w14:val="tx1"/>
                  </w14:solidFill>
                </w14:textFill>
              </w:rPr>
              <w:t>）</w:t>
            </w:r>
          </w:p>
        </w:tc>
        <w:tc>
          <w:tcPr>
            <w:tcW w:w="1068"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核算年排放量/</w:t>
            </w:r>
          </w:p>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4"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666"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排气筒DA001</w:t>
            </w:r>
          </w:p>
        </w:tc>
        <w:tc>
          <w:tcPr>
            <w:tcW w:w="865"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VOCs</w:t>
            </w:r>
          </w:p>
        </w:tc>
        <w:tc>
          <w:tcPr>
            <w:tcW w:w="933"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0.034</w:t>
            </w:r>
          </w:p>
        </w:tc>
        <w:tc>
          <w:tcPr>
            <w:tcW w:w="1095"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8.5</w:t>
            </w:r>
          </w:p>
        </w:tc>
        <w:tc>
          <w:tcPr>
            <w:tcW w:w="1068"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9" w:type="pct"/>
            <w:gridSpan w:val="2"/>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主要排放口合计</w:t>
            </w:r>
          </w:p>
        </w:tc>
        <w:tc>
          <w:tcPr>
            <w:tcW w:w="2893" w:type="pct"/>
            <w:gridSpan w:val="3"/>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VOCs</w:t>
            </w:r>
          </w:p>
        </w:tc>
        <w:tc>
          <w:tcPr>
            <w:tcW w:w="1068"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有组织排放总计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9" w:type="pct"/>
            <w:gridSpan w:val="2"/>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有组织排放总计</w:t>
            </w:r>
          </w:p>
        </w:tc>
        <w:tc>
          <w:tcPr>
            <w:tcW w:w="2893" w:type="pct"/>
            <w:gridSpan w:val="3"/>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VOCs</w:t>
            </w:r>
          </w:p>
        </w:tc>
        <w:tc>
          <w:tcPr>
            <w:tcW w:w="1068"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0.266</w:t>
            </w:r>
          </w:p>
        </w:tc>
      </w:tr>
    </w:tbl>
    <w:p>
      <w:pPr>
        <w:pStyle w:val="689"/>
        <w:snapToGrid w:val="0"/>
        <w:spacing w:beforeLines="0" w:afterLines="0"/>
        <w:ind w:firstLine="482"/>
        <w:jc w:val="both"/>
        <w:rPr>
          <w:rFonts w:eastAsiaTheme="minorEastAsia"/>
          <w:color w:val="000000" w:themeColor="text1"/>
          <w14:textFill>
            <w14:solidFill>
              <w14:schemeClr w14:val="tx1"/>
            </w14:solidFill>
          </w14:textFill>
        </w:rPr>
      </w:pPr>
    </w:p>
    <w:p>
      <w:pPr>
        <w:pStyle w:val="689"/>
        <w:snapToGrid w:val="0"/>
        <w:spacing w:beforeLines="0" w:afterLines="0" w:line="276" w:lineRule="auto"/>
        <w:ind w:firstLine="482"/>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表6.3-9  大气污染物无组织排放量核算表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924"/>
        <w:gridCol w:w="835"/>
        <w:gridCol w:w="905"/>
        <w:gridCol w:w="2399"/>
        <w:gridCol w:w="1831"/>
        <w:gridCol w:w="1276"/>
        <w:gridCol w:w="9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8" w:type="pct"/>
            <w:vMerge w:val="restar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排放口编号</w:t>
            </w:r>
          </w:p>
        </w:tc>
        <w:tc>
          <w:tcPr>
            <w:tcW w:w="459" w:type="pct"/>
            <w:vMerge w:val="restar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产污</w:t>
            </w:r>
          </w:p>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环节</w:t>
            </w:r>
          </w:p>
        </w:tc>
        <w:tc>
          <w:tcPr>
            <w:tcW w:w="497" w:type="pct"/>
            <w:vMerge w:val="restar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污染物</w:t>
            </w:r>
          </w:p>
        </w:tc>
        <w:tc>
          <w:tcPr>
            <w:tcW w:w="1318" w:type="pct"/>
            <w:vMerge w:val="restar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主要污染防治措施</w:t>
            </w:r>
          </w:p>
        </w:tc>
        <w:tc>
          <w:tcPr>
            <w:tcW w:w="1707" w:type="pct"/>
            <w:gridSpan w:val="2"/>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国家或地方污染物排放标准</w:t>
            </w:r>
          </w:p>
        </w:tc>
        <w:tc>
          <w:tcPr>
            <w:tcW w:w="512" w:type="pct"/>
            <w:vMerge w:val="restar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核算年排放量（t/a）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8" w:type="pct"/>
            <w:vMerge w:val="continue"/>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459" w:type="pct"/>
            <w:vMerge w:val="continue"/>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497" w:type="pct"/>
            <w:vMerge w:val="continue"/>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1318" w:type="pct"/>
            <w:vMerge w:val="continue"/>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c>
          <w:tcPr>
            <w:tcW w:w="1006"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标准名称</w:t>
            </w:r>
          </w:p>
        </w:tc>
        <w:tc>
          <w:tcPr>
            <w:tcW w:w="701"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浓度限值（mg/m</w:t>
            </w:r>
            <w:r>
              <w:rPr>
                <w:rFonts w:ascii="Times New Roman" w:hAnsi="Times New Roman" w:eastAsiaTheme="minorEastAsia"/>
                <w:b/>
                <w:color w:val="000000" w:themeColor="text1"/>
                <w:vertAlign w:val="superscript"/>
                <w14:textFill>
                  <w14:solidFill>
                    <w14:schemeClr w14:val="tx1"/>
                  </w14:solidFill>
                </w14:textFill>
              </w:rPr>
              <w:t>3</w:t>
            </w:r>
            <w:r>
              <w:rPr>
                <w:rFonts w:ascii="Times New Roman" w:hAnsi="Times New Roman" w:eastAsiaTheme="minorEastAsia"/>
                <w:b/>
                <w:color w:val="000000" w:themeColor="text1"/>
                <w14:textFill>
                  <w14:solidFill>
                    <w14:schemeClr w14:val="tx1"/>
                  </w14:solidFill>
                </w14:textFill>
              </w:rPr>
              <w:t>）</w:t>
            </w:r>
          </w:p>
        </w:tc>
        <w:tc>
          <w:tcPr>
            <w:tcW w:w="512" w:type="pct"/>
            <w:vMerge w:val="continue"/>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8"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459"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装卸船无组织呼吸废气</w:t>
            </w:r>
          </w:p>
        </w:tc>
        <w:tc>
          <w:tcPr>
            <w:tcW w:w="497"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VOCs</w:t>
            </w:r>
          </w:p>
        </w:tc>
        <w:tc>
          <w:tcPr>
            <w:tcW w:w="1318"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配备一套油气回收治理设备，采用先进的装卸设备设施与材料，确保阀门、法兰片、管道之间的密封性，并加强装卸设备设施的使用、管理和维护</w:t>
            </w:r>
          </w:p>
        </w:tc>
        <w:tc>
          <w:tcPr>
            <w:tcW w:w="1006"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《工业企业挥发性有机物排放控制标准》（DB12/524-2014）</w:t>
            </w:r>
          </w:p>
        </w:tc>
        <w:tc>
          <w:tcPr>
            <w:tcW w:w="701"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c>
          <w:tcPr>
            <w:tcW w:w="512"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无组织排放总计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67" w:type="pct"/>
            <w:gridSpan w:val="2"/>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无组织排放总计</w:t>
            </w:r>
          </w:p>
        </w:tc>
        <w:tc>
          <w:tcPr>
            <w:tcW w:w="3522" w:type="pct"/>
            <w:gridSpan w:val="4"/>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VOCs</w:t>
            </w:r>
          </w:p>
        </w:tc>
        <w:tc>
          <w:tcPr>
            <w:tcW w:w="512"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0.181</w:t>
            </w:r>
          </w:p>
        </w:tc>
      </w:tr>
    </w:tbl>
    <w:p>
      <w:pPr>
        <w:pStyle w:val="689"/>
        <w:snapToGrid w:val="0"/>
        <w:spacing w:beforeLines="0" w:afterLines="0"/>
        <w:ind w:firstLine="482"/>
        <w:jc w:val="both"/>
        <w:rPr>
          <w:rFonts w:eastAsiaTheme="minorEastAsia"/>
          <w:color w:val="000000" w:themeColor="text1"/>
          <w14:textFill>
            <w14:solidFill>
              <w14:schemeClr w14:val="tx1"/>
            </w14:solidFill>
          </w14:textFill>
        </w:rPr>
      </w:pPr>
    </w:p>
    <w:p>
      <w:pPr>
        <w:pStyle w:val="689"/>
        <w:snapToGrid w:val="0"/>
        <w:spacing w:beforeLines="0" w:afterLines="0" w:line="276" w:lineRule="auto"/>
        <w:ind w:firstLine="482"/>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表6.3-10  大气污染物年排放量核算表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939"/>
        <w:gridCol w:w="3585"/>
        <w:gridCol w:w="4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16"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1970"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污染物</w:t>
            </w:r>
          </w:p>
        </w:tc>
        <w:tc>
          <w:tcPr>
            <w:tcW w:w="2514" w:type="pct"/>
            <w:vAlign w:val="center"/>
          </w:tcPr>
          <w:p>
            <w:pPr>
              <w:pStyle w:val="25"/>
              <w:adjustRightInd w:val="0"/>
              <w:snapToGrid w:val="0"/>
              <w:spacing w:after="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16"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970"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VOCs</w:t>
            </w:r>
          </w:p>
        </w:tc>
        <w:tc>
          <w:tcPr>
            <w:tcW w:w="2514" w:type="pct"/>
            <w:vAlign w:val="center"/>
          </w:tcPr>
          <w:p>
            <w:pPr>
              <w:pStyle w:val="25"/>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0.447</w:t>
            </w:r>
          </w:p>
        </w:tc>
      </w:tr>
    </w:tbl>
    <w:p>
      <w:pPr>
        <w:pStyle w:val="25"/>
        <w:adjustRightInd w:val="0"/>
        <w:snapToGrid w:val="0"/>
        <w:spacing w:after="0"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大气防护距离</w:t>
      </w:r>
    </w:p>
    <w:p>
      <w:pPr>
        <w:pStyle w:val="25"/>
        <w:adjustRightInd w:val="0"/>
        <w:snapToGrid w:val="0"/>
        <w:spacing w:after="0"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环境影响评价技术导则·大气环境》（HJ2.2-2018）第8.7.5大气环境防护距离：“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pStyle w:val="25"/>
        <w:adjustRightInd w:val="0"/>
        <w:snapToGrid w:val="0"/>
        <w:spacing w:after="0"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根据预测并与现状叠加，厂界浓度满足大气污染物厂界浓度限值且贡献浓度未超过环境质量浓度限值，因此可不设置大气环境防护距离。</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大气环境影响预测评价结论</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无组织排放的VOCs最大落地浓度为0.6165μg/m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，对应的最大占标率为0.05%，不超过1%，满足《环境影响评价技术导则</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大气环境》</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HJ2.2-2018）附录D中相应限值要求。有组织排放的VOCs最大落地浓度为75.125μg/m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，对应的最大占标率为6.26%，满足《环境影响评价技术导则大气环境》</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HJ2.2-2018）附录D中相应限值要求。</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评价结果表明，项目所采取的废气治理措施合理可行，正常工况下排放的大气污染物均能得到有效治理，能够做到达标排放，对周围地区空气质量影响不明显，不会改变评价范围内的大气环境功能，不会对评价范围内的保护目标造成明显不利影响。</w:t>
      </w:r>
    </w:p>
    <w:p>
      <w:pPr>
        <w:pStyle w:val="3"/>
        <w:rPr>
          <w:rFonts w:ascii="Times New Roman" w:hAnsi="Times New Roman" w:eastAsiaTheme="minorEastAsia"/>
          <w:b/>
        </w:rPr>
      </w:pPr>
      <w:bookmarkStart w:id="141" w:name="_Toc29167"/>
      <w:r>
        <w:rPr>
          <w:rFonts w:ascii="Times New Roman" w:hAnsi="Times New Roman" w:eastAsiaTheme="minorEastAsia"/>
          <w:b/>
        </w:rPr>
        <w:t>声环境影响评价</w:t>
      </w:r>
      <w:bookmarkEnd w:id="141"/>
    </w:p>
    <w:p>
      <w:pPr>
        <w:pStyle w:val="4"/>
        <w:rPr>
          <w:rFonts w:eastAsiaTheme="minorEastAsia"/>
          <w:szCs w:val="24"/>
        </w:rPr>
      </w:pPr>
      <w:r>
        <w:rPr>
          <w:rFonts w:eastAsiaTheme="minorEastAsia"/>
        </w:rPr>
        <w:t>施工期声环境影响分析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工程施工期噪声主要是打桩噪声、搅拌机、电锯、吊车等机械噪声，以及施工船舶噪声，推土机、挖掘机、装载机等半流动性施工机械噪声等。典型施工机械噪声源强见表6.4-1。</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表6.4-1  典型施工机械噪声源强</w:t>
      </w:r>
      <w:r>
        <w:rPr>
          <w:rFonts w:hint="eastAsia" w:ascii="Times New Roman" w:hAnsi="Times New Roman" w:eastAsiaTheme="minorEastAsia"/>
          <w:b/>
          <w:sz w:val="24"/>
          <w:szCs w:val="24"/>
        </w:rPr>
        <w:t xml:space="preserve"> </w:t>
      </w:r>
      <w:r>
        <w:rPr>
          <w:rFonts w:ascii="Times New Roman" w:hAnsi="Times New Roman" w:eastAsiaTheme="minorEastAsia"/>
          <w:b/>
          <w:sz w:val="24"/>
          <w:szCs w:val="24"/>
        </w:rPr>
        <w:t xml:space="preserve">       </w:t>
      </w:r>
      <w:r>
        <w:rPr>
          <w:rFonts w:ascii="Times New Roman" w:hAnsi="Times New Roman" w:eastAsiaTheme="minorEastAsia"/>
          <w:sz w:val="24"/>
          <w:szCs w:val="24"/>
        </w:rPr>
        <w:t xml:space="preserve"> 单位：dB(A)</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275"/>
        <w:gridCol w:w="2275"/>
        <w:gridCol w:w="2275"/>
        <w:gridCol w:w="2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噪声源</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源强</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噪声源</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源强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打桩机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105</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施工船舶</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搅拌机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推土机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电锯</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110</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挖掘机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吊车</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装载机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施工期噪声源近似视为点声源，按点声源计算施工机械噪声的距离衰减公式见下式。</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1628140" cy="3803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7"/>
                    <a:stretch>
                      <a:fillRect/>
                    </a:stretch>
                  </pic:blipFill>
                  <pic:spPr>
                    <a:xfrm>
                      <a:off x="0" y="0"/>
                      <a:ext cx="1628571" cy="380952"/>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式中：Lpo—参考位置r</w:t>
      </w:r>
      <w:r>
        <w:rPr>
          <w:rFonts w:ascii="Times New Roman" w:hAnsi="Times New Roman" w:eastAsiaTheme="minorEastAsia"/>
          <w:sz w:val="24"/>
          <w:szCs w:val="24"/>
          <w:vertAlign w:val="subscript"/>
        </w:rPr>
        <w:t>0</w:t>
      </w:r>
      <w:r>
        <w:rPr>
          <w:rFonts w:ascii="Times New Roman" w:hAnsi="Times New Roman" w:eastAsiaTheme="minorEastAsia"/>
          <w:sz w:val="24"/>
          <w:szCs w:val="24"/>
        </w:rPr>
        <w:t>处的声级(dB(A))；</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r—预测点处与点声源之 间的距离(m)；</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r</w:t>
      </w:r>
      <w:r>
        <w:rPr>
          <w:rFonts w:ascii="Times New Roman" w:hAnsi="Times New Roman" w:eastAsiaTheme="minorEastAsia"/>
          <w:sz w:val="24"/>
          <w:szCs w:val="24"/>
          <w:vertAlign w:val="subscript"/>
        </w:rPr>
        <w:t>0</w:t>
      </w:r>
      <w:r>
        <w:rPr>
          <w:rFonts w:ascii="Times New Roman" w:hAnsi="Times New Roman" w:eastAsiaTheme="minorEastAsia"/>
          <w:sz w:val="24"/>
          <w:szCs w:val="24"/>
        </w:rPr>
        <w:t>—参考点与点声源之间的距离(m)；</w:t>
      </w:r>
    </w:p>
    <w:p>
      <w:pPr>
        <w:adjustRightInd w:val="0"/>
        <w:snapToGrid w:val="0"/>
        <w:spacing w:line="360" w:lineRule="auto"/>
        <w:ind w:firstLine="1200" w:firstLineChars="500"/>
        <w:rPr>
          <w:rFonts w:ascii="Times New Roman" w:hAnsi="Times New Roman" w:eastAsiaTheme="minorEastAsia"/>
          <w:sz w:val="24"/>
          <w:szCs w:val="24"/>
        </w:rPr>
      </w:pPr>
      <w:r>
        <w:rPr>
          <w:rFonts w:hint="eastAsia" w:ascii="宋体" w:hAnsi="宋体" w:cs="宋体"/>
          <w:sz w:val="24"/>
          <w:szCs w:val="24"/>
          <w:vertAlign w:val="subscript"/>
        </w:rPr>
        <w:t>△</w:t>
      </w:r>
      <w:r>
        <w:rPr>
          <w:rFonts w:ascii="Times New Roman" w:hAnsi="Times New Roman" w:eastAsiaTheme="minorEastAsia"/>
          <w:sz w:val="24"/>
          <w:szCs w:val="24"/>
        </w:rPr>
        <w:t>l—附加衰减量(dB(A))。</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根据各种施工机械的源强预测结果见表6.4-2。</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表6.4-2  施工期噪声预测结果</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10"/>
        <w:gridCol w:w="1010"/>
        <w:gridCol w:w="1010"/>
        <w:gridCol w:w="1012"/>
        <w:gridCol w:w="1012"/>
        <w:gridCol w:w="1012"/>
        <w:gridCol w:w="1012"/>
        <w:gridCol w:w="1012"/>
        <w:gridCol w:w="1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restar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施工阶段</w:t>
            </w:r>
          </w:p>
        </w:tc>
        <w:tc>
          <w:tcPr>
            <w:tcW w:w="555" w:type="pct"/>
            <w:vMerge w:val="restar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施工机械</w:t>
            </w:r>
          </w:p>
        </w:tc>
        <w:tc>
          <w:tcPr>
            <w:tcW w:w="2779" w:type="pct"/>
            <w:gridSpan w:val="5"/>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距机械Xm处噪声值dB(A)</w:t>
            </w:r>
          </w:p>
        </w:tc>
        <w:tc>
          <w:tcPr>
            <w:tcW w:w="1112" w:type="pct"/>
            <w:gridSpan w:val="2"/>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b/>
              </w:rPr>
            </w:pPr>
          </w:p>
        </w:tc>
        <w:tc>
          <w:tcPr>
            <w:tcW w:w="555" w:type="pct"/>
            <w:vMerge w:val="continue"/>
            <w:tcMar>
              <w:left w:w="0" w:type="dxa"/>
              <w:right w:w="0" w:type="dxa"/>
            </w:tcMar>
            <w:vAlign w:val="center"/>
          </w:tcPr>
          <w:p>
            <w:pPr>
              <w:adjustRightInd w:val="0"/>
              <w:snapToGrid w:val="0"/>
              <w:jc w:val="center"/>
              <w:rPr>
                <w:rFonts w:ascii="Times New Roman" w:hAnsi="Times New Roman" w:eastAsiaTheme="minorEastAsia"/>
                <w:b/>
              </w:rPr>
            </w:pPr>
          </w:p>
        </w:tc>
        <w:tc>
          <w:tcPr>
            <w:tcW w:w="555"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10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20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30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50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100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昼间</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土石方</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推土机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72</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62</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58</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52</w:t>
            </w:r>
          </w:p>
        </w:tc>
        <w:tc>
          <w:tcPr>
            <w:tcW w:w="556"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556"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挖掘机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53</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39</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装载机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54</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施工船舶</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51</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45</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打桩</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打桩机.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结构</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混凝土搅拌机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84</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电锯</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54</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设备安装</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吊车</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从表6.4-2可以知，除打桩机和结构阶段的电锯噪声外，施工机械距离场界30m时，昼间场界可以达标，施工机械距离场界100m时，夜间场界可以达标。由于施工现场往往是各种机械同时作业，噪声经过叠加会有所增加。</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项目拟建地周围200m范围内无居民点等敏感点，施工噪声不会产生扰民现象。为了减轻施工噪声对周围环境的影响，建议采取以下措施：</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⑴ </w:t>
      </w:r>
      <w:r>
        <w:rPr>
          <w:rFonts w:ascii="Times New Roman" w:hAnsi="Times New Roman" w:eastAsiaTheme="minorEastAsia"/>
          <w:sz w:val="24"/>
          <w:szCs w:val="24"/>
        </w:rPr>
        <w:t>加强施工管理，合理安排施工作业时间，严格按照施工噪声管理的有关规定执行；</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⑵ </w:t>
      </w:r>
      <w:r>
        <w:rPr>
          <w:rFonts w:ascii="Times New Roman" w:hAnsi="Times New Roman" w:eastAsiaTheme="minorEastAsia"/>
          <w:sz w:val="24"/>
          <w:szCs w:val="24"/>
        </w:rPr>
        <w:t>尽量采用低噪声的施工工具，如以液压工具代替气压工具，同时尽可能采用施工噪声低的施工方法；</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⑶ </w:t>
      </w:r>
      <w:r>
        <w:rPr>
          <w:rFonts w:ascii="Times New Roman" w:hAnsi="Times New Roman" w:eastAsiaTheme="minorEastAsia"/>
          <w:sz w:val="24"/>
          <w:szCs w:val="24"/>
        </w:rPr>
        <w:t>在高噪声设备周围设置掩蔽物；</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⑷ </w:t>
      </w:r>
      <w:r>
        <w:rPr>
          <w:rFonts w:ascii="Times New Roman" w:hAnsi="Times New Roman" w:eastAsiaTheme="minorEastAsia"/>
          <w:sz w:val="24"/>
          <w:szCs w:val="24"/>
        </w:rPr>
        <w:t>混凝土需要连续浇灌作业前，应做好各项准备工作，将搅拌机运行时间压到最低限度。</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除上述施工机械产生的噪声外，施工过程中各种运输车辆的运行，还将会引起公路沿线噪声级的增加。因此，应加强对运输车辆的管理，尽量压缩工区汽车数量和行车密度，控制汽车鸣笛。设备安装调试尽量在白天进行。随着施工结束，施工噪声污染也将随之消除。</w:t>
      </w:r>
    </w:p>
    <w:p>
      <w:pPr>
        <w:pStyle w:val="4"/>
        <w:rPr>
          <w:rFonts w:eastAsiaTheme="minorEastAsia"/>
        </w:rPr>
      </w:pPr>
      <w:r>
        <w:rPr>
          <w:rFonts w:eastAsiaTheme="minorEastAsia"/>
        </w:rPr>
        <w:t>营运期声环境影响分析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噪声源主要来自于船舶自载泵、船舶发动机及船舶鸣笛，其中船舶发动机噪声、船舶鸣笛噪声为偶发噪声。通过选用低噪声设备，对船舶自载泵基础采取防振措施，加强对进出港区船舶管理，降噪量可达5~20dB(A)。具体见表6.4-3。</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表6.4-3  主要噪声设施一览表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08"/>
        <w:gridCol w:w="1139"/>
        <w:gridCol w:w="997"/>
        <w:gridCol w:w="997"/>
        <w:gridCol w:w="712"/>
        <w:gridCol w:w="2135"/>
        <w:gridCol w:w="1274"/>
        <w:gridCol w:w="1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8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62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设备名称</w:t>
            </w:r>
          </w:p>
        </w:tc>
        <w:tc>
          <w:tcPr>
            <w:tcW w:w="54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声源类型</w:t>
            </w:r>
          </w:p>
        </w:tc>
        <w:tc>
          <w:tcPr>
            <w:tcW w:w="54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噪声级dB(A)</w:t>
            </w:r>
          </w:p>
        </w:tc>
        <w:tc>
          <w:tcPr>
            <w:tcW w:w="39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数量</w:t>
            </w:r>
          </w:p>
        </w:tc>
        <w:tc>
          <w:tcPr>
            <w:tcW w:w="117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采取防治措施</w:t>
            </w:r>
          </w:p>
        </w:tc>
        <w:tc>
          <w:tcPr>
            <w:tcW w:w="70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源强</w:t>
            </w:r>
            <w:r>
              <w:rPr>
                <w:rFonts w:hint="eastAsia" w:ascii="Times New Roman" w:hAnsi="Times New Roman" w:eastAsiaTheme="minorEastAsia"/>
                <w:b/>
              </w:rPr>
              <w:t>降噪</w:t>
            </w:r>
            <w:r>
              <w:rPr>
                <w:rFonts w:ascii="Times New Roman" w:hAnsi="Times New Roman" w:eastAsiaTheme="minorEastAsia"/>
                <w:b/>
              </w:rPr>
              <w:t>效果dB(A)</w:t>
            </w:r>
          </w:p>
        </w:tc>
        <w:tc>
          <w:tcPr>
            <w:tcW w:w="62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噪声排放值dB(A)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626" w:type="pct"/>
            <w:vAlign w:val="center"/>
          </w:tcPr>
          <w:p>
            <w:pPr>
              <w:jc w:val="center"/>
              <w:rPr>
                <w:rFonts w:ascii="Times New Roman" w:hAnsi="Times New Roman" w:eastAsiaTheme="minorEastAsia"/>
              </w:rPr>
            </w:pPr>
            <w:r>
              <w:rPr>
                <w:rFonts w:ascii="Times New Roman" w:hAnsi="Times New Roman" w:eastAsiaTheme="minorEastAsia"/>
              </w:rPr>
              <w:t>船舶发动机</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偶发</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90</w:t>
            </w:r>
          </w:p>
        </w:tc>
        <w:tc>
          <w:tcPr>
            <w:tcW w:w="39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173" w:type="pct"/>
            <w:vAlign w:val="center"/>
          </w:tcPr>
          <w:p>
            <w:pPr>
              <w:jc w:val="center"/>
              <w:rPr>
                <w:rFonts w:ascii="Times New Roman" w:hAnsi="Times New Roman" w:eastAsiaTheme="minorEastAsia"/>
              </w:rPr>
            </w:pPr>
            <w:r>
              <w:rPr>
                <w:rFonts w:ascii="Times New Roman" w:hAnsi="Times New Roman" w:eastAsiaTheme="minorEastAsia"/>
              </w:rPr>
              <w:t>加强船舶管理</w:t>
            </w:r>
          </w:p>
        </w:tc>
        <w:tc>
          <w:tcPr>
            <w:tcW w:w="70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6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626" w:type="pct"/>
            <w:vAlign w:val="center"/>
          </w:tcPr>
          <w:p>
            <w:pPr>
              <w:jc w:val="center"/>
              <w:rPr>
                <w:rFonts w:ascii="Times New Roman" w:hAnsi="Times New Roman" w:eastAsiaTheme="minorEastAsia"/>
              </w:rPr>
            </w:pPr>
            <w:r>
              <w:rPr>
                <w:rFonts w:ascii="Times New Roman" w:hAnsi="Times New Roman" w:eastAsiaTheme="minorEastAsia"/>
              </w:rPr>
              <w:t>船舶鸣笛</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偶发</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90</w:t>
            </w:r>
          </w:p>
        </w:tc>
        <w:tc>
          <w:tcPr>
            <w:tcW w:w="39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173" w:type="pct"/>
            <w:vAlign w:val="center"/>
          </w:tcPr>
          <w:p>
            <w:pPr>
              <w:jc w:val="center"/>
              <w:rPr>
                <w:rFonts w:ascii="Times New Roman" w:hAnsi="Times New Roman" w:eastAsiaTheme="minorEastAsia"/>
              </w:rPr>
            </w:pPr>
            <w:r>
              <w:rPr>
                <w:rFonts w:ascii="Times New Roman" w:hAnsi="Times New Roman" w:eastAsiaTheme="minorEastAsia"/>
              </w:rPr>
              <w:t>加强船舶管理</w:t>
            </w:r>
          </w:p>
        </w:tc>
        <w:tc>
          <w:tcPr>
            <w:tcW w:w="70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6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626" w:type="pct"/>
            <w:vAlign w:val="center"/>
          </w:tcPr>
          <w:p>
            <w:pPr>
              <w:jc w:val="center"/>
              <w:rPr>
                <w:rFonts w:ascii="Times New Roman" w:hAnsi="Times New Roman" w:eastAsiaTheme="minorEastAsia"/>
              </w:rPr>
            </w:pPr>
            <w:r>
              <w:rPr>
                <w:rFonts w:ascii="Times New Roman" w:hAnsi="Times New Roman" w:eastAsiaTheme="minorEastAsia"/>
              </w:rPr>
              <w:t>船舶自载泵</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频发</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85</w:t>
            </w:r>
          </w:p>
        </w:tc>
        <w:tc>
          <w:tcPr>
            <w:tcW w:w="39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117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选用低噪声环保型设备；基础减振；加强船舶管理</w:t>
            </w:r>
          </w:p>
        </w:tc>
        <w:tc>
          <w:tcPr>
            <w:tcW w:w="70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w:t>
            </w:r>
          </w:p>
        </w:tc>
        <w:tc>
          <w:tcPr>
            <w:tcW w:w="6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w:t>
            </w:r>
          </w:p>
        </w:tc>
      </w:tr>
    </w:tbl>
    <w:p>
      <w:pPr>
        <w:adjustRightInd w:val="0"/>
        <w:snapToGrid w:val="0"/>
        <w:spacing w:line="360" w:lineRule="auto"/>
        <w:ind w:firstLine="482"/>
        <w:rPr>
          <w:rFonts w:ascii="Times New Roman" w:hAnsi="Times New Roman" w:eastAsiaTheme="minorEastAsia"/>
          <w:sz w:val="24"/>
          <w:szCs w:val="24"/>
        </w:rPr>
      </w:pPr>
    </w:p>
    <w:p>
      <w:pPr>
        <w:pStyle w:val="5"/>
        <w:rPr>
          <w:rFonts w:eastAsiaTheme="minorEastAsia"/>
        </w:rPr>
      </w:pPr>
      <w:r>
        <w:rPr>
          <w:rFonts w:eastAsiaTheme="minorEastAsia"/>
        </w:rPr>
        <w:t>预测模式</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噪声源噪声类型属于空气动力噪声和机械噪声，噪声传播具有稳态和类稳态特性。另外，噪声从噪声源传播至噪声预测点的距离比声源本身几何尺寸大许多，因此可忽略噪声源几何尺寸影响，而将其简化为点声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根据上述特点，本报告依据《环境影响评价技术导则声环境》(HJ2.4-2009) 有关规定，采用《导则》推荐点声源噪声传播模式进行项目噪声环境影响预测，预测模式如下：</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1、点声源预测模式</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2513965" cy="2851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8"/>
                    <a:stretch>
                      <a:fillRect/>
                    </a:stretch>
                  </pic:blipFill>
                  <pic:spPr>
                    <a:xfrm>
                      <a:off x="0" y="0"/>
                      <a:ext cx="2514286" cy="285714"/>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式中：L</w:t>
      </w:r>
      <w:r>
        <w:rPr>
          <w:rFonts w:ascii="Times New Roman" w:hAnsi="Times New Roman" w:eastAsiaTheme="minorEastAsia"/>
          <w:sz w:val="24"/>
          <w:szCs w:val="24"/>
          <w:vertAlign w:val="subscript"/>
        </w:rPr>
        <w:t>A(r)</w:t>
      </w:r>
      <w:r>
        <w:rPr>
          <w:rFonts w:ascii="Times New Roman" w:hAnsi="Times New Roman" w:eastAsiaTheme="minorEastAsia"/>
          <w:sz w:val="24"/>
          <w:szCs w:val="24"/>
        </w:rPr>
        <w:t>—距离声源r处的A声级；</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L</w:t>
      </w:r>
      <w:r>
        <w:rPr>
          <w:rFonts w:ascii="Times New Roman" w:hAnsi="Times New Roman" w:eastAsiaTheme="minorEastAsia"/>
          <w:sz w:val="24"/>
          <w:szCs w:val="24"/>
          <w:vertAlign w:val="subscript"/>
        </w:rPr>
        <w:t>Aref(r0)</w:t>
      </w:r>
      <w:r>
        <w:rPr>
          <w:rFonts w:ascii="Times New Roman" w:hAnsi="Times New Roman" w:eastAsiaTheme="minorEastAsia"/>
          <w:sz w:val="24"/>
          <w:szCs w:val="24"/>
        </w:rPr>
        <w:t xml:space="preserve"> —参考位置r0处的A声级；</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div</w:t>
      </w:r>
      <w:r>
        <w:rPr>
          <w:rFonts w:ascii="Times New Roman" w:hAnsi="Times New Roman" w:eastAsiaTheme="minorEastAsia"/>
          <w:sz w:val="24"/>
          <w:szCs w:val="24"/>
        </w:rPr>
        <w:t>—声波几何发散衰减量；</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bar</w:t>
      </w:r>
      <w:r>
        <w:rPr>
          <w:rFonts w:ascii="Times New Roman" w:hAnsi="Times New Roman" w:eastAsiaTheme="minorEastAsia"/>
          <w:sz w:val="24"/>
          <w:szCs w:val="24"/>
        </w:rPr>
        <w:t>—遮挡物质衰减量；</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atm</w:t>
      </w:r>
      <w:r>
        <w:rPr>
          <w:rFonts w:ascii="Times New Roman" w:hAnsi="Times New Roman" w:eastAsiaTheme="minorEastAsia"/>
          <w:sz w:val="24"/>
          <w:szCs w:val="24"/>
        </w:rPr>
        <w:t>—空气吸收衰减量；</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erc</w:t>
      </w:r>
      <w:r>
        <w:rPr>
          <w:rFonts w:ascii="Times New Roman" w:hAnsi="Times New Roman" w:eastAsiaTheme="minorEastAsia"/>
          <w:sz w:val="24"/>
          <w:szCs w:val="24"/>
        </w:rPr>
        <w:t>—附加衰减量。</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2、噪声叠加计算模式</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1599565" cy="4089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9"/>
                    <a:stretch>
                      <a:fillRect/>
                    </a:stretch>
                  </pic:blipFill>
                  <pic:spPr>
                    <a:xfrm>
                      <a:off x="0" y="0"/>
                      <a:ext cx="1600000" cy="409524"/>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式中：Leq (A) —等效连续A声级</w:t>
      </w:r>
    </w:p>
    <w:p>
      <w:pPr>
        <w:pStyle w:val="5"/>
        <w:rPr>
          <w:rFonts w:eastAsiaTheme="minorEastAsia"/>
        </w:rPr>
      </w:pPr>
      <w:r>
        <w:rPr>
          <w:rFonts w:eastAsiaTheme="minorEastAsia"/>
        </w:rPr>
        <w:t>声源与预测点间的距离</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声源与预测点间的距离见表6.4-4。</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表6.4-4  各声源与预测点间的距离            </w:t>
      </w:r>
      <w:r>
        <w:rPr>
          <w:rFonts w:ascii="Times New Roman" w:hAnsi="Times New Roman" w:eastAsiaTheme="minorEastAsia"/>
          <w:sz w:val="24"/>
          <w:szCs w:val="24"/>
        </w:rPr>
        <w:t>单位：m</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516"/>
        <w:gridCol w:w="1516"/>
        <w:gridCol w:w="1518"/>
        <w:gridCol w:w="1143"/>
        <w:gridCol w:w="2282"/>
        <w:gridCol w:w="1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83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83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声源名称</w:t>
            </w:r>
          </w:p>
        </w:tc>
        <w:tc>
          <w:tcPr>
            <w:tcW w:w="83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东厂界</w:t>
            </w:r>
          </w:p>
        </w:tc>
        <w:tc>
          <w:tcPr>
            <w:tcW w:w="62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南厂界</w:t>
            </w:r>
          </w:p>
        </w:tc>
        <w:tc>
          <w:tcPr>
            <w:tcW w:w="125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西厂界</w:t>
            </w:r>
          </w:p>
        </w:tc>
        <w:tc>
          <w:tcPr>
            <w:tcW w:w="61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83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83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船舶自载泵</w:t>
            </w:r>
          </w:p>
        </w:tc>
        <w:tc>
          <w:tcPr>
            <w:tcW w:w="8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33</w:t>
            </w:r>
          </w:p>
        </w:tc>
        <w:tc>
          <w:tcPr>
            <w:tcW w:w="62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w:t>
            </w:r>
          </w:p>
        </w:tc>
        <w:tc>
          <w:tcPr>
            <w:tcW w:w="12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0（西厂界紧邻长江）</w:t>
            </w:r>
          </w:p>
        </w:tc>
        <w:tc>
          <w:tcPr>
            <w:tcW w:w="61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47</w:t>
            </w:r>
          </w:p>
        </w:tc>
      </w:tr>
    </w:tbl>
    <w:p>
      <w:pPr>
        <w:adjustRightInd w:val="0"/>
        <w:snapToGrid w:val="0"/>
        <w:spacing w:line="360" w:lineRule="auto"/>
        <w:ind w:firstLine="482"/>
        <w:rPr>
          <w:rFonts w:ascii="Times New Roman" w:hAnsi="Times New Roman" w:eastAsiaTheme="minorEastAsia"/>
          <w:sz w:val="24"/>
          <w:szCs w:val="24"/>
        </w:rPr>
      </w:pPr>
    </w:p>
    <w:p>
      <w:pPr>
        <w:pStyle w:val="5"/>
        <w:rPr>
          <w:rFonts w:eastAsiaTheme="minorEastAsia"/>
        </w:rPr>
      </w:pPr>
      <w:r>
        <w:rPr>
          <w:rFonts w:eastAsiaTheme="minorEastAsia"/>
        </w:rPr>
        <w:t>预测结果及影响分析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根据厂界声环境现状监测结果，声源与厂界的距离，按上述公式预测出本项目建设实施后厂界处的噪声预测值，结果见表6.4-5。</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表6.4-5  声环境影响预测结果            </w:t>
      </w:r>
      <w:r>
        <w:rPr>
          <w:rFonts w:ascii="Times New Roman" w:hAnsi="Times New Roman" w:eastAsiaTheme="minorEastAsia"/>
          <w:sz w:val="24"/>
          <w:szCs w:val="24"/>
        </w:rPr>
        <w:t>单位：dB(A)</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96"/>
        <w:gridCol w:w="1487"/>
        <w:gridCol w:w="1540"/>
        <w:gridCol w:w="1527"/>
        <w:gridCol w:w="1527"/>
        <w:gridCol w:w="15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39" w:type="pct"/>
            <w:gridSpan w:val="2"/>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厂界预测点</w:t>
            </w:r>
          </w:p>
        </w:tc>
        <w:tc>
          <w:tcPr>
            <w:tcW w:w="846"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东厂界</w:t>
            </w:r>
          </w:p>
        </w:tc>
        <w:tc>
          <w:tcPr>
            <w:tcW w:w="839"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南厂界</w:t>
            </w:r>
          </w:p>
        </w:tc>
        <w:tc>
          <w:tcPr>
            <w:tcW w:w="839"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西厂界</w:t>
            </w:r>
          </w:p>
        </w:tc>
        <w:tc>
          <w:tcPr>
            <w:tcW w:w="837"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822"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昼间</w:t>
            </w: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贡献值</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46.6</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58.9</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65.0</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背景值</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51.7</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51.7</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51.7</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预测值</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52.8</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59.6</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65.2</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评价标准</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达标分析</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r>
    </w:tbl>
    <w:p>
      <w:pPr>
        <w:adjustRightInd w:val="0"/>
        <w:snapToGrid w:val="0"/>
        <w:spacing w:line="276" w:lineRule="auto"/>
        <w:rPr>
          <w:rFonts w:ascii="Times New Roman" w:hAnsi="Times New Roman" w:eastAsiaTheme="minorEastAsia"/>
        </w:rPr>
      </w:pPr>
      <w:r>
        <w:rPr>
          <w:rFonts w:ascii="Times New Roman" w:hAnsi="Times New Roman" w:eastAsiaTheme="minorEastAsia"/>
          <w:color w:val="000000" w:themeColor="text1"/>
          <w14:textFill>
            <w14:solidFill>
              <w14:schemeClr w14:val="tx1"/>
            </w14:solidFill>
          </w14:textFill>
        </w:rPr>
        <w:t>注：1、本项目为码头</w:t>
      </w:r>
      <w:r>
        <w:rPr>
          <w:rFonts w:hint="eastAsia" w:ascii="Times New Roman" w:hAnsi="Times New Roman" w:eastAsiaTheme="minorEastAsia"/>
          <w:color w:val="000000" w:themeColor="text1"/>
          <w14:textFill>
            <w14:solidFill>
              <w14:schemeClr w14:val="tx1"/>
            </w14:solidFill>
          </w14:textFill>
        </w:rPr>
        <w:t>提质改造项目</w:t>
      </w:r>
      <w:r>
        <w:rPr>
          <w:rFonts w:ascii="Times New Roman" w:hAnsi="Times New Roman" w:eastAsiaTheme="minorEastAsia"/>
          <w:color w:val="000000" w:themeColor="text1"/>
          <w14:textFill>
            <w14:solidFill>
              <w14:schemeClr w14:val="tx1"/>
            </w14:solidFill>
          </w14:textFill>
        </w:rPr>
        <w:t>，因此厂界噪声现状监测值可作为背景值，本次评价背景值取厂界噪声现状监测值的平均值；2、不考虑船舶发动机噪声、船舶鸣笛噪声等</w:t>
      </w:r>
      <w:r>
        <w:rPr>
          <w:rFonts w:ascii="Times New Roman" w:hAnsi="Times New Roman" w:eastAsiaTheme="minorEastAsia"/>
        </w:rPr>
        <w:t>偶发噪声影响。</w:t>
      </w:r>
    </w:p>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color w:val="0000FF"/>
          <w:sz w:val="24"/>
          <w:szCs w:val="24"/>
        </w:rPr>
      </w:pPr>
      <w:r>
        <w:rPr>
          <w:rFonts w:ascii="Times New Roman" w:hAnsi="Times New Roman" w:eastAsiaTheme="minorEastAsia"/>
          <w:sz w:val="24"/>
          <w:szCs w:val="24"/>
        </w:rPr>
        <w:t>本项目夜间不生产，夜间无噪声影响。根据预测结果，在不考虑偶发噪声的情况下，四周厂界昼间噪声值满足《工业企业厂界环境噪声排放标准》</w:t>
      </w:r>
      <w:r>
        <w:rPr>
          <w:rFonts w:hint="eastAsia" w:ascii="Times New Roman" w:hAnsi="Times New Roman" w:eastAsiaTheme="minorEastAsia"/>
          <w:sz w:val="24"/>
          <w:szCs w:val="24"/>
        </w:rPr>
        <w:t>（</w:t>
      </w:r>
      <w:r>
        <w:rPr>
          <w:rFonts w:ascii="Times New Roman" w:hAnsi="Times New Roman" w:eastAsiaTheme="minorEastAsia"/>
          <w:sz w:val="24"/>
          <w:szCs w:val="24"/>
        </w:rPr>
        <w:t>GB12348-2008</w:t>
      </w:r>
      <w:r>
        <w:rPr>
          <w:rFonts w:hint="eastAsia" w:ascii="Times New Roman" w:hAnsi="Times New Roman" w:eastAsiaTheme="minorEastAsia"/>
          <w:sz w:val="24"/>
          <w:szCs w:val="24"/>
        </w:rPr>
        <w:t>）</w:t>
      </w:r>
      <w:r>
        <w:rPr>
          <w:rFonts w:ascii="Times New Roman" w:hAnsi="Times New Roman" w:eastAsiaTheme="minorEastAsia"/>
          <w:sz w:val="24"/>
          <w:szCs w:val="24"/>
        </w:rPr>
        <w:t>4a类标准要求。由于本项目厂界周边200</w:t>
      </w:r>
      <w:r>
        <w:rPr>
          <w:rFonts w:hint="eastAsia" w:ascii="Times New Roman" w:hAnsi="Times New Roman" w:eastAsiaTheme="minorEastAsia"/>
          <w:sz w:val="24"/>
          <w:szCs w:val="24"/>
        </w:rPr>
        <w:t>m</w:t>
      </w:r>
      <w:r>
        <w:rPr>
          <w:rFonts w:ascii="Times New Roman" w:hAnsi="Times New Roman" w:eastAsiaTheme="minorEastAsia"/>
          <w:sz w:val="24"/>
          <w:szCs w:val="24"/>
        </w:rPr>
        <w:t>范围内无居民点等敏感点，因此，本项目噪声不会产生扰民现象。但项目营运期应采取严格的管理措施，进出港船舶必须按相关要求合理使用鸣笛设备，减小偶发噪声对周围声环境的影响。</w:t>
      </w:r>
    </w:p>
    <w:p>
      <w:pPr>
        <w:pStyle w:val="3"/>
        <w:rPr>
          <w:rFonts w:ascii="Times New Roman" w:hAnsi="Times New Roman" w:eastAsiaTheme="minorEastAsia"/>
          <w:b/>
          <w:szCs w:val="24"/>
        </w:rPr>
      </w:pPr>
      <w:bookmarkStart w:id="142" w:name="_Toc11349"/>
      <w:r>
        <w:rPr>
          <w:rFonts w:ascii="Times New Roman" w:hAnsi="Times New Roman" w:eastAsiaTheme="minorEastAsia"/>
          <w:b/>
        </w:rPr>
        <w:t>固体废物环境影响评价</w:t>
      </w:r>
      <w:bookmarkEnd w:id="142"/>
    </w:p>
    <w:p>
      <w:pPr>
        <w:pStyle w:val="4"/>
        <w:rPr>
          <w:rFonts w:eastAsiaTheme="minorEastAsia"/>
          <w:szCs w:val="24"/>
        </w:rPr>
      </w:pPr>
      <w:r>
        <w:rPr>
          <w:rFonts w:eastAsiaTheme="minorEastAsia"/>
        </w:rPr>
        <w:t>施工期固体废物环境影响分析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施工期陆域生活垃圾拟由环卫部门收集处理，船舶生活垃圾由施工单位负贵交海事部门环保船接收处理。建筑垃圾中可利用的物料较多，应根据情况尽量回收利用，以降低成本并减少其发生量。</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期最重要的就是要与施工单位签定环保责任书，由各施工单位负责施工期固体废弃物的处理。各施工单位要加强施工管理，对施工生活垃圾和生产垃圾不能随意抛弃，应配置一定数量的垃圾箱，定点堆放并及时转运至市政垃圾处理场进行处理。建设方应会同有关部门加强施工环保监理，一旦出现问题，应根据环保责任书进行处罚并限期改施工期的固体废弃物排放是暂时的，随着施工结束而不再增加，通过积极有效的施工管理措施，施工期固体废弃物不会对环境造成不利影响。</w:t>
      </w:r>
    </w:p>
    <w:p>
      <w:pPr>
        <w:pStyle w:val="4"/>
        <w:rPr>
          <w:rFonts w:eastAsiaTheme="minorEastAsia"/>
          <w:szCs w:val="24"/>
        </w:rPr>
      </w:pPr>
      <w:r>
        <w:rPr>
          <w:rFonts w:eastAsiaTheme="minorEastAsia"/>
        </w:rPr>
        <w:t>营运期固体废物环境影响分析</w:t>
      </w:r>
    </w:p>
    <w:p>
      <w:pPr>
        <w:pStyle w:val="5"/>
        <w:rPr>
          <w:rFonts w:eastAsiaTheme="minorEastAsia"/>
        </w:rPr>
      </w:pPr>
      <w:r>
        <w:rPr>
          <w:rFonts w:eastAsiaTheme="minorEastAsia"/>
        </w:rPr>
        <w:t>固废产生情况</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分析，本项目运营期间固体废弃物可分为船舶垃圾和陆域垃圾两部分，船舶垃圾主要为船员生活垃圾及船舶保养产生的固体废弃物，陆域垃圾主要为陆域生活垃圾、检修废物和废水处理站污泥。固体废物产生及排放情况见表6.5-1。</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表6.5-1  固体废弃物产生与排放情况(t/a)</w:t>
      </w:r>
    </w:p>
    <w:tbl>
      <w:tblPr>
        <w:tblStyle w:val="7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22"/>
        <w:gridCol w:w="2277"/>
        <w:gridCol w:w="1700"/>
        <w:gridCol w:w="939"/>
        <w:gridCol w:w="939"/>
        <w:gridCol w:w="18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781" w:type="pct"/>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251"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w:t>
            </w:r>
          </w:p>
        </w:tc>
        <w:tc>
          <w:tcPr>
            <w:tcW w:w="934"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产生量t/a</w:t>
            </w:r>
          </w:p>
        </w:tc>
        <w:tc>
          <w:tcPr>
            <w:tcW w:w="516"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削减量t/a</w:t>
            </w:r>
          </w:p>
        </w:tc>
        <w:tc>
          <w:tcPr>
            <w:tcW w:w="516"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排放量t/a</w:t>
            </w:r>
          </w:p>
        </w:tc>
        <w:tc>
          <w:tcPr>
            <w:tcW w:w="999" w:type="pct"/>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拟采取的措施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8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251"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员工生活垃圾</w:t>
            </w:r>
          </w:p>
        </w:tc>
        <w:tc>
          <w:tcPr>
            <w:tcW w:w="934"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11.55</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11.55</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999"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由海事部门指定的船舶接收处理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8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1251"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到港船舶生活垃圾</w:t>
            </w:r>
          </w:p>
        </w:tc>
        <w:tc>
          <w:tcPr>
            <w:tcW w:w="934"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5.94</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5.94</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999" w:type="pct"/>
            <w:vMerge w:val="restar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环卫部门清运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8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1251"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含油抹布</w:t>
            </w:r>
          </w:p>
        </w:tc>
        <w:tc>
          <w:tcPr>
            <w:tcW w:w="934"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999" w:type="pct"/>
            <w:vMerge w:val="continue"/>
            <w:vAlign w:val="center"/>
          </w:tcPr>
          <w:p>
            <w:pPr>
              <w:widowControl/>
              <w:snapToGrid w:val="0"/>
              <w:jc w:val="center"/>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8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1251"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934"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999" w:type="pct"/>
            <w:vMerge w:val="restar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8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251"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装卸废油</w:t>
            </w:r>
          </w:p>
        </w:tc>
        <w:tc>
          <w:tcPr>
            <w:tcW w:w="934"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516"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999" w:type="pct"/>
            <w:vMerge w:val="continue"/>
            <w:vAlign w:val="center"/>
          </w:tcPr>
          <w:p>
            <w:pPr>
              <w:widowControl/>
              <w:snapToGrid w:val="0"/>
              <w:jc w:val="center"/>
              <w:rPr>
                <w:rFonts w:ascii="Times New Roman" w:hAnsi="Times New Roman" w:eastAsiaTheme="minorEastAsia"/>
                <w:color w:val="000000"/>
                <w:kern w:val="0"/>
              </w:rPr>
            </w:pPr>
          </w:p>
        </w:tc>
      </w:tr>
    </w:tbl>
    <w:p>
      <w:pPr>
        <w:adjustRightInd w:val="0"/>
        <w:snapToGrid w:val="0"/>
        <w:spacing w:line="360" w:lineRule="auto"/>
        <w:ind w:firstLine="480" w:firstLineChars="200"/>
        <w:rPr>
          <w:rFonts w:ascii="Times New Roman" w:hAnsi="Times New Roman" w:eastAsiaTheme="minorEastAsia"/>
          <w:sz w:val="24"/>
          <w:szCs w:val="24"/>
        </w:rPr>
      </w:pPr>
    </w:p>
    <w:p>
      <w:pPr>
        <w:pStyle w:val="5"/>
        <w:rPr>
          <w:rFonts w:eastAsiaTheme="minorEastAsia"/>
        </w:rPr>
      </w:pPr>
      <w:r>
        <w:rPr>
          <w:rFonts w:eastAsiaTheme="minorEastAsia"/>
        </w:rPr>
        <w:t>固体废物环境影响分析</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1、固体废物处理处置的环境影响分析</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color w:val="000000"/>
          <w:sz w:val="24"/>
          <w:szCs w:val="24"/>
          <w:lang w:val="zh-CN"/>
        </w:rPr>
        <w:t xml:space="preserve"> 到港船舶生活垃圾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船舶垃圾一律自行带走，交海事部门环保船接收处理，严禁乱丢乱弃，对环境影响较小。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color w:val="000000"/>
          <w:sz w:val="24"/>
          <w:szCs w:val="24"/>
          <w:lang w:val="zh-CN"/>
        </w:rPr>
        <w:t xml:space="preserve"> 港区工作人员生活垃圾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本工程码头区工作人员生活垃圾通过垃圾简收集后，交由环卫部门定期清运，严禁乱丢乱弃，对环境影响较小。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 xml:space="preserve">⑶ </w:t>
      </w:r>
      <w:r>
        <w:rPr>
          <w:rFonts w:ascii="Times New Roman" w:hAnsi="Times New Roman" w:eastAsiaTheme="minorEastAsia"/>
          <w:sz w:val="24"/>
          <w:szCs w:val="24"/>
        </w:rPr>
        <w:t>检修垃圾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危险固废处置方式为委外处置。在固废处置之前，均存放在危废暂存库，暂存库场所地面采取防渗、防漏措施，配有渗滤液导流沟，符合《危险废物贮存污染控制标准》</w:t>
      </w:r>
      <w:r>
        <w:rPr>
          <w:rFonts w:hint="eastAsia" w:ascii="Times New Roman" w:hAnsi="Times New Roman" w:eastAsiaTheme="minorEastAsia"/>
          <w:sz w:val="24"/>
          <w:szCs w:val="24"/>
        </w:rPr>
        <w:t>（</w:t>
      </w:r>
      <w:r>
        <w:rPr>
          <w:rFonts w:ascii="Times New Roman" w:hAnsi="Times New Roman" w:eastAsiaTheme="minorEastAsia"/>
          <w:sz w:val="24"/>
          <w:szCs w:val="24"/>
        </w:rPr>
        <w:t>GB 18597-2001/XG1-2013</w:t>
      </w:r>
      <w:r>
        <w:rPr>
          <w:rFonts w:hint="eastAsia" w:ascii="Times New Roman" w:hAnsi="Times New Roman" w:eastAsiaTheme="minorEastAsia"/>
          <w:sz w:val="24"/>
          <w:szCs w:val="24"/>
        </w:rPr>
        <w:t>）</w:t>
      </w:r>
      <w:r>
        <w:rPr>
          <w:rFonts w:ascii="Times New Roman" w:hAnsi="Times New Roman" w:eastAsiaTheme="minorEastAsia"/>
          <w:sz w:val="24"/>
          <w:szCs w:val="24"/>
        </w:rPr>
        <w:t>的相关要求。本项目管道和阀门检修过程中产生的废棉纱、抹布、废油漆桶等危险固废依托长炼厂区现有危废仓库暂存，废棉纱、抹布等收集后委托有资质单位处置，严禁乱丢乱弃，对环境影响较小。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color w:val="000000"/>
          <w:sz w:val="24"/>
          <w:szCs w:val="24"/>
          <w:lang w:val="zh-CN"/>
        </w:rPr>
        <w:t xml:space="preserve"> 废油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color w:val="000000"/>
          <w:sz w:val="24"/>
          <w:szCs w:val="24"/>
        </w:rPr>
        <w:t>码头设备修理和装卸作业中产生的废油</w:t>
      </w:r>
      <w:r>
        <w:rPr>
          <w:rFonts w:ascii="Times New Roman" w:hAnsi="Times New Roman" w:eastAsiaTheme="minorEastAsia"/>
          <w:sz w:val="24"/>
          <w:szCs w:val="24"/>
        </w:rPr>
        <w:t>委托有资质单位处置，严禁乱丢乱弃，对环境影响较小。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综上所述，本项目产生的固体废物均可通过合理途径进行处理处置，对环境影响较小。</w:t>
      </w:r>
    </w:p>
    <w:p>
      <w:pPr>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2、固体废物贮运环节的环境影响分析</w:t>
      </w:r>
    </w:p>
    <w:p>
      <w:pPr>
        <w:adjustRightInd w:val="0"/>
        <w:snapToGrid w:val="0"/>
        <w:spacing w:line="360" w:lineRule="auto"/>
        <w:ind w:firstLine="480" w:firstLineChars="200"/>
        <w:rPr>
          <w:rFonts w:hint="eastAsia" w:ascii="Times New Roman" w:hAnsi="Times New Roman" w:eastAsiaTheme="minorEastAsia"/>
          <w:color w:val="FF0000"/>
          <w:sz w:val="24"/>
          <w:szCs w:val="24"/>
          <w:u w:val="single"/>
          <w:lang w:val="en-US" w:eastAsia="zh-CN"/>
        </w:rPr>
      </w:pPr>
      <w:r>
        <w:rPr>
          <w:rFonts w:ascii="Times New Roman" w:hAnsi="Times New Roman" w:eastAsiaTheme="minorEastAsia"/>
          <w:color w:val="FF0000"/>
          <w:sz w:val="24"/>
          <w:szCs w:val="24"/>
          <w:u w:val="single"/>
        </w:rPr>
        <w:t>本项目危险固废依托长炼厂区现有危废仓库暂存</w:t>
      </w:r>
      <w:r>
        <w:rPr>
          <w:rFonts w:hint="eastAsia" w:ascii="Times New Roman" w:hAnsi="Times New Roman" w:eastAsiaTheme="minorEastAsia"/>
          <w:color w:val="FF0000"/>
          <w:sz w:val="24"/>
          <w:szCs w:val="24"/>
          <w:u w:val="single"/>
          <w:lang w:eastAsia="zh-CN"/>
        </w:rPr>
        <w:t>，</w:t>
      </w:r>
      <w:r>
        <w:rPr>
          <w:rFonts w:hint="eastAsia" w:ascii="Times New Roman" w:hAnsi="Times New Roman" w:eastAsiaTheme="minorEastAsia"/>
          <w:color w:val="FF0000"/>
          <w:sz w:val="24"/>
          <w:szCs w:val="24"/>
          <w:u w:val="single"/>
          <w:lang w:val="en-US" w:eastAsia="zh-CN"/>
        </w:rPr>
        <w:t>本项目作为改建项目，码头后方现有办公生产区，可利用现有的</w:t>
      </w:r>
      <w:r>
        <w:rPr>
          <w:rFonts w:hint="default" w:ascii="Times New Roman" w:hAnsi="Times New Roman" w:cs="Times New Roman"/>
          <w:color w:val="FF0000"/>
          <w:kern w:val="2"/>
          <w:sz w:val="24"/>
          <w:szCs w:val="24"/>
          <w:u w:val="single"/>
          <w:lang w:val="en-US" w:eastAsia="zh-CN" w:bidi="ar-SA"/>
        </w:rPr>
        <w:t>危废暂存间</w:t>
      </w:r>
      <w:r>
        <w:rPr>
          <w:rFonts w:hint="eastAsia" w:ascii="Times New Roman" w:hAnsi="Times New Roman" w:cs="Times New Roman"/>
          <w:color w:val="FF0000"/>
          <w:kern w:val="2"/>
          <w:sz w:val="24"/>
          <w:szCs w:val="24"/>
          <w:u w:val="single"/>
          <w:lang w:val="en-US" w:eastAsia="zh-CN" w:bidi="ar-SA"/>
        </w:rPr>
        <w:t>暂存本项目产生的危废，码头与</w:t>
      </w:r>
      <w:r>
        <w:rPr>
          <w:rFonts w:ascii="Times New Roman" w:hAnsi="Times New Roman" w:eastAsiaTheme="minorEastAsia"/>
          <w:color w:val="FF0000"/>
          <w:sz w:val="24"/>
          <w:szCs w:val="24"/>
          <w:u w:val="single"/>
        </w:rPr>
        <w:t>长炼厂区</w:t>
      </w:r>
      <w:r>
        <w:rPr>
          <w:rFonts w:hint="eastAsia" w:ascii="Times New Roman" w:hAnsi="Times New Roman" w:eastAsiaTheme="minorEastAsia"/>
          <w:color w:val="FF0000"/>
          <w:sz w:val="24"/>
          <w:szCs w:val="24"/>
          <w:u w:val="single"/>
          <w:lang w:val="en-US" w:eastAsia="zh-CN"/>
        </w:rPr>
        <w:t>相距约10km，交通便捷，本项目依托</w:t>
      </w:r>
      <w:r>
        <w:rPr>
          <w:rFonts w:ascii="Times New Roman" w:hAnsi="Times New Roman" w:eastAsiaTheme="minorEastAsia"/>
          <w:color w:val="FF0000"/>
          <w:sz w:val="24"/>
          <w:szCs w:val="24"/>
          <w:u w:val="single"/>
        </w:rPr>
        <w:t>长炼厂区现有危废仓库暂存</w:t>
      </w:r>
      <w:r>
        <w:rPr>
          <w:rFonts w:hint="eastAsia" w:ascii="Times New Roman" w:hAnsi="Times New Roman" w:eastAsiaTheme="minorEastAsia"/>
          <w:color w:val="FF0000"/>
          <w:sz w:val="24"/>
          <w:szCs w:val="24"/>
          <w:u w:val="single"/>
          <w:lang w:val="en-US" w:eastAsia="zh-CN"/>
        </w:rPr>
        <w:t>是合理可行的。</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长炼厂区按照《危险废物贮存污染控制标准》</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GB18597-2001</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相关要求在长炼厂区内建设了危废暂存库，分类贮存各种危险废物，根据危废按照不同的类别和性质，危险废物储存容器和包装物均按照GB18597-200执行，危废储存场所依据《环境保护图形标志-固体废物贮存</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处置</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场》</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GB15562.2-1995</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中规定设有危险废物识别标志，危废分别存放于专门的容器中</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防渗</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，分类存放在各自的堆放区内，保证空气的畅通。危废临时贮存房地面基础及内墙采取防渗措施</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其中内墙防渗层做到0.5m高</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，使用防水混凝土，地面做防滑处理。地面设地沟和集水池，地面、地沟及集水池均作环氧树脂防腐处理；地沟设漏水耐腐蚀钢盖板</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考虑过车</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，并在穿墙处做防渗处理。库房内采取全面通风的措施，设有安全照明设施，并设置干粉灭火器，库房外设置室外消火栓。因此，本项目危险固废依托长炼厂区现有危废仓库暂存对环境影响较小。</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本项目危险废物临时存放时间为1个月，其后废棉纱、抹布、废油等危险固废委托有资质单位处置。</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码头生活垃圾通过垃圾筒收集后，交由环卫部门定期清运，环卫部门采用封闭式垃圾清运车清运。因此，本项目生活垃圾运输过程对环境影响较小。</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综上所述，本项目固体废物贮运环节对环境的影响较小。</w:t>
      </w:r>
    </w:p>
    <w:p>
      <w:pPr>
        <w:pStyle w:val="3"/>
        <w:rPr>
          <w:rFonts w:ascii="Times New Roman" w:hAnsi="Times New Roman" w:eastAsiaTheme="minorEastAsia"/>
          <w:b/>
          <w:color w:val="000000" w:themeColor="text1"/>
          <w14:textFill>
            <w14:solidFill>
              <w14:schemeClr w14:val="tx1"/>
            </w14:solidFill>
          </w14:textFill>
        </w:rPr>
      </w:pPr>
      <w:bookmarkStart w:id="143" w:name="_Toc15022"/>
      <w:r>
        <w:rPr>
          <w:rFonts w:hint="eastAsia" w:ascii="Times New Roman" w:hAnsi="Times New Roman" w:eastAsiaTheme="minorEastAsia"/>
          <w:b/>
          <w:color w:val="000000" w:themeColor="text1"/>
          <w14:textFill>
            <w14:solidFill>
              <w14:schemeClr w14:val="tx1"/>
            </w14:solidFill>
          </w14:textFill>
        </w:rPr>
        <w:t>土壤环境影响评价</w:t>
      </w:r>
      <w:bookmarkEnd w:id="143"/>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评价等级判定</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本项目工程内容包括码头和管线两部分，根据《环境影响评价技术导则  土壤环境》（HJ964-2018）第6.2.5条规定：线性工程重点针对主要站场位置（如输油站、泵站、阀室、加油站、维修场所等）6.2.2 分段判断评价等级，并按相应等级分别开展评价工作。本项目在码头区域设置阀室平台4个，因此本次评价按码头区域的占地情况来确定土壤评价等级。</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根据导则，建设项目土壤环境影响评价工作等级的划分应依据建设项目行业分类和土壤环境敏感程度分级进行判定：</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⑴</w:t>
      </w:r>
      <w:r>
        <w:rPr>
          <w:rFonts w:ascii="Times New Roman" w:hAnsi="Times New Roman" w:eastAsiaTheme="minorEastAsia"/>
          <w:color w:val="000000" w:themeColor="text1"/>
          <w:sz w:val="24"/>
          <w:szCs w:val="24"/>
          <w14:textFill>
            <w14:solidFill>
              <w14:schemeClr w14:val="tx1"/>
            </w14:solidFill>
          </w14:textFill>
        </w:rPr>
        <w:t xml:space="preserve"> 建设项目行业分类：对照《环境影响评价技术导则  土壤环境》（HJ964-2018）附录A，拟建工程属于“交通运输仓储邮政类”中“石油及成品油的输送管线”类，按土壤环境影响评价项目类别划分为</w:t>
      </w:r>
      <w:r>
        <w:rPr>
          <w:rFonts w:hint="eastAsia" w:ascii="宋体" w:hAnsi="宋体" w:cs="宋体"/>
          <w:color w:val="000000" w:themeColor="text1"/>
          <w:sz w:val="24"/>
          <w:szCs w:val="24"/>
          <w:lang w:eastAsia="ja-JP"/>
          <w14:textFill>
            <w14:solidFill>
              <w14:schemeClr w14:val="tx1"/>
            </w14:solidFill>
          </w14:textFill>
        </w:rPr>
        <w:t>Ⅱ</w:t>
      </w:r>
      <w:r>
        <w:rPr>
          <w:rFonts w:ascii="Times New Roman" w:hAnsi="Times New Roman" w:eastAsiaTheme="minorEastAsia"/>
          <w:color w:val="000000" w:themeColor="text1"/>
          <w:sz w:val="24"/>
          <w:szCs w:val="24"/>
          <w14:textFill>
            <w14:solidFill>
              <w14:schemeClr w14:val="tx1"/>
            </w14:solidFill>
          </w14:textFill>
        </w:rPr>
        <w:t>类。</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⑵</w:t>
      </w:r>
      <w:r>
        <w:rPr>
          <w:rFonts w:ascii="Times New Roman" w:hAnsi="Times New Roman" w:eastAsiaTheme="minorEastAsia"/>
          <w:color w:val="000000" w:themeColor="text1"/>
          <w:sz w:val="24"/>
          <w:szCs w:val="24"/>
          <w14:textFill>
            <w14:solidFill>
              <w14:schemeClr w14:val="tx1"/>
            </w14:solidFill>
          </w14:textFill>
        </w:rPr>
        <w:t xml:space="preserve"> 土壤环境敏感程度分级：码头及阀室均位于大堤外，工程周边200m范围存在土壤敏感目标。因此，土壤敏感程度为敏感。</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⑶</w:t>
      </w:r>
      <w:r>
        <w:rPr>
          <w:rFonts w:ascii="Times New Roman" w:hAnsi="Times New Roman" w:eastAsiaTheme="minorEastAsia"/>
          <w:color w:val="000000" w:themeColor="text1"/>
          <w:sz w:val="24"/>
          <w:szCs w:val="24"/>
          <w14:textFill>
            <w14:solidFill>
              <w14:schemeClr w14:val="tx1"/>
            </w14:solidFill>
          </w14:textFill>
        </w:rPr>
        <w:t xml:space="preserve"> 建设项目占地规模分级：码头及阀室占地规模小于5hm</w:t>
      </w:r>
      <w:r>
        <w:rPr>
          <w:rFonts w:ascii="Times New Roman" w:hAnsi="Times New Roman" w:eastAsiaTheme="minorEastAsia"/>
          <w:color w:val="000000" w:themeColor="text1"/>
          <w:sz w:val="24"/>
          <w:szCs w:val="24"/>
          <w:vertAlign w:val="super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，占地规模为小型。</w:t>
      </w:r>
    </w:p>
    <w:p>
      <w:pPr>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经以上分析，根据《环境影响评价技术导则 土壤环境》（HJ964-2018）中相关规定，本项目为污染影响型的二级土壤评价</w:t>
      </w:r>
      <w:r>
        <w:rPr>
          <w:rFonts w:hint="eastAsia" w:ascii="Times New Roman" w:hAnsi="Times New Roman"/>
          <w:color w:val="000000" w:themeColor="text1"/>
          <w:sz w:val="24"/>
          <w:szCs w:val="32"/>
          <w14:textFill>
            <w14:solidFill>
              <w14:schemeClr w14:val="tx1"/>
            </w14:solidFill>
          </w14:textFill>
        </w:rPr>
        <w:t>。</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影响识别</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本项目</w:t>
      </w:r>
      <w:r>
        <w:rPr>
          <w:rFonts w:ascii="Times New Roman" w:hAnsi="Times New Roman" w:eastAsiaTheme="minorEastAsia"/>
          <w:color w:val="000000" w:themeColor="text1"/>
          <w:sz w:val="24"/>
          <w:szCs w:val="24"/>
          <w14:textFill>
            <w14:solidFill>
              <w14:schemeClr w14:val="tx1"/>
            </w14:solidFill>
          </w14:textFill>
        </w:rPr>
        <w:t>码头区域</w:t>
      </w:r>
      <w:r>
        <w:rPr>
          <w:rFonts w:hint="eastAsia" w:ascii="Times New Roman" w:hAnsi="Times New Roman"/>
          <w:color w:val="000000" w:themeColor="text1"/>
          <w:sz w:val="24"/>
          <w:szCs w:val="32"/>
          <w14:textFill>
            <w14:solidFill>
              <w14:schemeClr w14:val="tx1"/>
            </w14:solidFill>
          </w14:textFill>
        </w:rPr>
        <w:t>地面硬化，货物管道运输，不涉及地面径流和垂直入渗，对土壤环境的影响主要是挥发性有机物的大气沉降影响。项目土壤环境影响类型与影响途径、土壤环境影响源及影响因子识别如下：</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 xml:space="preserve">表6.6-1 </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建设项目土壤环境影响类型与影响途径表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20"/>
        <w:gridCol w:w="1820"/>
        <w:gridCol w:w="1820"/>
        <w:gridCol w:w="1820"/>
        <w:gridCol w:w="1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vMerge w:val="restar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不同时段</w:t>
            </w:r>
          </w:p>
        </w:tc>
        <w:tc>
          <w:tcPr>
            <w:tcW w:w="4000" w:type="pct"/>
            <w:gridSpan w:val="4"/>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vMerge w:val="continue"/>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p>
        </w:tc>
        <w:tc>
          <w:tcPr>
            <w:tcW w:w="1000"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大气沉降</w:t>
            </w:r>
          </w:p>
        </w:tc>
        <w:tc>
          <w:tcPr>
            <w:tcW w:w="1000"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地面漫流</w:t>
            </w:r>
          </w:p>
        </w:tc>
        <w:tc>
          <w:tcPr>
            <w:tcW w:w="1000"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垂直入渗</w:t>
            </w:r>
          </w:p>
        </w:tc>
        <w:tc>
          <w:tcPr>
            <w:tcW w:w="1000"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建设期</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运营期</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服务期满后</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00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r>
    </w:tbl>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表6.6-2</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 xml:space="preserve"> 项目土壤环境影响源及影响因子识别表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84"/>
        <w:gridCol w:w="1807"/>
        <w:gridCol w:w="1147"/>
        <w:gridCol w:w="1749"/>
        <w:gridCol w:w="1249"/>
        <w:gridCol w:w="2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86"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污染源</w:t>
            </w:r>
          </w:p>
        </w:tc>
        <w:tc>
          <w:tcPr>
            <w:tcW w:w="993"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工艺流程/节点</w:t>
            </w:r>
          </w:p>
        </w:tc>
        <w:tc>
          <w:tcPr>
            <w:tcW w:w="630"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污染途径</w:t>
            </w:r>
          </w:p>
        </w:tc>
        <w:tc>
          <w:tcPr>
            <w:tcW w:w="961"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全部污染物指标</w:t>
            </w:r>
          </w:p>
        </w:tc>
        <w:tc>
          <w:tcPr>
            <w:tcW w:w="686"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特征因子</w:t>
            </w:r>
          </w:p>
        </w:tc>
        <w:tc>
          <w:tcPr>
            <w:tcW w:w="1245" w:type="pct"/>
            <w:tcBorders>
              <w:tl2br w:val="nil"/>
              <w:tr2bl w:val="nil"/>
            </w:tcBorders>
            <w:vAlign w:val="center"/>
          </w:tcPr>
          <w:p>
            <w:pPr>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6"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码头</w:t>
            </w:r>
          </w:p>
        </w:tc>
        <w:tc>
          <w:tcPr>
            <w:tcW w:w="993"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货物装卸</w:t>
            </w:r>
          </w:p>
        </w:tc>
        <w:tc>
          <w:tcPr>
            <w:tcW w:w="630"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大气沉降</w:t>
            </w:r>
          </w:p>
        </w:tc>
        <w:tc>
          <w:tcPr>
            <w:tcW w:w="961"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挥发性有机物</w:t>
            </w:r>
          </w:p>
        </w:tc>
        <w:tc>
          <w:tcPr>
            <w:tcW w:w="686"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VOCs</w:t>
            </w:r>
          </w:p>
        </w:tc>
        <w:tc>
          <w:tcPr>
            <w:tcW w:w="1245" w:type="pct"/>
            <w:tcBorders>
              <w:tl2br w:val="nil"/>
              <w:tr2bl w:val="nil"/>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管线北侧18m沙窝居民点</w:t>
            </w:r>
          </w:p>
        </w:tc>
      </w:tr>
    </w:tbl>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预测分析</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⑴ 预测范围</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土壤环境影响预测范围与现状调查评价范围一致，厂区范围内及周边0.2km范围。</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⑵ 预测时段</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预测时段设定为</w:t>
      </w:r>
      <w:r>
        <w:rPr>
          <w:rFonts w:hint="eastAsia"/>
          <w:color w:val="000000" w:themeColor="text1"/>
          <w:sz w:val="24"/>
          <w:szCs w:val="32"/>
          <w14:textFill>
            <w14:solidFill>
              <w14:schemeClr w14:val="tx1"/>
            </w14:solidFill>
          </w14:textFill>
        </w:rPr>
        <w:t>码头</w:t>
      </w:r>
      <w:r>
        <w:rPr>
          <w:rFonts w:hint="eastAsia" w:ascii="Times New Roman" w:hAnsi="Times New Roman"/>
          <w:color w:val="000000" w:themeColor="text1"/>
          <w:sz w:val="24"/>
          <w:szCs w:val="32"/>
          <w14:textFill>
            <w14:solidFill>
              <w14:schemeClr w14:val="tx1"/>
            </w14:solidFill>
          </w14:textFill>
        </w:rPr>
        <w:t>有机废气多年沉降后对区域土壤环境质量的影响：10年、20年、30年。</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⑶ 预测情景</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正常工况下，</w:t>
      </w:r>
      <w:r>
        <w:rPr>
          <w:rFonts w:hint="eastAsia"/>
          <w:color w:val="000000" w:themeColor="text1"/>
          <w:sz w:val="24"/>
          <w:szCs w:val="32"/>
          <w14:textFill>
            <w14:solidFill>
              <w14:schemeClr w14:val="tx1"/>
            </w14:solidFill>
          </w14:textFill>
        </w:rPr>
        <w:t>码头装卸</w:t>
      </w:r>
      <w:r>
        <w:rPr>
          <w:rFonts w:hint="eastAsia" w:ascii="Times New Roman" w:hAnsi="Times New Roman"/>
          <w:color w:val="000000" w:themeColor="text1"/>
          <w:sz w:val="24"/>
          <w:szCs w:val="32"/>
          <w14:textFill>
            <w14:solidFill>
              <w14:schemeClr w14:val="tx1"/>
            </w14:solidFill>
          </w14:textFill>
        </w:rPr>
        <w:t>排放大气污染物以大气沉降方式进入土壤产生的环境影响。</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⑷ 预测因子</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项目不涉及重金属，因此</w:t>
      </w:r>
      <w:r>
        <w:rPr>
          <w:rFonts w:hint="eastAsia" w:ascii="Times New Roman" w:hAnsi="Times New Roman"/>
          <w:color w:val="000000" w:themeColor="text1"/>
          <w:sz w:val="24"/>
          <w:szCs w:val="32"/>
          <w14:textFill>
            <w14:solidFill>
              <w14:schemeClr w14:val="tx1"/>
            </w14:solidFill>
          </w14:textFill>
        </w:rPr>
        <w:t>预测因子选取石油烃（以挥发性有机物计）。</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⑸ 预测模型</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本次评价采用《环境影响评价技术导则-土壤环境（试行）》（HJ964-2018）推荐的方法一进行计算。</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① 单位质量土壤中某中物质的增量可用下式计算。</w:t>
      </w:r>
    </w:p>
    <w:p>
      <w:pPr>
        <w:adjustRightInd w:val="0"/>
        <w:snapToGrid w:val="0"/>
        <w:spacing w:line="360" w:lineRule="auto"/>
        <w:jc w:val="center"/>
        <w:rPr>
          <w:rFonts w:ascii="Times New Roman" w:hAnsi="Times New Roman"/>
          <w:color w:val="000000" w:themeColor="text1"/>
          <w:sz w:val="24"/>
          <w:szCs w:val="32"/>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2124075" cy="200025"/>
            <wp:effectExtent l="0" t="0" r="9525" b="762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60"/>
                    <a:stretch>
                      <a:fillRect/>
                    </a:stretch>
                  </pic:blipFill>
                  <pic:spPr>
                    <a:xfrm>
                      <a:off x="0" y="0"/>
                      <a:ext cx="2124075" cy="20002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w:t>
      </w:r>
      <w:r>
        <w:rPr>
          <w:rFonts w:ascii="Times New Roman" w:hAnsi="Times New Roman"/>
          <w:color w:val="000000" w:themeColor="text1"/>
          <w:position w:val="-6"/>
          <w:sz w:val="24"/>
          <w:szCs w:val="24"/>
          <w14:textFill>
            <w14:solidFill>
              <w14:schemeClr w14:val="tx1"/>
            </w14:solidFill>
          </w14:textFill>
        </w:rPr>
        <w:object>
          <v:shape id="_x0000_i1031" o:spt="75" type="#_x0000_t75" style="height:14.4pt;width:18.45pt;" o:ole="t" filled="f" o:preferrelative="t" stroked="f" coordsize="21600,21600">
            <v:path/>
            <v:fill on="f" focussize="0,0"/>
            <v:stroke on="f" joinstyle="miter"/>
            <v:imagedata r:id="rId62" o:title=""/>
            <o:lock v:ext="edit" aspectratio="t"/>
            <w10:wrap type="none"/>
            <w10:anchorlock/>
          </v:shape>
          <o:OLEObject Type="Embed" ProgID="Equation.KSEE3" ShapeID="_x0000_i1031" DrawAspect="Content" ObjectID="_1468075731" r:id="rId61">
            <o:LockedField>false</o:LockedField>
          </o:OLEObject>
        </w:object>
      </w:r>
      <w:r>
        <w:rPr>
          <w:rFonts w:ascii="Times New Roman" w:hAnsi="Times New Roman"/>
          <w:color w:val="000000" w:themeColor="text1"/>
          <w:sz w:val="24"/>
          <w:szCs w:val="24"/>
          <w14:textFill>
            <w14:solidFill>
              <w14:schemeClr w14:val="tx1"/>
            </w14:solidFill>
          </w14:textFill>
        </w:rPr>
        <w:t>—单位质量表层土壤中某种物质的增量，g/kg；</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vertAlign w:val="subscript"/>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—预测评价范围内单位年份表层土壤中某种物质的输入量，g；</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—预测评价范围内单位年份表层土壤中某种物质经淋溶排出的量，g；</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vertAlign w:val="subscript"/>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—预测评价范围内单位年份表层土壤中某种物质经径流排出的量，g；</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position w:val="-12"/>
          <w:sz w:val="24"/>
          <w:szCs w:val="24"/>
          <w14:textFill>
            <w14:solidFill>
              <w14:schemeClr w14:val="tx1"/>
            </w14:solidFill>
          </w14:textFill>
        </w:rPr>
        <w:object>
          <v:shape id="_x0000_i1032" o:spt="75" type="#_x0000_t75" style="height:18.45pt;width:14.4pt;" o:ole="t" filled="f" o:preferrelative="t" stroked="f" coordsize="21600,21600">
            <v:path/>
            <v:fill on="f" focussize="0,0"/>
            <v:stroke on="f" joinstyle="miter"/>
            <v:imagedata r:id="rId64" o:title=""/>
            <o:lock v:ext="edit" aspectratio="t"/>
            <w10:wrap type="none"/>
            <w10:anchorlock/>
          </v:shape>
          <o:OLEObject Type="Embed" ProgID="Equation.KSEE3" ShapeID="_x0000_i1032" DrawAspect="Content" ObjectID="_1468075732" r:id="rId63">
            <o:LockedField>false</o:LockedField>
          </o:OLEObject>
        </w:object>
      </w:r>
      <w:r>
        <w:rPr>
          <w:rFonts w:ascii="Times New Roman" w:hAnsi="Times New Roman"/>
          <w:color w:val="000000" w:themeColor="text1"/>
          <w:sz w:val="24"/>
          <w:szCs w:val="24"/>
          <w14:textFill>
            <w14:solidFill>
              <w14:schemeClr w14:val="tx1"/>
            </w14:solidFill>
          </w14:textFill>
        </w:rPr>
        <w:t>—表层土壤容重，kg/m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A—预测评价范围，m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D—表层土壤深度，一般取0.2m，可根据实际情况适当调整；</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n—持续年份，a。</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② </w:t>
      </w:r>
      <w:r>
        <w:rPr>
          <w:rFonts w:ascii="Times New Roman" w:hAnsi="Times New Roman"/>
          <w:color w:val="000000" w:themeColor="text1"/>
          <w:sz w:val="24"/>
          <w:szCs w:val="24"/>
          <w14:textFill>
            <w14:solidFill>
              <w14:schemeClr w14:val="tx1"/>
            </w14:solidFill>
          </w14:textFill>
        </w:rPr>
        <w:t>单位质量土壤中某种物质的预测值可根据其增量叠加现状值进行计算。</w:t>
      </w:r>
    </w:p>
    <w:p>
      <w:pPr>
        <w:adjustRightInd w:val="0"/>
        <w:snapToGrid w:val="0"/>
        <w:spacing w:line="360" w:lineRule="auto"/>
        <w:jc w:val="center"/>
        <w:rPr>
          <w:rFonts w:ascii="Times New Roman" w:hAnsi="Times New Roman"/>
          <w:color w:val="0000FF"/>
          <w:sz w:val="24"/>
          <w:szCs w:val="24"/>
        </w:rPr>
      </w:pPr>
      <w:r>
        <w:rPr>
          <w:rFonts w:ascii="Times New Roman" w:hAnsi="Times New Roman"/>
          <w:color w:val="0000FF"/>
          <w:sz w:val="24"/>
          <w:szCs w:val="24"/>
        </w:rPr>
        <w:drawing>
          <wp:inline distT="0" distB="0" distL="114300" distR="114300">
            <wp:extent cx="714375" cy="228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5"/>
                    <a:stretch>
                      <a:fillRect/>
                    </a:stretch>
                  </pic:blipFill>
                  <pic:spPr>
                    <a:xfrm>
                      <a:off x="0" y="0"/>
                      <a:ext cx="714375" cy="228600"/>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式中：S</w:t>
      </w:r>
      <w:r>
        <w:rPr>
          <w:rFonts w:ascii="Times New Roman" w:hAnsi="Times New Roman"/>
          <w:color w:val="000000" w:themeColor="text1"/>
          <w:sz w:val="24"/>
          <w:szCs w:val="24"/>
          <w:vertAlign w:val="subscript"/>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—单位质量土壤中某种物质的现状值，g/kg；</w:t>
      </w:r>
    </w:p>
    <w:p>
      <w:pPr>
        <w:adjustRightInd w:val="0"/>
        <w:snapToGrid w:val="0"/>
        <w:spacing w:line="360" w:lineRule="auto"/>
        <w:ind w:firstLine="1200" w:firstLineChars="5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S—单位质量土壤中某种物质的预测值，g/kg。</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 xml:space="preserve">⑹ </w:t>
      </w:r>
      <w:r>
        <w:rPr>
          <w:rFonts w:ascii="Times New Roman" w:hAnsi="Times New Roman"/>
          <w:color w:val="000000" w:themeColor="text1"/>
          <w:sz w:val="24"/>
          <w:szCs w:val="32"/>
          <w14:textFill>
            <w14:solidFill>
              <w14:schemeClr w14:val="tx1"/>
            </w14:solidFill>
          </w14:textFill>
        </w:rPr>
        <w:t>预测参数</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① </w:t>
      </w:r>
      <w:r>
        <w:rPr>
          <w:rFonts w:ascii="Times New Roman" w:hAnsi="Times New Roman"/>
          <w:color w:val="000000" w:themeColor="text1"/>
          <w:sz w:val="24"/>
          <w:szCs w:val="24"/>
          <w14:textFill>
            <w14:solidFill>
              <w14:schemeClr w14:val="tx1"/>
            </w14:solidFill>
          </w14:textFill>
        </w:rPr>
        <w:t>表层土壤中某种物质的输入量Is可通过下列公式估算：</w:t>
      </w:r>
    </w:p>
    <w:p>
      <w:pPr>
        <w:adjustRightInd w:val="0"/>
        <w:snapToGrid w:val="0"/>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vertAlign w:val="subscript"/>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=C×V×T×A</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式中：C—污染物的最大时落地浓度，mg/m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；项目挥发性有机物最大小时落地浓度为0.1396mg/m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w:t>
      </w:r>
    </w:p>
    <w:p>
      <w:pPr>
        <w:adjustRightInd w:val="0"/>
        <w:snapToGrid w:val="0"/>
        <w:spacing w:line="360" w:lineRule="auto"/>
        <w:ind w:firstLine="1080" w:firstLineChars="45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V—污染物沉降速率，m/s；由于项目排放污染物的粒度较细，粒度小于1μm，沉降速率取值为0.1cm/s（即0.001m/s）。</w:t>
      </w:r>
    </w:p>
    <w:p>
      <w:pPr>
        <w:adjustRightInd w:val="0"/>
        <w:snapToGrid w:val="0"/>
        <w:spacing w:line="360" w:lineRule="auto"/>
        <w:ind w:firstLine="1080" w:firstLineChars="45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T—年内污染物沉降时间，s。项目装卸年运行4480h，即T 取1.6×10</w:t>
      </w:r>
      <w:r>
        <w:rPr>
          <w:rFonts w:hint="eastAsia" w:ascii="Times New Roman" w:hAnsi="Times New Roman"/>
          <w:color w:val="000000" w:themeColor="text1"/>
          <w:sz w:val="24"/>
          <w:szCs w:val="24"/>
          <w:vertAlign w:val="superscript"/>
          <w14:textFill>
            <w14:solidFill>
              <w14:schemeClr w14:val="tx1"/>
            </w14:solidFill>
          </w14:textFill>
        </w:rPr>
        <w:t>7</w:t>
      </w:r>
      <w:r>
        <w:rPr>
          <w:rFonts w:hint="eastAsia" w:ascii="Times New Roman" w:hAnsi="Times New Roman"/>
          <w:color w:val="000000" w:themeColor="text1"/>
          <w:sz w:val="24"/>
          <w:szCs w:val="24"/>
          <w14:textFill>
            <w14:solidFill>
              <w14:schemeClr w14:val="tx1"/>
            </w14:solidFill>
          </w14:textFill>
        </w:rPr>
        <w:t>s。</w:t>
      </w:r>
    </w:p>
    <w:p>
      <w:pPr>
        <w:adjustRightInd w:val="0"/>
        <w:snapToGrid w:val="0"/>
        <w:spacing w:line="360" w:lineRule="auto"/>
        <w:ind w:firstLine="1080" w:firstLineChars="45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A—预测评价范围，m</w:t>
      </w:r>
      <w:r>
        <w:rPr>
          <w:rFonts w:hint="eastAsia" w:ascii="Times New Roman" w:hAnsi="Times New Roman"/>
          <w:color w:val="000000" w:themeColor="text1"/>
          <w:sz w:val="24"/>
          <w:szCs w:val="24"/>
          <w:vertAlign w:val="super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；本评价取136745.89m</w:t>
      </w:r>
      <w:r>
        <w:rPr>
          <w:rFonts w:hint="eastAsia" w:ascii="Times New Roman" w:hAnsi="Times New Roman"/>
          <w:color w:val="000000" w:themeColor="text1"/>
          <w:sz w:val="24"/>
          <w:szCs w:val="24"/>
          <w:vertAlign w:val="super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根据以上参数计算得到本项目I</w:t>
      </w:r>
      <w:r>
        <w:rPr>
          <w:rFonts w:hint="eastAsia" w:ascii="Times New Roman" w:hAnsi="Times New Roman"/>
          <w:color w:val="000000" w:themeColor="text1"/>
          <w:sz w:val="24"/>
          <w:szCs w:val="24"/>
          <w:vertAlign w:val="subscript"/>
          <w14:textFill>
            <w14:solidFill>
              <w14:schemeClr w14:val="tx1"/>
            </w14:solidFill>
          </w14:textFill>
        </w:rPr>
        <w:t>S</w:t>
      </w:r>
      <w:r>
        <w:rPr>
          <w:rFonts w:hint="eastAsia" w:ascii="Times New Roman" w:hAnsi="Times New Roman"/>
          <w:color w:val="000000" w:themeColor="text1"/>
          <w:sz w:val="24"/>
          <w:szCs w:val="24"/>
          <w14:textFill>
            <w14:solidFill>
              <w14:schemeClr w14:val="tx1"/>
            </w14:solidFill>
          </w14:textFill>
        </w:rPr>
        <w:t>=305435.62g。</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② 参考有关研究资料，挥发性有机物在土壤中一般不易被自然淋溶迁移，综合考虑作物富集、土壤侵蚀和土壤渗漏等流失途径，因此不考虑这部分淋溶排出量，即Ls=0。</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③ 本次评价不考虑径流排出量，即：Rs=0。</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④ 根据土壤理化特性调查，一般表层土壤容重</w:t>
      </w:r>
      <w:r>
        <w:rPr>
          <w:rFonts w:hint="eastAsia" w:ascii="Times New Roman" w:hAnsi="Times New Roman"/>
          <w:color w:val="000000" w:themeColor="text1"/>
          <w:position w:val="-12"/>
          <w:sz w:val="24"/>
          <w:szCs w:val="24"/>
          <w14:textFill>
            <w14:solidFill>
              <w14:schemeClr w14:val="tx1"/>
            </w14:solidFill>
          </w14:textFill>
        </w:rPr>
        <w:object>
          <v:shape id="_x0000_i1033" o:spt="75" type="#_x0000_t75" style="height:18.45pt;width:14.4pt;" o:ole="t" filled="f" o:preferrelative="t" stroked="f" coordsize="21600,21600">
            <v:path/>
            <v:fill on="f" focussize="0,0"/>
            <v:stroke on="f" joinstyle="miter"/>
            <v:imagedata r:id="rId64" o:title=""/>
            <o:lock v:ext="edit" aspectratio="t"/>
            <w10:wrap type="none"/>
            <w10:anchorlock/>
          </v:shape>
          <o:OLEObject Type="Embed" ProgID="Equation.KSEE3" ShapeID="_x0000_i1033" DrawAspect="Content" ObjectID="_1468075733" r:id="rId66">
            <o:LockedField>false</o:LockedField>
          </o:OLEObject>
        </w:object>
      </w:r>
      <w:r>
        <w:rPr>
          <w:rFonts w:hint="eastAsia" w:ascii="Times New Roman" w:hAnsi="Times New Roman"/>
          <w:color w:val="000000" w:themeColor="text1"/>
          <w:sz w:val="24"/>
          <w:szCs w:val="24"/>
          <w14:textFill>
            <w14:solidFill>
              <w14:schemeClr w14:val="tx1"/>
            </w14:solidFill>
          </w14:textFill>
        </w:rPr>
        <w:t>平均值为1200kg/m</w:t>
      </w:r>
      <w:r>
        <w:rPr>
          <w:rFonts w:hint="eastAsia" w:ascii="Times New Roman" w:hAnsi="Times New Roman"/>
          <w:color w:val="000000" w:themeColor="text1"/>
          <w:sz w:val="24"/>
          <w:szCs w:val="24"/>
          <w:vertAlign w:val="superscript"/>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⑤ 预测评价面积A=136745.89m</w:t>
      </w:r>
      <w:r>
        <w:rPr>
          <w:rFonts w:hint="eastAsia" w:ascii="Times New Roman" w:hAnsi="Times New Roman"/>
          <w:color w:val="000000" w:themeColor="text1"/>
          <w:sz w:val="24"/>
          <w:szCs w:val="24"/>
          <w:vertAlign w:val="super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⑥ 表层土壤深度D=0.2m。</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⑦ 持续年份n=10年、20年、30年。</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⑺ 评价标准</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项目评价范围规划为建设用地，评价标准参照《土壤环境质量建设用地土壤污染风险管控标准（试行）》（GB36600-2018）中表1 土壤污染风险筛选值执行。</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⑻ 预测结果</w:t>
      </w: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通过叠加现状背景值，可知项目运营期大气污染物排放对土壤累积影响见下表：</w:t>
      </w:r>
    </w:p>
    <w:p>
      <w:pPr>
        <w:wordWrap w:val="0"/>
        <w:adjustRightInd w:val="0"/>
        <w:snapToGrid w:val="0"/>
        <w:spacing w:line="276" w:lineRule="auto"/>
        <w:jc w:val="right"/>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 xml:space="preserve">表6.6-3 </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 xml:space="preserve">土壤累积影响预测 </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单位：mg/kg</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05"/>
        <w:gridCol w:w="1079"/>
        <w:gridCol w:w="1079"/>
        <w:gridCol w:w="948"/>
        <w:gridCol w:w="1079"/>
        <w:gridCol w:w="723"/>
        <w:gridCol w:w="1079"/>
        <w:gridCol w:w="1079"/>
        <w:gridCol w:w="1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7" w:type="pct"/>
            <w:vMerge w:val="restar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污染物</w:t>
            </w:r>
          </w:p>
        </w:tc>
        <w:tc>
          <w:tcPr>
            <w:tcW w:w="1707" w:type="pct"/>
            <w:gridSpan w:val="3"/>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position w:val="-6"/>
                <w14:textFill>
                  <w14:solidFill>
                    <w14:schemeClr w14:val="tx1"/>
                  </w14:solidFill>
                </w14:textFill>
              </w:rPr>
              <w:object>
                <v:shape id="_x0000_i1034" o:spt="75" type="#_x0000_t75" style="height:14.4pt;width:18.45pt;" o:ole="t" filled="f" o:preferrelative="t" stroked="f" coordsize="21600,21600">
                  <v:path/>
                  <v:fill on="f" focussize="0,0"/>
                  <v:stroke on="f" joinstyle="miter"/>
                  <v:imagedata r:id="rId62" o:title=""/>
                  <o:lock v:ext="edit" aspectratio="t"/>
                  <w10:wrap type="none"/>
                  <w10:anchorlock/>
                </v:shape>
                <o:OLEObject Type="Embed" ProgID="Equation.KSEE3" ShapeID="_x0000_i1034" DrawAspect="Content" ObjectID="_1468075734" r:id="rId67">
                  <o:LockedField>false</o:LockedField>
                </o:OLEObject>
              </w:object>
            </w:r>
          </w:p>
        </w:tc>
        <w:tc>
          <w:tcPr>
            <w:tcW w:w="593" w:type="pct"/>
            <w:vMerge w:val="restar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S</w:t>
            </w:r>
            <w:r>
              <w:rPr>
                <w:rFonts w:hint="eastAsia" w:ascii="Times New Roman" w:hAnsi="Times New Roman"/>
                <w:b/>
                <w:bCs/>
                <w:color w:val="000000" w:themeColor="text1"/>
                <w:vertAlign w:val="subscript"/>
                <w14:textFill>
                  <w14:solidFill>
                    <w14:schemeClr w14:val="tx1"/>
                  </w14:solidFill>
                </w14:textFill>
              </w:rPr>
              <w:t>b</w:t>
            </w:r>
          </w:p>
        </w:tc>
        <w:tc>
          <w:tcPr>
            <w:tcW w:w="1583" w:type="pct"/>
            <w:gridSpan w:val="3"/>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S</w:t>
            </w:r>
          </w:p>
        </w:tc>
        <w:tc>
          <w:tcPr>
            <w:tcW w:w="620" w:type="pct"/>
            <w:vMerge w:val="restar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7" w:type="pct"/>
            <w:vMerge w:val="continue"/>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p>
        </w:tc>
        <w:tc>
          <w:tcPr>
            <w:tcW w:w="593" w:type="pc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n=10</w:t>
            </w:r>
          </w:p>
        </w:tc>
        <w:tc>
          <w:tcPr>
            <w:tcW w:w="593" w:type="pc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n=20</w:t>
            </w:r>
          </w:p>
        </w:tc>
        <w:tc>
          <w:tcPr>
            <w:tcW w:w="521" w:type="pc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n=30</w:t>
            </w:r>
          </w:p>
        </w:tc>
        <w:tc>
          <w:tcPr>
            <w:tcW w:w="593" w:type="pct"/>
            <w:vMerge w:val="continue"/>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p>
        </w:tc>
        <w:tc>
          <w:tcPr>
            <w:tcW w:w="397" w:type="pc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n=10</w:t>
            </w:r>
          </w:p>
        </w:tc>
        <w:tc>
          <w:tcPr>
            <w:tcW w:w="593" w:type="pc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n=20</w:t>
            </w:r>
          </w:p>
        </w:tc>
        <w:tc>
          <w:tcPr>
            <w:tcW w:w="593" w:type="pct"/>
            <w:tcBorders>
              <w:tl2br w:val="nil"/>
              <w:tr2bl w:val="nil"/>
            </w:tcBorders>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n=30</w:t>
            </w:r>
          </w:p>
        </w:tc>
        <w:tc>
          <w:tcPr>
            <w:tcW w:w="620" w:type="pct"/>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7"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石油烃</w:t>
            </w:r>
          </w:p>
        </w:tc>
        <w:tc>
          <w:tcPr>
            <w:tcW w:w="593"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93.07</w:t>
            </w:r>
          </w:p>
        </w:tc>
        <w:tc>
          <w:tcPr>
            <w:tcW w:w="593"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186.13</w:t>
            </w:r>
          </w:p>
        </w:tc>
        <w:tc>
          <w:tcPr>
            <w:tcW w:w="521"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279.2</w:t>
            </w:r>
          </w:p>
        </w:tc>
        <w:tc>
          <w:tcPr>
            <w:tcW w:w="593"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0.25</w:t>
            </w:r>
          </w:p>
        </w:tc>
        <w:tc>
          <w:tcPr>
            <w:tcW w:w="397"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93.32</w:t>
            </w:r>
          </w:p>
        </w:tc>
        <w:tc>
          <w:tcPr>
            <w:tcW w:w="593"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186.38</w:t>
            </w:r>
          </w:p>
        </w:tc>
        <w:tc>
          <w:tcPr>
            <w:tcW w:w="593"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279.45</w:t>
            </w:r>
          </w:p>
        </w:tc>
        <w:tc>
          <w:tcPr>
            <w:tcW w:w="620" w:type="pct"/>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4500</w:t>
            </w:r>
          </w:p>
        </w:tc>
      </w:tr>
    </w:tbl>
    <w:p>
      <w:pPr>
        <w:adjustRightInd w:val="0"/>
        <w:snapToGrid w:val="0"/>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注：S</w:t>
      </w:r>
      <w:r>
        <w:rPr>
          <w:rFonts w:hint="eastAsia" w:ascii="Times New Roman" w:hAnsi="Times New Roman"/>
          <w:color w:val="000000" w:themeColor="text1"/>
          <w:vertAlign w:val="subscript"/>
          <w14:textFill>
            <w14:solidFill>
              <w14:schemeClr w14:val="tx1"/>
            </w14:solidFill>
          </w14:textFill>
        </w:rPr>
        <w:t>b</w:t>
      </w:r>
      <w:r>
        <w:rPr>
          <w:rFonts w:hint="eastAsia" w:ascii="Times New Roman" w:hAnsi="Times New Roman"/>
          <w:color w:val="000000" w:themeColor="text1"/>
          <w14:textFill>
            <w14:solidFill>
              <w14:schemeClr w14:val="tx1"/>
            </w14:solidFill>
          </w14:textFill>
        </w:rPr>
        <w:t>取本次委托监测结果中的最大值。</w:t>
      </w:r>
    </w:p>
    <w:p>
      <w:pPr>
        <w:adjustRightInd w:val="0"/>
        <w:snapToGrid w:val="0"/>
        <w:spacing w:line="360" w:lineRule="auto"/>
        <w:rPr>
          <w:rFonts w:ascii="Times New Roman" w:hAnsi="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由上表可知，本项目运行10年、20年、30年后，正常工况下，装卸过程中排放的挥发性有机物以大气沉降方式进入土壤中的累积量远小于《土壤环境质量建设用地土壤污染风险管控标准（试行）》（GB36600-2018）表1中的第二类土地筛选值，土壤累积影响很小，不会对周边土壤产生明显影响。</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影响分析</w:t>
      </w:r>
    </w:p>
    <w:p>
      <w:pPr>
        <w:adjustRightInd w:val="0"/>
        <w:snapToGri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项目排放的挥发性有机物最大落地浓度对应距离最远为1170m，绝大部分可控制在码头区域及后方储罐区范围内。项目区域周围地面大部分硬化，裸露地很少，污染物沉降到地表会被植物阻挡和吸收，少量落于土壤表层不会对土壤环境产生较大影响。因此，项目对周边土壤环境的影响可接受。</w:t>
      </w:r>
    </w:p>
    <w:p>
      <w:pPr>
        <w:pStyle w:val="3"/>
        <w:rPr>
          <w:rFonts w:ascii="Times New Roman" w:hAnsi="Times New Roman" w:eastAsiaTheme="minorEastAsia"/>
          <w:b/>
          <w:szCs w:val="24"/>
        </w:rPr>
      </w:pPr>
      <w:bookmarkStart w:id="144" w:name="_Toc25844"/>
      <w:r>
        <w:rPr>
          <w:rFonts w:ascii="Times New Roman" w:hAnsi="Times New Roman" w:eastAsiaTheme="minorEastAsia"/>
          <w:b/>
        </w:rPr>
        <w:t>生态环境影响评价</w:t>
      </w:r>
      <w:bookmarkEnd w:id="144"/>
    </w:p>
    <w:p>
      <w:pPr>
        <w:pStyle w:val="4"/>
        <w:rPr>
          <w:rFonts w:eastAsiaTheme="minorEastAsia"/>
          <w:szCs w:val="24"/>
        </w:rPr>
      </w:pPr>
      <w:r>
        <w:rPr>
          <w:rFonts w:eastAsiaTheme="minorEastAsia"/>
        </w:rPr>
        <w:t>施工期生态环境影响分析</w:t>
      </w:r>
    </w:p>
    <w:p>
      <w:pPr>
        <w:pStyle w:val="5"/>
        <w:rPr>
          <w:rFonts w:eastAsiaTheme="minorEastAsia"/>
        </w:rPr>
      </w:pPr>
      <w:r>
        <w:rPr>
          <w:rFonts w:eastAsiaTheme="minorEastAsia"/>
        </w:rPr>
        <w:t>对水生生态的影响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本工程施工期对水生生态的影响主要来自码头护岸施工、疏浚工程和施工船舶影响。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b/>
          <w:sz w:val="24"/>
          <w:szCs w:val="24"/>
        </w:rPr>
        <w:t>1、</w:t>
      </w:r>
      <w:r>
        <w:rPr>
          <w:rFonts w:ascii="Times New Roman" w:hAnsi="Times New Roman" w:eastAsiaTheme="minorEastAsia"/>
          <w:b/>
          <w:sz w:val="24"/>
          <w:szCs w:val="24"/>
        </w:rPr>
        <w:t>码头护岸施工影响分析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护岸工程采用重力式挡墙结构，需要在围堰内进行，施工区域与水域隔离。通过加强对施工物料和固废的管理，防止物料泄漏入河以及禁止向河中倾倒废物，码头护岸施工期间对水生生态产生不利影响较小，仅在围堰形成和拆除过程中扰动河流底泥，引起施工水域内的悬浮物浓度增加，造成水质浑浊，进而影响浮游植物的光合作用和浮游动物的觅食。但围堰施工的持续时间较短，施工结束后，这种影响也随之消除。总体而言，采取围堰施工法后，码头护岸施工对水生生态的影响很小。</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b/>
          <w:sz w:val="24"/>
          <w:szCs w:val="24"/>
        </w:rPr>
        <w:t>2、</w:t>
      </w:r>
      <w:r>
        <w:rPr>
          <w:rFonts w:ascii="Times New Roman" w:hAnsi="Times New Roman" w:eastAsiaTheme="minorEastAsia"/>
          <w:b/>
          <w:sz w:val="24"/>
          <w:szCs w:val="24"/>
        </w:rPr>
        <w:t>疏浚工程影响分析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前沿水域的疏浚工程主要是导致施工区域底栖生物群落发生较大变化，随着底泥的挖除，原先生存在底泥上的底栖生物群落消失，同时受到疏浚产生的悬浮物的影响，施工区域附近一些不能适应这种环境的种类和数量也会减少，甚至消失，鱼类也会因为河床基底发生变化而无法产卵或卵无法成活。但这种情况是短期的、可逆的。施工工结束几个月后底栖生物群落将恢复正常，水生生态将逐渐恢复道施工前的水平。</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b/>
          <w:sz w:val="24"/>
          <w:szCs w:val="24"/>
        </w:rPr>
        <w:t>3、</w:t>
      </w:r>
      <w:r>
        <w:rPr>
          <w:rFonts w:ascii="Times New Roman" w:hAnsi="Times New Roman" w:eastAsiaTheme="minorEastAsia"/>
          <w:b/>
          <w:sz w:val="24"/>
          <w:szCs w:val="24"/>
        </w:rPr>
        <w:t>施工船舶影响分析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施工船舶螺旋桨及船舶噪声可能对水中的鱼类等游泳动物产生不利影响，但游泳动物活动力强，具有遇船只逃避的本能，且本工程所在的长江为等外级航道，评价范围内的水生动物已基本适应现有航道水域环境，能够规避船舶活动频繁的水域，施工船舶不会对鱼类等游泳动物产生大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施工船舶生活污水中的主要污染因子为化学需氧量、悬浮物、氨氮、总磷等，此外还包括含油污水，如果直接排入水体，可能引起水体污染，损害浮游生物、底栖生物群落结构和鱼类的生存、繁殖，影响水产生物的使用价值。因此， 应加强对施工船舶污染物排放的管理，施工期船舶污染物由施工单位负责交海事部门环保船接收处理，禁止在施工水域排；放污水和固体废物，避免对水生生态造成不利影响。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综上所述，本次工程范围内无珍稀水生生物资源，施工期对水生生态的影响较小。</w:t>
      </w:r>
    </w:p>
    <w:p>
      <w:pPr>
        <w:pStyle w:val="5"/>
        <w:rPr>
          <w:rFonts w:eastAsiaTheme="minorEastAsia"/>
        </w:rPr>
      </w:pPr>
      <w:r>
        <w:rPr>
          <w:rFonts w:eastAsiaTheme="minorEastAsia"/>
        </w:rPr>
        <w:t>对陆域生态的影响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陆域用地现状为河岸滩地，码头的建设将清除河岸滩地内的灌木、草本植被，使区域内生物总量减少、植被覆盖率降低。本项目占用长江岸线长度768m，长江岸线（湖南省岳阳市）总长度约163km，本工程占用湖南省岳阳市长江岸线长度仅为湖南省岳阳市长江岸线总长度的0.47%，占用滩地数量较小，植被损失量较小，不会导致长江河岸滩地的生态环境功能的退化，其生态功能和稳定性不会受到大的影响。</w:t>
      </w:r>
    </w:p>
    <w:p>
      <w:pPr>
        <w:pStyle w:val="4"/>
        <w:rPr>
          <w:rFonts w:eastAsiaTheme="minorEastAsia"/>
        </w:rPr>
      </w:pPr>
      <w:r>
        <w:rPr>
          <w:rFonts w:eastAsiaTheme="minorEastAsia"/>
        </w:rPr>
        <w:t>营运期生态环境影响分析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从工程分析可以看出，工程营运后对生态环境的影响主要是对水域环境的影响，对陆域生态环境影响较小。对水域生态环境造成影响的主要因素有：船舶含油废水、船舶生活污水、码头地面冲洗水、初期雨水、码头生活污水、废气吸收废水等。</w:t>
      </w:r>
    </w:p>
    <w:p>
      <w:pPr>
        <w:pStyle w:val="5"/>
        <w:rPr>
          <w:rFonts w:eastAsiaTheme="minorEastAsia"/>
        </w:rPr>
      </w:pPr>
      <w:r>
        <w:rPr>
          <w:rFonts w:eastAsiaTheme="minorEastAsia"/>
        </w:rPr>
        <w:t>废水对水生生物的影响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根据工程分析，本项目运营期产生的污水包括船舶生活污水、船舶含油废水、码头地面冲洗水、初期雨水、码头生活污水和废气吸收废水，主要污染因子为COD、SS、NH</w:t>
      </w:r>
      <w:r>
        <w:rPr>
          <w:rFonts w:ascii="Times New Roman" w:hAnsi="Times New Roman" w:eastAsiaTheme="minorEastAsia"/>
          <w:sz w:val="24"/>
          <w:szCs w:val="24"/>
          <w:vertAlign w:val="subscript"/>
        </w:rPr>
        <w:t>3</w:t>
      </w:r>
      <w:r>
        <w:rPr>
          <w:rFonts w:ascii="Times New Roman" w:hAnsi="Times New Roman" w:eastAsiaTheme="minorEastAsia"/>
          <w:sz w:val="24"/>
          <w:szCs w:val="24"/>
        </w:rPr>
        <w:t>-N、TP、TN、石油类。如果这部分不加处理直接排放，将会对附近水域一定范围内的水生生物产生较大影响，主要表现为：</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⑴ </w:t>
      </w:r>
      <w:r>
        <w:rPr>
          <w:rFonts w:ascii="Times New Roman" w:hAnsi="Times New Roman" w:eastAsiaTheme="minorEastAsia"/>
          <w:sz w:val="24"/>
          <w:szCs w:val="24"/>
        </w:rPr>
        <w:t>如果油膜较厚且连成片，将使排放点附近水域水体的阳光透射率下降，降低浮游植物的光合作用，从而影响水域的初级生产力，同时干扰浮游动物的昼夜垂直迁移。</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⑵ </w:t>
      </w:r>
      <w:r>
        <w:rPr>
          <w:rFonts w:ascii="Times New Roman" w:hAnsi="Times New Roman" w:eastAsiaTheme="minorEastAsia"/>
          <w:sz w:val="24"/>
          <w:szCs w:val="24"/>
        </w:rPr>
        <w:t>油污染还可能伤害水生生物的化学感应器，干扰、破坏生物的趋化性，使其感应系统发生素乱。</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⑶ </w:t>
      </w:r>
      <w:r>
        <w:rPr>
          <w:rFonts w:ascii="Times New Roman" w:hAnsi="Times New Roman" w:eastAsiaTheme="minorEastAsia"/>
          <w:sz w:val="24"/>
          <w:szCs w:val="24"/>
        </w:rPr>
        <w:t>动物的卵和幼体对油污染非常敏感，而且由于卵和幼体大多漂浮在水体表层，若表层油污染浓度最高，那对生物种类的破坏性较大。</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⑷ </w:t>
      </w:r>
      <w:r>
        <w:rPr>
          <w:rFonts w:ascii="Times New Roman" w:hAnsi="Times New Roman" w:eastAsiaTheme="minorEastAsia"/>
          <w:sz w:val="24"/>
          <w:szCs w:val="24"/>
        </w:rPr>
        <w:t>生活污水中的有机物进入水体，将消耗水体中的溶解氧，降低水中溶解氧的含量，影响水生生物代谢和呼吸，使好氧生物生长受到抑制、厌氧和兼氧生物种类快速繁殖，从而改变原有的种类结构，引起生态平衡失调。</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船舶含油废水经船舱自备油水分离器处理后由海事部门指定的接污船接收处理，船舶生活污水由船舶交给海事部门环保船接收处理，不得在码头水域内排放：码头地面冲洗水、初期雨水、码头生活污水和废气吸收废水经码头后方长炼厂区厂区内废水处理站处理达接管标准后排入区域污水管网，送长炼第二</w:t>
      </w:r>
      <w:r>
        <w:rPr>
          <w:rFonts w:hint="eastAsia" w:ascii="Times New Roman" w:hAnsi="Times New Roman" w:eastAsiaTheme="minorEastAsia"/>
          <w:sz w:val="24"/>
          <w:szCs w:val="24"/>
          <w:lang w:eastAsia="zh-CN"/>
        </w:rPr>
        <w:t>污水处理厂</w:t>
      </w:r>
      <w:r>
        <w:rPr>
          <w:rFonts w:ascii="Times New Roman" w:hAnsi="Times New Roman" w:eastAsiaTheme="minorEastAsia"/>
          <w:sz w:val="24"/>
          <w:szCs w:val="24"/>
        </w:rPr>
        <w:t>深度处理。</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因此，本项目运营期所产生的污水都得到有效处理，不直接向长江等水体排放，对长江等水体水质及水生生态系统的影响较小。</w:t>
      </w:r>
    </w:p>
    <w:p>
      <w:pPr>
        <w:pStyle w:val="5"/>
        <w:rPr>
          <w:rFonts w:eastAsiaTheme="minorEastAsia"/>
        </w:rPr>
      </w:pPr>
      <w:r>
        <w:rPr>
          <w:rFonts w:eastAsiaTheme="minorEastAsia"/>
        </w:rPr>
        <w:t>码头结构对水生生态的影响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本项目码头结构为浆砌石重力式混凝士，占用水域面积较小，且码头水域无珍稀水生生物分布，故本项目码头结构对水生生态的影响较小。</w:t>
      </w:r>
    </w:p>
    <w:p>
      <w:pPr>
        <w:pStyle w:val="5"/>
        <w:rPr>
          <w:rFonts w:eastAsiaTheme="minorEastAsia"/>
        </w:rPr>
      </w:pPr>
      <w:r>
        <w:rPr>
          <w:rFonts w:eastAsiaTheme="minorEastAsia"/>
        </w:rPr>
        <w:t>码头运营对水生生物的影响</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⑴ </w:t>
      </w:r>
      <w:r>
        <w:rPr>
          <w:rFonts w:ascii="Times New Roman" w:hAnsi="Times New Roman" w:eastAsiaTheme="minorEastAsia"/>
          <w:sz w:val="24"/>
          <w:szCs w:val="24"/>
        </w:rPr>
        <w:t>对鱼类的影响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本项目码头前沿过水断面开阔，不会对鱼类生存及洄游产生明显不利影响。</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 xml:space="preserve">⑵ </w:t>
      </w:r>
      <w:r>
        <w:rPr>
          <w:rFonts w:ascii="Times New Roman" w:hAnsi="Times New Roman" w:eastAsiaTheme="minorEastAsia"/>
          <w:sz w:val="24"/>
          <w:szCs w:val="24"/>
        </w:rPr>
        <w:t>对浮游及底栖生物的影响</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船舶航行会对周围水体产生扰动，这些扰动会对水域水生生物的生物量、种类及栖息环境产生一定影响。但由于船舶是在水体上层航行，主要影响也集中在上层水域，水生生物</w:t>
      </w:r>
      <w:r>
        <w:rPr>
          <w:rFonts w:ascii="Times New Roman" w:hAnsi="Times New Roman" w:eastAsiaTheme="minorEastAsia"/>
          <w:color w:val="000000" w:themeColor="text1"/>
          <w:sz w:val="24"/>
          <w:szCs w:val="24"/>
          <w14:textFill>
            <w14:solidFill>
              <w14:schemeClr w14:val="tx1"/>
            </w14:solidFill>
          </w14:textFill>
        </w:rPr>
        <w:t>除浮游生物(主要是浮游植物)在水体表层活动强度较大外，其它生物多在中层：及底层活动，且水生生物的浮(游)动性较强，会自动规避船舶带来的扰动。因此，船舶航行对水体扰动影响范围较小，对水生生物的影响较小，不会根本改变水生生物的栖息环境，也不会使生物种类、数量明显减少。</w:t>
      </w:r>
    </w:p>
    <w:p>
      <w:pPr>
        <w:pStyle w:val="3"/>
        <w:rPr>
          <w:rFonts w:ascii="Times New Roman" w:hAnsi="Times New Roman" w:eastAsiaTheme="minorEastAsia"/>
          <w:b/>
          <w:color w:val="000000" w:themeColor="text1"/>
          <w14:textFill>
            <w14:solidFill>
              <w14:schemeClr w14:val="tx1"/>
            </w14:solidFill>
          </w14:textFill>
        </w:rPr>
      </w:pPr>
      <w:bookmarkStart w:id="145" w:name="_Toc31843"/>
      <w:r>
        <w:rPr>
          <w:rFonts w:ascii="Times New Roman" w:hAnsi="Times New Roman" w:eastAsiaTheme="minorEastAsia"/>
          <w:b/>
          <w:color w:val="000000" w:themeColor="text1"/>
          <w14:textFill>
            <w14:solidFill>
              <w14:schemeClr w14:val="tx1"/>
            </w14:solidFill>
          </w14:textFill>
        </w:rPr>
        <w:t>环境风险</w:t>
      </w:r>
      <w:r>
        <w:rPr>
          <w:rFonts w:hint="eastAsia" w:ascii="Times New Roman" w:hAnsi="Times New Roman" w:eastAsiaTheme="minorEastAsia"/>
          <w:b/>
          <w:color w:val="000000" w:themeColor="text1"/>
          <w14:textFill>
            <w14:solidFill>
              <w14:schemeClr w14:val="tx1"/>
            </w14:solidFill>
          </w14:textFill>
        </w:rPr>
        <w:t>影响评价</w:t>
      </w:r>
      <w:bookmarkEnd w:id="145"/>
    </w:p>
    <w:p>
      <w:pPr>
        <w:pStyle w:val="4"/>
        <w:rPr>
          <w:rFonts w:eastAsiaTheme="minorEastAsia"/>
          <w:color w:val="000000" w:themeColor="text1"/>
          <w14:textFill>
            <w14:solidFill>
              <w14:schemeClr w14:val="tx1"/>
            </w14:solidFill>
          </w14:textFill>
        </w:rPr>
      </w:pPr>
      <w:bookmarkStart w:id="146" w:name="_Toc23429144"/>
      <w:r>
        <w:rPr>
          <w:rFonts w:eastAsiaTheme="minorEastAsia"/>
          <w:color w:val="000000" w:themeColor="text1"/>
          <w14:textFill>
            <w14:solidFill>
              <w14:schemeClr w14:val="tx1"/>
            </w14:solidFill>
          </w14:textFill>
        </w:rPr>
        <w:t>评价</w:t>
      </w:r>
      <w:bookmarkEnd w:id="146"/>
      <w:r>
        <w:rPr>
          <w:rFonts w:hint="eastAsia" w:eastAsiaTheme="minorEastAsia"/>
          <w:color w:val="000000" w:themeColor="text1"/>
          <w:lang w:val="en-US" w:eastAsia="zh-CN"/>
          <w14:textFill>
            <w14:solidFill>
              <w14:schemeClr w14:val="tx1"/>
            </w14:solidFill>
          </w14:textFill>
        </w:rPr>
        <w:t>目的和重点</w:t>
      </w:r>
    </w:p>
    <w:p>
      <w:pPr>
        <w:adjustRightInd w:val="0"/>
        <w:snapToGrid w:val="0"/>
        <w:spacing w:line="360" w:lineRule="auto"/>
        <w:ind w:firstLine="480" w:firstLineChars="200"/>
        <w:rPr>
          <w:rFonts w:hint="eastAsia" w:ascii="Times New Roman" w:hAnsi="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根据《建设项目环境风险评价技术导则</w:t>
      </w:r>
      <w:r>
        <w:rPr>
          <w:rFonts w:hint="eastAsia" w:ascii="Times New Roman" w:hAnsi="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HJ169-2018</w:t>
      </w:r>
      <w:r>
        <w:rPr>
          <w:rFonts w:hint="eastAsia" w:ascii="Times New Roman" w:hAnsi="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，环境风险评价的基本内容包括风险调查、环境风险潜势初判、风险识别、风险事故情形分析、风险预测与评价、环境风险管理等，其具体如下</w:t>
      </w:r>
      <w:r>
        <w:rPr>
          <w:rFonts w:hint="eastAsia" w:ascii="Times New Roman" w:hAnsi="Times New Roman" w:eastAsiaTheme="minorEastAsia"/>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⑴ </w:t>
      </w:r>
      <w:r>
        <w:rPr>
          <w:rFonts w:hint="eastAsia" w:ascii="Times New Roman" w:hAnsi="Times New Roman" w:eastAsiaTheme="minorEastAsia"/>
          <w:color w:val="000000" w:themeColor="text1"/>
          <w:sz w:val="24"/>
          <w:szCs w:val="24"/>
          <w14:textFill>
            <w14:solidFill>
              <w14:schemeClr w14:val="tx1"/>
            </w14:solidFill>
          </w14:textFill>
        </w:rPr>
        <w:t>工程风险调查。在分析建设项目物质及工艺系统危险性和环境敏感性的基础下，进行风险潜势的判断，确定风险评价等级。</w:t>
      </w:r>
    </w:p>
    <w:p>
      <w:pPr>
        <w:adjustRightInd w:val="0"/>
        <w:snapToGrid w:val="0"/>
        <w:spacing w:line="360" w:lineRule="auto"/>
        <w:ind w:firstLine="480" w:firstLineChars="200"/>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⑵ </w:t>
      </w:r>
      <w:r>
        <w:rPr>
          <w:rFonts w:hint="eastAsia" w:ascii="Times New Roman" w:hAnsi="Times New Roman" w:eastAsiaTheme="minorEastAsia"/>
          <w:color w:val="000000" w:themeColor="text1"/>
          <w:sz w:val="24"/>
          <w:szCs w:val="24"/>
          <w14:textFill>
            <w14:solidFill>
              <w14:schemeClr w14:val="tx1"/>
            </w14:solidFill>
          </w14:textFill>
        </w:rPr>
        <w:t>工程风险识别及风险事故情形分析。明确危险物质在生产系统中的主要分布，筛选具有代表性的风险事故情形，合理设定事故源项。</w:t>
      </w:r>
    </w:p>
    <w:p>
      <w:pPr>
        <w:adjustRightInd w:val="0"/>
        <w:snapToGrid w:val="0"/>
        <w:spacing w:line="360" w:lineRule="auto"/>
        <w:ind w:firstLine="480" w:firstLineChars="200"/>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⑶ </w:t>
      </w:r>
      <w:r>
        <w:rPr>
          <w:rFonts w:hint="eastAsia" w:ascii="Times New Roman" w:hAnsi="Times New Roman" w:eastAsiaTheme="minorEastAsia"/>
          <w:color w:val="000000" w:themeColor="text1"/>
          <w:sz w:val="24"/>
          <w:szCs w:val="24"/>
          <w14:textFill>
            <w14:solidFill>
              <w14:schemeClr w14:val="tx1"/>
            </w14:solidFill>
          </w14:textFill>
        </w:rPr>
        <w:t>开展预测评价。各环境要素按确定的评价工作等级分别预测评价，并分析说明环境风险危害范围与程度，提出环境风险防范的基本要求。</w:t>
      </w:r>
    </w:p>
    <w:p>
      <w:pPr>
        <w:adjustRightInd w:val="0"/>
        <w:snapToGrid w:val="0"/>
        <w:spacing w:line="360" w:lineRule="auto"/>
        <w:ind w:firstLine="480" w:firstLineChars="200"/>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⑷ </w:t>
      </w:r>
      <w:r>
        <w:rPr>
          <w:rFonts w:hint="eastAsia" w:ascii="Times New Roman" w:hAnsi="Times New Roman" w:eastAsiaTheme="minorEastAsia"/>
          <w:color w:val="000000" w:themeColor="text1"/>
          <w:sz w:val="24"/>
          <w:szCs w:val="24"/>
          <w14:textFill>
            <w14:solidFill>
              <w14:schemeClr w14:val="tx1"/>
            </w14:solidFill>
          </w14:textFill>
        </w:rPr>
        <w:t>提出环境风险管理对策，明确环境风险防范措施及突发环境事件应急预案编制要求。</w:t>
      </w:r>
    </w:p>
    <w:p>
      <w:pPr>
        <w:adjustRightInd w:val="0"/>
        <w:snapToGrid w:val="0"/>
        <w:spacing w:line="360" w:lineRule="auto"/>
        <w:ind w:firstLine="480" w:firstLineChars="200"/>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⑸ </w:t>
      </w:r>
      <w:r>
        <w:rPr>
          <w:rFonts w:hint="eastAsia" w:ascii="Times New Roman" w:hAnsi="Times New Roman" w:eastAsiaTheme="minorEastAsia"/>
          <w:color w:val="000000" w:themeColor="text1"/>
          <w:sz w:val="24"/>
          <w:szCs w:val="24"/>
          <w14:textFill>
            <w14:solidFill>
              <w14:schemeClr w14:val="tx1"/>
            </w14:solidFill>
          </w14:textFill>
        </w:rPr>
        <w:t>综合环境风险评价过程，给出评价结论与建议。</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风险调查</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本项目为原油及成品油装卸，作业危险货物品名为液化石油气、乙酸甲酯、二甲苯、沥青、乙酸、乙酸仲丁酯、柴油、石脑油、甲基叔丁基醚、原油、甲基乙基酮。本项目</w:t>
      </w:r>
      <w:r>
        <w:rPr>
          <w:rFonts w:hint="eastAsia" w:ascii="Times New Roman" w:hAnsi="Times New Roman" w:eastAsiaTheme="minorEastAsia"/>
          <w:color w:val="000000" w:themeColor="text1"/>
          <w:sz w:val="24"/>
          <w:szCs w:val="24"/>
          <w14:textFill>
            <w14:solidFill>
              <w14:schemeClr w14:val="tx1"/>
            </w14:solidFill>
          </w14:textFill>
        </w:rPr>
        <w:t>在</w:t>
      </w:r>
      <w:r>
        <w:rPr>
          <w:rFonts w:ascii="Times New Roman" w:hAnsi="Times New Roman" w:eastAsiaTheme="minorEastAsia"/>
          <w:color w:val="000000" w:themeColor="text1"/>
          <w:sz w:val="24"/>
          <w:szCs w:val="24"/>
          <w14:textFill>
            <w14:solidFill>
              <w14:schemeClr w14:val="tx1"/>
            </w14:solidFill>
          </w14:textFill>
        </w:rPr>
        <w:t>作业</w:t>
      </w:r>
      <w:r>
        <w:rPr>
          <w:rFonts w:hint="eastAsia" w:ascii="Times New Roman" w:hAnsi="Times New Roman" w:eastAsiaTheme="minorEastAsia"/>
          <w:color w:val="000000" w:themeColor="text1"/>
          <w:sz w:val="24"/>
          <w:szCs w:val="24"/>
          <w14:textFill>
            <w14:solidFill>
              <w14:schemeClr w14:val="tx1"/>
            </w14:solidFill>
          </w14:textFill>
        </w:rPr>
        <w:t>过程中</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有</w:t>
      </w:r>
      <w:r>
        <w:rPr>
          <w:rFonts w:ascii="Times New Roman" w:hAnsi="Times New Roman" w:eastAsiaTheme="minorEastAsia"/>
          <w:color w:val="000000" w:themeColor="text1"/>
          <w:sz w:val="24"/>
          <w:szCs w:val="24"/>
          <w14:textFill>
            <w14:solidFill>
              <w14:schemeClr w14:val="tx1"/>
            </w14:solidFill>
          </w14:textFill>
        </w:rPr>
        <w:t>可能</w:t>
      </w:r>
      <w:r>
        <w:rPr>
          <w:rFonts w:hint="eastAsia" w:ascii="Times New Roman" w:hAnsi="Times New Roman" w:eastAsiaTheme="minorEastAsia"/>
          <w:color w:val="000000" w:themeColor="text1"/>
          <w:sz w:val="24"/>
          <w:szCs w:val="24"/>
          <w14:textFill>
            <w14:solidFill>
              <w14:schemeClr w14:val="tx1"/>
            </w14:solidFill>
          </w14:textFill>
        </w:rPr>
        <w:t>因</w:t>
      </w:r>
      <w:r>
        <w:rPr>
          <w:rFonts w:ascii="Times New Roman" w:hAnsi="Times New Roman" w:eastAsiaTheme="minorEastAsia"/>
          <w:color w:val="000000" w:themeColor="text1"/>
          <w:sz w:val="24"/>
          <w:szCs w:val="24"/>
          <w14:textFill>
            <w14:solidFill>
              <w14:schemeClr w14:val="tx1"/>
            </w14:solidFill>
          </w14:textFill>
        </w:rPr>
        <w:t>发生船舶碰撞等导致的</w:t>
      </w:r>
      <w:r>
        <w:rPr>
          <w:rFonts w:hint="eastAsia" w:ascii="Times New Roman" w:hAnsi="Times New Roman" w:eastAsiaTheme="minorEastAsia"/>
          <w:color w:val="000000" w:themeColor="text1"/>
          <w:sz w:val="24"/>
          <w:szCs w:val="24"/>
          <w14:textFill>
            <w14:solidFill>
              <w14:schemeClr w14:val="tx1"/>
            </w14:solidFill>
          </w14:textFill>
        </w:rPr>
        <w:t>油品及</w:t>
      </w:r>
      <w:r>
        <w:rPr>
          <w:rFonts w:ascii="Times New Roman" w:hAnsi="Times New Roman" w:eastAsiaTheme="minorEastAsia"/>
          <w:color w:val="000000" w:themeColor="text1"/>
          <w:sz w:val="24"/>
          <w:szCs w:val="24"/>
          <w14:textFill>
            <w14:solidFill>
              <w14:schemeClr w14:val="tx1"/>
            </w14:solidFill>
          </w14:textFill>
        </w:rPr>
        <w:t>化学品泄漏事故。</w:t>
      </w:r>
    </w:p>
    <w:p>
      <w:pPr>
        <w:adjustRightInd w:val="0"/>
        <w:snapToGrid w:val="0"/>
        <w:spacing w:line="360" w:lineRule="auto"/>
        <w:ind w:firstLine="480" w:firstLineChars="20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以往事故发生的规律，船舶事故主要发生在港区码头和航道。根据多项事故类型和事故诱因的统计分析，船舶航行事故占各类事故的70%，且90%的船舶航行事故发生于港区或沿岸地区。统计归纳的典型事故诱因参考表6.</w:t>
      </w:r>
      <w:r>
        <w:rPr>
          <w:rFonts w:hint="eastAsia" w:ascii="Times New Roman" w:hAnsi="Times New Roman" w:eastAsiaTheme="minorEastAsia"/>
          <w:color w:val="000000" w:themeColor="text1"/>
          <w:sz w:val="24"/>
          <w:szCs w:val="24"/>
          <w14:textFill>
            <w14:solidFill>
              <w14:schemeClr w14:val="tx1"/>
            </w14:solidFill>
          </w14:textFill>
        </w:rPr>
        <w:t>8</w:t>
      </w:r>
      <w:r>
        <w:rPr>
          <w:rFonts w:ascii="Times New Roman" w:hAnsi="Times New Roman" w:eastAsiaTheme="minorEastAsia"/>
          <w:color w:val="000000" w:themeColor="text1"/>
          <w:sz w:val="24"/>
          <w:szCs w:val="24"/>
          <w14:textFill>
            <w14:solidFill>
              <w14:schemeClr w14:val="tx1"/>
            </w14:solidFill>
          </w14:textFill>
        </w:rPr>
        <w:t>-1。</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w:t>
      </w:r>
      <w:r>
        <w:rPr>
          <w:rFonts w:hint="eastAsia" w:ascii="Times New Roman" w:hAnsi="Times New Roman" w:eastAsiaTheme="minorEastAsia"/>
          <w:b/>
          <w:color w:val="000000" w:themeColor="text1"/>
          <w:sz w:val="24"/>
          <w:szCs w:val="24"/>
          <w14:textFill>
            <w14:solidFill>
              <w14:schemeClr w14:val="tx1"/>
            </w14:solidFill>
          </w14:textFill>
        </w:rPr>
        <w:t>8</w:t>
      </w:r>
      <w:r>
        <w:rPr>
          <w:rFonts w:ascii="Times New Roman" w:hAnsi="Times New Roman" w:eastAsiaTheme="minorEastAsia"/>
          <w:b/>
          <w:color w:val="000000" w:themeColor="text1"/>
          <w:sz w:val="24"/>
          <w:szCs w:val="24"/>
          <w14:textFill>
            <w14:solidFill>
              <w14:schemeClr w14:val="tx1"/>
            </w14:solidFill>
          </w14:textFill>
        </w:rPr>
        <w:t>-1  典型船舶事故诱因归纳表</w:t>
      </w:r>
    </w:p>
    <w:tbl>
      <w:tblPr>
        <w:tblStyle w:val="71"/>
        <w:tblW w:w="910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78"/>
        <w:gridCol w:w="1480"/>
        <w:gridCol w:w="59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1678"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发生地点</w:t>
            </w:r>
          </w:p>
        </w:tc>
        <w:tc>
          <w:tcPr>
            <w:tcW w:w="1480"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发生源</w:t>
            </w:r>
          </w:p>
        </w:tc>
        <w:tc>
          <w:tcPr>
            <w:tcW w:w="5942"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发生原因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167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航线</w:t>
            </w:r>
          </w:p>
        </w:tc>
        <w:tc>
          <w:tcPr>
            <w:tcW w:w="1480"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w:t>
            </w:r>
          </w:p>
        </w:tc>
        <w:tc>
          <w:tcPr>
            <w:tcW w:w="594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触礁、搁浅、船舶碰撞、恶劣海况、火灾爆炸、危险品泄漏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67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锚地</w:t>
            </w:r>
          </w:p>
        </w:tc>
        <w:tc>
          <w:tcPr>
            <w:tcW w:w="1480"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w:t>
            </w:r>
          </w:p>
        </w:tc>
        <w:tc>
          <w:tcPr>
            <w:tcW w:w="594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船舶碰撞、火灾爆炸、泄漏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167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港池</w:t>
            </w:r>
          </w:p>
        </w:tc>
        <w:tc>
          <w:tcPr>
            <w:tcW w:w="1480"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w:t>
            </w:r>
          </w:p>
        </w:tc>
        <w:tc>
          <w:tcPr>
            <w:tcW w:w="594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船舶碰撞、船与码头碰撞、操作失误、火灾爆炸、泄漏</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从上表分析发现，码头风险事故发生的主要环节是船舶搁浅、碰撞、或码头桥桩碰撞等突发性事故而导致的漏油、火灾、爆炸等对环境产生的影响。</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环境风险识别见表6.</w:t>
      </w:r>
      <w:r>
        <w:rPr>
          <w:rFonts w:hint="eastAsia" w:ascii="Times New Roman" w:hAnsi="Times New Roman" w:eastAsiaTheme="minorEastAsia"/>
          <w:color w:val="000000" w:themeColor="text1"/>
          <w:sz w:val="24"/>
          <w:szCs w:val="24"/>
          <w14:textFill>
            <w14:solidFill>
              <w14:schemeClr w14:val="tx1"/>
            </w14:solidFill>
          </w14:textFill>
        </w:rPr>
        <w:t>8</w:t>
      </w:r>
      <w:r>
        <w:rPr>
          <w:rFonts w:ascii="Times New Roman" w:hAnsi="Times New Roman" w:eastAsiaTheme="minorEastAsia"/>
          <w:color w:val="000000" w:themeColor="text1"/>
          <w:sz w:val="24"/>
          <w:szCs w:val="24"/>
          <w14:textFill>
            <w14:solidFill>
              <w14:schemeClr w14:val="tx1"/>
            </w14:solidFill>
          </w14:textFill>
        </w:rPr>
        <w:t>-2。</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w:t>
      </w:r>
      <w:r>
        <w:rPr>
          <w:rFonts w:hint="eastAsia" w:ascii="Times New Roman" w:hAnsi="Times New Roman" w:eastAsiaTheme="minorEastAsia"/>
          <w:b/>
          <w:color w:val="000000" w:themeColor="text1"/>
          <w:sz w:val="24"/>
          <w:szCs w:val="24"/>
          <w14:textFill>
            <w14:solidFill>
              <w14:schemeClr w14:val="tx1"/>
            </w14:solidFill>
          </w14:textFill>
        </w:rPr>
        <w:t>8</w:t>
      </w:r>
      <w:r>
        <w:rPr>
          <w:rFonts w:ascii="Times New Roman" w:hAnsi="Times New Roman" w:eastAsiaTheme="minorEastAsia"/>
          <w:b/>
          <w:color w:val="000000" w:themeColor="text1"/>
          <w:sz w:val="24"/>
          <w:szCs w:val="24"/>
          <w14:textFill>
            <w14:solidFill>
              <w14:schemeClr w14:val="tx1"/>
            </w14:solidFill>
          </w14:textFill>
        </w:rPr>
        <w:t>-2  环境风险识别表</w:t>
      </w:r>
    </w:p>
    <w:tbl>
      <w:tblPr>
        <w:tblStyle w:val="71"/>
        <w:tblW w:w="907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11"/>
        <w:gridCol w:w="1512"/>
        <w:gridCol w:w="1512"/>
        <w:gridCol w:w="1512"/>
        <w:gridCol w:w="1512"/>
        <w:gridCol w:w="15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1511" w:type="dxa"/>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产生环境风险的原因</w:t>
            </w:r>
          </w:p>
        </w:tc>
        <w:tc>
          <w:tcPr>
            <w:tcW w:w="1512" w:type="dxa"/>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环境风险因子</w:t>
            </w:r>
          </w:p>
        </w:tc>
        <w:tc>
          <w:tcPr>
            <w:tcW w:w="4536" w:type="dxa"/>
            <w:gridSpan w:val="3"/>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发生的难易程度</w:t>
            </w:r>
          </w:p>
        </w:tc>
        <w:tc>
          <w:tcPr>
            <w:tcW w:w="1512" w:type="dxa"/>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1511" w:type="dxa"/>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易发生</w:t>
            </w:r>
          </w:p>
        </w:tc>
        <w:tc>
          <w:tcPr>
            <w:tcW w:w="1512"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适度发生</w:t>
            </w:r>
          </w:p>
        </w:tc>
        <w:tc>
          <w:tcPr>
            <w:tcW w:w="1512"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难发生</w:t>
            </w:r>
          </w:p>
        </w:tc>
        <w:tc>
          <w:tcPr>
            <w:tcW w:w="1512" w:type="dxa"/>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511"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船舶搁浅</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船舶溢油</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地表水</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水生生态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生活污水</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悬浮物质</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其他垃圾</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船舶碰撞</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船舶溢油</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环境空气</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地表水</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水生生态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火灾</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生活污水</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悬浮物质</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其他垃圾</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船舶与码头桥桩碰撞</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船舶溢油</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环境空气</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地表水</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水生生态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火灾</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生活污水</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悬浮物质</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其他垃圾</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管廊泄漏</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污水泄漏</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环境空气</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地表水</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水生生态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陆域危化品泄漏</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危化品泄漏</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地表水</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水生生态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51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污水处理设施故障</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污水超标排放</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51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地表水</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水生生态</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pStyle w:val="4"/>
        <w:rPr>
          <w:rFonts w:eastAsiaTheme="minorEastAsia"/>
          <w:color w:val="000000" w:themeColor="text1"/>
          <w14:textFill>
            <w14:solidFill>
              <w14:schemeClr w14:val="tx1"/>
            </w14:solidFill>
          </w14:textFill>
        </w:rPr>
      </w:pPr>
      <w:bookmarkStart w:id="147" w:name="_Toc23429145"/>
      <w:r>
        <w:rPr>
          <w:rFonts w:eastAsiaTheme="minorEastAsia"/>
          <w:color w:val="000000" w:themeColor="text1"/>
          <w14:textFill>
            <w14:solidFill>
              <w14:schemeClr w14:val="tx1"/>
            </w14:solidFill>
          </w14:textFill>
        </w:rPr>
        <w:t>环境敏感目标概况</w:t>
      </w:r>
      <w:bookmarkEnd w:id="147"/>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本项目主要环境敏感目标分布情况详见表</w:t>
      </w:r>
      <w:r>
        <w:rPr>
          <w:rFonts w:hint="eastAsia" w:ascii="Times New Roman" w:hAnsi="Times New Roman" w:eastAsiaTheme="minorEastAsia"/>
          <w:color w:val="000000" w:themeColor="text1"/>
          <w:sz w:val="24"/>
          <w:szCs w:val="24"/>
          <w14:textFill>
            <w14:solidFill>
              <w14:schemeClr w14:val="tx1"/>
            </w14:solidFill>
          </w14:textFill>
        </w:rPr>
        <w:t>2.7-5</w:t>
      </w:r>
      <w:r>
        <w:rPr>
          <w:rFonts w:ascii="Times New Roman" w:hAnsi="Times New Roman" w:eastAsiaTheme="minorEastAsia"/>
          <w:color w:val="000000" w:themeColor="text1"/>
          <w:sz w:val="24"/>
          <w:szCs w:val="24"/>
          <w14:textFill>
            <w14:solidFill>
              <w14:schemeClr w14:val="tx1"/>
            </w14:solidFill>
          </w14:textFill>
        </w:rPr>
        <w:t>。</w:t>
      </w:r>
    </w:p>
    <w:p>
      <w:pPr>
        <w:pStyle w:val="4"/>
        <w:rPr>
          <w:rFonts w:ascii="Times New Roman" w:hAnsi="Times New Roman" w:eastAsiaTheme="minorEastAsia"/>
          <w:color w:val="000000" w:themeColor="text1"/>
          <w14:textFill>
            <w14:solidFill>
              <w14:schemeClr w14:val="tx1"/>
            </w14:solidFill>
          </w14:textFill>
        </w:rPr>
      </w:pPr>
      <w:r>
        <w:rPr>
          <w:rFonts w:eastAsiaTheme="minorEastAsia"/>
        </w:rPr>
        <w:t>环境风险潜势初判</w:t>
      </w:r>
    </w:p>
    <w:p>
      <w:pPr>
        <w:pStyle w:val="5"/>
        <w:rPr>
          <w:rFonts w:eastAsiaTheme="minorEastAsia"/>
        </w:rPr>
      </w:pPr>
      <w:r>
        <w:rPr>
          <w:rFonts w:eastAsiaTheme="minorEastAsia"/>
        </w:rPr>
        <w:t>P的分级确定</w:t>
      </w:r>
    </w:p>
    <w:p>
      <w:pPr>
        <w:adjustRightInd w:val="0"/>
        <w:snapToGrid w:val="0"/>
        <w:spacing w:line="360" w:lineRule="auto"/>
        <w:ind w:firstLine="482" w:firstLineChars="200"/>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1、危险物质数量与临界量比值（Q）</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计算所涉及的每种危险物质在厂界内的最大存在总量与其在《建设项目环境风险评价技术导则》（HJ169-2018）附录B中对应临界量的比值Q。当只涉及一种危险物质时，计算该物质的总量与其临界量比值，即为Q；当存在多种危险物质时，则按下式计算物质总量与其临界量比值（Q）：</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Q=q</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n</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n</w:t>
      </w:r>
      <w:r>
        <w:rPr>
          <w:rFonts w:ascii="Times New Roman" w:hAnsi="Times New Roman" w:eastAsiaTheme="minorEastAsia"/>
          <w:color w:val="000000" w:themeColor="text1"/>
          <w:sz w:val="24"/>
          <w:szCs w:val="24"/>
          <w14:textFill>
            <w14:solidFill>
              <w14:schemeClr w14:val="tx1"/>
            </w14:solidFill>
          </w14:textFill>
        </w:rPr>
        <w:t>式中：q</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n</w:t>
      </w:r>
      <w:r>
        <w:rPr>
          <w:rFonts w:ascii="Times New Roman" w:hAnsi="Times New Roman" w:eastAsiaTheme="minorEastAsia"/>
          <w:color w:val="000000" w:themeColor="text1"/>
          <w:sz w:val="24"/>
          <w:szCs w:val="24"/>
          <w14:textFill>
            <w14:solidFill>
              <w14:schemeClr w14:val="tx1"/>
            </w14:solidFill>
          </w14:textFill>
        </w:rPr>
        <w:t>—每种危险物质的最大存在总量，t；Q</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，…，Q</w:t>
      </w:r>
      <w:r>
        <w:rPr>
          <w:rFonts w:ascii="Times New Roman" w:hAnsi="Times New Roman" w:eastAsiaTheme="minorEastAsia"/>
          <w:color w:val="000000" w:themeColor="text1"/>
          <w:sz w:val="24"/>
          <w:szCs w:val="24"/>
          <w:vertAlign w:val="subscript"/>
          <w14:textFill>
            <w14:solidFill>
              <w14:schemeClr w14:val="tx1"/>
            </w14:solidFill>
          </w14:textFill>
        </w:rPr>
        <w:t>n</w:t>
      </w:r>
      <w:r>
        <w:rPr>
          <w:rFonts w:ascii="Times New Roman" w:hAnsi="Times New Roman" w:eastAsiaTheme="minorEastAsia"/>
          <w:color w:val="000000" w:themeColor="text1"/>
          <w:sz w:val="24"/>
          <w:szCs w:val="24"/>
          <w14:textFill>
            <w14:solidFill>
              <w14:schemeClr w14:val="tx1"/>
            </w14:solidFill>
          </w14:textFill>
        </w:rPr>
        <w:t>—每种危险物质的临界量，t。</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当Q＜1时，该项目环境风险潜势为I。当Q≥1时，将Q值划分为：</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⑴ 1≤Q＜10；</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⑵ 10≤Q＜100；</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⑶ Q≥100。</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根据《建设项目环境风险评价技术导则》</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GB18218-2018</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和《危险化学品重大危险源辨识》（HJ169-2018），长期或临时生产、加工、搬运、使用或储存危险物质，且危险物质的数量等于或超过临界量的单元均为重大危险源。</w:t>
      </w:r>
    </w:p>
    <w:p>
      <w:pPr>
        <w:adjustRightInd w:val="0"/>
        <w:snapToGrid w:val="0"/>
        <w:spacing w:line="360" w:lineRule="auto"/>
        <w:ind w:firstLine="480" w:firstLineChars="200"/>
        <w:rPr>
          <w:rFonts w:hint="default" w:ascii="Times New Roman" w:hAnsi="Times New Roman" w:cs="Times New Roman" w:eastAsiaTheme="minorEastAsia"/>
          <w:color w:val="FF0000"/>
          <w:sz w:val="24"/>
          <w:szCs w:val="24"/>
          <w:u w:val="single"/>
        </w:rPr>
      </w:pPr>
      <w:r>
        <w:rPr>
          <w:rFonts w:hint="default" w:ascii="Times New Roman" w:hAnsi="Times New Roman" w:cs="Times New Roman" w:eastAsiaTheme="minorEastAsia"/>
          <w:color w:val="FF0000"/>
          <w:sz w:val="24"/>
          <w:szCs w:val="24"/>
          <w:u w:val="single"/>
        </w:rPr>
        <w:t>经过危险物质识别和生产过程分析，结合《危险化学品重大危险源辨识》（GB18218-2018）和《危险货物品名表》（GB12268-2012），本风险分析以码头运输货物作为本项目的主要重大危险源辨识相关物质</w:t>
      </w:r>
      <w:r>
        <w:rPr>
          <w:rFonts w:hint="default" w:ascii="Times New Roman" w:hAnsi="Times New Roman" w:cs="Times New Roman" w:eastAsiaTheme="minorEastAsia"/>
          <w:color w:val="FF0000"/>
          <w:sz w:val="24"/>
          <w:szCs w:val="24"/>
          <w:u w:val="single"/>
          <w:lang w:eastAsia="zh-CN"/>
        </w:rPr>
        <w:t>，</w:t>
      </w:r>
      <w:r>
        <w:rPr>
          <w:rFonts w:hint="default" w:ascii="Times New Roman" w:hAnsi="Times New Roman" w:cs="Times New Roman" w:eastAsiaTheme="minorEastAsia"/>
          <w:color w:val="FF0000"/>
          <w:sz w:val="24"/>
          <w:szCs w:val="24"/>
          <w:u w:val="single"/>
          <w:lang w:val="en-US" w:eastAsia="zh-CN"/>
        </w:rPr>
        <w:t>其中沥青不属于</w:t>
      </w:r>
      <w:r>
        <w:rPr>
          <w:rFonts w:hint="default" w:ascii="Times New Roman" w:hAnsi="Times New Roman" w:cs="Times New Roman" w:eastAsiaTheme="minorEastAsia"/>
          <w:color w:val="FF0000"/>
          <w:sz w:val="24"/>
          <w:szCs w:val="24"/>
          <w:u w:val="single"/>
        </w:rPr>
        <w:t>《危险化学品重大危险源辨识》（GB18218-2018）</w:t>
      </w:r>
      <w:r>
        <w:rPr>
          <w:rFonts w:hint="default" w:ascii="Times New Roman" w:hAnsi="Times New Roman" w:cs="Times New Roman" w:eastAsiaTheme="minorEastAsia"/>
          <w:color w:val="FF0000"/>
          <w:sz w:val="24"/>
          <w:szCs w:val="24"/>
          <w:u w:val="single"/>
          <w:lang w:val="en-US" w:eastAsia="zh-CN"/>
        </w:rPr>
        <w:t>附录B表B.1中的突发环境事件风险物质，无急性毒性</w:t>
      </w:r>
      <w:r>
        <w:rPr>
          <w:rFonts w:hint="default" w:ascii="Times New Roman" w:hAnsi="Times New Roman" w:cs="Times New Roman" w:eastAsiaTheme="minorEastAsia"/>
          <w:color w:val="FF0000"/>
          <w:sz w:val="24"/>
          <w:szCs w:val="24"/>
          <w:u w:val="single"/>
        </w:rPr>
        <w:t>。本项目主要是原油</w:t>
      </w:r>
      <w:r>
        <w:rPr>
          <w:rFonts w:hint="default" w:ascii="Times New Roman" w:hAnsi="Times New Roman" w:cs="Times New Roman" w:eastAsiaTheme="minorEastAsia"/>
          <w:color w:val="FF0000"/>
          <w:sz w:val="24"/>
          <w:szCs w:val="24"/>
          <w:u w:val="single"/>
          <w:lang w:eastAsia="zh-CN"/>
        </w:rPr>
        <w:t>、</w:t>
      </w:r>
      <w:r>
        <w:rPr>
          <w:rFonts w:hint="default" w:ascii="Times New Roman" w:hAnsi="Times New Roman" w:cs="Times New Roman" w:eastAsiaTheme="minorEastAsia"/>
          <w:color w:val="FF0000"/>
          <w:sz w:val="24"/>
          <w:szCs w:val="24"/>
          <w:u w:val="single"/>
        </w:rPr>
        <w:t>成品油及</w:t>
      </w:r>
      <w:r>
        <w:rPr>
          <w:rFonts w:hint="default" w:ascii="Times New Roman" w:hAnsi="Times New Roman" w:cs="Times New Roman" w:eastAsiaTheme="minorEastAsia"/>
          <w:color w:val="FF0000"/>
          <w:sz w:val="24"/>
          <w:szCs w:val="24"/>
          <w:u w:val="single"/>
          <w:lang w:val="en-US" w:eastAsia="zh-CN"/>
        </w:rPr>
        <w:t>化学品</w:t>
      </w:r>
      <w:r>
        <w:rPr>
          <w:rFonts w:hint="default" w:ascii="Times New Roman" w:hAnsi="Times New Roman" w:cs="Times New Roman" w:eastAsiaTheme="minorEastAsia"/>
          <w:color w:val="FF0000"/>
          <w:sz w:val="24"/>
          <w:szCs w:val="24"/>
          <w:u w:val="single"/>
        </w:rPr>
        <w:t>装卸，不涉及货物的存储，故本项目危险物的最大存储量为运输管道的在线量</w:t>
      </w:r>
      <w:r>
        <w:rPr>
          <w:rFonts w:hint="default" w:ascii="Times New Roman" w:hAnsi="Times New Roman" w:cs="Times New Roman" w:eastAsiaTheme="minorEastAsia"/>
          <w:color w:val="FF0000"/>
          <w:sz w:val="24"/>
          <w:szCs w:val="24"/>
          <w:u w:val="single"/>
          <w:lang w:val="en-US" w:eastAsia="zh-CN"/>
        </w:rPr>
        <w:t>和装卸量。装卸量根据运输泵的最大流量进行核算</w:t>
      </w:r>
      <w:r>
        <w:rPr>
          <w:rFonts w:hint="default" w:ascii="Times New Roman" w:hAnsi="Times New Roman" w:cs="Times New Roman" w:eastAsiaTheme="minorEastAsia"/>
          <w:color w:val="FF0000"/>
          <w:sz w:val="24"/>
          <w:szCs w:val="24"/>
          <w:u w:val="single"/>
          <w:lang w:eastAsia="zh-CN"/>
        </w:rPr>
        <w:t>，</w:t>
      </w:r>
      <w:r>
        <w:rPr>
          <w:rFonts w:hint="default" w:ascii="Times New Roman" w:hAnsi="Times New Roman" w:cs="Times New Roman" w:eastAsiaTheme="minorEastAsia"/>
          <w:color w:val="FF0000"/>
          <w:sz w:val="24"/>
          <w:szCs w:val="24"/>
          <w:u w:val="single"/>
        </w:rPr>
        <w:t>本项目运输管线长度最大值为580m，管径DN150。</w:t>
      </w:r>
      <w:r>
        <w:rPr>
          <w:rFonts w:hint="default" w:ascii="Times New Roman" w:hAnsi="Times New Roman" w:cs="Times New Roman" w:eastAsiaTheme="minorEastAsia"/>
          <w:color w:val="FF0000"/>
          <w:sz w:val="24"/>
          <w:szCs w:val="24"/>
          <w:u w:val="single"/>
          <w:lang w:val="en-US" w:eastAsia="zh-CN"/>
        </w:rPr>
        <w:t>由于每个泊位一次只能停靠一艘货船（4#泊位可</w:t>
      </w:r>
      <w:r>
        <w:rPr>
          <w:rFonts w:hint="default" w:ascii="Times New Roman" w:hAnsi="Times New Roman" w:cs="Times New Roman" w:eastAsiaTheme="minorEastAsia"/>
          <w:color w:val="FF0000"/>
          <w:sz w:val="24"/>
          <w:szCs w:val="24"/>
          <w:u w:val="single"/>
          <w:lang w:bidi="ar"/>
        </w:rPr>
        <w:t>同时靠泊2艘分节油驳</w:t>
      </w:r>
      <w:r>
        <w:rPr>
          <w:rFonts w:hint="default" w:ascii="Times New Roman" w:hAnsi="Times New Roman" w:cs="Times New Roman" w:eastAsiaTheme="minorEastAsia"/>
          <w:color w:val="FF0000"/>
          <w:sz w:val="24"/>
          <w:szCs w:val="24"/>
          <w:u w:val="single"/>
          <w:lang w:eastAsia="zh-CN" w:bidi="ar"/>
        </w:rPr>
        <w:t>），</w:t>
      </w:r>
      <w:r>
        <w:rPr>
          <w:rFonts w:hint="default" w:ascii="Times New Roman" w:hAnsi="Times New Roman" w:cs="Times New Roman" w:eastAsiaTheme="minorEastAsia"/>
          <w:color w:val="FF0000"/>
          <w:sz w:val="24"/>
          <w:szCs w:val="24"/>
          <w:u w:val="single"/>
          <w:lang w:val="en-US" w:eastAsia="zh-CN" w:bidi="ar"/>
        </w:rPr>
        <w:t>只能装卸一</w:t>
      </w:r>
      <w:r>
        <w:rPr>
          <w:rFonts w:hint="default" w:ascii="Times New Roman" w:hAnsi="Times New Roman" w:cs="Times New Roman" w:eastAsiaTheme="minorEastAsia"/>
          <w:color w:val="FF0000"/>
          <w:sz w:val="24"/>
          <w:szCs w:val="24"/>
          <w:u w:val="single"/>
          <w:lang w:val="en-US" w:eastAsia="zh-CN" w:bidi="ar"/>
        </w:rPr>
        <w:t>种货物，所以Q值按照各货物的最大存在量进行计算，经计算码头风险物质Q值为31.379。</w:t>
      </w:r>
    </w:p>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表6.</w:t>
      </w:r>
      <w:r>
        <w:rPr>
          <w:rFonts w:hint="eastAsia" w:ascii="Times New Roman" w:hAnsi="Times New Roman" w:eastAsiaTheme="minorEastAsia"/>
          <w:b/>
          <w:color w:val="FF0000"/>
          <w:sz w:val="24"/>
          <w:szCs w:val="24"/>
          <w:u w:val="single"/>
        </w:rPr>
        <w:t>8</w:t>
      </w:r>
      <w:r>
        <w:rPr>
          <w:rFonts w:ascii="Times New Roman" w:hAnsi="Times New Roman" w:eastAsiaTheme="minorEastAsia"/>
          <w:b/>
          <w:color w:val="FF0000"/>
          <w:sz w:val="24"/>
          <w:szCs w:val="24"/>
          <w:u w:val="single"/>
        </w:rPr>
        <w:t>-</w:t>
      </w:r>
      <w:r>
        <w:rPr>
          <w:rFonts w:hint="eastAsia" w:ascii="Times New Roman" w:hAnsi="Times New Roman" w:eastAsiaTheme="minorEastAsia"/>
          <w:b/>
          <w:color w:val="FF0000"/>
          <w:sz w:val="24"/>
          <w:szCs w:val="24"/>
          <w:u w:val="single"/>
          <w:lang w:val="en-US" w:eastAsia="zh-CN"/>
        </w:rPr>
        <w:t>3</w:t>
      </w:r>
      <w:r>
        <w:rPr>
          <w:rFonts w:ascii="Times New Roman" w:hAnsi="Times New Roman" w:eastAsiaTheme="minorEastAsia"/>
          <w:b/>
          <w:color w:val="FF0000"/>
          <w:sz w:val="24"/>
          <w:szCs w:val="24"/>
          <w:u w:val="single"/>
        </w:rPr>
        <w:t xml:space="preserve">  本项目主要危险性物质一览表</w:t>
      </w:r>
    </w:p>
    <w:tbl>
      <w:tblPr>
        <w:tblStyle w:val="71"/>
        <w:tblW w:w="499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062"/>
        <w:gridCol w:w="1190"/>
        <w:gridCol w:w="1064"/>
        <w:gridCol w:w="1064"/>
        <w:gridCol w:w="1064"/>
        <w:gridCol w:w="1064"/>
        <w:gridCol w:w="1406"/>
        <w:gridCol w:w="11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584" w:type="pct"/>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名称</w:t>
            </w:r>
          </w:p>
        </w:tc>
        <w:tc>
          <w:tcPr>
            <w:tcW w:w="654" w:type="pct"/>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危险化学物质类别</w:t>
            </w:r>
          </w:p>
        </w:tc>
        <w:tc>
          <w:tcPr>
            <w:tcW w:w="585" w:type="pct"/>
            <w:tcMar>
              <w:left w:w="0" w:type="dxa"/>
              <w:right w:w="0" w:type="dxa"/>
            </w:tcMar>
            <w:vAlign w:val="center"/>
          </w:tcPr>
          <w:p>
            <w:pPr>
              <w:adjustRightInd w:val="0"/>
              <w:snapToGrid w:val="0"/>
              <w:jc w:val="center"/>
              <w:rPr>
                <w:rFonts w:hint="default" w:ascii="Times New Roman" w:hAnsi="Times New Roman" w:eastAsiaTheme="minorEastAsia"/>
                <w:b/>
                <w:color w:val="FF0000"/>
                <w:u w:val="single"/>
                <w:lang w:val="en-US" w:eastAsia="zh-CN"/>
              </w:rPr>
            </w:pPr>
            <w:r>
              <w:rPr>
                <w:rFonts w:hint="eastAsia" w:ascii="Times New Roman" w:hAnsi="Times New Roman" w:eastAsiaTheme="minorEastAsia"/>
                <w:b/>
                <w:color w:val="FF0000"/>
                <w:u w:val="single"/>
                <w:lang w:val="en-US" w:eastAsia="zh-CN"/>
              </w:rPr>
              <w:t>泵最大流量</w:t>
            </w:r>
            <w:r>
              <w:rPr>
                <w:rFonts w:ascii="Times New Roman" w:hAnsi="Times New Roman" w:eastAsiaTheme="minorEastAsia"/>
                <w:b/>
                <w:color w:val="FF0000"/>
                <w:u w:val="single"/>
              </w:rPr>
              <w:t>（</w:t>
            </w:r>
            <w:r>
              <w:rPr>
                <w:rFonts w:hint="eastAsia" w:ascii="Times New Roman" w:hAnsi="Times New Roman" w:eastAsiaTheme="minorEastAsia"/>
                <w:b/>
                <w:color w:val="FF0000"/>
                <w:u w:val="single"/>
                <w:lang w:val="en-US" w:eastAsia="zh-CN"/>
              </w:rPr>
              <w:t>m</w:t>
            </w:r>
            <w:r>
              <w:rPr>
                <w:rFonts w:hint="eastAsia" w:ascii="Times New Roman" w:hAnsi="Times New Roman" w:eastAsiaTheme="minorEastAsia"/>
                <w:b/>
                <w:color w:val="FF0000"/>
                <w:u w:val="single"/>
                <w:vertAlign w:val="superscript"/>
                <w:lang w:val="en-US" w:eastAsia="zh-CN"/>
              </w:rPr>
              <w:t>3</w:t>
            </w:r>
            <w:r>
              <w:rPr>
                <w:rFonts w:hint="eastAsia" w:ascii="Times New Roman" w:hAnsi="Times New Roman" w:eastAsiaTheme="minorEastAsia"/>
                <w:b/>
                <w:color w:val="FF0000"/>
                <w:u w:val="single"/>
                <w:lang w:val="en-US" w:eastAsia="zh-CN"/>
              </w:rPr>
              <w:t>/h</w:t>
            </w:r>
            <w:r>
              <w:rPr>
                <w:rFonts w:ascii="Times New Roman" w:hAnsi="Times New Roman" w:eastAsiaTheme="minorEastAsia"/>
                <w:b/>
                <w:color w:val="FF0000"/>
                <w:u w:val="single"/>
              </w:rPr>
              <w:t>）</w:t>
            </w:r>
          </w:p>
        </w:tc>
        <w:tc>
          <w:tcPr>
            <w:tcW w:w="585" w:type="pct"/>
            <w:tcMar>
              <w:left w:w="0" w:type="dxa"/>
              <w:right w:w="0" w:type="dxa"/>
            </w:tcMar>
            <w:vAlign w:val="center"/>
          </w:tcPr>
          <w:p>
            <w:pPr>
              <w:adjustRightInd w:val="0"/>
              <w:snapToGrid w:val="0"/>
              <w:jc w:val="center"/>
              <w:rPr>
                <w:rFonts w:hint="default" w:ascii="Times New Roman" w:hAnsi="Times New Roman" w:eastAsiaTheme="minorEastAsia"/>
                <w:b/>
                <w:color w:val="FF0000"/>
                <w:u w:val="single"/>
                <w:lang w:val="en-US" w:eastAsia="zh-CN"/>
              </w:rPr>
            </w:pPr>
            <w:r>
              <w:rPr>
                <w:rFonts w:hint="eastAsia" w:ascii="Times New Roman" w:hAnsi="Times New Roman" w:eastAsiaTheme="minorEastAsia"/>
                <w:b/>
                <w:color w:val="FF0000"/>
                <w:u w:val="single"/>
                <w:lang w:val="en-US" w:eastAsia="zh-CN"/>
              </w:rPr>
              <w:t>装卸最大流量</w:t>
            </w:r>
            <w:r>
              <w:rPr>
                <w:rFonts w:ascii="Times New Roman" w:hAnsi="Times New Roman" w:eastAsiaTheme="minorEastAsia"/>
                <w:b/>
                <w:color w:val="FF0000"/>
                <w:u w:val="single"/>
              </w:rPr>
              <w:t>（t）</w:t>
            </w:r>
          </w:p>
        </w:tc>
        <w:tc>
          <w:tcPr>
            <w:tcW w:w="585" w:type="pct"/>
            <w:tcMar>
              <w:left w:w="0" w:type="dxa"/>
              <w:right w:w="0" w:type="dxa"/>
            </w:tcMar>
            <w:vAlign w:val="center"/>
          </w:tcPr>
          <w:p>
            <w:pPr>
              <w:adjustRightInd w:val="0"/>
              <w:snapToGrid w:val="0"/>
              <w:jc w:val="center"/>
              <w:rPr>
                <w:rFonts w:hint="default" w:ascii="Times New Roman" w:hAnsi="Times New Roman" w:eastAsiaTheme="minorEastAsia"/>
                <w:b/>
                <w:color w:val="FF0000"/>
                <w:u w:val="single"/>
                <w:lang w:val="en-US" w:eastAsia="zh-CN"/>
              </w:rPr>
            </w:pPr>
            <w:r>
              <w:rPr>
                <w:rFonts w:hint="eastAsia" w:ascii="Times New Roman" w:hAnsi="Times New Roman" w:eastAsiaTheme="minorEastAsia"/>
                <w:b/>
                <w:color w:val="FF0000"/>
                <w:u w:val="single"/>
                <w:lang w:val="en-US" w:eastAsia="zh-CN"/>
              </w:rPr>
              <w:t>管道最大在线量</w:t>
            </w:r>
            <w:r>
              <w:rPr>
                <w:rFonts w:ascii="Times New Roman" w:hAnsi="Times New Roman" w:eastAsiaTheme="minorEastAsia"/>
                <w:b/>
                <w:color w:val="FF0000"/>
                <w:u w:val="single"/>
              </w:rPr>
              <w:t>（t）</w:t>
            </w:r>
          </w:p>
        </w:tc>
        <w:tc>
          <w:tcPr>
            <w:tcW w:w="585" w:type="pct"/>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最大存储量（t）</w:t>
            </w:r>
          </w:p>
        </w:tc>
        <w:tc>
          <w:tcPr>
            <w:tcW w:w="771" w:type="pct"/>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HJ169-2018规定的临界值（t）</w:t>
            </w:r>
          </w:p>
        </w:tc>
        <w:tc>
          <w:tcPr>
            <w:tcW w:w="648" w:type="pct"/>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Q</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hint="eastAsia" w:ascii="宋体" w:hAnsi="宋体" w:cs="宋体"/>
                <w:color w:val="FF0000"/>
                <w:kern w:val="0"/>
                <w:u w:val="single"/>
                <w:lang w:bidi="ar"/>
              </w:rPr>
              <w:t>绥中油</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易燃液体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290</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226.2</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33.19</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259.39</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200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1.297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柴油</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第3.1类低闪点易</w:t>
            </w:r>
          </w:p>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167</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116.9</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0.035</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116.935</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200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0.585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汽油</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第3.1类低闪点易</w:t>
            </w:r>
          </w:p>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167</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116.9</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0.032</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116.932</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200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0.585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hint="eastAsia" w:ascii="宋体" w:hAnsi="宋体" w:cs="宋体"/>
                <w:color w:val="FF0000"/>
                <w:kern w:val="0"/>
                <w:u w:val="single"/>
                <w:lang w:bidi="ar"/>
              </w:rPr>
              <w:t>乙烯石脑油</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易燃液体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215</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167.7</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0.040</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167.74</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200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0.839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hint="eastAsia" w:ascii="宋体" w:hAnsi="宋体" w:cs="宋体"/>
                <w:color w:val="FF0000"/>
                <w:kern w:val="0"/>
                <w:u w:val="single"/>
                <w:lang w:bidi="ar"/>
              </w:rPr>
              <w:t>重整石脑油</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易燃液体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100</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78</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0.040</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78.04</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200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0.390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hint="eastAsia" w:ascii="宋体" w:hAnsi="宋体" w:cs="宋体"/>
                <w:color w:val="FF0000"/>
                <w:kern w:val="0"/>
                <w:u w:val="single"/>
                <w:lang w:bidi="ar"/>
              </w:rPr>
              <w:t>蜡油</w:t>
            </w:r>
            <w:r>
              <w:rPr>
                <w:rFonts w:ascii="Times New Roman" w:hAnsi="Times New Roman"/>
                <w:color w:val="FF0000"/>
                <w:kern w:val="0"/>
                <w:u w:val="single"/>
                <w:lang w:bidi="ar"/>
              </w:rPr>
              <w:t>/</w:t>
            </w:r>
            <w:r>
              <w:rPr>
                <w:rFonts w:hint="eastAsia" w:ascii="宋体" w:hAnsi="宋体" w:cs="宋体"/>
                <w:color w:val="FF0000"/>
                <w:kern w:val="0"/>
                <w:u w:val="single"/>
                <w:lang w:bidi="ar"/>
              </w:rPr>
              <w:t>渣油</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易燃液体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450</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414.45</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0.036</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414.486</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200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2.072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二甲苯</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第3.3类高闪点易燃液体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120</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103.2</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0.036</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103.236</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10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10.324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乙酸甲酯</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第3.2类中闪点易燃液体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50</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46</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0.038</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46.038</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10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4.604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醋酸</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第8.3类腐蚀品</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50</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52.5</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0.043</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52.543</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10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5.254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丁酮</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易燃，具刺激性</w:t>
            </w:r>
            <w:r>
              <w:rPr>
                <w:rFonts w:hint="eastAsia" w:ascii="Times New Roman" w:hAnsi="Times New Roman" w:eastAsiaTheme="minorEastAsia"/>
                <w:color w:val="FF0000"/>
                <w:u w:val="single"/>
              </w:rPr>
              <w:t>，低毒</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50</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40.5</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0.032</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40.532</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10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4.053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84" w:type="pct"/>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乙酸仲丁酯</w:t>
            </w:r>
          </w:p>
        </w:tc>
        <w:tc>
          <w:tcPr>
            <w:tcW w:w="654" w:type="pct"/>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rPr>
              <w:t>第3.2类中闪点易燃液体</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80</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val="en-US" w:eastAsia="zh-CN" w:bidi="ar"/>
              </w:rPr>
              <w:t>68.8</w:t>
            </w:r>
          </w:p>
        </w:tc>
        <w:tc>
          <w:tcPr>
            <w:tcW w:w="585" w:type="pct"/>
            <w:tcMar>
              <w:left w:w="0" w:type="dxa"/>
              <w:right w:w="0" w:type="dxa"/>
            </w:tcMar>
            <w:vAlign w:val="center"/>
          </w:tcPr>
          <w:p>
            <w:pPr>
              <w:widowControl/>
              <w:jc w:val="center"/>
              <w:textAlignment w:val="center"/>
              <w:rPr>
                <w:rFonts w:hint="eastAsia" w:ascii="Times New Roman" w:hAnsi="Times New Roman"/>
                <w:color w:val="FF0000"/>
                <w:kern w:val="0"/>
                <w:u w:val="single"/>
                <w:lang w:bidi="ar"/>
              </w:rPr>
            </w:pPr>
            <w:r>
              <w:rPr>
                <w:rFonts w:hint="eastAsia" w:ascii="Times New Roman" w:hAnsi="Times New Roman"/>
                <w:color w:val="FF0000"/>
                <w:kern w:val="0"/>
                <w:u w:val="single"/>
                <w:lang w:bidi="ar"/>
              </w:rPr>
              <w:t>0.035</w:t>
            </w:r>
          </w:p>
        </w:tc>
        <w:tc>
          <w:tcPr>
            <w:tcW w:w="585"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68.835</w:t>
            </w:r>
          </w:p>
        </w:tc>
        <w:tc>
          <w:tcPr>
            <w:tcW w:w="771"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bidi="ar"/>
              </w:rPr>
              <w:t>50</w:t>
            </w:r>
          </w:p>
        </w:tc>
        <w:tc>
          <w:tcPr>
            <w:tcW w:w="648" w:type="pct"/>
            <w:tcMar>
              <w:left w:w="0" w:type="dxa"/>
              <w:right w:w="0" w:type="dxa"/>
            </w:tcMar>
            <w:vAlign w:val="center"/>
          </w:tcPr>
          <w:p>
            <w:pPr>
              <w:widowControl/>
              <w:jc w:val="center"/>
              <w:textAlignment w:val="center"/>
              <w:rPr>
                <w:rFonts w:ascii="Times New Roman" w:hAnsi="Times New Roman"/>
                <w:color w:val="FF0000"/>
                <w:kern w:val="0"/>
                <w:u w:val="single"/>
                <w:lang w:bidi="ar"/>
              </w:rPr>
            </w:pPr>
            <w:r>
              <w:rPr>
                <w:rFonts w:hint="eastAsia" w:ascii="Times New Roman" w:hAnsi="Times New Roman"/>
                <w:color w:val="FF0000"/>
                <w:kern w:val="0"/>
                <w:u w:val="single"/>
                <w:lang w:val="en-US" w:eastAsia="zh-CN" w:bidi="ar"/>
              </w:rPr>
              <w:t>1.377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351" w:type="pct"/>
            <w:gridSpan w:val="7"/>
            <w:tcMar>
              <w:left w:w="0" w:type="dxa"/>
              <w:right w:w="0" w:type="dxa"/>
            </w:tcMar>
            <w:vAlign w:val="center"/>
          </w:tcPr>
          <w:p>
            <w:pPr>
              <w:widowControl/>
              <w:jc w:val="center"/>
              <w:textAlignment w:val="center"/>
              <w:rPr>
                <w:rFonts w:hint="eastAsia" w:ascii="Times New Roman" w:hAnsi="Times New Roman" w:eastAsia="宋体"/>
                <w:color w:val="FF0000"/>
                <w:kern w:val="0"/>
                <w:u w:val="single"/>
                <w:lang w:val="en-US" w:eastAsia="zh-CN" w:bidi="ar"/>
              </w:rPr>
            </w:pPr>
            <w:r>
              <w:rPr>
                <w:rFonts w:hint="eastAsia" w:ascii="Times New Roman" w:hAnsi="Times New Roman"/>
                <w:color w:val="FF0000"/>
                <w:kern w:val="0"/>
                <w:u w:val="single"/>
                <w:lang w:val="en-US" w:eastAsia="zh-CN" w:bidi="ar"/>
              </w:rPr>
              <w:t>合计</w:t>
            </w:r>
          </w:p>
        </w:tc>
        <w:tc>
          <w:tcPr>
            <w:tcW w:w="648" w:type="pct"/>
            <w:tcMar>
              <w:left w:w="0" w:type="dxa"/>
              <w:right w:w="0" w:type="dxa"/>
            </w:tcMar>
            <w:vAlign w:val="center"/>
          </w:tcPr>
          <w:p>
            <w:pPr>
              <w:widowControl/>
              <w:jc w:val="center"/>
              <w:textAlignment w:val="center"/>
              <w:rPr>
                <w:rFonts w:hint="eastAsia" w:ascii="Times New Roman" w:hAnsi="Times New Roman"/>
                <w:color w:val="FF0000"/>
                <w:kern w:val="0"/>
                <w:u w:val="single"/>
                <w:lang w:val="en-US" w:eastAsia="zh-CN" w:bidi="ar"/>
              </w:rPr>
            </w:pPr>
            <w:r>
              <w:rPr>
                <w:rFonts w:hint="eastAsia" w:ascii="Times New Roman" w:hAnsi="Times New Roman"/>
                <w:color w:val="FF0000"/>
                <w:kern w:val="0"/>
                <w:u w:val="single"/>
                <w:lang w:val="en-US" w:eastAsia="zh-CN" w:bidi="ar"/>
              </w:rPr>
              <w:t>31.379</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FF0000"/>
          <w:sz w:val="24"/>
          <w:szCs w:val="24"/>
          <w:u w:val="single"/>
          <w:lang w:val="en-US" w:eastAsia="zh-CN"/>
        </w:rPr>
      </w:pPr>
      <w:r>
        <w:rPr>
          <w:rFonts w:hint="eastAsia" w:ascii="Times New Roman" w:hAnsi="Times New Roman" w:cs="Times New Roman"/>
          <w:b/>
          <w:bCs/>
          <w:color w:val="FF0000"/>
          <w:sz w:val="24"/>
          <w:szCs w:val="24"/>
          <w:u w:val="single"/>
          <w:lang w:val="en-US" w:eastAsia="zh-CN"/>
        </w:rPr>
        <w:t>2</w:t>
      </w:r>
      <w:r>
        <w:rPr>
          <w:rFonts w:hint="default" w:ascii="Times New Roman" w:hAnsi="Times New Roman" w:cs="Times New Roman"/>
          <w:b/>
          <w:bCs/>
          <w:color w:val="FF0000"/>
          <w:sz w:val="24"/>
          <w:szCs w:val="24"/>
          <w:u w:val="single"/>
          <w:lang w:val="en-US" w:eastAsia="zh-CN"/>
        </w:rPr>
        <w:t>、所属行业及生产工艺特点（M</w:t>
      </w:r>
      <w:r>
        <w:rPr>
          <w:rFonts w:hint="eastAsia" w:ascii="Times New Roman" w:hAnsi="Times New Roman" w:cs="Times New Roman"/>
          <w:b/>
          <w:bCs/>
          <w:color w:val="FF0000"/>
          <w:sz w:val="24"/>
          <w:szCs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szCs w:val="24"/>
          <w:u w:val="single"/>
          <w:lang w:val="en-US" w:eastAsia="zh-CN"/>
        </w:rPr>
      </w:pPr>
      <w:r>
        <w:rPr>
          <w:rFonts w:hint="default" w:ascii="Times New Roman" w:hAnsi="Times New Roman" w:cs="Times New Roman" w:eastAsiaTheme="minorEastAsia"/>
          <w:color w:val="FF0000"/>
          <w:sz w:val="24"/>
          <w:szCs w:val="24"/>
          <w:u w:val="single"/>
          <w:lang w:val="en-US" w:eastAsia="zh-CN"/>
        </w:rPr>
        <w:t>根据</w:t>
      </w:r>
      <w:r>
        <w:rPr>
          <w:rFonts w:hint="default" w:ascii="Times New Roman" w:hAnsi="Times New Roman" w:cs="Times New Roman" w:eastAsiaTheme="minorEastAsia"/>
          <w:color w:val="FF0000"/>
          <w:sz w:val="24"/>
          <w:szCs w:val="24"/>
          <w:u w:val="single"/>
        </w:rPr>
        <w:t>《建设项目环境风险评价技术导则》（HJ169-2018）</w:t>
      </w:r>
      <w:r>
        <w:rPr>
          <w:rFonts w:hint="default" w:ascii="Times New Roman" w:hAnsi="Times New Roman" w:cs="Times New Roman" w:eastAsiaTheme="minorEastAsia"/>
          <w:color w:val="FF0000"/>
          <w:sz w:val="24"/>
          <w:szCs w:val="24"/>
          <w:u w:val="single"/>
          <w:lang w:val="en-US" w:eastAsia="zh-CN"/>
        </w:rPr>
        <w:t>附录C.1评估生产工艺情况。具有多套工艺单元的项目，对每套生产工艺分别评分并求和。将M划分为（1）M&gt;20，（2）10&lt;M≤20，（3）5&lt;M≤10，（4）M=5，分别以M1、M2、M3和M4表示。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szCs w:val="24"/>
          <w:u w:val="single"/>
          <w:lang w:val="en-US" w:eastAsia="zh-CN"/>
        </w:rPr>
      </w:pPr>
      <w:r>
        <w:rPr>
          <w:rFonts w:hint="default" w:ascii="Times New Roman" w:hAnsi="Times New Roman" w:cs="Times New Roman" w:eastAsiaTheme="minorEastAsia"/>
          <w:color w:val="FF0000"/>
          <w:sz w:val="24"/>
          <w:szCs w:val="24"/>
          <w:u w:val="single"/>
          <w:lang w:val="en-US" w:eastAsia="zh-CN"/>
        </w:rPr>
        <w:t>生产工艺过程评估分值详见下表。本项目属于码头工程，涉及危险物质的装卸和管道运输，不涉及危险物质的储存，则项目的M值为10，属于M3类项目。</w:t>
      </w:r>
    </w:p>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表6.8-4  企业生产工艺过程评估指标及分值</w:t>
      </w:r>
    </w:p>
    <w:tbl>
      <w:tblPr>
        <w:tblStyle w:val="7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4242"/>
        <w:gridCol w:w="951"/>
        <w:gridCol w:w="1472"/>
        <w:gridCol w:w="1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b/>
                <w:bCs/>
                <w:color w:val="000000" w:themeColor="text1"/>
                <w:kern w:val="0"/>
                <w:lang w:val="en-US" w:eastAsia="zh-CN" w:bidi="ar"/>
                <w14:textFill>
                  <w14:solidFill>
                    <w14:schemeClr w14:val="tx1"/>
                  </w14:solidFill>
                </w14:textFill>
              </w:rPr>
            </w:pPr>
            <w:r>
              <w:rPr>
                <w:rFonts w:hint="eastAsia" w:ascii="Times New Roman" w:hAnsi="Times New Roman"/>
                <w:b/>
                <w:bCs/>
                <w:color w:val="000000" w:themeColor="text1"/>
                <w:kern w:val="0"/>
                <w:lang w:val="en-US" w:eastAsia="zh-CN" w:bidi="ar"/>
                <w14:textFill>
                  <w14:solidFill>
                    <w14:schemeClr w14:val="tx1"/>
                  </w14:solidFill>
                </w14:textFill>
              </w:rPr>
              <w:t>行业</w:t>
            </w:r>
          </w:p>
        </w:tc>
        <w:tc>
          <w:tcPr>
            <w:tcW w:w="233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b/>
                <w:bCs/>
                <w:color w:val="000000" w:themeColor="text1"/>
                <w:kern w:val="0"/>
                <w:lang w:val="en-US" w:eastAsia="zh-CN" w:bidi="ar"/>
                <w14:textFill>
                  <w14:solidFill>
                    <w14:schemeClr w14:val="tx1"/>
                  </w14:solidFill>
                </w14:textFill>
              </w:rPr>
            </w:pPr>
            <w:r>
              <w:rPr>
                <w:rFonts w:hint="eastAsia" w:ascii="Times New Roman" w:hAnsi="Times New Roman"/>
                <w:b/>
                <w:bCs/>
                <w:color w:val="000000" w:themeColor="text1"/>
                <w:kern w:val="0"/>
                <w:lang w:val="en-US" w:eastAsia="zh-CN" w:bidi="ar"/>
                <w14:textFill>
                  <w14:solidFill>
                    <w14:schemeClr w14:val="tx1"/>
                  </w14:solidFill>
                </w14:textFill>
              </w:rPr>
              <w:t>评估依据</w:t>
            </w:r>
          </w:p>
        </w:tc>
        <w:tc>
          <w:tcPr>
            <w:tcW w:w="52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b/>
                <w:bCs/>
                <w:color w:val="000000" w:themeColor="text1"/>
                <w:kern w:val="0"/>
                <w:lang w:val="en-US" w:eastAsia="zh-CN" w:bidi="ar"/>
                <w14:textFill>
                  <w14:solidFill>
                    <w14:schemeClr w14:val="tx1"/>
                  </w14:solidFill>
                </w14:textFill>
              </w:rPr>
            </w:pPr>
            <w:r>
              <w:rPr>
                <w:rFonts w:hint="eastAsia" w:ascii="Times New Roman" w:hAnsi="Times New Roman"/>
                <w:b/>
                <w:bCs/>
                <w:color w:val="000000" w:themeColor="text1"/>
                <w:kern w:val="0"/>
                <w:lang w:val="en-US" w:eastAsia="zh-CN" w:bidi="ar"/>
                <w14:textFill>
                  <w14:solidFill>
                    <w14:schemeClr w14:val="tx1"/>
                  </w14:solidFill>
                </w14:textFill>
              </w:rPr>
              <w:t>分值</w:t>
            </w:r>
          </w:p>
        </w:tc>
        <w:tc>
          <w:tcPr>
            <w:tcW w:w="807"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b/>
                <w:bCs/>
                <w:color w:val="000000" w:themeColor="text1"/>
                <w:kern w:val="0"/>
                <w:lang w:val="en-US" w:eastAsia="zh-CN" w:bidi="ar"/>
                <w14:textFill>
                  <w14:solidFill>
                    <w14:schemeClr w14:val="tx1"/>
                  </w14:solidFill>
                </w14:textFill>
              </w:rPr>
            </w:pPr>
            <w:r>
              <w:rPr>
                <w:rFonts w:hint="eastAsia" w:ascii="Times New Roman" w:hAnsi="Times New Roman"/>
                <w:b/>
                <w:bCs/>
                <w:color w:val="000000" w:themeColor="text1"/>
                <w:kern w:val="0"/>
                <w:lang w:val="en-US" w:eastAsia="zh-CN" w:bidi="ar"/>
                <w14:textFill>
                  <w14:solidFill>
                    <w14:schemeClr w14:val="tx1"/>
                  </w14:solidFill>
                </w14:textFill>
              </w:rPr>
              <w:t>项目涉及类别</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b/>
                <w:bCs/>
                <w:color w:val="000000" w:themeColor="text1"/>
                <w:kern w:val="0"/>
                <w:lang w:val="en-US" w:eastAsia="zh-CN" w:bidi="ar"/>
                <w14:textFill>
                  <w14:solidFill>
                    <w14:schemeClr w14:val="tx1"/>
                  </w14:solidFill>
                </w14:textFill>
              </w:rPr>
            </w:pPr>
            <w:r>
              <w:rPr>
                <w:rFonts w:hint="eastAsia" w:ascii="Times New Roman" w:hAnsi="Times New Roman"/>
                <w:b/>
                <w:bCs/>
                <w:color w:val="000000" w:themeColor="text1"/>
                <w:kern w:val="0"/>
                <w:lang w:val="en-US" w:eastAsia="zh-CN" w:bidi="ar"/>
                <w14:textFill>
                  <w14:solidFill>
                    <w14:schemeClr w14:val="tx1"/>
                  </w14:solidFill>
                </w14:textFill>
              </w:rPr>
              <w:t>项目分值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石化、化工、医药、有色冶炼、轻工、化纤等</w:t>
            </w:r>
          </w:p>
        </w:tc>
        <w:tc>
          <w:tcPr>
            <w:tcW w:w="233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2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10/每套</w:t>
            </w:r>
          </w:p>
        </w:tc>
        <w:tc>
          <w:tcPr>
            <w:tcW w:w="807"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不涉及</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p>
        </w:tc>
        <w:tc>
          <w:tcPr>
            <w:tcW w:w="233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无机酸制酸工艺、焦化工艺</w:t>
            </w:r>
          </w:p>
        </w:tc>
        <w:tc>
          <w:tcPr>
            <w:tcW w:w="52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5/每套</w:t>
            </w:r>
          </w:p>
        </w:tc>
        <w:tc>
          <w:tcPr>
            <w:tcW w:w="807"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不涉及</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p>
        </w:tc>
        <w:tc>
          <w:tcPr>
            <w:tcW w:w="233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其他高温或高压，且涉及危险物质的工艺过程</w:t>
            </w:r>
            <w:r>
              <w:rPr>
                <w:rFonts w:hint="eastAsia" w:ascii="Times New Roman" w:hAnsi="Times New Roman"/>
                <w:color w:val="000000" w:themeColor="text1"/>
                <w:kern w:val="0"/>
                <w:vertAlign w:val="superscript"/>
                <w:lang w:val="en-US" w:eastAsia="zh-CN" w:bidi="ar"/>
                <w14:textFill>
                  <w14:solidFill>
                    <w14:schemeClr w14:val="tx1"/>
                  </w14:solidFill>
                </w14:textFill>
              </w:rPr>
              <w:t>a</w:t>
            </w:r>
            <w:r>
              <w:rPr>
                <w:rFonts w:hint="eastAsia" w:ascii="Times New Roman" w:hAnsi="Times New Roman"/>
                <w:color w:val="000000" w:themeColor="text1"/>
                <w:kern w:val="0"/>
                <w:lang w:val="en-US" w:eastAsia="zh-CN" w:bidi="ar"/>
                <w14:textFill>
                  <w14:solidFill>
                    <w14:schemeClr w14:val="tx1"/>
                  </w14:solidFill>
                </w14:textFill>
              </w:rPr>
              <w:t>或危险物质储存罐区</w:t>
            </w:r>
          </w:p>
        </w:tc>
        <w:tc>
          <w:tcPr>
            <w:tcW w:w="52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5/每套（罐区）</w:t>
            </w:r>
          </w:p>
        </w:tc>
        <w:tc>
          <w:tcPr>
            <w:tcW w:w="807"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不涉及高温高压工艺</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管道、港口/</w:t>
            </w:r>
          </w:p>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码头等</w:t>
            </w:r>
          </w:p>
        </w:tc>
        <w:tc>
          <w:tcPr>
            <w:tcW w:w="233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涉及危险物质管道运输项目、港口/码头等</w:t>
            </w:r>
          </w:p>
        </w:tc>
        <w:tc>
          <w:tcPr>
            <w:tcW w:w="52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10</w:t>
            </w:r>
          </w:p>
        </w:tc>
        <w:tc>
          <w:tcPr>
            <w:tcW w:w="807"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涉及</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石油天然气</w:t>
            </w:r>
          </w:p>
        </w:tc>
        <w:tc>
          <w:tcPr>
            <w:tcW w:w="233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石油、天然气、页岩气开采（含净化），气库（不含加气站的气库），油库（不含加气站的气库）、油气管线</w:t>
            </w:r>
            <w:r>
              <w:rPr>
                <w:rFonts w:hint="eastAsia" w:ascii="Times New Roman" w:hAnsi="Times New Roman"/>
                <w:color w:val="000000" w:themeColor="text1"/>
                <w:kern w:val="0"/>
                <w:vertAlign w:val="superscript"/>
                <w:lang w:val="en-US" w:eastAsia="zh-CN" w:bidi="ar"/>
                <w14:textFill>
                  <w14:solidFill>
                    <w14:schemeClr w14:val="tx1"/>
                  </w14:solidFill>
                </w14:textFill>
              </w:rPr>
              <w:t>b</w:t>
            </w:r>
            <w:r>
              <w:rPr>
                <w:rFonts w:hint="eastAsia" w:ascii="Times New Roman" w:hAnsi="Times New Roman"/>
                <w:color w:val="000000" w:themeColor="text1"/>
                <w:kern w:val="0"/>
                <w:lang w:val="en-US" w:eastAsia="zh-CN" w:bidi="ar"/>
                <w14:textFill>
                  <w14:solidFill>
                    <w14:schemeClr w14:val="tx1"/>
                  </w14:solidFill>
                </w14:textFill>
              </w:rPr>
              <w:t xml:space="preserve"> （不含城镇燃气管线）</w:t>
            </w:r>
          </w:p>
        </w:tc>
        <w:tc>
          <w:tcPr>
            <w:tcW w:w="52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10</w:t>
            </w:r>
          </w:p>
        </w:tc>
        <w:tc>
          <w:tcPr>
            <w:tcW w:w="807"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不涉及</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其它</w:t>
            </w:r>
          </w:p>
        </w:tc>
        <w:tc>
          <w:tcPr>
            <w:tcW w:w="233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涉及危险物质储存、使用的项目</w:t>
            </w:r>
          </w:p>
        </w:tc>
        <w:tc>
          <w:tcPr>
            <w:tcW w:w="523"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5</w:t>
            </w:r>
          </w:p>
        </w:tc>
        <w:tc>
          <w:tcPr>
            <w:tcW w:w="807"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不涉及</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97" w:type="pct"/>
            <w:gridSpan w:val="4"/>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合计</w:t>
            </w:r>
          </w:p>
        </w:tc>
        <w:tc>
          <w:tcPr>
            <w:tcW w:w="602" w:type="pct"/>
            <w:tcBorders>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tcMar>
              <w:top w:w="0" w:type="dxa"/>
              <w:left w:w="0" w:type="dxa"/>
              <w:bottom w:w="0" w:type="dxa"/>
              <w:right w:w="0" w:type="dxa"/>
            </w:tcMar>
            <w:vAlign w:val="center"/>
          </w:tcPr>
          <w:p>
            <w:pPr>
              <w:widowControl/>
              <w:jc w:val="both"/>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a.高温指工艺温度≥300C，高压指压力容器的设计压力(p) 210.0Mpa:</w:t>
            </w:r>
          </w:p>
          <w:p>
            <w:pPr>
              <w:widowControl/>
              <w:jc w:val="both"/>
              <w:textAlignment w:val="center"/>
              <w:rPr>
                <w:rFonts w:hint="eastAsia" w:ascii="Times New Roman" w:hAnsi="Times New Roman"/>
                <w:color w:val="000000" w:themeColor="text1"/>
                <w:kern w:val="0"/>
                <w:lang w:val="en-US" w:eastAsia="zh-CN" w:bidi="ar"/>
                <w14:textFill>
                  <w14:solidFill>
                    <w14:schemeClr w14:val="tx1"/>
                  </w14:solidFill>
                </w14:textFill>
              </w:rPr>
            </w:pPr>
            <w:r>
              <w:rPr>
                <w:rFonts w:hint="eastAsia" w:ascii="Times New Roman" w:hAnsi="Times New Roman"/>
                <w:color w:val="000000" w:themeColor="text1"/>
                <w:kern w:val="0"/>
                <w:lang w:val="en-US" w:eastAsia="zh-CN" w:bidi="ar"/>
                <w14:textFill>
                  <w14:solidFill>
                    <w14:schemeClr w14:val="tx1"/>
                  </w14:solidFill>
                </w14:textFill>
              </w:rPr>
              <w:t>b.长输管道运输项目应按站场、管线分段进行评价</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FF0000"/>
          <w:sz w:val="24"/>
          <w:szCs w:val="24"/>
          <w:u w:val="singl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FF0000"/>
          <w:sz w:val="24"/>
          <w:szCs w:val="24"/>
          <w:u w:val="single"/>
          <w:lang w:val="en-US" w:eastAsia="zh-CN"/>
        </w:rPr>
      </w:pP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、危险物质及工艺系统危险性（P）分级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szCs w:val="24"/>
          <w:u w:val="single"/>
          <w:lang w:val="en-US" w:eastAsia="zh-CN"/>
        </w:rPr>
      </w:pPr>
      <w:r>
        <w:rPr>
          <w:rFonts w:hint="default" w:ascii="Times New Roman" w:hAnsi="Times New Roman" w:cs="Times New Roman" w:eastAsiaTheme="minorEastAsia"/>
          <w:color w:val="FF0000"/>
          <w:sz w:val="24"/>
          <w:szCs w:val="24"/>
          <w:u w:val="single"/>
          <w:lang w:val="en-US" w:eastAsia="zh-CN"/>
        </w:rPr>
        <w:t>根据危险物质数量与临界量比值（Q）和行业及生产工艺（M），按照下表确定危险物质及工艺系统危险性等级（P），分别以P1、P2、P3、P4表示。</w:t>
      </w:r>
    </w:p>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Times New Roman" w:hAnsi="Times New Roman" w:eastAsiaTheme="minorEastAsia"/>
          <w:b/>
          <w:bCs/>
          <w:color w:val="FF0000"/>
          <w:sz w:val="24"/>
          <w:szCs w:val="24"/>
          <w:u w:val="single"/>
          <w:lang w:val="en-US" w:eastAsia="zh-CN"/>
        </w:rPr>
      </w:pPr>
      <w:r>
        <w:rPr>
          <w:rFonts w:hint="eastAsia" w:ascii="Times New Roman" w:hAnsi="Times New Roman" w:eastAsiaTheme="minorEastAsia"/>
          <w:b/>
          <w:bCs/>
          <w:color w:val="FF0000"/>
          <w:sz w:val="24"/>
          <w:szCs w:val="24"/>
          <w:u w:val="single"/>
          <w:lang w:val="en-US" w:eastAsia="zh-CN"/>
        </w:rPr>
        <w:t>表6.8-5  危险物质及工艺系统危险性等级判定（P）</w:t>
      </w:r>
    </w:p>
    <w:tbl>
      <w:tblPr>
        <w:tblStyle w:val="72"/>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7"/>
        <w:gridCol w:w="1857"/>
        <w:gridCol w:w="18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FF0000"/>
                <w:sz w:val="21"/>
                <w:szCs w:val="21"/>
                <w:u w:val="single"/>
                <w:vertAlign w:val="baseline"/>
                <w:lang w:val="en-US" w:eastAsia="zh-CN"/>
              </w:rPr>
            </w:pPr>
            <w:r>
              <w:rPr>
                <w:rFonts w:hint="default" w:ascii="Times New Roman" w:hAnsi="Times New Roman" w:eastAsiaTheme="minorEastAsia"/>
                <w:b/>
                <w:bCs/>
                <w:color w:val="FF0000"/>
                <w:sz w:val="21"/>
                <w:szCs w:val="21"/>
                <w:u w:val="single"/>
                <w:vertAlign w:val="baseline"/>
                <w:lang w:val="en-US" w:eastAsia="zh-CN"/>
              </w:rPr>
              <w:t>危险物质数量与临界量比值Q</w:t>
            </w:r>
          </w:p>
        </w:tc>
        <w:tc>
          <w:tcPr>
            <w:tcW w:w="7429" w:type="dxa"/>
            <w:gridSpan w:val="4"/>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FF0000"/>
                <w:sz w:val="21"/>
                <w:szCs w:val="21"/>
                <w:u w:val="single"/>
                <w:vertAlign w:val="baseline"/>
                <w:lang w:val="en-US" w:eastAsia="zh-CN"/>
              </w:rPr>
            </w:pPr>
            <w:r>
              <w:rPr>
                <w:rFonts w:hint="eastAsia" w:ascii="Times New Roman" w:hAnsi="Times New Roman" w:eastAsiaTheme="minorEastAsia"/>
                <w:b/>
                <w:bCs/>
                <w:color w:val="FF0000"/>
                <w:sz w:val="21"/>
                <w:szCs w:val="21"/>
                <w:u w:val="single"/>
                <w:vertAlign w:val="baseline"/>
                <w:lang w:val="en-US" w:eastAsia="zh-CN"/>
              </w:rPr>
              <w:t>所属行业及生产工艺特点（M）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FF0000"/>
                <w:sz w:val="21"/>
                <w:szCs w:val="21"/>
                <w:u w:val="single"/>
                <w:vertAlign w:val="baseline"/>
                <w:lang w:val="en-US" w:eastAsia="zh-CN"/>
              </w:rPr>
            </w:pP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FF0000"/>
                <w:sz w:val="21"/>
                <w:szCs w:val="21"/>
                <w:u w:val="single"/>
                <w:vertAlign w:val="baseline"/>
                <w:lang w:val="en-US" w:eastAsia="zh-CN"/>
              </w:rPr>
            </w:pPr>
            <w:r>
              <w:rPr>
                <w:rFonts w:hint="eastAsia" w:ascii="Times New Roman" w:hAnsi="Times New Roman" w:eastAsiaTheme="minorEastAsia"/>
                <w:b/>
                <w:bCs/>
                <w:color w:val="FF0000"/>
                <w:sz w:val="21"/>
                <w:szCs w:val="21"/>
                <w:u w:val="single"/>
                <w:vertAlign w:val="baseline"/>
                <w:lang w:val="en-US" w:eastAsia="zh-CN"/>
              </w:rPr>
              <w:t>M1</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FF0000"/>
                <w:sz w:val="21"/>
                <w:szCs w:val="21"/>
                <w:u w:val="single"/>
                <w:vertAlign w:val="baseline"/>
                <w:lang w:val="en-US" w:eastAsia="zh-CN"/>
              </w:rPr>
            </w:pPr>
            <w:r>
              <w:rPr>
                <w:rFonts w:hint="eastAsia" w:ascii="Times New Roman" w:hAnsi="Times New Roman" w:eastAsiaTheme="minorEastAsia"/>
                <w:b/>
                <w:bCs/>
                <w:color w:val="FF0000"/>
                <w:sz w:val="21"/>
                <w:szCs w:val="21"/>
                <w:u w:val="single"/>
                <w:vertAlign w:val="baseline"/>
                <w:lang w:val="en-US" w:eastAsia="zh-CN"/>
              </w:rPr>
              <w:t>M2</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FF0000"/>
                <w:sz w:val="21"/>
                <w:szCs w:val="21"/>
                <w:u w:val="single"/>
                <w:vertAlign w:val="baseline"/>
                <w:lang w:val="en-US" w:eastAsia="zh-CN"/>
              </w:rPr>
            </w:pPr>
            <w:r>
              <w:rPr>
                <w:rFonts w:hint="eastAsia" w:ascii="Times New Roman" w:hAnsi="Times New Roman" w:eastAsiaTheme="minorEastAsia"/>
                <w:b/>
                <w:bCs/>
                <w:color w:val="FF0000"/>
                <w:sz w:val="21"/>
                <w:szCs w:val="21"/>
                <w:u w:val="single"/>
                <w:vertAlign w:val="baseline"/>
                <w:lang w:val="en-US" w:eastAsia="zh-CN"/>
              </w:rPr>
              <w:t>M3</w:t>
            </w:r>
          </w:p>
        </w:tc>
        <w:tc>
          <w:tcPr>
            <w:tcW w:w="185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FF0000"/>
                <w:sz w:val="21"/>
                <w:szCs w:val="21"/>
                <w:u w:val="single"/>
                <w:vertAlign w:val="baseline"/>
                <w:lang w:val="en-US" w:eastAsia="zh-CN"/>
              </w:rPr>
            </w:pPr>
            <w:r>
              <w:rPr>
                <w:rFonts w:hint="eastAsia" w:ascii="Times New Roman" w:hAnsi="Times New Roman" w:eastAsiaTheme="minorEastAsia"/>
                <w:b/>
                <w:bCs/>
                <w:color w:val="FF0000"/>
                <w:sz w:val="21"/>
                <w:szCs w:val="21"/>
                <w:u w:val="single"/>
                <w:vertAlign w:val="baseline"/>
                <w:lang w:val="en-US" w:eastAsia="zh-CN"/>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Q</w:t>
            </w:r>
            <w:r>
              <w:rPr>
                <w:rFonts w:hint="default" w:ascii="Arial" w:hAnsi="Arial" w:cs="Arial" w:eastAsiaTheme="minorEastAsia"/>
                <w:color w:val="FF0000"/>
                <w:sz w:val="21"/>
                <w:szCs w:val="21"/>
                <w:u w:val="single"/>
                <w:vertAlign w:val="baseline"/>
                <w:lang w:val="en-US" w:eastAsia="zh-CN"/>
              </w:rPr>
              <w:t>≥</w:t>
            </w:r>
            <w:r>
              <w:rPr>
                <w:rFonts w:hint="eastAsia" w:ascii="Times New Roman" w:hAnsi="Times New Roman" w:eastAsiaTheme="minorEastAsia"/>
                <w:color w:val="FF0000"/>
                <w:sz w:val="21"/>
                <w:szCs w:val="21"/>
                <w:u w:val="single"/>
                <w:vertAlign w:val="baseline"/>
                <w:lang w:val="en-US" w:eastAsia="zh-CN"/>
              </w:rPr>
              <w:t>100</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P1</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P1</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P2</w:t>
            </w:r>
          </w:p>
        </w:tc>
        <w:tc>
          <w:tcPr>
            <w:tcW w:w="185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10</w:t>
            </w:r>
            <w:r>
              <w:rPr>
                <w:rFonts w:hint="default" w:ascii="Arial" w:hAnsi="Arial" w:cs="Arial" w:eastAsiaTheme="minorEastAsia"/>
                <w:color w:val="FF0000"/>
                <w:sz w:val="21"/>
                <w:szCs w:val="21"/>
                <w:u w:val="single"/>
                <w:vertAlign w:val="baseline"/>
                <w:lang w:val="en-US" w:eastAsia="zh-CN"/>
              </w:rPr>
              <w:t>≤</w:t>
            </w:r>
            <w:r>
              <w:rPr>
                <w:rFonts w:hint="eastAsia" w:ascii="Times New Roman" w:hAnsi="Times New Roman" w:eastAsiaTheme="minorEastAsia"/>
                <w:color w:val="FF0000"/>
                <w:sz w:val="21"/>
                <w:szCs w:val="21"/>
                <w:u w:val="single"/>
                <w:vertAlign w:val="baseline"/>
                <w:lang w:val="en-US" w:eastAsia="zh-CN"/>
              </w:rPr>
              <w:t>Q</w:t>
            </w:r>
            <w:r>
              <w:rPr>
                <w:rFonts w:hint="default" w:ascii="Times New Roman" w:hAnsi="Times New Roman" w:cs="Times New Roman" w:eastAsiaTheme="minorEastAsia"/>
                <w:color w:val="FF0000"/>
                <w:sz w:val="21"/>
                <w:szCs w:val="21"/>
                <w:u w:val="single"/>
                <w:vertAlign w:val="baseline"/>
                <w:lang w:val="en-US" w:eastAsia="zh-CN"/>
              </w:rPr>
              <w:t>&lt;</w:t>
            </w:r>
            <w:r>
              <w:rPr>
                <w:rFonts w:hint="eastAsia" w:ascii="Times New Roman" w:hAnsi="Times New Roman" w:eastAsiaTheme="minorEastAsia"/>
                <w:color w:val="FF0000"/>
                <w:sz w:val="21"/>
                <w:szCs w:val="21"/>
                <w:u w:val="single"/>
                <w:vertAlign w:val="baseline"/>
                <w:lang w:val="en-US" w:eastAsia="zh-CN"/>
              </w:rPr>
              <w:t>100</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P1</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P2</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b/>
                <w:bCs/>
                <w:color w:val="FF0000"/>
                <w:sz w:val="21"/>
                <w:szCs w:val="21"/>
                <w:u w:val="single"/>
                <w:vertAlign w:val="baseline"/>
                <w:lang w:val="en-US" w:eastAsia="zh-CN"/>
              </w:rPr>
              <w:t>P3</w:t>
            </w:r>
          </w:p>
        </w:tc>
        <w:tc>
          <w:tcPr>
            <w:tcW w:w="185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1</w:t>
            </w:r>
            <w:r>
              <w:rPr>
                <w:rFonts w:hint="default" w:ascii="Arial" w:hAnsi="Arial" w:cs="Arial" w:eastAsiaTheme="minorEastAsia"/>
                <w:color w:val="FF0000"/>
                <w:sz w:val="21"/>
                <w:szCs w:val="21"/>
                <w:u w:val="single"/>
                <w:vertAlign w:val="baseline"/>
                <w:lang w:val="en-US" w:eastAsia="zh-CN"/>
              </w:rPr>
              <w:t>≤</w:t>
            </w:r>
            <w:r>
              <w:rPr>
                <w:rFonts w:hint="eastAsia" w:ascii="Times New Roman" w:hAnsi="Times New Roman" w:eastAsiaTheme="minorEastAsia"/>
                <w:color w:val="FF0000"/>
                <w:sz w:val="21"/>
                <w:szCs w:val="21"/>
                <w:u w:val="single"/>
                <w:vertAlign w:val="baseline"/>
                <w:lang w:val="en-US" w:eastAsia="zh-CN"/>
              </w:rPr>
              <w:t>Q</w:t>
            </w:r>
            <w:r>
              <w:rPr>
                <w:rFonts w:hint="default" w:ascii="Times New Roman" w:hAnsi="Times New Roman" w:cs="Times New Roman" w:eastAsiaTheme="minorEastAsia"/>
                <w:color w:val="FF0000"/>
                <w:sz w:val="21"/>
                <w:szCs w:val="21"/>
                <w:u w:val="single"/>
                <w:vertAlign w:val="baseline"/>
                <w:lang w:val="en-US" w:eastAsia="zh-CN"/>
              </w:rPr>
              <w:t>&lt;</w:t>
            </w:r>
            <w:r>
              <w:rPr>
                <w:rFonts w:hint="eastAsia" w:ascii="Times New Roman" w:hAnsi="Times New Roman" w:eastAsiaTheme="minorEastAsia"/>
                <w:color w:val="FF0000"/>
                <w:sz w:val="21"/>
                <w:szCs w:val="21"/>
                <w:u w:val="single"/>
                <w:vertAlign w:val="baseline"/>
                <w:lang w:val="en-US" w:eastAsia="zh-CN"/>
              </w:rPr>
              <w:t>10</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P2</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P3</w:t>
            </w:r>
          </w:p>
        </w:tc>
        <w:tc>
          <w:tcPr>
            <w:tcW w:w="185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P4</w:t>
            </w:r>
          </w:p>
        </w:tc>
        <w:tc>
          <w:tcPr>
            <w:tcW w:w="1858"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FF0000"/>
                <w:sz w:val="21"/>
                <w:szCs w:val="21"/>
                <w:u w:val="single"/>
                <w:vertAlign w:val="baseline"/>
                <w:lang w:val="en-US" w:eastAsia="zh-CN"/>
              </w:rPr>
            </w:pPr>
            <w:r>
              <w:rPr>
                <w:rFonts w:hint="eastAsia" w:ascii="Times New Roman" w:hAnsi="Times New Roman" w:eastAsiaTheme="minorEastAsia"/>
                <w:color w:val="FF0000"/>
                <w:sz w:val="21"/>
                <w:szCs w:val="21"/>
                <w:u w:val="single"/>
                <w:vertAlign w:val="baseline"/>
                <w:lang w:val="en-US" w:eastAsia="zh-CN"/>
              </w:rPr>
              <w:t>P4</w:t>
            </w:r>
          </w:p>
        </w:tc>
      </w:tr>
    </w:tbl>
    <w:p>
      <w:pPr>
        <w:adjustRightInd w:val="0"/>
        <w:snapToGrid w:val="0"/>
        <w:spacing w:line="360" w:lineRule="auto"/>
        <w:rPr>
          <w:rFonts w:hint="eastAsia" w:ascii="Times New Roman" w:hAnsi="Times New Roman" w:eastAsiaTheme="minorEastAsia"/>
          <w:color w:val="FF0000"/>
          <w:sz w:val="24"/>
          <w:szCs w:val="24"/>
          <w:u w:val="single"/>
          <w:lang w:val="en-US" w:eastAsia="zh-CN"/>
        </w:rPr>
      </w:pP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Times New Roman" w:hAnsi="Times New Roman" w:eastAsiaTheme="minorEastAsia"/>
          <w:color w:val="FF0000"/>
          <w:sz w:val="24"/>
          <w:szCs w:val="24"/>
          <w:u w:val="single"/>
          <w:lang w:val="en-US" w:eastAsia="zh-CN"/>
        </w:rPr>
        <w:t>项目Q值为31.379&lt;100，属于10≤Q&lt;100，行业及生产工艺为M3类项目，所以本项目危险物质及工艺系统危险性为P3。</w:t>
      </w:r>
    </w:p>
    <w:p>
      <w:pPr>
        <w:pStyle w:val="5"/>
        <w:rPr>
          <w:rFonts w:hint="eastAsia" w:eastAsiaTheme="minorEastAsia"/>
          <w:lang w:val="en-US" w:eastAsia="zh-CN"/>
        </w:rPr>
      </w:pPr>
      <w:r>
        <w:rPr>
          <w:rFonts w:hint="eastAsia" w:eastAsiaTheme="minorEastAsia"/>
          <w:lang w:val="en-US" w:eastAsia="zh-CN"/>
        </w:rPr>
        <w:t>E的分级判定</w:t>
      </w:r>
    </w:p>
    <w:p>
      <w:pPr>
        <w:adjustRightInd w:val="0"/>
        <w:snapToGrid w:val="0"/>
        <w:spacing w:line="360" w:lineRule="auto"/>
        <w:ind w:firstLine="482" w:firstLineChars="200"/>
        <w:rPr>
          <w:rFonts w:hint="eastAsia"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1、大气环境敏感程度分级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项目</w:t>
      </w:r>
      <w:r>
        <w:rPr>
          <w:rFonts w:hint="default" w:ascii="Times New Roman" w:hAnsi="Times New Roman" w:eastAsiaTheme="minorEastAsia"/>
          <w:color w:val="000000" w:themeColor="text1"/>
          <w:sz w:val="24"/>
          <w:szCs w:val="24"/>
          <w:lang w:val="en-US" w:eastAsia="zh-CN"/>
          <w14:textFill>
            <w14:solidFill>
              <w14:schemeClr w14:val="tx1"/>
            </w14:solidFill>
          </w14:textFill>
        </w:rPr>
        <w:t>位于化工园区，周围主要为工业企业、空地。环境敏感目标为周边5km范围内居住区、医疗卫生、文化教育、科研、行政办公等机构人口总数大于5万人，敏感程度为E1。</w:t>
      </w:r>
    </w:p>
    <w:p>
      <w:pPr>
        <w:adjustRightInd w:val="0"/>
        <w:snapToGrid w:val="0"/>
        <w:spacing w:line="360" w:lineRule="auto"/>
        <w:ind w:firstLine="482" w:firstLineChars="200"/>
        <w:rPr>
          <w:rFonts w:hint="eastAsia"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2、地表水环境敏感程度分级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项目事故排放点</w:t>
      </w:r>
      <w:r>
        <w:rPr>
          <w:rFonts w:hint="default" w:ascii="Times New Roman" w:hAnsi="Times New Roman" w:eastAsiaTheme="minorEastAsia"/>
          <w:color w:val="000000" w:themeColor="text1"/>
          <w:sz w:val="24"/>
          <w:szCs w:val="24"/>
          <w:lang w:val="en-US" w:eastAsia="zh-CN"/>
          <w14:textFill>
            <w14:solidFill>
              <w14:schemeClr w14:val="tx1"/>
            </w14:solidFill>
          </w14:textFill>
        </w:rPr>
        <w:t>受纳水体为长江</w:t>
      </w:r>
      <w:r>
        <w:rPr>
          <w:rFonts w:hint="eastAsia" w:ascii="Times New Roman" w:hAnsi="Times New Roman" w:eastAsiaTheme="minorEastAsia"/>
          <w:color w:val="000000" w:themeColor="text1"/>
          <w:sz w:val="24"/>
          <w:szCs w:val="24"/>
          <w:lang w:val="en-US" w:eastAsia="zh-CN"/>
          <w14:textFill>
            <w14:solidFill>
              <w14:schemeClr w14:val="tx1"/>
            </w14:solidFill>
          </w14:textFill>
        </w:rPr>
        <w:t>（岳阳段）</w:t>
      </w:r>
      <w:r>
        <w:rPr>
          <w:rFonts w:hint="default" w:ascii="Times New Roman" w:hAnsi="Times New Roman" w:eastAsiaTheme="minorEastAsia"/>
          <w:color w:val="000000" w:themeColor="text1"/>
          <w:sz w:val="24"/>
          <w:szCs w:val="24"/>
          <w:lang w:val="en-US" w:eastAsia="zh-CN"/>
          <w14:textFill>
            <w14:solidFill>
              <w14:schemeClr w14:val="tx1"/>
            </w14:solidFill>
          </w14:textFill>
        </w:rPr>
        <w:t>，水域环境功能为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Ⅲ</w:t>
      </w:r>
      <w:r>
        <w:rPr>
          <w:rFonts w:hint="default" w:ascii="Times New Roman" w:hAnsi="Times New Roman" w:eastAsiaTheme="minorEastAsia"/>
          <w:color w:val="000000" w:themeColor="text1"/>
          <w:sz w:val="24"/>
          <w:szCs w:val="24"/>
          <w:lang w:val="en-US" w:eastAsia="zh-CN"/>
          <w14:textFill>
            <w14:solidFill>
              <w14:schemeClr w14:val="tx1"/>
            </w14:solidFill>
          </w14:textFill>
        </w:rPr>
        <w:t>类。长江最大流速约3.5m/s，发生事故后危险物质24h长江流动距离为302km</w:t>
      </w:r>
      <w:r>
        <w:rPr>
          <w:rFonts w:hint="eastAsia" w:ascii="Times New Roman" w:hAnsi="Times New Roman" w:eastAsiaTheme="minorEastAsia"/>
          <w:color w:val="000000" w:themeColor="text1"/>
          <w:sz w:val="24"/>
          <w:szCs w:val="24"/>
          <w:lang w:val="en-US" w:eastAsia="zh-CN"/>
          <w14:textFill>
            <w14:solidFill>
              <w14:schemeClr w14:val="tx1"/>
            </w14:solidFill>
          </w14:textFill>
        </w:rPr>
        <w:t>，因</w:t>
      </w:r>
      <w:r>
        <w:rPr>
          <w:rFonts w:hint="default" w:ascii="Times New Roman" w:hAnsi="Times New Roman" w:eastAsiaTheme="minorEastAsia"/>
          <w:color w:val="000000" w:themeColor="text1"/>
          <w:sz w:val="24"/>
          <w:szCs w:val="24"/>
          <w:lang w:val="en-US" w:eastAsia="zh-CN"/>
          <w14:textFill>
            <w14:solidFill>
              <w14:schemeClr w14:val="tx1"/>
            </w14:solidFill>
          </w14:textFill>
        </w:rPr>
        <w:t>长江</w:t>
      </w:r>
      <w:r>
        <w:rPr>
          <w:rFonts w:hint="eastAsia" w:ascii="Times New Roman" w:hAnsi="Times New Roman" w:eastAsiaTheme="minorEastAsia"/>
          <w:color w:val="000000" w:themeColor="text1"/>
          <w:sz w:val="24"/>
          <w:szCs w:val="24"/>
          <w:lang w:val="en-US" w:eastAsia="zh-CN"/>
          <w14:textFill>
            <w14:solidFill>
              <w14:schemeClr w14:val="tx1"/>
            </w14:solidFill>
          </w14:textFill>
        </w:rPr>
        <w:t>（岳阳段）对岸为湖北省，故</w:t>
      </w:r>
      <w:r>
        <w:rPr>
          <w:rFonts w:hint="default" w:ascii="Times New Roman" w:hAnsi="Times New Roman" w:eastAsiaTheme="minorEastAsia"/>
          <w:color w:val="000000" w:themeColor="text1"/>
          <w:sz w:val="24"/>
          <w:szCs w:val="24"/>
          <w:lang w:val="en-US" w:eastAsia="zh-CN"/>
          <w14:textFill>
            <w14:solidFill>
              <w14:schemeClr w14:val="tx1"/>
            </w14:solidFill>
          </w14:textFill>
        </w:rPr>
        <w:t>24h</w:t>
      </w:r>
      <w:r>
        <w:rPr>
          <w:rFonts w:hint="eastAsia" w:ascii="Times New Roman" w:hAnsi="Times New Roman" w:eastAsiaTheme="minorEastAsia"/>
          <w:color w:val="000000" w:themeColor="text1"/>
          <w:sz w:val="24"/>
          <w:szCs w:val="24"/>
          <w:lang w:val="en-US" w:eastAsia="zh-CN"/>
          <w14:textFill>
            <w14:solidFill>
              <w14:schemeClr w14:val="tx1"/>
            </w14:solidFill>
          </w14:textFill>
        </w:rPr>
        <w:t>流经范围内涉跨省界</w:t>
      </w:r>
      <w:r>
        <w:rPr>
          <w:rFonts w:hint="default" w:ascii="Times New Roman" w:hAnsi="Times New Roman" w:eastAsiaTheme="minorEastAsia"/>
          <w:color w:val="000000" w:themeColor="text1"/>
          <w:sz w:val="24"/>
          <w:szCs w:val="24"/>
          <w:lang w:val="en-US" w:eastAsia="zh-CN"/>
          <w14:textFill>
            <w14:solidFill>
              <w14:schemeClr w14:val="tx1"/>
            </w14:solidFill>
          </w14:textFill>
        </w:rPr>
        <w:t>。地表水功能敏感性为较敏感F2。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事故点所处河段属长江监利段四大家鱼国家级水产种质资源保护区的实验区，所以环境敏感目标分级为S1。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地表水环境敏感程度分级见</w:t>
      </w:r>
      <w:r>
        <w:rPr>
          <w:rFonts w:hint="eastAsia" w:ascii="Times New Roman" w:hAnsi="Times New Roman" w:eastAsiaTheme="minorEastAsia"/>
          <w:color w:val="000000" w:themeColor="text1"/>
          <w:sz w:val="24"/>
          <w:szCs w:val="24"/>
          <w:lang w:val="en-US" w:eastAsia="zh-CN"/>
          <w14:textFill>
            <w14:solidFill>
              <w14:schemeClr w14:val="tx1"/>
            </w14:solidFill>
          </w14:textFill>
        </w:rPr>
        <w:t>下表</w:t>
      </w:r>
      <w:r>
        <w:rPr>
          <w:rFonts w:hint="default" w:ascii="Times New Roman" w:hAnsi="Times New Roman" w:eastAsiaTheme="minorEastAsia"/>
          <w:color w:val="000000" w:themeColor="text1"/>
          <w:sz w:val="24"/>
          <w:szCs w:val="24"/>
          <w:lang w:val="en-US" w:eastAsia="zh-CN"/>
          <w14:textFill>
            <w14:solidFill>
              <w14:schemeClr w14:val="tx1"/>
            </w14:solidFill>
          </w14:textFill>
        </w:rPr>
        <w:t>，工程地表水环境敏感程度分级为E1。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表6.8-6  地表水环境敏感程度分级</w:t>
      </w:r>
    </w:p>
    <w:tbl>
      <w:tblPr>
        <w:tblStyle w:val="72"/>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1"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环境敏感目标</w:t>
            </w:r>
          </w:p>
        </w:tc>
        <w:tc>
          <w:tcPr>
            <w:tcW w:w="6965" w:type="dxa"/>
            <w:gridSpan w:val="3"/>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地表水功能敏感性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1"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p>
        </w:tc>
        <w:tc>
          <w:tcPr>
            <w:tcW w:w="232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F1</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F2</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S1</w:t>
            </w:r>
          </w:p>
        </w:tc>
        <w:tc>
          <w:tcPr>
            <w:tcW w:w="232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S2</w:t>
            </w:r>
          </w:p>
        </w:tc>
        <w:tc>
          <w:tcPr>
            <w:tcW w:w="232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E2</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S3</w:t>
            </w:r>
          </w:p>
        </w:tc>
        <w:tc>
          <w:tcPr>
            <w:tcW w:w="232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E2</w:t>
            </w:r>
          </w:p>
        </w:tc>
        <w:tc>
          <w:tcPr>
            <w:tcW w:w="232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E3</w:t>
            </w:r>
          </w:p>
        </w:tc>
      </w:tr>
    </w:tbl>
    <w:p>
      <w:pPr>
        <w:adjustRightInd w:val="0"/>
        <w:snapToGrid w:val="0"/>
        <w:spacing w:line="360" w:lineRule="auto"/>
        <w:rPr>
          <w:rFonts w:hint="eastAsia" w:ascii="Times New Roman" w:hAnsi="Times New Roman" w:eastAsiaTheme="minorEastAsia"/>
          <w:b/>
          <w:bCs/>
          <w:color w:val="000000" w:themeColor="text1"/>
          <w:sz w:val="24"/>
          <w:szCs w:val="24"/>
          <w:lang w:val="en-US" w:eastAsia="zh-CN"/>
          <w14:textFill>
            <w14:solidFill>
              <w14:schemeClr w14:val="tx1"/>
            </w14:solidFill>
          </w14:textFill>
        </w:rPr>
      </w:pPr>
    </w:p>
    <w:p>
      <w:pPr>
        <w:adjustRightInd w:val="0"/>
        <w:snapToGrid w:val="0"/>
        <w:spacing w:line="360" w:lineRule="auto"/>
        <w:ind w:firstLine="482" w:firstLineChars="200"/>
        <w:rPr>
          <w:rFonts w:hint="eastAsia"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3、地下水环境敏感程度分级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码头周边区域不属于集中式饮用水源准保护区以及补给径流区，没有分散式饮用水水源地，没有特殊地下水资源，地下水功能敏感性为“不敏感”G3。根据资料，岩土的渗透系数为5×10</w:t>
      </w:r>
      <w:r>
        <w:rPr>
          <w:rFonts w:hint="default" w:ascii="Times New Roman" w:hAnsi="Times New Roman" w:eastAsiaTheme="minorEastAsia"/>
          <w:color w:val="000000" w:themeColor="text1"/>
          <w:sz w:val="24"/>
          <w:szCs w:val="24"/>
          <w:vertAlign w:val="superscript"/>
          <w:lang w:val="en-US" w:eastAsia="zh-CN"/>
          <w14:textFill>
            <w14:solidFill>
              <w14:schemeClr w14:val="tx1"/>
            </w14:solidFill>
          </w14:textFill>
        </w:rPr>
        <w:t>-5</w:t>
      </w:r>
      <w:r>
        <w:rPr>
          <w:rFonts w:hint="eastAsia" w:ascii="Times New Roman" w:hAnsi="Times New Roman" w:eastAsiaTheme="minorEastAsia"/>
          <w:color w:val="000000" w:themeColor="text1"/>
          <w:sz w:val="24"/>
          <w:szCs w:val="24"/>
          <w:lang w:val="en-US" w:eastAsia="zh-CN"/>
          <w14:textFill>
            <w14:solidFill>
              <w14:schemeClr w14:val="tx1"/>
            </w14:solidFill>
          </w14:textFill>
        </w:rPr>
        <w:t>cm/s，岩土层单层厚度小于1m，</w:t>
      </w:r>
      <w:r>
        <w:rPr>
          <w:rFonts w:hint="default" w:ascii="Times New Roman" w:hAnsi="Times New Roman" w:eastAsiaTheme="minorEastAsia"/>
          <w:color w:val="000000" w:themeColor="text1"/>
          <w:sz w:val="24"/>
          <w:szCs w:val="24"/>
          <w:lang w:val="en-US" w:eastAsia="zh-CN"/>
          <w14:textFill>
            <w14:solidFill>
              <w14:schemeClr w14:val="tx1"/>
            </w14:solidFill>
          </w14:textFill>
        </w:rPr>
        <w:t>包气带岩土的渗透性能分级为D1。根据表</w:t>
      </w:r>
      <w:r>
        <w:rPr>
          <w:rFonts w:hint="eastAsia" w:ascii="Times New Roman" w:hAnsi="Times New Roman" w:eastAsiaTheme="minorEastAsia"/>
          <w:color w:val="000000" w:themeColor="text1"/>
          <w:sz w:val="24"/>
          <w:szCs w:val="24"/>
          <w:lang w:val="en-US" w:eastAsia="zh-CN"/>
          <w14:textFill>
            <w14:solidFill>
              <w14:schemeClr w14:val="tx1"/>
            </w14:solidFill>
          </w14:textFill>
        </w:rPr>
        <w:t>6.</w:t>
      </w:r>
      <w:r>
        <w:rPr>
          <w:rFonts w:hint="default" w:ascii="Times New Roman" w:hAnsi="Times New Roman" w:eastAsiaTheme="minorEastAsia"/>
          <w:color w:val="000000" w:themeColor="text1"/>
          <w:sz w:val="24"/>
          <w:szCs w:val="24"/>
          <w:lang w:val="en-US" w:eastAsia="zh-CN"/>
          <w14:textFill>
            <w14:solidFill>
              <w14:schemeClr w14:val="tx1"/>
            </w14:solidFill>
          </w14:textFill>
        </w:rPr>
        <w:t>8-</w:t>
      </w:r>
      <w:r>
        <w:rPr>
          <w:rFonts w:hint="eastAsia" w:ascii="Times New Roman" w:hAnsi="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eastAsiaTheme="minorEastAsia"/>
          <w:color w:val="000000" w:themeColor="text1"/>
          <w:sz w:val="24"/>
          <w:szCs w:val="24"/>
          <w:lang w:val="en-US" w:eastAsia="zh-CN"/>
          <w14:textFill>
            <w14:solidFill>
              <w14:schemeClr w14:val="tx1"/>
            </w14:solidFill>
          </w14:textFill>
        </w:rPr>
        <w:t>，工程区地下水环境敏感程度为E2。</w:t>
      </w:r>
    </w:p>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表6.8-7  地下水环境敏感程度分级</w:t>
      </w:r>
    </w:p>
    <w:tbl>
      <w:tblPr>
        <w:tblStyle w:val="7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273"/>
        <w:gridCol w:w="2273"/>
        <w:gridCol w:w="2273"/>
        <w:gridCol w:w="2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环境敏感目标</w:t>
            </w:r>
          </w:p>
        </w:tc>
        <w:tc>
          <w:tcPr>
            <w:tcW w:w="375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G1</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G2</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D1</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b/>
                <w:bCs/>
                <w:color w:val="000000" w:themeColor="text1"/>
                <w:sz w:val="21"/>
                <w:szCs w:val="21"/>
                <w:vertAlign w:val="baseline"/>
                <w:lang w:val="en-US" w:eastAsia="zh-CN"/>
                <w14:textFill>
                  <w14:solidFill>
                    <w14:schemeClr w14:val="tx1"/>
                  </w14:solidFill>
                </w14:textFill>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D2</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E2</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D3</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E1</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E2</w:t>
            </w:r>
          </w:p>
        </w:tc>
        <w:tc>
          <w:tcPr>
            <w:tcW w:w="12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eastAsiaTheme="minorEastAsia"/>
                <w:color w:val="000000" w:themeColor="text1"/>
                <w:sz w:val="21"/>
                <w:szCs w:val="21"/>
                <w:vertAlign w:val="baseline"/>
                <w:lang w:val="en-US" w:eastAsia="zh-CN"/>
                <w14:textFill>
                  <w14:solidFill>
                    <w14:schemeClr w14:val="tx1"/>
                  </w14:solidFill>
                </w14:textFill>
              </w:rPr>
              <w:t>E3</w:t>
            </w:r>
          </w:p>
        </w:tc>
      </w:tr>
    </w:tbl>
    <w:p>
      <w:pPr>
        <w:adjustRightInd w:val="0"/>
        <w:snapToGrid w:val="0"/>
        <w:spacing w:line="360" w:lineRule="auto"/>
        <w:rPr>
          <w:rFonts w:hint="eastAsia" w:ascii="Times New Roman" w:hAnsi="Times New Roman" w:eastAsiaTheme="minorEastAsia"/>
          <w:color w:val="000000" w:themeColor="text1"/>
          <w:sz w:val="24"/>
          <w:szCs w:val="24"/>
          <w:lang w:val="en-US" w:eastAsia="zh-CN"/>
          <w14:textFill>
            <w14:solidFill>
              <w14:schemeClr w14:val="tx1"/>
            </w14:solidFill>
          </w14:textFill>
        </w:rPr>
      </w:pPr>
    </w:p>
    <w:p>
      <w:pPr>
        <w:adjustRightInd w:val="0"/>
        <w:snapToGrid w:val="0"/>
        <w:spacing w:line="360" w:lineRule="auto"/>
        <w:ind w:firstLine="480" w:firstLineChars="200"/>
        <w:rPr>
          <w:rFonts w:hint="default" w:ascii="Times New Roman" w:hAnsi="Times New Roman" w:eastAsiaTheme="minorEastAsia"/>
          <w:color w:val="FF0000"/>
          <w:sz w:val="24"/>
          <w:szCs w:val="24"/>
          <w:u w:val="single"/>
          <w:lang w:val="en-US" w:eastAsia="zh-CN"/>
        </w:rPr>
      </w:pPr>
      <w:r>
        <w:rPr>
          <w:rFonts w:hint="eastAsia" w:ascii="Times New Roman" w:hAnsi="Times New Roman" w:eastAsiaTheme="minorEastAsia"/>
          <w:color w:val="FF0000"/>
          <w:sz w:val="24"/>
          <w:szCs w:val="24"/>
          <w:u w:val="single"/>
          <w:lang w:val="en-US" w:eastAsia="zh-CN"/>
        </w:rPr>
        <w:t>综上所述，项目环境敏感程度分级分别为大气等级E1，地表水为E1，地下水为E2。</w:t>
      </w:r>
    </w:p>
    <w:p>
      <w:pPr>
        <w:pStyle w:val="5"/>
        <w:rPr>
          <w:rFonts w:eastAsiaTheme="minorEastAsia"/>
        </w:rPr>
      </w:pPr>
      <w:r>
        <w:rPr>
          <w:rFonts w:eastAsiaTheme="minorEastAsia"/>
        </w:rPr>
        <w:t>环境风险潜势判断</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Times New Roman" w:hAnsi="Times New Roman" w:eastAsiaTheme="minorEastAsia"/>
          <w:color w:val="FF0000"/>
          <w:sz w:val="24"/>
          <w:szCs w:val="24"/>
          <w:u w:val="single"/>
          <w:lang w:val="en-US" w:eastAsia="zh-CN"/>
        </w:rPr>
        <w:t>本项目危险物质及工艺系统危险性为P3，环境敏感程度分级分别为大气等级E1，地表水为E1，地下水为E2。</w:t>
      </w:r>
      <w:r>
        <w:rPr>
          <w:rFonts w:ascii="Times New Roman" w:hAnsi="Times New Roman" w:eastAsiaTheme="minorEastAsia"/>
          <w:color w:val="FF0000"/>
          <w:sz w:val="24"/>
          <w:szCs w:val="24"/>
          <w:u w:val="single"/>
        </w:rPr>
        <w:t>根据《建设项目环境风险评价技术导则》</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HJ169-2018</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w:t>
      </w:r>
      <w:r>
        <w:rPr>
          <w:rFonts w:hint="eastAsia" w:ascii="Times New Roman" w:hAnsi="Times New Roman" w:eastAsiaTheme="minorEastAsia"/>
          <w:color w:val="FF0000"/>
          <w:sz w:val="24"/>
          <w:szCs w:val="24"/>
          <w:u w:val="single"/>
          <w:lang w:val="en-US" w:eastAsia="zh-CN"/>
        </w:rPr>
        <w:t>环境风险潜势划分见下表，大气环境风险潜势为Ⅲ，地表水环境风险潜势为Ⅲ，地下水环境风险潜势为Ⅲ</w:t>
      </w:r>
      <w:r>
        <w:rPr>
          <w:rFonts w:ascii="Times New Roman" w:hAnsi="Times New Roman" w:eastAsiaTheme="minorEastAsia"/>
          <w:color w:val="FF0000"/>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表6.8-8  建设项目环境风险潜势划分</w:t>
      </w:r>
    </w:p>
    <w:tbl>
      <w:tblPr>
        <w:tblStyle w:val="7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17"/>
        <w:gridCol w:w="1818"/>
        <w:gridCol w:w="1818"/>
        <w:gridCol w:w="1818"/>
        <w:gridCol w:w="1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环境敏感程度（E）</w:t>
            </w:r>
          </w:p>
        </w:tc>
        <w:tc>
          <w:tcPr>
            <w:tcW w:w="4000"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极高危害（P1）</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高度危害（P2）</w:t>
            </w:r>
          </w:p>
        </w:tc>
        <w:tc>
          <w:tcPr>
            <w:tcW w:w="999" w:type="pct"/>
            <w:tcBorders>
              <w:tl2br w:val="nil"/>
              <w:tr2bl w:val="nil"/>
            </w:tcBorders>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中度危害（P3）</w:t>
            </w:r>
          </w:p>
        </w:tc>
        <w:tc>
          <w:tcPr>
            <w:tcW w:w="1003" w:type="pct"/>
            <w:tcBorders>
              <w:tl2br w:val="nil"/>
              <w:tr2bl w:val="nil"/>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环境高度敏感区（E1）</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Ⅳ</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Ⅳ</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Ⅲ</w:t>
            </w:r>
          </w:p>
        </w:tc>
        <w:tc>
          <w:tcPr>
            <w:tcW w:w="10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环境中度敏感区（E2）</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Ⅳ</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Ⅲ</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Ⅲ</w:t>
            </w:r>
          </w:p>
        </w:tc>
        <w:tc>
          <w:tcPr>
            <w:tcW w:w="10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环境低度敏感区（E3）</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Ⅲ</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Ⅲ</w:t>
            </w:r>
          </w:p>
        </w:tc>
        <w:tc>
          <w:tcPr>
            <w:tcW w:w="9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Ⅱ</w:t>
            </w:r>
          </w:p>
        </w:tc>
        <w:tc>
          <w:tcPr>
            <w:tcW w:w="10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注：Ⅳ</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为极高环境风险</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pStyle w:val="4"/>
        <w:rPr>
          <w:rFonts w:hint="eastAsia" w:eastAsiaTheme="minorEastAsia"/>
          <w:lang w:val="en-US" w:eastAsia="zh-CN"/>
        </w:rPr>
      </w:pPr>
      <w:r>
        <w:rPr>
          <w:rFonts w:hint="eastAsia" w:eastAsiaTheme="minorEastAsia"/>
          <w:lang w:val="en-US" w:eastAsia="zh-CN"/>
        </w:rPr>
        <w:t>评价等级和评价范围</w:t>
      </w:r>
    </w:p>
    <w:p>
      <w:pPr>
        <w:pStyle w:val="5"/>
        <w:rPr>
          <w:rFonts w:hint="default" w:eastAsiaTheme="minorEastAsia"/>
          <w:lang w:val="en-US" w:eastAsia="zh-CN"/>
        </w:rPr>
      </w:pPr>
      <w:r>
        <w:rPr>
          <w:rFonts w:hint="eastAsia" w:eastAsiaTheme="minorEastAsia"/>
          <w:lang w:val="en-US" w:eastAsia="zh-CN"/>
        </w:rPr>
        <w:t>评价等级</w:t>
      </w:r>
    </w:p>
    <w:p>
      <w:pPr>
        <w:adjustRightInd w:val="0"/>
        <w:snapToGrid w:val="0"/>
        <w:spacing w:line="360" w:lineRule="auto"/>
        <w:ind w:firstLine="480" w:firstLineChars="200"/>
        <w:rPr>
          <w:rFonts w:hint="eastAsia" w:ascii="Times New Roman" w:hAnsi="Times New Roman" w:eastAsiaTheme="minorEastAsia"/>
          <w:i w:val="0"/>
          <w:iCs w:val="0"/>
          <w:color w:val="FF0000"/>
          <w:sz w:val="24"/>
          <w:szCs w:val="24"/>
          <w:u w:val="single"/>
        </w:rPr>
      </w:pPr>
      <w:r>
        <w:rPr>
          <w:rFonts w:hint="eastAsia" w:ascii="Times New Roman" w:hAnsi="Times New Roman" w:eastAsiaTheme="minorEastAsia"/>
          <w:i w:val="0"/>
          <w:iCs w:val="0"/>
          <w:color w:val="FF0000"/>
          <w:sz w:val="24"/>
          <w:szCs w:val="24"/>
          <w:u w:val="single"/>
        </w:rPr>
        <w:t>根据《建设项目环境风险评价技术导则》</w:t>
      </w:r>
      <w:r>
        <w:rPr>
          <w:rFonts w:hint="eastAsia" w:ascii="Times New Roman" w:hAnsi="Times New Roman" w:eastAsiaTheme="minorEastAsia"/>
          <w:i w:val="0"/>
          <w:iCs w:val="0"/>
          <w:color w:val="FF0000"/>
          <w:sz w:val="24"/>
          <w:szCs w:val="24"/>
          <w:u w:val="single"/>
          <w:lang w:eastAsia="zh-CN"/>
        </w:rPr>
        <w:t>（</w:t>
      </w:r>
      <w:r>
        <w:rPr>
          <w:rFonts w:hint="eastAsia" w:ascii="Times New Roman" w:hAnsi="Times New Roman" w:eastAsiaTheme="minorEastAsia"/>
          <w:i w:val="0"/>
          <w:iCs w:val="0"/>
          <w:color w:val="FF0000"/>
          <w:sz w:val="24"/>
          <w:szCs w:val="24"/>
          <w:u w:val="single"/>
        </w:rPr>
        <w:t>HJ 169-2018</w:t>
      </w:r>
      <w:r>
        <w:rPr>
          <w:rFonts w:hint="eastAsia" w:ascii="Times New Roman" w:hAnsi="Times New Roman" w:eastAsiaTheme="minorEastAsia"/>
          <w:i w:val="0"/>
          <w:iCs w:val="0"/>
          <w:color w:val="FF0000"/>
          <w:sz w:val="24"/>
          <w:szCs w:val="24"/>
          <w:u w:val="single"/>
          <w:lang w:eastAsia="zh-CN"/>
        </w:rPr>
        <w:t>）</w:t>
      </w:r>
      <w:r>
        <w:rPr>
          <w:rFonts w:hint="eastAsia" w:ascii="Times New Roman" w:hAnsi="Times New Roman" w:eastAsiaTheme="minorEastAsia"/>
          <w:i w:val="0"/>
          <w:iCs w:val="0"/>
          <w:color w:val="FF0000"/>
          <w:sz w:val="24"/>
          <w:szCs w:val="24"/>
          <w:u w:val="single"/>
        </w:rPr>
        <w:t>评价等级划分，见</w:t>
      </w:r>
      <w:r>
        <w:rPr>
          <w:rFonts w:hint="eastAsia" w:ascii="Times New Roman" w:hAnsi="Times New Roman" w:eastAsiaTheme="minorEastAsia"/>
          <w:i w:val="0"/>
          <w:iCs w:val="0"/>
          <w:color w:val="FF0000"/>
          <w:sz w:val="24"/>
          <w:szCs w:val="24"/>
          <w:u w:val="single"/>
          <w:lang w:val="en-US" w:eastAsia="zh-CN"/>
        </w:rPr>
        <w:t>下</w:t>
      </w:r>
      <w:r>
        <w:rPr>
          <w:rFonts w:hint="eastAsia" w:ascii="Times New Roman" w:hAnsi="Times New Roman" w:eastAsiaTheme="minorEastAsia"/>
          <w:i w:val="0"/>
          <w:iCs w:val="0"/>
          <w:color w:val="FF0000"/>
          <w:sz w:val="24"/>
          <w:szCs w:val="24"/>
          <w:u w:val="single"/>
        </w:rPr>
        <w:t>表，本项目地下水</w:t>
      </w:r>
      <w:r>
        <w:rPr>
          <w:rFonts w:hint="eastAsia" w:ascii="Times New Roman" w:hAnsi="Times New Roman" w:eastAsiaTheme="minorEastAsia"/>
          <w:i w:val="0"/>
          <w:iCs w:val="0"/>
          <w:color w:val="FF0000"/>
          <w:sz w:val="24"/>
          <w:szCs w:val="24"/>
          <w:u w:val="single"/>
          <w:lang w:eastAsia="zh-CN"/>
        </w:rPr>
        <w:t>、</w:t>
      </w:r>
      <w:r>
        <w:rPr>
          <w:rFonts w:hint="eastAsia" w:ascii="Times New Roman" w:hAnsi="Times New Roman" w:eastAsiaTheme="minorEastAsia"/>
          <w:i w:val="0"/>
          <w:iCs w:val="0"/>
          <w:color w:val="FF0000"/>
          <w:sz w:val="24"/>
          <w:szCs w:val="24"/>
          <w:u w:val="single"/>
        </w:rPr>
        <w:t>大气环境、地表水环境风险潜势为</w:t>
      </w:r>
      <w:r>
        <w:rPr>
          <w:rFonts w:hint="eastAsia" w:ascii="Times New Roman" w:hAnsi="Times New Roman" w:eastAsiaTheme="minorEastAsia"/>
          <w:i w:val="0"/>
          <w:iCs w:val="0"/>
          <w:color w:val="FF0000"/>
          <w:sz w:val="24"/>
          <w:szCs w:val="24"/>
          <w:u w:val="single"/>
          <w:lang w:val="en-US" w:eastAsia="zh-CN"/>
        </w:rPr>
        <w:t>Ⅲ</w:t>
      </w:r>
      <w:r>
        <w:rPr>
          <w:rFonts w:hint="eastAsia" w:ascii="Times New Roman" w:hAnsi="Times New Roman" w:eastAsiaTheme="minorEastAsia"/>
          <w:i w:val="0"/>
          <w:iCs w:val="0"/>
          <w:color w:val="FF0000"/>
          <w:sz w:val="24"/>
          <w:szCs w:val="24"/>
          <w:u w:val="single"/>
        </w:rPr>
        <w:t>级，因此本工程地下水</w:t>
      </w:r>
      <w:r>
        <w:rPr>
          <w:rFonts w:hint="eastAsia" w:ascii="Times New Roman" w:hAnsi="Times New Roman" w:eastAsiaTheme="minorEastAsia"/>
          <w:i w:val="0"/>
          <w:iCs w:val="0"/>
          <w:color w:val="FF0000"/>
          <w:sz w:val="24"/>
          <w:szCs w:val="24"/>
          <w:u w:val="single"/>
          <w:lang w:eastAsia="zh-CN"/>
        </w:rPr>
        <w:t>、</w:t>
      </w:r>
      <w:r>
        <w:rPr>
          <w:rFonts w:hint="eastAsia" w:ascii="Times New Roman" w:hAnsi="Times New Roman" w:eastAsiaTheme="minorEastAsia"/>
          <w:i w:val="0"/>
          <w:iCs w:val="0"/>
          <w:color w:val="FF0000"/>
          <w:sz w:val="24"/>
          <w:szCs w:val="24"/>
          <w:u w:val="single"/>
        </w:rPr>
        <w:t>大气、地表水环境风险评价等级</w:t>
      </w:r>
      <w:r>
        <w:rPr>
          <w:rFonts w:hint="eastAsia" w:ascii="Times New Roman" w:hAnsi="Times New Roman" w:eastAsiaTheme="minorEastAsia"/>
          <w:i w:val="0"/>
          <w:iCs w:val="0"/>
          <w:color w:val="FF0000"/>
          <w:sz w:val="24"/>
          <w:szCs w:val="24"/>
          <w:u w:val="single"/>
          <w:lang w:val="en-US" w:eastAsia="zh-CN"/>
        </w:rPr>
        <w:t>均</w:t>
      </w:r>
      <w:r>
        <w:rPr>
          <w:rFonts w:hint="eastAsia" w:ascii="Times New Roman" w:hAnsi="Times New Roman" w:eastAsiaTheme="minorEastAsia"/>
          <w:i w:val="0"/>
          <w:iCs w:val="0"/>
          <w:color w:val="FF0000"/>
          <w:sz w:val="24"/>
          <w:szCs w:val="24"/>
          <w:u w:val="single"/>
        </w:rPr>
        <w:t>为</w:t>
      </w:r>
      <w:r>
        <w:rPr>
          <w:rFonts w:hint="eastAsia" w:ascii="Times New Roman" w:hAnsi="Times New Roman" w:eastAsiaTheme="minorEastAsia"/>
          <w:i w:val="0"/>
          <w:iCs w:val="0"/>
          <w:color w:val="FF0000"/>
          <w:sz w:val="24"/>
          <w:szCs w:val="24"/>
          <w:u w:val="single"/>
          <w:lang w:val="en-US" w:eastAsia="zh-CN"/>
        </w:rPr>
        <w:t>二</w:t>
      </w:r>
      <w:r>
        <w:rPr>
          <w:rFonts w:hint="eastAsia" w:ascii="Times New Roman" w:hAnsi="Times New Roman" w:eastAsiaTheme="minorEastAsia"/>
          <w:i w:val="0"/>
          <w:iCs w:val="0"/>
          <w:color w:val="FF0000"/>
          <w:sz w:val="24"/>
          <w:szCs w:val="24"/>
          <w:u w:val="single"/>
        </w:rPr>
        <w:t>级。</w:t>
      </w:r>
    </w:p>
    <w:p>
      <w:pPr>
        <w:adjustRightInd w:val="0"/>
        <w:snapToGrid w:val="0"/>
        <w:spacing w:line="276" w:lineRule="auto"/>
        <w:jc w:val="center"/>
        <w:rPr>
          <w:rFonts w:ascii="Times New Roman" w:hAnsi="Times New Roman" w:eastAsiaTheme="minorEastAsia"/>
          <w:b/>
          <w:i w:val="0"/>
          <w:iCs w:val="0"/>
          <w:color w:val="FF0000"/>
          <w:sz w:val="24"/>
          <w:szCs w:val="24"/>
          <w:u w:val="single"/>
        </w:rPr>
      </w:pPr>
      <w:r>
        <w:rPr>
          <w:rFonts w:ascii="Times New Roman" w:hAnsi="Times New Roman" w:eastAsiaTheme="minorEastAsia"/>
          <w:b/>
          <w:i w:val="0"/>
          <w:iCs w:val="0"/>
          <w:color w:val="FF0000"/>
          <w:sz w:val="24"/>
          <w:szCs w:val="24"/>
          <w:u w:val="single"/>
        </w:rPr>
        <w:t>表6.</w:t>
      </w:r>
      <w:r>
        <w:rPr>
          <w:rFonts w:hint="eastAsia" w:ascii="Times New Roman" w:hAnsi="Times New Roman" w:eastAsiaTheme="minorEastAsia"/>
          <w:b/>
          <w:i w:val="0"/>
          <w:iCs w:val="0"/>
          <w:color w:val="FF0000"/>
          <w:sz w:val="24"/>
          <w:szCs w:val="24"/>
          <w:u w:val="single"/>
          <w:lang w:val="en-US" w:eastAsia="zh-CN"/>
        </w:rPr>
        <w:t>8</w:t>
      </w:r>
      <w:r>
        <w:rPr>
          <w:rFonts w:ascii="Times New Roman" w:hAnsi="Times New Roman" w:eastAsiaTheme="minorEastAsia"/>
          <w:b/>
          <w:i w:val="0"/>
          <w:iCs w:val="0"/>
          <w:color w:val="FF0000"/>
          <w:sz w:val="24"/>
          <w:szCs w:val="24"/>
          <w:u w:val="single"/>
        </w:rPr>
        <w:t>-</w:t>
      </w:r>
      <w:r>
        <w:rPr>
          <w:rFonts w:hint="eastAsia" w:ascii="Times New Roman" w:hAnsi="Times New Roman" w:eastAsiaTheme="minorEastAsia"/>
          <w:b/>
          <w:i w:val="0"/>
          <w:iCs w:val="0"/>
          <w:color w:val="FF0000"/>
          <w:sz w:val="24"/>
          <w:szCs w:val="24"/>
          <w:u w:val="single"/>
          <w:lang w:val="en-US" w:eastAsia="zh-CN"/>
        </w:rPr>
        <w:t>9</w:t>
      </w:r>
      <w:r>
        <w:rPr>
          <w:rFonts w:ascii="Times New Roman" w:hAnsi="Times New Roman" w:eastAsiaTheme="minorEastAsia"/>
          <w:b/>
          <w:i w:val="0"/>
          <w:iCs w:val="0"/>
          <w:color w:val="FF0000"/>
          <w:sz w:val="24"/>
          <w:szCs w:val="24"/>
          <w:u w:val="single"/>
        </w:rPr>
        <w:t xml:space="preserve">  环境风险评价工作等级判定一览表</w:t>
      </w:r>
    </w:p>
    <w:tbl>
      <w:tblPr>
        <w:tblStyle w:val="71"/>
        <w:tblW w:w="910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827"/>
        <w:gridCol w:w="1817"/>
        <w:gridCol w:w="1817"/>
        <w:gridCol w:w="1822"/>
        <w:gridCol w:w="181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827" w:type="dxa"/>
            <w:vAlign w:val="center"/>
          </w:tcPr>
          <w:p>
            <w:pPr>
              <w:jc w:val="center"/>
              <w:rPr>
                <w:rFonts w:ascii="Times New Roman" w:hAnsi="Times New Roman" w:eastAsiaTheme="minorEastAsia"/>
                <w:b/>
                <w:i w:val="0"/>
                <w:iCs w:val="0"/>
                <w:color w:val="FF0000"/>
                <w:u w:val="single"/>
              </w:rPr>
            </w:pPr>
            <w:r>
              <w:rPr>
                <w:rFonts w:ascii="Times New Roman" w:hAnsi="Times New Roman" w:eastAsiaTheme="minorEastAsia"/>
                <w:b/>
                <w:i w:val="0"/>
                <w:iCs w:val="0"/>
                <w:color w:val="FF0000"/>
                <w:u w:val="single"/>
              </w:rPr>
              <w:t>环境风险潜势</w:t>
            </w:r>
          </w:p>
        </w:tc>
        <w:tc>
          <w:tcPr>
            <w:tcW w:w="1817" w:type="dxa"/>
            <w:vAlign w:val="center"/>
          </w:tcPr>
          <w:p>
            <w:pPr>
              <w:jc w:val="center"/>
              <w:rPr>
                <w:rFonts w:ascii="Times New Roman" w:hAnsi="Times New Roman" w:eastAsiaTheme="minorEastAsia"/>
                <w:b/>
                <w:i w:val="0"/>
                <w:iCs w:val="0"/>
                <w:color w:val="FF0000"/>
                <w:u w:val="single"/>
              </w:rPr>
            </w:pPr>
            <w:r>
              <w:rPr>
                <w:rFonts w:ascii="Times New Roman" w:hAnsi="Times New Roman" w:eastAsiaTheme="minorEastAsia"/>
                <w:b/>
                <w:i w:val="0"/>
                <w:iCs w:val="0"/>
                <w:color w:val="FF0000"/>
                <w:u w:val="single"/>
              </w:rPr>
              <w:t>Ⅳ、Ⅳ</w:t>
            </w:r>
            <w:r>
              <w:rPr>
                <w:rFonts w:ascii="Times New Roman" w:hAnsi="Times New Roman" w:eastAsiaTheme="minorEastAsia"/>
                <w:b/>
                <w:i w:val="0"/>
                <w:iCs w:val="0"/>
                <w:color w:val="FF0000"/>
                <w:u w:val="single"/>
                <w:vertAlign w:val="superscript"/>
              </w:rPr>
              <w:t>+</w:t>
            </w:r>
          </w:p>
        </w:tc>
        <w:tc>
          <w:tcPr>
            <w:tcW w:w="1817" w:type="dxa"/>
            <w:vAlign w:val="center"/>
          </w:tcPr>
          <w:p>
            <w:pPr>
              <w:jc w:val="center"/>
              <w:rPr>
                <w:rFonts w:ascii="Times New Roman" w:hAnsi="Times New Roman" w:eastAsiaTheme="minorEastAsia"/>
                <w:b/>
                <w:i w:val="0"/>
                <w:iCs w:val="0"/>
                <w:color w:val="FF0000"/>
                <w:u w:val="single"/>
              </w:rPr>
            </w:pPr>
            <w:r>
              <w:rPr>
                <w:rFonts w:ascii="Times New Roman" w:hAnsi="Times New Roman" w:eastAsiaTheme="minorEastAsia"/>
                <w:b/>
                <w:i w:val="0"/>
                <w:iCs w:val="0"/>
                <w:color w:val="FF0000"/>
                <w:u w:val="single"/>
              </w:rPr>
              <w:t>Ⅲ</w:t>
            </w:r>
          </w:p>
        </w:tc>
        <w:tc>
          <w:tcPr>
            <w:tcW w:w="1822" w:type="dxa"/>
            <w:vAlign w:val="center"/>
          </w:tcPr>
          <w:p>
            <w:pPr>
              <w:jc w:val="center"/>
              <w:rPr>
                <w:rFonts w:ascii="Times New Roman" w:hAnsi="Times New Roman" w:eastAsiaTheme="minorEastAsia"/>
                <w:b/>
                <w:i w:val="0"/>
                <w:iCs w:val="0"/>
                <w:color w:val="FF0000"/>
                <w:u w:val="single"/>
              </w:rPr>
            </w:pPr>
            <w:r>
              <w:rPr>
                <w:rFonts w:ascii="Times New Roman" w:hAnsi="Times New Roman" w:eastAsiaTheme="minorEastAsia"/>
                <w:b/>
                <w:i w:val="0"/>
                <w:iCs w:val="0"/>
                <w:color w:val="FF0000"/>
                <w:u w:val="single"/>
              </w:rPr>
              <w:t>Ⅱ</w:t>
            </w:r>
          </w:p>
        </w:tc>
        <w:tc>
          <w:tcPr>
            <w:tcW w:w="1817" w:type="dxa"/>
            <w:vAlign w:val="center"/>
          </w:tcPr>
          <w:p>
            <w:pPr>
              <w:jc w:val="center"/>
              <w:rPr>
                <w:rFonts w:ascii="Times New Roman" w:hAnsi="Times New Roman" w:eastAsiaTheme="minorEastAsia"/>
                <w:b/>
                <w:i w:val="0"/>
                <w:iCs w:val="0"/>
                <w:color w:val="FF0000"/>
                <w:u w:val="single"/>
              </w:rPr>
            </w:pPr>
            <w:r>
              <w:rPr>
                <w:rFonts w:ascii="Times New Roman" w:hAnsi="Times New Roman" w:eastAsiaTheme="minorEastAsia"/>
                <w:b/>
                <w:i w:val="0"/>
                <w:iCs w:val="0"/>
                <w:color w:val="FF0000"/>
                <w:u w:val="single"/>
              </w:rPr>
              <w:t>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827" w:type="dxa"/>
            <w:vAlign w:val="center"/>
          </w:tcPr>
          <w:p>
            <w:pPr>
              <w:jc w:val="center"/>
              <w:rPr>
                <w:rFonts w:ascii="Times New Roman" w:hAnsi="Times New Roman" w:eastAsiaTheme="minorEastAsia"/>
                <w:i w:val="0"/>
                <w:iCs w:val="0"/>
                <w:color w:val="FF0000"/>
                <w:u w:val="single"/>
              </w:rPr>
            </w:pPr>
            <w:r>
              <w:rPr>
                <w:rFonts w:ascii="Times New Roman" w:hAnsi="Times New Roman" w:eastAsiaTheme="minorEastAsia"/>
                <w:i w:val="0"/>
                <w:iCs w:val="0"/>
                <w:color w:val="FF0000"/>
                <w:u w:val="single"/>
              </w:rPr>
              <w:t>评价工作等级</w:t>
            </w:r>
          </w:p>
        </w:tc>
        <w:tc>
          <w:tcPr>
            <w:tcW w:w="1817" w:type="dxa"/>
            <w:vAlign w:val="center"/>
          </w:tcPr>
          <w:p>
            <w:pPr>
              <w:jc w:val="center"/>
              <w:rPr>
                <w:rFonts w:ascii="Times New Roman" w:hAnsi="Times New Roman" w:eastAsiaTheme="minorEastAsia"/>
                <w:i w:val="0"/>
                <w:iCs w:val="0"/>
                <w:color w:val="FF0000"/>
                <w:u w:val="single"/>
              </w:rPr>
            </w:pPr>
            <w:r>
              <w:rPr>
                <w:rFonts w:ascii="Times New Roman" w:hAnsi="Times New Roman" w:eastAsiaTheme="minorEastAsia"/>
                <w:i w:val="0"/>
                <w:iCs w:val="0"/>
                <w:color w:val="FF0000"/>
                <w:u w:val="single"/>
              </w:rPr>
              <w:t>一</w:t>
            </w:r>
          </w:p>
        </w:tc>
        <w:tc>
          <w:tcPr>
            <w:tcW w:w="1817" w:type="dxa"/>
            <w:vAlign w:val="center"/>
          </w:tcPr>
          <w:p>
            <w:pPr>
              <w:jc w:val="center"/>
              <w:rPr>
                <w:rFonts w:ascii="Times New Roman" w:hAnsi="Times New Roman" w:eastAsiaTheme="minorEastAsia"/>
                <w:i w:val="0"/>
                <w:iCs w:val="0"/>
                <w:color w:val="FF0000"/>
                <w:u w:val="single"/>
              </w:rPr>
            </w:pPr>
            <w:r>
              <w:rPr>
                <w:rFonts w:ascii="Times New Roman" w:hAnsi="Times New Roman" w:eastAsiaTheme="minorEastAsia"/>
                <w:i w:val="0"/>
                <w:iCs w:val="0"/>
                <w:color w:val="FF0000"/>
                <w:u w:val="single"/>
              </w:rPr>
              <w:t>二</w:t>
            </w:r>
          </w:p>
        </w:tc>
        <w:tc>
          <w:tcPr>
            <w:tcW w:w="1822" w:type="dxa"/>
            <w:vAlign w:val="center"/>
          </w:tcPr>
          <w:p>
            <w:pPr>
              <w:jc w:val="center"/>
              <w:rPr>
                <w:rFonts w:ascii="Times New Roman" w:hAnsi="Times New Roman" w:eastAsiaTheme="minorEastAsia"/>
                <w:i w:val="0"/>
                <w:iCs w:val="0"/>
                <w:color w:val="FF0000"/>
                <w:u w:val="single"/>
              </w:rPr>
            </w:pPr>
            <w:r>
              <w:rPr>
                <w:rFonts w:ascii="Times New Roman" w:hAnsi="Times New Roman" w:eastAsiaTheme="minorEastAsia"/>
                <w:i w:val="0"/>
                <w:iCs w:val="0"/>
                <w:color w:val="FF0000"/>
                <w:u w:val="single"/>
              </w:rPr>
              <w:t>三</w:t>
            </w:r>
          </w:p>
        </w:tc>
        <w:tc>
          <w:tcPr>
            <w:tcW w:w="1817" w:type="dxa"/>
            <w:vAlign w:val="center"/>
          </w:tcPr>
          <w:p>
            <w:pPr>
              <w:jc w:val="center"/>
              <w:rPr>
                <w:rFonts w:ascii="Times New Roman" w:hAnsi="Times New Roman" w:eastAsiaTheme="minorEastAsia"/>
                <w:i w:val="0"/>
                <w:iCs w:val="0"/>
                <w:color w:val="FF0000"/>
                <w:u w:val="single"/>
              </w:rPr>
            </w:pPr>
            <w:r>
              <w:rPr>
                <w:rFonts w:ascii="Times New Roman" w:hAnsi="Times New Roman" w:eastAsiaTheme="minorEastAsia"/>
                <w:i w:val="0"/>
                <w:iCs w:val="0"/>
                <w:color w:val="FF0000"/>
                <w:u w:val="single"/>
              </w:rPr>
              <w:t>简单分析</w:t>
            </w:r>
          </w:p>
        </w:tc>
      </w:tr>
    </w:tbl>
    <w:p>
      <w:pPr>
        <w:adjustRightInd w:val="0"/>
        <w:snapToGrid w:val="0"/>
        <w:spacing w:line="360" w:lineRule="auto"/>
        <w:rPr>
          <w:rFonts w:hint="eastAsia" w:ascii="Times New Roman" w:hAnsi="Times New Roman" w:eastAsiaTheme="minorEastAsia"/>
          <w:color w:val="000000" w:themeColor="text1"/>
          <w:sz w:val="24"/>
          <w:szCs w:val="24"/>
          <w:lang w:val="en-US" w:eastAsia="zh-CN"/>
          <w14:textFill>
            <w14:solidFill>
              <w14:schemeClr w14:val="tx1"/>
            </w14:solidFill>
          </w14:textFill>
        </w:rPr>
      </w:pPr>
    </w:p>
    <w:p>
      <w:pPr>
        <w:pStyle w:val="5"/>
        <w:rPr>
          <w:rFonts w:hint="eastAsia" w:eastAsiaTheme="minorEastAsia"/>
          <w:lang w:val="en-US" w:eastAsia="zh-CN"/>
        </w:rPr>
      </w:pPr>
      <w:r>
        <w:rPr>
          <w:rFonts w:hint="eastAsia" w:eastAsiaTheme="minorEastAsia"/>
          <w:lang w:val="en-US" w:eastAsia="zh-CN"/>
        </w:rPr>
        <w:t>评价范围</w:t>
      </w:r>
    </w:p>
    <w:p>
      <w:pPr>
        <w:adjustRightInd w:val="0"/>
        <w:snapToGrid w:val="0"/>
        <w:spacing w:line="360" w:lineRule="auto"/>
        <w:ind w:firstLine="480" w:firstLineChars="200"/>
        <w:rPr>
          <w:rFonts w:hint="eastAsia" w:ascii="Times New Roman" w:hAnsi="Times New Roman" w:eastAsiaTheme="minorEastAsia"/>
          <w:color w:val="FF0000"/>
          <w:sz w:val="24"/>
          <w:szCs w:val="24"/>
          <w:u w:val="single"/>
          <w:lang w:val="en-US" w:eastAsia="zh-CN"/>
        </w:rPr>
      </w:pPr>
      <w:r>
        <w:rPr>
          <w:rFonts w:hint="eastAsia" w:ascii="Times New Roman" w:hAnsi="Times New Roman" w:eastAsiaTheme="minorEastAsia"/>
          <w:color w:val="FF0000"/>
          <w:sz w:val="24"/>
          <w:szCs w:val="24"/>
          <w:u w:val="single"/>
          <w:lang w:val="en-US" w:eastAsia="zh-CN"/>
        </w:rPr>
        <w:t>大气环境风险评价范围为建设项目边界外5km的圆形区域。地表水环境风险评价范围为码头泊位上游1km至下游8km。地下水环境风险评价范围为以相对独立水文单元以自然分水岭为界，整个水文地质单元评价范围为13.56km</w:t>
      </w:r>
      <w:r>
        <w:rPr>
          <w:rFonts w:hint="eastAsia" w:ascii="Times New Roman" w:hAnsi="Times New Roman" w:eastAsiaTheme="minorEastAsia"/>
          <w:color w:val="FF0000"/>
          <w:sz w:val="24"/>
          <w:szCs w:val="24"/>
          <w:u w:val="single"/>
          <w:vertAlign w:val="superscript"/>
          <w:lang w:val="en-US" w:eastAsia="zh-CN"/>
        </w:rPr>
        <w:t>2</w:t>
      </w:r>
      <w:r>
        <w:rPr>
          <w:rFonts w:hint="eastAsia" w:ascii="Times New Roman" w:hAnsi="Times New Roman" w:eastAsiaTheme="minorEastAsia"/>
          <w:color w:val="FF0000"/>
          <w:sz w:val="24"/>
          <w:szCs w:val="24"/>
          <w:u w:val="single"/>
          <w:lang w:val="en-US" w:eastAsia="zh-CN"/>
        </w:rPr>
        <w:t>。</w:t>
      </w:r>
    </w:p>
    <w:p>
      <w:pPr>
        <w:pStyle w:val="4"/>
        <w:rPr>
          <w:rFonts w:eastAsiaTheme="minorEastAsia"/>
          <w:color w:val="000000" w:themeColor="text1"/>
          <w14:textFill>
            <w14:solidFill>
              <w14:schemeClr w14:val="tx1"/>
            </w14:solidFill>
          </w14:textFill>
        </w:rPr>
      </w:pPr>
      <w:bookmarkStart w:id="148" w:name="_Toc23429146"/>
      <w:r>
        <w:rPr>
          <w:rFonts w:eastAsiaTheme="minorEastAsia"/>
          <w:color w:val="000000" w:themeColor="text1"/>
          <w14:textFill>
            <w14:solidFill>
              <w14:schemeClr w14:val="tx1"/>
            </w14:solidFill>
          </w14:textFill>
        </w:rPr>
        <w:t>环境风险识别</w:t>
      </w:r>
      <w:bookmarkEnd w:id="148"/>
    </w:p>
    <w:p>
      <w:pPr>
        <w:pStyle w:val="5"/>
        <w:rPr>
          <w:rFonts w:eastAsiaTheme="minorEastAsia"/>
        </w:rPr>
      </w:pPr>
      <w:r>
        <w:rPr>
          <w:rFonts w:eastAsiaTheme="minorEastAsia"/>
        </w:rPr>
        <w:t>主要危险物质及分布情况</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1、物质危险性识别</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化学品船舶储运的产品部分为易燃易爆的物质，这些物质具有一定的潜在危险性。在突发性的事故状态下，如果不采取有效措施，一旦释放出来，将会对环境造成极不利影响。根据《建设项目环境风险评价技术导则》（HJ/T169-2018）附录B，本项目存在危险性的主要物质为</w:t>
      </w:r>
      <w:r>
        <w:rPr>
          <w:rFonts w:hint="eastAsia" w:ascii="Times New Roman" w:hAnsi="Times New Roman" w:eastAsiaTheme="minorEastAsia"/>
          <w:color w:val="000000" w:themeColor="text1"/>
          <w:sz w:val="24"/>
          <w:szCs w:val="24"/>
          <w14:textFill>
            <w14:solidFill>
              <w14:schemeClr w14:val="tx1"/>
            </w14:solidFill>
          </w14:textFill>
        </w:rPr>
        <w:t>柴油、醋酸、二甲苯等</w:t>
      </w:r>
      <w:r>
        <w:rPr>
          <w:rFonts w:ascii="Times New Roman" w:hAnsi="Times New Roman" w:eastAsiaTheme="minorEastAsia"/>
          <w:color w:val="000000" w:themeColor="text1"/>
          <w:sz w:val="24"/>
          <w:szCs w:val="24"/>
          <w14:textFill>
            <w14:solidFill>
              <w14:schemeClr w14:val="tx1"/>
            </w14:solidFill>
          </w14:textFill>
        </w:rPr>
        <w:t>。本次评价主要物质的理化性质及其危险、危害特性见</w:t>
      </w:r>
      <w:r>
        <w:rPr>
          <w:rFonts w:hint="eastAsia" w:ascii="Times New Roman" w:hAnsi="Times New Roman" w:eastAsiaTheme="minorEastAsia"/>
          <w:color w:val="000000" w:themeColor="text1"/>
          <w:sz w:val="24"/>
          <w:szCs w:val="24"/>
          <w14:textFill>
            <w14:solidFill>
              <w14:schemeClr w14:val="tx1"/>
            </w14:solidFill>
          </w14:textFill>
        </w:rPr>
        <w:t>下</w:t>
      </w:r>
      <w:r>
        <w:rPr>
          <w:rFonts w:ascii="Times New Roman" w:hAnsi="Times New Roman" w:eastAsiaTheme="minorEastAsia"/>
          <w:color w:val="000000" w:themeColor="text1"/>
          <w:sz w:val="24"/>
          <w:szCs w:val="24"/>
          <w14:textFill>
            <w14:solidFill>
              <w14:schemeClr w14:val="tx1"/>
            </w14:solidFill>
          </w14:textFill>
        </w:rPr>
        <w:t>表。</w:t>
      </w:r>
    </w:p>
    <w:p>
      <w:pPr>
        <w:pStyle w:val="69"/>
        <w:spacing w:line="240" w:lineRule="auto"/>
        <w:ind w:firstLine="0" w:firstLineChars="0"/>
        <w:jc w:val="center"/>
        <w:rPr>
          <w:rFonts w:cs="Times New Roman" w:eastAsiaTheme="minorEastAsia"/>
          <w:b/>
          <w:color w:val="000000" w:themeColor="text1"/>
          <w:szCs w:val="24"/>
          <w14:textFill>
            <w14:solidFill>
              <w14:schemeClr w14:val="tx1"/>
            </w14:solidFill>
          </w14:textFill>
        </w:rPr>
      </w:pPr>
      <w:r>
        <w:rPr>
          <w:rFonts w:hint="eastAsia" w:cs="Times New Roman" w:eastAsiaTheme="minorEastAsia"/>
          <w:b/>
          <w:color w:val="000000" w:themeColor="text1"/>
          <w:szCs w:val="24"/>
          <w14:textFill>
            <w14:solidFill>
              <w14:schemeClr w14:val="tx1"/>
            </w14:solidFill>
          </w14:textFill>
        </w:rPr>
        <w:t>表6.8-</w:t>
      </w:r>
      <w:r>
        <w:rPr>
          <w:rFonts w:hint="eastAsia" w:cs="Times New Roman" w:eastAsiaTheme="minorEastAsia"/>
          <w:b/>
          <w:color w:val="000000" w:themeColor="text1"/>
          <w:szCs w:val="24"/>
          <w:lang w:val="en-US" w:eastAsia="zh-CN"/>
          <w14:textFill>
            <w14:solidFill>
              <w14:schemeClr w14:val="tx1"/>
            </w14:solidFill>
          </w14:textFill>
        </w:rPr>
        <w:t>10</w:t>
      </w:r>
      <w:r>
        <w:rPr>
          <w:rFonts w:cs="Times New Roman" w:eastAsiaTheme="minorEastAsia"/>
          <w:b/>
          <w:color w:val="000000" w:themeColor="text1"/>
          <w:szCs w:val="24"/>
          <w14:textFill>
            <w14:solidFill>
              <w14:schemeClr w14:val="tx1"/>
            </w14:solidFill>
          </w14:textFill>
        </w:rPr>
        <w:t xml:space="preserve"> </w:t>
      </w:r>
      <w:r>
        <w:rPr>
          <w:rFonts w:hint="eastAsia" w:cs="Times New Roman" w:eastAsiaTheme="minorEastAsia"/>
          <w:b/>
          <w:color w:val="000000" w:themeColor="text1"/>
          <w:szCs w:val="24"/>
          <w14:textFill>
            <w14:solidFill>
              <w14:schemeClr w14:val="tx1"/>
            </w14:solidFill>
          </w14:textFill>
        </w:rPr>
        <w:t xml:space="preserve"> 汽油的理化性质及危险特性表</w:t>
      </w:r>
    </w:p>
    <w:tbl>
      <w:tblPr>
        <w:tblStyle w:val="7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24"/>
        <w:gridCol w:w="485"/>
        <w:gridCol w:w="464"/>
        <w:gridCol w:w="929"/>
        <w:gridCol w:w="34"/>
        <w:gridCol w:w="533"/>
        <w:gridCol w:w="392"/>
        <w:gridCol w:w="836"/>
        <w:gridCol w:w="107"/>
        <w:gridCol w:w="999"/>
        <w:gridCol w:w="395"/>
        <w:gridCol w:w="569"/>
        <w:gridCol w:w="78"/>
        <w:gridCol w:w="767"/>
        <w:gridCol w:w="302"/>
        <w:gridCol w:w="122"/>
        <w:gridCol w:w="10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标识</w:t>
            </w:r>
          </w:p>
        </w:tc>
        <w:tc>
          <w:tcPr>
            <w:tcW w:w="949"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中文名</w:t>
            </w:r>
          </w:p>
        </w:tc>
        <w:tc>
          <w:tcPr>
            <w:tcW w:w="149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汽油</w:t>
            </w:r>
          </w:p>
        </w:tc>
        <w:tc>
          <w:tcPr>
            <w:tcW w:w="1228"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英文名</w:t>
            </w:r>
          </w:p>
        </w:tc>
        <w:tc>
          <w:tcPr>
            <w:tcW w:w="150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Gasoline；petrol</w:t>
            </w:r>
          </w:p>
        </w:tc>
        <w:tc>
          <w:tcPr>
            <w:tcW w:w="1414"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危险货物编号</w:t>
            </w:r>
          </w:p>
        </w:tc>
        <w:tc>
          <w:tcPr>
            <w:tcW w:w="1428"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949"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分子式</w:t>
            </w:r>
          </w:p>
        </w:tc>
        <w:tc>
          <w:tcPr>
            <w:tcW w:w="929" w:type="dxa"/>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959"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分子量</w:t>
            </w:r>
          </w:p>
        </w:tc>
        <w:tc>
          <w:tcPr>
            <w:tcW w:w="943"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999" w:type="dxa"/>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UN编号</w:t>
            </w:r>
          </w:p>
        </w:tc>
        <w:tc>
          <w:tcPr>
            <w:tcW w:w="964"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1203</w:t>
            </w:r>
          </w:p>
        </w:tc>
        <w:tc>
          <w:tcPr>
            <w:tcW w:w="1147"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CAS编号</w:t>
            </w:r>
          </w:p>
        </w:tc>
        <w:tc>
          <w:tcPr>
            <w:tcW w:w="1126"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8006-61-9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949"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危险类别</w:t>
            </w:r>
          </w:p>
        </w:tc>
        <w:tc>
          <w:tcPr>
            <w:tcW w:w="7067" w:type="dxa"/>
            <w:gridSpan w:val="1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第3.1类 低闪点易燃液体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理化性质</w:t>
            </w:r>
          </w:p>
        </w:tc>
        <w:tc>
          <w:tcPr>
            <w:tcW w:w="949"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性状</w:t>
            </w:r>
          </w:p>
        </w:tc>
        <w:tc>
          <w:tcPr>
            <w:tcW w:w="7067" w:type="dxa"/>
            <w:gridSpan w:val="1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无色或淡黄色易挥发液体，有特殊的臭味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熔点（℃）</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临界压力（Mpa）</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沸点（℃）</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40~200</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相对密度（水=1）</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饱和蒸汽压（kpa）</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相对密度（空气=1）</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临界温度（℃）</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燃烧热（KJ▪mol</w:t>
            </w:r>
            <w:r>
              <w:rPr>
                <w:rFonts w:hint="eastAsia"/>
                <w:color w:val="000000" w:themeColor="text1"/>
                <w:sz w:val="21"/>
                <w:szCs w:val="21"/>
                <w:vertAlign w:val="superscript"/>
                <w14:textFill>
                  <w14:solidFill>
                    <w14:schemeClr w14:val="tx1"/>
                  </w14:solidFill>
                </w14:textFill>
              </w:rPr>
              <w:t>-1</w:t>
            </w:r>
            <w:r>
              <w:rPr>
                <w:rFonts w:hint="eastAsia"/>
                <w:color w:val="000000" w:themeColor="text1"/>
                <w:sz w:val="21"/>
                <w:szCs w:val="21"/>
                <w14:textFill>
                  <w14:solidFill>
                    <w14:schemeClr w14:val="tx1"/>
                  </w14:solidFill>
                </w14:textFill>
              </w:rPr>
              <w:t>）</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3673" w:type="dxa"/>
            <w:gridSpan w:val="7"/>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溶解性</w:t>
            </w:r>
          </w:p>
        </w:tc>
        <w:tc>
          <w:tcPr>
            <w:tcW w:w="4343" w:type="dxa"/>
            <w:gridSpan w:val="9"/>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不溶于水，易溶于苯、二硫化碳、醇、脂肪。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燃烧爆炸危险性</w:t>
            </w: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燃烧性</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易燃</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闪点（℃）</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爆炸极限（%）</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1.3~6.0</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最小点火能（MJ）</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引燃温度（℃）</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415~530</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最大爆炸压力（Mpa）</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3673" w:type="dxa"/>
            <w:gridSpan w:val="7"/>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危险特性</w:t>
            </w:r>
          </w:p>
        </w:tc>
        <w:tc>
          <w:tcPr>
            <w:tcW w:w="4343" w:type="dxa"/>
            <w:gridSpan w:val="9"/>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其蒸气与空气可形成爆炸性混合物。遇明火、高热极易燃烧爆炸。与氧化剂发生强烈反应。其蒸气比空气重，能在较低处扩散到相当远的地方，遇明火会引着回燃。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3673" w:type="dxa"/>
            <w:gridSpan w:val="7"/>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灭火方法</w:t>
            </w:r>
          </w:p>
        </w:tc>
        <w:tc>
          <w:tcPr>
            <w:tcW w:w="4343" w:type="dxa"/>
            <w:gridSpan w:val="9"/>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喷水冷却容器，可能的话将容器从火场移至空旷处。灭火剂：泡沫、干粉、二氧化碳。用水灭火无效。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禁忌物</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强氧化剂</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稳定性</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燃烧产物</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一氧化碳、二氧化碳</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聚合危害</w:t>
            </w:r>
          </w:p>
        </w:tc>
        <w:tc>
          <w:tcPr>
            <w:tcW w:w="219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毒性及健康危害</w:t>
            </w:r>
          </w:p>
        </w:tc>
        <w:tc>
          <w:tcPr>
            <w:tcW w:w="1912"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急性毒性</w:t>
            </w:r>
          </w:p>
        </w:tc>
        <w:tc>
          <w:tcPr>
            <w:tcW w:w="17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LD50（mg/kg，小鼠经口）</w:t>
            </w:r>
          </w:p>
        </w:tc>
        <w:tc>
          <w:tcPr>
            <w:tcW w:w="2148" w:type="dxa"/>
            <w:gridSpan w:val="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67000</w:t>
            </w:r>
          </w:p>
        </w:tc>
        <w:tc>
          <w:tcPr>
            <w:tcW w:w="119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LD50（mg/kg，小鼠吸入）</w:t>
            </w:r>
          </w:p>
        </w:tc>
        <w:tc>
          <w:tcPr>
            <w:tcW w:w="1004" w:type="dxa"/>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103000</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485" w:type="dxa"/>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健康危害</w:t>
            </w:r>
          </w:p>
        </w:tc>
        <w:tc>
          <w:tcPr>
            <w:tcW w:w="7531" w:type="dxa"/>
            <w:gridSpan w:val="1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侵入途径：吸如、食入；</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急性中毒：对中枢神经系统有麻醉作用。轻度中毒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中可导致角膜溃疡、穿孔，甚至失明。佩服接触急性接触性皮炎，直至灼伤。吞咽引起急性肠胃炎，重者出现类似急性吸入中毒症状，并可引起肝、肾损害。</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慢性中毒：神经衰弱综合症、植物神经功能紊乱、周围神经病。严重中毒出现中毒性脑病，症状类似精神分裂。皮肤损害。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急救</w:t>
            </w:r>
          </w:p>
        </w:tc>
        <w:tc>
          <w:tcPr>
            <w:tcW w:w="8016" w:type="dxa"/>
            <w:gridSpan w:val="1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皮肤接触：立即脱去被污染的衣着，用肥皂水和清水彻底冲洗皮肤，就医；</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眼睛接触：立即提起眼睑，用大量流动清水或生理盐水彻底冲洗至少15分钟，就医；</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吸入：迅速脱离现场至空气新鲜处，保持呼吸道通畅，如呼吸困难，给输氧；如呼吸停止，立即进行人工呼吸，就医；</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食入：给饮牛奶或用植物油洗胃和灌肠，就医。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防护</w:t>
            </w:r>
          </w:p>
        </w:tc>
        <w:tc>
          <w:tcPr>
            <w:tcW w:w="8016" w:type="dxa"/>
            <w:gridSpan w:val="1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工程控制：生产过程密闭，全面通风；</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呼吸系统防护：一般不需要特殊防护，高浓度接触时可佩戴自吸过滤式防毒面具（半面罩）；</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眼睛防护：一般不需要特殊防护，高浓度接触时可戴化学安全防护眼镜；</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身体防护：穿防静电工作服；</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手防护：带防苯耐油手套；</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其他：工作场所禁止吸烟。避免长期反复接触。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泄漏处理</w:t>
            </w:r>
          </w:p>
        </w:tc>
        <w:tc>
          <w:tcPr>
            <w:tcW w:w="8016" w:type="dxa"/>
            <w:gridSpan w:val="1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迅速撤离泄漏区人员至安全区，并进行隔离,严格限制出入。切断火源。建议应急处理人员佩戴自给正压武呼吸器，穿消防防护服。尽可能切断泄漏源，防止进入下水道、排洪沟等限制性空间；</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小量泄漏：用砂土、蛭石或其他惰性材料吸收，或在保证安全情况下就地焚烧；</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大量泄漏：构筑围堤或挖坑收容；用泡沫覆盖,降低蒸=次害。用防爆泵转移至槽车或专用收集器内，回收或运至废物处理场所处置。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24"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储运</w:t>
            </w:r>
          </w:p>
        </w:tc>
        <w:tc>
          <w:tcPr>
            <w:tcW w:w="8016" w:type="dxa"/>
            <w:gridSpan w:val="1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存于阴凉、通风仓间内，最高仓温不宜超过30它，远离火种、热源。防止阳光直射；保持容器密封，应与氧化剂分开存放。储存间内的照明、通风等设施应采用防爆型，开关设在仓外。桶装堆垛不可过大，应留有墙距、顶距、柱距及必要的防火检查通道。罐储时要有防火防爆技术措施。禁止使用易产生火化的机械设备和工具。罐装时应注意流速（不超过3m/s），且有接地装置,防止静电积聚。搬运时要轻装轻卸，防止包装及容器损坏。</w:t>
            </w:r>
          </w:p>
        </w:tc>
      </w:tr>
    </w:tbl>
    <w:p>
      <w:pPr>
        <w:pStyle w:val="69"/>
        <w:spacing w:line="240" w:lineRule="auto"/>
        <w:ind w:firstLine="0" w:firstLineChars="0"/>
        <w:jc w:val="center"/>
        <w:rPr>
          <w:rFonts w:cs="Times New Roman" w:eastAsiaTheme="minorEastAsia"/>
          <w:b/>
          <w:color w:val="000000" w:themeColor="text1"/>
          <w:szCs w:val="24"/>
          <w14:textFill>
            <w14:solidFill>
              <w14:schemeClr w14:val="tx1"/>
            </w14:solidFill>
          </w14:textFill>
        </w:rPr>
      </w:pPr>
    </w:p>
    <w:p>
      <w:pPr>
        <w:pStyle w:val="69"/>
        <w:spacing w:line="240" w:lineRule="auto"/>
        <w:ind w:firstLine="0" w:firstLineChars="0"/>
        <w:jc w:val="center"/>
        <w:rPr>
          <w:rFonts w:cs="Times New Roman" w:eastAsiaTheme="minorEastAsia"/>
          <w:b/>
          <w:color w:val="000000" w:themeColor="text1"/>
          <w:szCs w:val="24"/>
          <w14:textFill>
            <w14:solidFill>
              <w14:schemeClr w14:val="tx1"/>
            </w14:solidFill>
          </w14:textFill>
        </w:rPr>
      </w:pPr>
      <w:r>
        <w:rPr>
          <w:rFonts w:hint="eastAsia" w:cs="Times New Roman" w:eastAsiaTheme="minorEastAsia"/>
          <w:b/>
          <w:color w:val="000000" w:themeColor="text1"/>
          <w:szCs w:val="24"/>
          <w14:textFill>
            <w14:solidFill>
              <w14:schemeClr w14:val="tx1"/>
            </w14:solidFill>
          </w14:textFill>
        </w:rPr>
        <w:t>表6.8-</w:t>
      </w:r>
      <w:r>
        <w:rPr>
          <w:rFonts w:hint="eastAsia" w:cs="Times New Roman" w:eastAsiaTheme="minorEastAsia"/>
          <w:b/>
          <w:color w:val="000000" w:themeColor="text1"/>
          <w:szCs w:val="24"/>
          <w:lang w:val="en-US" w:eastAsia="zh-CN"/>
          <w14:textFill>
            <w14:solidFill>
              <w14:schemeClr w14:val="tx1"/>
            </w14:solidFill>
          </w14:textFill>
        </w:rPr>
        <w:t>11</w:t>
      </w:r>
      <w:r>
        <w:rPr>
          <w:rFonts w:cs="Times New Roman" w:eastAsiaTheme="minorEastAsia"/>
          <w:b/>
          <w:color w:val="000000" w:themeColor="text1"/>
          <w:szCs w:val="24"/>
          <w14:textFill>
            <w14:solidFill>
              <w14:schemeClr w14:val="tx1"/>
            </w14:solidFill>
          </w14:textFill>
        </w:rPr>
        <w:t xml:space="preserve">  </w:t>
      </w:r>
      <w:r>
        <w:rPr>
          <w:rFonts w:hint="eastAsia" w:cs="Times New Roman" w:eastAsiaTheme="minorEastAsia"/>
          <w:b/>
          <w:color w:val="000000" w:themeColor="text1"/>
          <w:szCs w:val="24"/>
          <w14:textFill>
            <w14:solidFill>
              <w14:schemeClr w14:val="tx1"/>
            </w14:solidFill>
          </w14:textFill>
        </w:rPr>
        <w:t>柴油的理化性质及危险特性表</w:t>
      </w:r>
    </w:p>
    <w:tbl>
      <w:tblPr>
        <w:tblStyle w:val="7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29"/>
        <w:gridCol w:w="485"/>
        <w:gridCol w:w="466"/>
        <w:gridCol w:w="104"/>
        <w:gridCol w:w="166"/>
        <w:gridCol w:w="662"/>
        <w:gridCol w:w="34"/>
        <w:gridCol w:w="534"/>
        <w:gridCol w:w="393"/>
        <w:gridCol w:w="839"/>
        <w:gridCol w:w="1100"/>
        <w:gridCol w:w="388"/>
        <w:gridCol w:w="569"/>
        <w:gridCol w:w="78"/>
        <w:gridCol w:w="767"/>
        <w:gridCol w:w="302"/>
        <w:gridCol w:w="122"/>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标识</w:t>
            </w:r>
          </w:p>
        </w:tc>
        <w:tc>
          <w:tcPr>
            <w:tcW w:w="1221"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中文名</w:t>
            </w:r>
          </w:p>
        </w:tc>
        <w:tc>
          <w:tcPr>
            <w:tcW w:w="1230"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柴油</w:t>
            </w:r>
          </w:p>
        </w:tc>
        <w:tc>
          <w:tcPr>
            <w:tcW w:w="1232"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英文名</w:t>
            </w:r>
          </w:p>
        </w:tc>
        <w:tc>
          <w:tcPr>
            <w:tcW w:w="1488"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Diesel oil；Diesel fuel</w:t>
            </w:r>
          </w:p>
        </w:tc>
        <w:tc>
          <w:tcPr>
            <w:tcW w:w="1414"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危险货物编号</w:t>
            </w:r>
          </w:p>
        </w:tc>
        <w:tc>
          <w:tcPr>
            <w:tcW w:w="142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951"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分子式</w:t>
            </w:r>
          </w:p>
        </w:tc>
        <w:tc>
          <w:tcPr>
            <w:tcW w:w="932"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96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分子量</w:t>
            </w:r>
          </w:p>
        </w:tc>
        <w:tc>
          <w:tcPr>
            <w:tcW w:w="839" w:type="dxa"/>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100" w:type="dxa"/>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UN编号</w:t>
            </w:r>
          </w:p>
        </w:tc>
        <w:tc>
          <w:tcPr>
            <w:tcW w:w="957"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147"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CAS编号</w:t>
            </w:r>
          </w:p>
        </w:tc>
        <w:tc>
          <w:tcPr>
            <w:tcW w:w="1124"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68334-30-5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951" w:type="dxa"/>
            <w:gridSpan w:val="2"/>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危险类别</w:t>
            </w:r>
          </w:p>
        </w:tc>
        <w:tc>
          <w:tcPr>
            <w:tcW w:w="7060" w:type="dxa"/>
            <w:gridSpan w:val="15"/>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第3.1类 低闪点易燃液体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理化性质</w:t>
            </w:r>
          </w:p>
        </w:tc>
        <w:tc>
          <w:tcPr>
            <w:tcW w:w="1055"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性状</w:t>
            </w:r>
          </w:p>
        </w:tc>
        <w:tc>
          <w:tcPr>
            <w:tcW w:w="6956" w:type="dxa"/>
            <w:gridSpan w:val="1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稍有粘性的棕色液体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熔点（℃）</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临界压力（Mpa）</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沸点（℃）</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282~338</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相对密度（水=1）</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饱和蒸汽压（kpa）</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无资料</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相对密度（空气=1）</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临界温度（℃）</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燃烧热（KJ▪mol</w:t>
            </w:r>
            <w:r>
              <w:rPr>
                <w:rFonts w:hint="eastAsia"/>
                <w:color w:val="000000" w:themeColor="text1"/>
                <w:sz w:val="21"/>
                <w:szCs w:val="21"/>
                <w:vertAlign w:val="superscript"/>
                <w14:textFill>
                  <w14:solidFill>
                    <w14:schemeClr w14:val="tx1"/>
                  </w14:solidFill>
                </w14:textFill>
              </w:rPr>
              <w:t>-1</w:t>
            </w:r>
            <w:r>
              <w:rPr>
                <w:rFonts w:hint="eastAsia"/>
                <w:color w:val="000000" w:themeColor="text1"/>
                <w:sz w:val="21"/>
                <w:szCs w:val="21"/>
                <w14:textFill>
                  <w14:solidFill>
                    <w14:schemeClr w14:val="tx1"/>
                  </w14:solidFill>
                </w14:textFill>
              </w:rPr>
              <w:t>）</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3683" w:type="dxa"/>
            <w:gridSpan w:val="9"/>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溶解性</w:t>
            </w:r>
          </w:p>
        </w:tc>
        <w:tc>
          <w:tcPr>
            <w:tcW w:w="4328" w:type="dxa"/>
            <w:gridSpan w:val="8"/>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燃烧爆炸危险性</w:t>
            </w: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燃烧性</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可燃</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闪点（℃）</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爆炸极限（%）</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0.7~5.0</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最小点火能（MJ）</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引燃温度（℃）</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最大爆炸压力（Mpa）</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3683" w:type="dxa"/>
            <w:gridSpan w:val="9"/>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危险特性</w:t>
            </w:r>
          </w:p>
        </w:tc>
        <w:tc>
          <w:tcPr>
            <w:tcW w:w="4328" w:type="dxa"/>
            <w:gridSpan w:val="8"/>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遇明火、高热或与氧化剂接触,有引起燃烧爆炸的危险。若遇高热，容器内压增大，有开裂和爆炸的危险。对环境有危害,对水体和大气可造成污染。本品易燃，具刺激性。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3683" w:type="dxa"/>
            <w:gridSpan w:val="9"/>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灭火方法</w:t>
            </w:r>
          </w:p>
        </w:tc>
        <w:tc>
          <w:tcPr>
            <w:tcW w:w="4328" w:type="dxa"/>
            <w:gridSpan w:val="8"/>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消防人员须佩戴防毒面具、穿全身消防服，在上风向灭火。尽可能将容器从火场移至空旷处。喷水保持火场容器冷却，直至灭火结束。处在火场中的容器若已变色或从安全泄压装置中产生声音，必须马上撤离。</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灭火剂：雾状水、泡沫、干粉、二氧化碳、砂土。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禁忌物</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氧化剂</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稳定性</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rPr>
                <w:color w:val="000000" w:themeColor="text1"/>
                <w:sz w:val="21"/>
                <w:szCs w:val="21"/>
                <w14:textFill>
                  <w14:solidFill>
                    <w14:schemeClr w14:val="tx1"/>
                  </w14:solidFill>
                </w14:textFill>
              </w:rPr>
            </w:pP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燃烧产物</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一氧化碳、二氧化碳</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聚合危害</w:t>
            </w:r>
          </w:p>
        </w:tc>
        <w:tc>
          <w:tcPr>
            <w:tcW w:w="2193"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毒性及健康危害</w:t>
            </w:r>
          </w:p>
        </w:tc>
        <w:tc>
          <w:tcPr>
            <w:tcW w:w="1917" w:type="dxa"/>
            <w:gridSpan w:val="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急性毒性</w:t>
            </w:r>
          </w:p>
        </w:tc>
        <w:tc>
          <w:tcPr>
            <w:tcW w:w="1766"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LD50（mg/kg，小鼠经口）</w:t>
            </w:r>
          </w:p>
        </w:tc>
        <w:tc>
          <w:tcPr>
            <w:tcW w:w="2135" w:type="dxa"/>
            <w:gridSpan w:val="4"/>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无资料</w:t>
            </w:r>
          </w:p>
        </w:tc>
        <w:tc>
          <w:tcPr>
            <w:tcW w:w="1191" w:type="dxa"/>
            <w:gridSpan w:val="3"/>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LD50（mg/kg，小鼠吸入）</w:t>
            </w:r>
          </w:p>
        </w:tc>
        <w:tc>
          <w:tcPr>
            <w:tcW w:w="1002" w:type="dxa"/>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9"/>
              <w:spacing w:line="240" w:lineRule="auto"/>
              <w:ind w:firstLine="0" w:firstLineChars="0"/>
              <w:jc w:val="center"/>
              <w:rPr>
                <w:color w:val="000000" w:themeColor="text1"/>
                <w:sz w:val="21"/>
                <w:szCs w:val="21"/>
                <w14:textFill>
                  <w14:solidFill>
                    <w14:schemeClr w14:val="tx1"/>
                  </w14:solidFill>
                </w14:textFill>
              </w:rPr>
            </w:pPr>
          </w:p>
        </w:tc>
        <w:tc>
          <w:tcPr>
            <w:tcW w:w="485" w:type="dxa"/>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健康危害</w:t>
            </w:r>
          </w:p>
        </w:tc>
        <w:tc>
          <w:tcPr>
            <w:tcW w:w="7526" w:type="dxa"/>
            <w:gridSpan w:val="16"/>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侵入途径:吸如、食入；</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皮肤接触可为主要吸收途径，可致急性肾脏损害。柴油可引起接触性皮炎、油性痤疮。吸入其雾滴或液体呛入可引起吸入性肺炎。能经胎盘进入胎儿血中。柴油废气可引起眼、鼻刺激症状，头晕及头痛。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急救</w:t>
            </w:r>
          </w:p>
        </w:tc>
        <w:tc>
          <w:tcPr>
            <w:tcW w:w="8011" w:type="dxa"/>
            <w:gridSpan w:val="17"/>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皮肤接触：立即脱去被污染的衣着，用大量清水冲洗；</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眼睛接触：立即提起眼睑，用大量流动清水或生理盐水彻底冲洗至少15分钟，就医；</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吸入：迅速脱离现场至空气新鲜处，保持呼吸道通畅，如呼吸困难，给输氧；如呼吸停止，立即进行人工呼吸，就医；</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食入：饮足量温水，催吐，就医。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防护</w:t>
            </w:r>
          </w:p>
        </w:tc>
        <w:tc>
          <w:tcPr>
            <w:tcW w:w="8011" w:type="dxa"/>
            <w:gridSpan w:val="17"/>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工程控制：密闭操作，注意通风；</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呼吸系统防护：空气中浓度超标时，建议佩戴自吸过滤式防毒面具（半面罩）。紧急事态抢救或撤离时，应该佩戴空气呼吸器；</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眼睛防护：戴化学安全防护眼镜；</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身体防护：穿一般作业防护服；</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手防护：戴橡胶耐油手套；</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其他：工作现场严禁吸烟。避免长期反复接触。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泄漏处理</w:t>
            </w:r>
          </w:p>
        </w:tc>
        <w:tc>
          <w:tcPr>
            <w:tcW w:w="8011" w:type="dxa"/>
            <w:gridSpan w:val="17"/>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迅速撤离泄漏污染区人员至安全区，并进行隔离，严格限制出入。切断火源。建议应急处理人员戴自给正压式呼吸器，穿一般作业工作服。尽可能切断泄漏源。防止流入下水道、排洪沟等限制性空间。</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小量泄漏：用活性炭或其它惰性材料吸收。</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大量泄漏：构筑围堤或挖坑收容。用泵转移至槽车或专用收集器内，回收或运至废物处理场所处置。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储运</w:t>
            </w:r>
          </w:p>
        </w:tc>
        <w:tc>
          <w:tcPr>
            <w:tcW w:w="8011" w:type="dxa"/>
            <w:gridSpan w:val="17"/>
            <w:vAlign w:val="center"/>
          </w:tcPr>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储存于阴凉、通风的库房。远离火种、热源。应与氧化剂、卤素分开存放，切忌混储。采用防爆型照明、通风设施。禁止使用易产生火花的机械设备和工具。储区应备有泄漏应急处理设备和合适的收容材料。</w:t>
            </w:r>
          </w:p>
          <w:p>
            <w:pPr>
              <w:pStyle w:val="69"/>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运输前应先检查包装容器是否完整、密封，运输过程中要确保容器不泄漏、不倒塌、不坠落、不损坏。运输时运输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bl>
    <w:p>
      <w:pPr>
        <w:adjustRightInd w:val="0"/>
        <w:snapToGrid w:val="0"/>
        <w:spacing w:line="276" w:lineRule="auto"/>
        <w:rPr>
          <w:rFonts w:ascii="Times New Roman" w:hAnsi="Times New Roman" w:eastAsiaTheme="minorEastAsia"/>
          <w:b/>
          <w:color w:val="000000" w:themeColor="text1"/>
          <w:sz w:val="24"/>
          <w:szCs w:val="24"/>
          <w14:textFill>
            <w14:solidFill>
              <w14:schemeClr w14:val="tx1"/>
            </w14:solidFill>
          </w14:textFill>
        </w:rPr>
      </w:pP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w:t>
      </w:r>
      <w:r>
        <w:rPr>
          <w:rFonts w:hint="eastAsia" w:ascii="Times New Roman" w:hAnsi="Times New Roman" w:eastAsiaTheme="minorEastAsia"/>
          <w:b/>
          <w:color w:val="000000" w:themeColor="text1"/>
          <w:sz w:val="24"/>
          <w:szCs w:val="24"/>
          <w:lang w:val="en-US" w:eastAsia="zh-CN"/>
          <w14:textFill>
            <w14:solidFill>
              <w14:schemeClr w14:val="tx1"/>
            </w14:solidFill>
          </w14:textFill>
        </w:rPr>
        <w:t>12</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二甲苯</w:t>
      </w:r>
      <w:r>
        <w:rPr>
          <w:rFonts w:ascii="Times New Roman" w:hAnsi="Times New Roman" w:eastAsiaTheme="minorEastAsia"/>
          <w:b/>
          <w:color w:val="000000" w:themeColor="text1"/>
          <w:sz w:val="24"/>
          <w:szCs w:val="24"/>
          <w14:textFill>
            <w14:solidFill>
              <w14:schemeClr w14:val="tx1"/>
            </w14:solidFill>
          </w14:textFill>
        </w:rPr>
        <w:t>理化性质及危险、危害特性一览表</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35"/>
        <w:gridCol w:w="2441"/>
        <w:gridCol w:w="293"/>
        <w:gridCol w:w="422"/>
        <w:gridCol w:w="533"/>
        <w:gridCol w:w="1427"/>
        <w:gridCol w:w="872"/>
        <w:gridCol w:w="26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标识</w:t>
            </w:r>
          </w:p>
        </w:tc>
        <w:tc>
          <w:tcPr>
            <w:tcW w:w="3689" w:type="dxa"/>
            <w:gridSpan w:val="4"/>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中文名：</w:t>
            </w:r>
            <w:r>
              <w:rPr>
                <w:rFonts w:hint="eastAsia" w:ascii="Times New Roman" w:hAnsi="Times New Roman" w:eastAsiaTheme="minorEastAsia"/>
                <w:color w:val="000000" w:themeColor="text1"/>
                <w14:textFill>
                  <w14:solidFill>
                    <w14:schemeClr w14:val="tx1"/>
                  </w14:solidFill>
                </w14:textFill>
              </w:rPr>
              <w:t>二甲苯</w:t>
            </w:r>
          </w:p>
        </w:tc>
        <w:tc>
          <w:tcPr>
            <w:tcW w:w="4976"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英文名：</w:t>
            </w:r>
            <w:r>
              <w:rPr>
                <w:rFonts w:hint="eastAsia" w:ascii="Times New Roman" w:hAnsi="Times New Roman" w:eastAsiaTheme="minorEastAsia"/>
                <w:color w:val="000000" w:themeColor="text1"/>
                <w14:textFill>
                  <w14:solidFill>
                    <w14:schemeClr w14:val="tx1"/>
                  </w14:solidFill>
                </w14:textFill>
              </w:rPr>
              <w:t>Xylene</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3156"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分子式：</w:t>
            </w:r>
            <w:r>
              <w:rPr>
                <w:rFonts w:hint="eastAsia" w:ascii="Times New Roman" w:hAnsi="Times New Roman" w:eastAsiaTheme="minorEastAsia"/>
                <w:color w:val="000000" w:themeColor="text1"/>
                <w14:textFill>
                  <w14:solidFill>
                    <w14:schemeClr w14:val="tx1"/>
                  </w14:solidFill>
                </w14:textFill>
              </w:rPr>
              <w:t>C</w:t>
            </w:r>
            <w:r>
              <w:rPr>
                <w:rFonts w:hint="eastAsia" w:ascii="Times New Roman" w:hAnsi="Times New Roman" w:eastAsiaTheme="minorEastAsia"/>
                <w:color w:val="000000" w:themeColor="text1"/>
                <w:vertAlign w:val="subscript"/>
                <w14:textFill>
                  <w14:solidFill>
                    <w14:schemeClr w14:val="tx1"/>
                  </w14:solidFill>
                </w14:textFill>
              </w:rPr>
              <w:t>8</w:t>
            </w:r>
            <w:r>
              <w:rPr>
                <w:rFonts w:hint="eastAsia" w:ascii="Times New Roman" w:hAnsi="Times New Roman" w:eastAsiaTheme="minorEastAsia"/>
                <w:color w:val="000000" w:themeColor="text1"/>
                <w14:textFill>
                  <w14:solidFill>
                    <w14:schemeClr w14:val="tx1"/>
                  </w14:solidFill>
                </w14:textFill>
              </w:rPr>
              <w:t>H</w:t>
            </w:r>
            <w:r>
              <w:rPr>
                <w:rFonts w:hint="eastAsia" w:ascii="Times New Roman" w:hAnsi="Times New Roman" w:eastAsiaTheme="minorEastAsia"/>
                <w:color w:val="000000" w:themeColor="text1"/>
                <w:vertAlign w:val="subscript"/>
                <w14:textFill>
                  <w14:solidFill>
                    <w14:schemeClr w14:val="tx1"/>
                  </w14:solidFill>
                </w14:textFill>
              </w:rPr>
              <w:t>10</w:t>
            </w:r>
          </w:p>
        </w:tc>
        <w:tc>
          <w:tcPr>
            <w:tcW w:w="2832"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分子量：</w:t>
            </w:r>
            <w:r>
              <w:rPr>
                <w:rFonts w:hint="eastAsia" w:ascii="Times New Roman" w:hAnsi="Times New Roman" w:eastAsiaTheme="minorEastAsia"/>
                <w:color w:val="000000" w:themeColor="text1"/>
                <w14:textFill>
                  <w14:solidFill>
                    <w14:schemeClr w14:val="tx1"/>
                  </w14:solidFill>
                </w14:textFill>
              </w:rPr>
              <w:t>106.17</w:t>
            </w:r>
          </w:p>
        </w:tc>
        <w:tc>
          <w:tcPr>
            <w:tcW w:w="2677"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CAS号：</w:t>
            </w:r>
            <w:r>
              <w:rPr>
                <w:rFonts w:hint="eastAsia" w:ascii="Times New Roman" w:hAnsi="Times New Roman" w:eastAsiaTheme="minorEastAsia"/>
                <w:color w:val="000000" w:themeColor="text1"/>
                <w14:textFill>
                  <w14:solidFill>
                    <w14:schemeClr w14:val="tx1"/>
                  </w14:solidFill>
                </w14:textFill>
              </w:rPr>
              <w:t>95</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47</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UN编号</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1307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理化性质</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性状：</w:t>
            </w:r>
            <w:r>
              <w:rPr>
                <w:rFonts w:hint="eastAsia" w:ascii="Times New Roman" w:hAnsi="Times New Roman" w:eastAsiaTheme="minorEastAsia"/>
                <w:color w:val="000000" w:themeColor="text1"/>
                <w14:textFill>
                  <w14:solidFill>
                    <w14:schemeClr w14:val="tx1"/>
                  </w14:solidFill>
                </w14:textFill>
              </w:rPr>
              <w:t>无色透明液体，有类似甲苯的气味</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溶解性：</w:t>
            </w:r>
            <w:r>
              <w:rPr>
                <w:rFonts w:hint="eastAsia" w:ascii="Times New Roman" w:hAnsi="Times New Roman" w:eastAsiaTheme="minorEastAsia"/>
                <w:color w:val="000000" w:themeColor="text1"/>
                <w14:textFill>
                  <w14:solidFill>
                    <w14:schemeClr w14:val="tx1"/>
                  </w14:solidFill>
                </w14:textFill>
              </w:rPr>
              <w:t>不溶于水，可混溶于乙醇、乙醚、氯仿等多数有机溶剂</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734"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熔点（℃）：</w:t>
            </w:r>
            <w:r>
              <w:rPr>
                <w:rFonts w:hint="eastAsia" w:ascii="Times New Roman" w:hAnsi="Times New Roman" w:eastAsiaTheme="minorEastAsia"/>
                <w:color w:val="000000" w:themeColor="text1"/>
                <w14:textFill>
                  <w14:solidFill>
                    <w14:schemeClr w14:val="tx1"/>
                  </w14:solidFill>
                </w14:textFill>
              </w:rPr>
              <w:t>25.5</w:t>
            </w:r>
          </w:p>
        </w:tc>
        <w:tc>
          <w:tcPr>
            <w:tcW w:w="2382"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沸点（℃）：</w:t>
            </w:r>
            <w:r>
              <w:rPr>
                <w:rFonts w:hint="eastAsia" w:ascii="Times New Roman" w:hAnsi="Times New Roman" w:eastAsiaTheme="minorEastAsia"/>
                <w:color w:val="000000" w:themeColor="text1"/>
                <w14:textFill>
                  <w14:solidFill>
                    <w14:schemeClr w14:val="tx1"/>
                  </w14:solidFill>
                </w14:textFill>
              </w:rPr>
              <w:t>144.4</w:t>
            </w:r>
          </w:p>
        </w:tc>
        <w:tc>
          <w:tcPr>
            <w:tcW w:w="3549"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相对密度（水＝1）：</w:t>
            </w:r>
            <w:r>
              <w:rPr>
                <w:rFonts w:hint="eastAsia" w:ascii="Times New Roman" w:hAnsi="Times New Roman" w:eastAsiaTheme="minorEastAsia"/>
                <w:color w:val="000000" w:themeColor="text1"/>
                <w14:textFill>
                  <w14:solidFill>
                    <w14:schemeClr w14:val="tx1"/>
                  </w14:solidFill>
                </w14:textFill>
              </w:rPr>
              <w:t>0.88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734"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临界温度（℃）：</w:t>
            </w:r>
            <w:r>
              <w:rPr>
                <w:rFonts w:hint="eastAsia" w:ascii="Times New Roman" w:hAnsi="Times New Roman" w:eastAsiaTheme="minorEastAsia"/>
                <w:color w:val="000000" w:themeColor="text1"/>
                <w14:textFill>
                  <w14:solidFill>
                    <w14:schemeClr w14:val="tx1"/>
                  </w14:solidFill>
                </w14:textFill>
              </w:rPr>
              <w:t>357.2</w:t>
            </w:r>
          </w:p>
        </w:tc>
        <w:tc>
          <w:tcPr>
            <w:tcW w:w="2382"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临界压力（MPa）：</w:t>
            </w:r>
            <w:r>
              <w:rPr>
                <w:rFonts w:hint="eastAsia" w:ascii="Times New Roman" w:hAnsi="Times New Roman" w:eastAsiaTheme="minorEastAsia"/>
                <w:color w:val="000000" w:themeColor="text1"/>
                <w14:textFill>
                  <w14:solidFill>
                    <w14:schemeClr w14:val="tx1"/>
                  </w14:solidFill>
                </w14:textFill>
              </w:rPr>
              <w:t>3.70</w:t>
            </w:r>
          </w:p>
        </w:tc>
        <w:tc>
          <w:tcPr>
            <w:tcW w:w="3549"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相对密度（空气＝1）：</w:t>
            </w:r>
            <w:r>
              <w:rPr>
                <w:rFonts w:hint="eastAsia" w:ascii="Times New Roman" w:hAnsi="Times New Roman" w:eastAsiaTheme="minorEastAsia"/>
                <w:color w:val="000000" w:themeColor="text1"/>
                <w14:textFill>
                  <w14:solidFill>
                    <w14:schemeClr w14:val="tx1"/>
                  </w14:solidFill>
                </w14:textFill>
              </w:rPr>
              <w:t>3.66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734"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燃烧热（KJ/mol）：</w:t>
            </w:r>
            <w:r>
              <w:rPr>
                <w:rFonts w:hint="eastAsia" w:ascii="Times New Roman" w:hAnsi="Times New Roman" w:eastAsiaTheme="minorEastAsia"/>
                <w:color w:val="000000" w:themeColor="text1"/>
                <w14:textFill>
                  <w14:solidFill>
                    <w14:schemeClr w14:val="tx1"/>
                  </w14:solidFill>
                </w14:textFill>
              </w:rPr>
              <w:t>4563.3</w:t>
            </w:r>
          </w:p>
        </w:tc>
        <w:tc>
          <w:tcPr>
            <w:tcW w:w="2382"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最小点火能（mJ）：</w:t>
            </w:r>
          </w:p>
        </w:tc>
        <w:tc>
          <w:tcPr>
            <w:tcW w:w="3549"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饱和蒸汽压（KPa）：</w:t>
            </w:r>
            <w:r>
              <w:rPr>
                <w:rFonts w:hint="eastAsia" w:ascii="Times New Roman" w:hAnsi="Times New Roman" w:eastAsiaTheme="minorEastAsia"/>
                <w:color w:val="000000" w:themeColor="text1"/>
                <w14:textFill>
                  <w14:solidFill>
                    <w14:schemeClr w14:val="tx1"/>
                  </w14:solidFill>
                </w14:textFill>
              </w:rPr>
              <w:t>1.33</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32</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燃烧爆炸危险性</w:t>
            </w: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燃烧性：</w:t>
            </w:r>
            <w:r>
              <w:rPr>
                <w:rFonts w:hint="eastAsia" w:ascii="Times New Roman" w:hAnsi="Times New Roman" w:eastAsiaTheme="minorEastAsia"/>
                <w:color w:val="000000" w:themeColor="text1"/>
                <w14:textFill>
                  <w14:solidFill>
                    <w14:schemeClr w14:val="tx1"/>
                  </w14:solidFill>
                </w14:textFill>
              </w:rPr>
              <w:t>易燃</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燃烧分解产物：</w:t>
            </w:r>
            <w:r>
              <w:rPr>
                <w:rFonts w:hint="eastAsia" w:ascii="Times New Roman" w:hAnsi="Times New Roman" w:eastAsiaTheme="minorEastAsia"/>
                <w:color w:val="000000" w:themeColor="text1"/>
                <w14:textFill>
                  <w14:solidFill>
                    <w14:schemeClr w14:val="tx1"/>
                  </w14:solidFill>
                </w14:textFill>
              </w:rPr>
              <w:t>一氧化碳、二氧化碳</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闪点（℃）：</w:t>
            </w:r>
            <w:r>
              <w:rPr>
                <w:rFonts w:hint="eastAsia" w:ascii="Times New Roman" w:hAnsi="Times New Roman" w:eastAsiaTheme="minorEastAsia"/>
                <w:color w:val="000000" w:themeColor="text1"/>
                <w14:textFill>
                  <w14:solidFill>
                    <w14:schemeClr w14:val="tx1"/>
                  </w14:solidFill>
                </w14:textFill>
              </w:rPr>
              <w:t>25</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聚合危害：</w:t>
            </w:r>
            <w:r>
              <w:rPr>
                <w:rFonts w:hint="eastAsia" w:ascii="Times New Roman" w:hAnsi="Times New Roman" w:eastAsiaTheme="minorEastAsia"/>
                <w:color w:val="000000" w:themeColor="text1"/>
                <w14:textFill>
                  <w14:solidFill>
                    <w14:schemeClr w14:val="tx1"/>
                  </w14:solidFill>
                </w14:textFill>
              </w:rPr>
              <w:t>不能出现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爆炸下限（</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1.1</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稳定性：稳定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爆炸上限（</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7.0</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最大爆炸压力（MPa）：无意义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引燃温度（℃）：无意义</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禁忌物：</w:t>
            </w:r>
            <w:r>
              <w:rPr>
                <w:rFonts w:hint="eastAsia" w:ascii="Times New Roman" w:hAnsi="Times New Roman" w:eastAsiaTheme="minorEastAsia"/>
                <w:color w:val="000000" w:themeColor="text1"/>
                <w14:textFill>
                  <w14:solidFill>
                    <w14:schemeClr w14:val="tx1"/>
                  </w14:solidFill>
                </w14:textFill>
              </w:rPr>
              <w:t>强氧化剂</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危险特性：其蒸气与空气形成爆炸性混合物，遇明火、高热能引起燃烧爆炸。与氧化剂能发生</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强烈反应。其蒸气比空气重,能在较低处扩散到相当远的地方，遇火源引着回燃。若遇高热</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容器内压增大，有开裂和爆炸的危险。流速过快，容易产生和积聚静电。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灭火方法：泡沫、二氧化碳、干粉、砂土。用水灭火无效。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毒性</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接触限值：中国MAC</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100mg/m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苏联MAC</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50mg/m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美国TWA</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OSHA 10ppmp 434mgm</w:t>
            </w:r>
            <w:r>
              <w:rPr>
                <w:rFonts w:ascii="Times New Roman" w:hAnsi="Times New Roman" w:eastAsiaTheme="minorEastAsia"/>
                <w:color w:val="000000" w:themeColor="text1"/>
                <w:vertAlign w:val="superscript"/>
                <w14:textFill>
                  <w14:solidFill>
                    <w14:schemeClr w14:val="tx1"/>
                  </w14:solidFill>
                </w14:textFill>
              </w:rPr>
              <w:t>3</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ACGIH 10ppm 434mg/m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美国sTEL</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ACGH 150ppm</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651mg/m</w:t>
            </w:r>
            <w:r>
              <w:rPr>
                <w:rFonts w:ascii="Times New Roman" w:hAnsi="Times New Roman" w:eastAsiaTheme="minorEastAsia"/>
                <w:color w:val="000000" w:themeColor="text1"/>
                <w:vertAlign w:val="superscript"/>
                <w14:textFill>
                  <w14:solidFill>
                    <w14:schemeClr w14:val="tx1"/>
                  </w14:solidFill>
                </w14:textFill>
              </w:rPr>
              <w:t>3</w:t>
            </w:r>
            <w:r>
              <w:rPr>
                <w:rFonts w:hint="eastAsia" w:ascii="Times New Roman" w:hAnsi="Times New Roman" w:eastAsiaTheme="minorEastAsia"/>
                <w:color w:val="000000" w:themeColor="text1"/>
                <w14:textFill>
                  <w14:solidFill>
                    <w14:schemeClr w14:val="tx1"/>
                  </w14:solidFill>
                </w14:textFill>
              </w:rPr>
              <w:t>。</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急性毒性：属低毒类LD50</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5000mg/kg</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大鼠经口</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LC50</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4550ppm 4小时</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大鼠吸入</w:t>
            </w:r>
            <w:r>
              <w:rPr>
                <w:rFonts w:hint="eastAsia"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对人体危害</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侵入途径：吸入、食入</w:t>
            </w:r>
            <w:r>
              <w:rPr>
                <w:rFonts w:hint="eastAsia" w:ascii="Times New Roman" w:hAnsi="Times New Roman" w:eastAsiaTheme="minorEastAsia"/>
                <w:color w:val="000000" w:themeColor="text1"/>
                <w14:textFill>
                  <w14:solidFill>
                    <w14:schemeClr w14:val="tx1"/>
                  </w14:solidFill>
                </w14:textFill>
              </w:rPr>
              <w:t>、经皮吸收</w:t>
            </w:r>
            <w:r>
              <w:rPr>
                <w:rFonts w:ascii="Times New Roman" w:hAnsi="Times New Roman" w:eastAsiaTheme="minorEastAsia"/>
                <w:color w:val="000000" w:themeColor="text1"/>
                <w14:textFill>
                  <w14:solidFill>
                    <w14:schemeClr w14:val="tx1"/>
                  </w14:solidFill>
                </w14:textFill>
              </w:rPr>
              <w:t>。</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健康危害：对皮肤、粘膜有刺激作用，对中枢神经系统有麻醉作用</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长期作用可影响肝、肾功能。急性中毒</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病人有咳嗽、流泪、结膜充血等</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重症者有幻觉、谵妄、神志不清等，有的有癔病样发作。慢性中毒:病人有神经衰弱综合征的表现，女工有月经异常，工人常发生皮肤干燥、皲裂、皮炎。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急救</w:t>
            </w:r>
          </w:p>
        </w:tc>
        <w:tc>
          <w:tcPr>
            <w:tcW w:w="8665" w:type="dxa"/>
            <w:gridSpan w:val="7"/>
            <w:vAlign w:val="center"/>
          </w:tcPr>
          <w:p>
            <w:pPr>
              <w:adjustRightInd w:val="0"/>
              <w:snapToGrid w:val="0"/>
              <w:rPr>
                <w:rFonts w:ascii="Times New Roman" w:hAnsi="Times New Roman" w:eastAsiaTheme="minorEastAsia"/>
                <w:color w:val="000000" w:themeColor="text1"/>
                <w:highlight w:val="yellow"/>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皮肤接触：脱去污染的衣着，用肥皂水及清水彻底冲洗。</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眼睛接触：立即提起眼睑，用大量流动清水彻底冲洗。</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吸入：迅速脱离现场至空气新鲜处。保持呼吸道通畅。呼吸困难时给输氧。呼吸及心跳停</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止者立即进行人工呼吸和心脏按压术。就医。</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食入：误服者给充分漱口、饮水，尽快洗胃。就医。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防护</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工程控制</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生产过程密闭，加强通风。</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呼吸系统防护</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空气中浓度超标时，佩带防毒面具。紧急事态抢救或逃生时</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建议佩带自给式呼吸</w:t>
            </w:r>
            <w:r>
              <w:rPr>
                <w:rFonts w:hint="eastAsia" w:ascii="Times New Roman" w:hAnsi="Times New Roman" w:eastAsiaTheme="minorEastAsia"/>
                <w:color w:val="000000" w:themeColor="text1"/>
                <w14:textFill>
                  <w14:solidFill>
                    <w14:schemeClr w14:val="tx1"/>
                  </w14:solidFill>
                </w14:textFill>
              </w:rPr>
              <w:t>。</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眼睛防护</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高浓度蒸气接触可戴化学安全防护眼镜。</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防护服</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穿相应的防护服。</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手防护</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戴防化学品手套。也可使用皮肤防护膜。</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其他</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工作现场禁止吸烟、进食和饮水。工作后</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泄漏处理</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疏散泄漏污染区人员至安全区，禁止无关人员进入污染区，切断火源。建议应急处理人员戴好防毒面具</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穿</w:t>
            </w:r>
            <w:r>
              <w:rPr>
                <w:rFonts w:hint="eastAsia" w:ascii="Times New Roman" w:hAnsi="Times New Roman" w:eastAsiaTheme="minorEastAsia"/>
                <w:color w:val="000000" w:themeColor="text1"/>
                <w14:textFill>
                  <w14:solidFill>
                    <w14:schemeClr w14:val="tx1"/>
                  </w14:solidFill>
                </w14:textFill>
              </w:rPr>
              <w:t>一</w:t>
            </w:r>
            <w:r>
              <w:rPr>
                <w:rFonts w:ascii="Times New Roman" w:hAnsi="Times New Roman" w:eastAsiaTheme="minorEastAsia"/>
                <w:color w:val="000000" w:themeColor="text1"/>
                <w14:textFill>
                  <w14:solidFill>
                    <w14:schemeClr w14:val="tx1"/>
                  </w14:solidFill>
                </w14:textFill>
              </w:rPr>
              <w:t>般消防防护服。在确保安全情况下堵漏。喷水雾会减少蒸发</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但不能降低泄漏物在受限制空间内的易燃性。用活性炭或其它惰性材料吸收，然后使用无火花工具收集运至废物处理场所处置。也可以用不燃性分散剂制成的乳液刷洗</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经稀释的洗水放入废水系统。如大量泄漏，利用围堤收容，然后收集、转移、回收或无害处理后废弃。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贮运</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储存于阴凉通风仓间内。远离火种、热源。仓温不宜超过30C。防止阳光直射。保特容器密封。应与氧化剂分开存放。储存间内的照明、通风等设施应采用防爆型，开关设在仓外。配备相应品种和数量的消防器材。罐储时要有防火防爆技术措施。露天贮罐夏季要有降温措施。禁止使用易产生火花的机械设备和工具。灌装时应注管流速</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不超过3m/s</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，且有接地装盟，防止静电积聚。搬运时要轻装轻卸，防止包装及容器损坏。</w:t>
            </w:r>
          </w:p>
        </w:tc>
      </w:tr>
    </w:tbl>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p>
    <w:p>
      <w:pPr>
        <w:adjustRightInd w:val="0"/>
        <w:snapToGrid w:val="0"/>
        <w:spacing w:line="276" w:lineRule="auto"/>
        <w:jc w:val="center"/>
        <w:rPr>
          <w:color w:val="000000" w:themeColor="text1"/>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w:t>
      </w:r>
      <w:r>
        <w:rPr>
          <w:rFonts w:hint="eastAsia" w:ascii="Times New Roman" w:hAnsi="Times New Roman" w:eastAsiaTheme="minorEastAsia"/>
          <w:b/>
          <w:color w:val="000000" w:themeColor="text1"/>
          <w:sz w:val="24"/>
          <w:szCs w:val="24"/>
          <w:lang w:val="en-US" w:eastAsia="zh-CN"/>
          <w14:textFill>
            <w14:solidFill>
              <w14:schemeClr w14:val="tx1"/>
            </w14:solidFill>
          </w14:textFill>
        </w:rPr>
        <w:t>13</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醋酸</w:t>
      </w:r>
      <w:r>
        <w:rPr>
          <w:rFonts w:ascii="Times New Roman" w:hAnsi="Times New Roman" w:eastAsiaTheme="minorEastAsia"/>
          <w:b/>
          <w:color w:val="000000" w:themeColor="text1"/>
          <w:sz w:val="24"/>
          <w:szCs w:val="24"/>
          <w14:textFill>
            <w14:solidFill>
              <w14:schemeClr w14:val="tx1"/>
            </w14:solidFill>
          </w14:textFill>
        </w:rPr>
        <w:t>理化性质及危险、危害特性一览表</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35"/>
        <w:gridCol w:w="2441"/>
        <w:gridCol w:w="134"/>
        <w:gridCol w:w="581"/>
        <w:gridCol w:w="533"/>
        <w:gridCol w:w="1427"/>
        <w:gridCol w:w="872"/>
        <w:gridCol w:w="26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标识</w:t>
            </w:r>
          </w:p>
        </w:tc>
        <w:tc>
          <w:tcPr>
            <w:tcW w:w="3689" w:type="dxa"/>
            <w:gridSpan w:val="4"/>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中文名：</w:t>
            </w:r>
            <w:r>
              <w:rPr>
                <w:rFonts w:hint="eastAsia" w:ascii="Times New Roman" w:hAnsi="Times New Roman" w:eastAsiaTheme="minorEastAsia"/>
                <w:color w:val="000000" w:themeColor="text1"/>
                <w14:textFill>
                  <w14:solidFill>
                    <w14:schemeClr w14:val="tx1"/>
                  </w14:solidFill>
                </w14:textFill>
              </w:rPr>
              <w:t>乙酸</w:t>
            </w:r>
          </w:p>
        </w:tc>
        <w:tc>
          <w:tcPr>
            <w:tcW w:w="4976"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化学品俗名</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醋酸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3156"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危险性类别</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第8.3类腐蚀品</w:t>
            </w:r>
          </w:p>
        </w:tc>
        <w:tc>
          <w:tcPr>
            <w:tcW w:w="2832"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危险货物编号</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81601</w:t>
            </w:r>
          </w:p>
        </w:tc>
        <w:tc>
          <w:tcPr>
            <w:tcW w:w="2677"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UN编号</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2789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理化性质</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性状：</w:t>
            </w:r>
            <w:r>
              <w:rPr>
                <w:rFonts w:hint="eastAsia" w:ascii="Times New Roman" w:hAnsi="Times New Roman" w:eastAsiaTheme="minorEastAsia"/>
                <w:color w:val="000000" w:themeColor="text1"/>
                <w14:textFill>
                  <w14:solidFill>
                    <w14:schemeClr w14:val="tx1"/>
                  </w14:solidFill>
                </w14:textFill>
              </w:rPr>
              <w:t>无色透明液体，有刺激性酸臭</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溶解性：</w:t>
            </w:r>
            <w:r>
              <w:rPr>
                <w:rFonts w:hint="eastAsia" w:ascii="Times New Roman" w:hAnsi="Times New Roman" w:eastAsiaTheme="minorEastAsia"/>
                <w:color w:val="000000" w:themeColor="text1"/>
                <w14:textFill>
                  <w14:solidFill>
                    <w14:schemeClr w14:val="tx1"/>
                  </w14:solidFill>
                </w14:textFill>
              </w:rPr>
              <w:t>溶于水、醚、甘油，不溶于二硫化碳</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575"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熔点（℃）：</w:t>
            </w:r>
            <w:r>
              <w:rPr>
                <w:rFonts w:hint="eastAsia" w:ascii="Times New Roman" w:hAnsi="Times New Roman" w:eastAsiaTheme="minorEastAsia"/>
                <w:color w:val="000000" w:themeColor="text1"/>
                <w14:textFill>
                  <w14:solidFill>
                    <w14:schemeClr w14:val="tx1"/>
                  </w14:solidFill>
                </w14:textFill>
              </w:rPr>
              <w:t>16.7</w:t>
            </w:r>
          </w:p>
        </w:tc>
        <w:tc>
          <w:tcPr>
            <w:tcW w:w="2541"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沸点（℃）：</w:t>
            </w:r>
            <w:r>
              <w:rPr>
                <w:rFonts w:hint="eastAsia" w:ascii="Times New Roman" w:hAnsi="Times New Roman" w:eastAsiaTheme="minorEastAsia"/>
                <w:color w:val="000000" w:themeColor="text1"/>
                <w14:textFill>
                  <w14:solidFill>
                    <w14:schemeClr w14:val="tx1"/>
                  </w14:solidFill>
                </w14:textFill>
              </w:rPr>
              <w:t>118.1</w:t>
            </w:r>
          </w:p>
        </w:tc>
        <w:tc>
          <w:tcPr>
            <w:tcW w:w="3549"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相对密度（水＝1）：</w:t>
            </w:r>
            <w:r>
              <w:rPr>
                <w:rFonts w:hint="eastAsia" w:ascii="Times New Roman" w:hAnsi="Times New Roman" w:eastAsiaTheme="minorEastAsia"/>
                <w:color w:val="000000" w:themeColor="text1"/>
                <w14:textFill>
                  <w14:solidFill>
                    <w14:schemeClr w14:val="tx1"/>
                  </w14:solidFill>
                </w14:textFill>
              </w:rPr>
              <w:t>2.07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575"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临界温度（℃）：</w:t>
            </w:r>
            <w:r>
              <w:rPr>
                <w:rFonts w:hint="eastAsia" w:ascii="Times New Roman" w:hAnsi="Times New Roman" w:eastAsiaTheme="minorEastAsia"/>
                <w:color w:val="000000" w:themeColor="text1"/>
                <w14:textFill>
                  <w14:solidFill>
                    <w14:schemeClr w14:val="tx1"/>
                  </w14:solidFill>
                </w14:textFill>
              </w:rPr>
              <w:t>321.6</w:t>
            </w:r>
          </w:p>
        </w:tc>
        <w:tc>
          <w:tcPr>
            <w:tcW w:w="2541"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临界压力（MPa）：</w:t>
            </w:r>
            <w:r>
              <w:rPr>
                <w:rFonts w:hint="eastAsia" w:ascii="Times New Roman" w:hAnsi="Times New Roman" w:eastAsiaTheme="minorEastAsia"/>
                <w:color w:val="000000" w:themeColor="text1"/>
                <w14:textFill>
                  <w14:solidFill>
                    <w14:schemeClr w14:val="tx1"/>
                  </w14:solidFill>
                </w14:textFill>
              </w:rPr>
              <w:t>5.78</w:t>
            </w:r>
          </w:p>
        </w:tc>
        <w:tc>
          <w:tcPr>
            <w:tcW w:w="3549"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相对密度（空气＝1）：</w:t>
            </w:r>
            <w:r>
              <w:rPr>
                <w:rFonts w:hint="eastAsia" w:ascii="Times New Roman" w:hAnsi="Times New Roman" w:eastAsiaTheme="minorEastAsia"/>
                <w:color w:val="000000" w:themeColor="text1"/>
                <w14:textFill>
                  <w14:solidFill>
                    <w14:schemeClr w14:val="tx1"/>
                  </w14:solidFill>
                </w14:textFill>
              </w:rPr>
              <w:t>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575"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燃烧热（KJ/mol）：</w:t>
            </w:r>
            <w:r>
              <w:rPr>
                <w:rFonts w:hint="eastAsia" w:ascii="Times New Roman" w:hAnsi="Times New Roman" w:eastAsiaTheme="minorEastAsia"/>
                <w:color w:val="000000" w:themeColor="text1"/>
                <w14:textFill>
                  <w14:solidFill>
                    <w14:schemeClr w14:val="tx1"/>
                  </w14:solidFill>
                </w14:textFill>
              </w:rPr>
              <w:t>873.7</w:t>
            </w:r>
          </w:p>
        </w:tc>
        <w:tc>
          <w:tcPr>
            <w:tcW w:w="2541" w:type="dxa"/>
            <w:gridSpan w:val="3"/>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最小点火能（mJ）：</w:t>
            </w:r>
            <w:r>
              <w:rPr>
                <w:rFonts w:hint="eastAsia" w:ascii="Times New Roman" w:hAnsi="Times New Roman" w:eastAsiaTheme="minorEastAsia"/>
                <w:color w:val="000000" w:themeColor="text1"/>
                <w14:textFill>
                  <w14:solidFill>
                    <w14:schemeClr w14:val="tx1"/>
                  </w14:solidFill>
                </w14:textFill>
              </w:rPr>
              <w:t>无资料</w:t>
            </w:r>
          </w:p>
        </w:tc>
        <w:tc>
          <w:tcPr>
            <w:tcW w:w="3549" w:type="dxa"/>
            <w:gridSpan w:val="2"/>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饱和蒸汽压（KPa）：</w:t>
            </w:r>
            <w:r>
              <w:rPr>
                <w:rFonts w:hint="eastAsia" w:ascii="Times New Roman" w:hAnsi="Times New Roman" w:eastAsiaTheme="minorEastAsia"/>
                <w:color w:val="000000" w:themeColor="text1"/>
                <w14:textFill>
                  <w14:solidFill>
                    <w14:schemeClr w14:val="tx1"/>
                  </w14:solidFill>
                </w14:textFill>
              </w:rPr>
              <w:t>1.52</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20</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燃烧爆炸危险性</w:t>
            </w: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燃烧性：</w:t>
            </w:r>
            <w:r>
              <w:rPr>
                <w:rFonts w:hint="eastAsia" w:ascii="Times New Roman" w:hAnsi="Times New Roman" w:eastAsiaTheme="minorEastAsia"/>
                <w:color w:val="000000" w:themeColor="text1"/>
                <w14:textFill>
                  <w14:solidFill>
                    <w14:schemeClr w14:val="tx1"/>
                  </w14:solidFill>
                </w14:textFill>
              </w:rPr>
              <w:t>易燃</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燃烧分解产物：</w:t>
            </w:r>
            <w:r>
              <w:rPr>
                <w:rFonts w:hint="eastAsia" w:ascii="Times New Roman" w:hAnsi="Times New Roman" w:eastAsiaTheme="minorEastAsia"/>
                <w:color w:val="000000" w:themeColor="text1"/>
                <w14:textFill>
                  <w14:solidFill>
                    <w14:schemeClr w14:val="tx1"/>
                  </w14:solidFill>
                </w14:textFill>
              </w:rPr>
              <w:t>一氧化碳、二氧化碳</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闪点（℃）：</w:t>
            </w:r>
            <w:r>
              <w:rPr>
                <w:rFonts w:hint="eastAsia" w:ascii="Times New Roman" w:hAnsi="Times New Roman" w:eastAsiaTheme="minorEastAsia"/>
                <w:color w:val="000000" w:themeColor="text1"/>
                <w14:textFill>
                  <w14:solidFill>
                    <w14:schemeClr w14:val="tx1"/>
                  </w14:solidFill>
                </w14:textFill>
              </w:rPr>
              <w:t>39</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聚合危害：</w:t>
            </w:r>
            <w:r>
              <w:rPr>
                <w:rFonts w:hint="eastAsia" w:ascii="Times New Roman" w:hAnsi="Times New Roman" w:eastAsiaTheme="minorEastAsia"/>
                <w:color w:val="000000" w:themeColor="text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爆炸下限（％）：</w:t>
            </w:r>
            <w:r>
              <w:rPr>
                <w:rFonts w:hint="eastAsia" w:ascii="Times New Roman" w:hAnsi="Times New Roman" w:eastAsiaTheme="minorEastAsia"/>
                <w:color w:val="000000" w:themeColor="text1"/>
                <w14:textFill>
                  <w14:solidFill>
                    <w14:schemeClr w14:val="tx1"/>
                  </w14:solidFill>
                </w14:textFill>
              </w:rPr>
              <w:t>4.0</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稳定性：稳定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爆炸上限（％）：</w:t>
            </w:r>
            <w:r>
              <w:rPr>
                <w:rFonts w:hint="eastAsia" w:ascii="Times New Roman" w:hAnsi="Times New Roman" w:eastAsiaTheme="minorEastAsia"/>
                <w:color w:val="000000" w:themeColor="text1"/>
                <w14:textFill>
                  <w14:solidFill>
                    <w14:schemeClr w14:val="tx1"/>
                  </w14:solidFill>
                </w14:textFill>
              </w:rPr>
              <w:t>17.0</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最大爆炸压力（MPa）：无意义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2441" w:type="dxa"/>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引燃温度（℃）：</w:t>
            </w:r>
            <w:r>
              <w:rPr>
                <w:rFonts w:hint="eastAsia" w:ascii="Times New Roman" w:hAnsi="Times New Roman" w:eastAsiaTheme="minorEastAsia"/>
                <w:color w:val="000000" w:themeColor="text1"/>
                <w14:textFill>
                  <w14:solidFill>
                    <w14:schemeClr w14:val="tx1"/>
                  </w14:solidFill>
                </w14:textFill>
              </w:rPr>
              <w:t>/</w:t>
            </w:r>
          </w:p>
        </w:tc>
        <w:tc>
          <w:tcPr>
            <w:tcW w:w="6224" w:type="dxa"/>
            <w:gridSpan w:val="6"/>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禁忌物：</w:t>
            </w:r>
            <w:r>
              <w:rPr>
                <w:rFonts w:hint="eastAsia" w:ascii="Times New Roman" w:hAnsi="Times New Roman" w:eastAsiaTheme="minorEastAsia"/>
                <w:color w:val="000000" w:themeColor="text1"/>
                <w14:textFill>
                  <w14:solidFill>
                    <w14:schemeClr w14:val="tx1"/>
                  </w14:solidFill>
                </w14:textFill>
              </w:rPr>
              <w:t>碱类、强氧化剂</w:t>
            </w: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危险特性：易燃,，其蒸气与空气可形成爆炸性混合物，遇明火、高热能引起燃烧爆炸。与铬酸、过氧化钠、硝酸或其它氧化剂接触，有爆炸危险。具有腐蚀性。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灭火方法：用水喷射溢出液体，使其稀释成不燃性混合物，并用雾状水保护消防人员。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毒性</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职业接触限值</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PC-TWA</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20 mg</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m</w:t>
            </w:r>
            <w:r>
              <w:rPr>
                <w:rFonts w:hint="eastAsia" w:ascii="Times New Roman" w:hAnsi="Times New Roman" w:eastAsiaTheme="minorEastAsia"/>
                <w:color w:val="000000" w:themeColor="text1"/>
                <w:vertAlign w:val="superscript"/>
                <w14:textFill>
                  <w14:solidFill>
                    <w14:schemeClr w14:val="tx1"/>
                  </w14:solidFill>
                </w14:textFill>
              </w:rPr>
              <w:t>3</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PC-STEL</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30 mg/m</w:t>
            </w:r>
            <w:r>
              <w:rPr>
                <w:rFonts w:hint="eastAsia" w:ascii="Times New Roman" w:hAnsi="Times New Roman" w:eastAsiaTheme="minorEastAsia"/>
                <w:color w:val="000000" w:themeColor="text1"/>
                <w:vertAlign w:val="superscript"/>
                <w14:textFill>
                  <w14:solidFill>
                    <w14:schemeClr w14:val="tx1"/>
                  </w14:solidFill>
                </w14:textFill>
              </w:rPr>
              <w:t>3</w:t>
            </w:r>
            <w:r>
              <w:rPr>
                <w:rFonts w:hint="eastAsia" w:ascii="Times New Roman" w:hAnsi="Times New Roman" w:eastAsiaTheme="minorEastAsia"/>
                <w:color w:val="000000" w:themeColor="text1"/>
                <w14:textFill>
                  <w14:solidFill>
                    <w14:schemeClr w14:val="tx1"/>
                  </w14:solidFill>
                </w14:textFill>
              </w:rPr>
              <w:t>。</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急性毒性</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LD50</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3530 mg</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kg</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大鼠经口</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1060 mg</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kg</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免经皮</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LC50</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13791mg/m'</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1小时</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小鼠吸入</w:t>
            </w:r>
            <w:r>
              <w:rPr>
                <w:rFonts w:hint="eastAsia"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对人体危害</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吸入本品蒸气对鼻、喉和呼吸道有刺激性。对眼有强烈刺激作用。皮肤接触，轻者出现红斑，重者引起化学灼伤。误服浓乙酸，口腔和消化道可产生糜烂，重者可因休克而致死。 慢性影响:眼睑水肿、结膜充血、慢性咽炎和支气管长期反复接触，可致皮肤干燥、脱脂和皮炎。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急救</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皮肤接触</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立即脱去污染的衣着，用大量流动清水冲洗至少15分钟。就医。</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眼睛接触</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立即提起眼睑，用大量流动清水或生理盐水彻底冲洗至少15分钟。就医。</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吸入</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迅速脱离现场至空气新鲜处。保持呼吸道通畅。如呼吸困难，给输氧。就医。</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食入</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用水漱口，就医。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防护</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项目控制</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生产过程密闭，加强通风。提供安全淋浴和洗眼设备。</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呼吸系统防护</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空气中浓度超标时，应该佩戴自吸过滤式防毒面具</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半面罩</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。紧急事态抢救或撤离时</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佩戴空气呼吸器。</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身体防护</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穿防酸碱塑料工作服。手 防护戴橡胶耐酸碱手套。</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眼防护</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戴化学安全防护眼镜</w:t>
            </w:r>
          </w:p>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其它</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工作现场严禁吸烟。工作完毕，淋浴更衣。注意个人清洁卫生。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泄漏处理</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迅速撤离泄漏污染区人员至安全区，并进行隔离</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严格限制出入。切断火源。建议应急处理人员戴自给正压式呼吸器，穿防酸碱工作服。不要直接接触泄漏物。尽可能切断泄漏源。防止流入下水道、排洪沟等限制性空间。小量泄漏</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用砂土、干燥石灰或苏打灰混合。大量泄漏</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构筑围堤或挖坑收容。喷雾状水冷却和稀释蒸汽、保护现场人员、把泄漏物稀释成不燃物。用防爆泵转移至槽车或专用收集器内，回收或运至废物处理场所处置。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3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贮运</w:t>
            </w:r>
          </w:p>
        </w:tc>
        <w:tc>
          <w:tcPr>
            <w:tcW w:w="8665" w:type="dxa"/>
            <w:gridSpan w:val="7"/>
            <w:vAlign w:val="center"/>
          </w:tcPr>
          <w:p>
            <w:pPr>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储运注意事项</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储存于阴凉、通风的库房。冻季应保持库温高于16C，以防凝固。保持容器密封。应与氧化剂、碱类分开存放，切忌混储。禁止使用易产生火花的机械设备和工具。储区应备有泄漏应急处理设备和合适的收容材料。起运时包装要完整</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装载应稳妥。运输过程中要确保容器不泄漏、不倒塌、不坠落、不损坏。运输时所用的槽</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罐</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车应有接地链，槽内可设孔隔板以减少震荡产生静电。严禁与氧化剂、碱类、食用化学品等混装混运。</w:t>
            </w:r>
          </w:p>
        </w:tc>
      </w:tr>
    </w:tbl>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2、生产系统危险性识别</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液体化工码头可能发生两种类型的风险事故，第一种是船舶搁浅和碰撞产生的事故溢液，事故对象主要为船方；另一种是装船过程中发生的冒舱或管道破裂或断裂时产生的事故性溢液，多发生于船、岸之间；化工码头上的主要设备是管、泵等，在装卸作业中，设备的老化、缺陷或人为的过失均能发生溢液事故，事故通常发生在以下环节：</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⑴  码头、船舶之间由于供油（液）、受油（液）双方通讯联系不畅，步调不一致，受油（液）方未开阀门，供油（液）方先开泵，造成爆管溢液。</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⑵  各种操作失误造成的溢液污染。</w:t>
      </w:r>
    </w:p>
    <w:p>
      <w:pPr>
        <w:pStyle w:val="5"/>
        <w:rPr>
          <w:rFonts w:eastAsiaTheme="minorEastAsia"/>
        </w:rPr>
      </w:pPr>
      <w:r>
        <w:rPr>
          <w:rFonts w:eastAsiaTheme="minorEastAsia"/>
        </w:rPr>
        <w:t>环境影响途径</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根据项目物质危险性识别和生产系统危险性识别，本项目危险物质在事故情形下对环境的影响途径主要是硫酸及燃料油发生火灾情形下通过大气对周围环境以及敏感目标产生影响。</w:t>
      </w:r>
    </w:p>
    <w:p>
      <w:pPr>
        <w:pStyle w:val="4"/>
        <w:rPr>
          <w:rFonts w:eastAsiaTheme="minorEastAsia"/>
          <w:color w:val="000000" w:themeColor="text1"/>
          <w14:textFill>
            <w14:solidFill>
              <w14:schemeClr w14:val="tx1"/>
            </w14:solidFill>
          </w14:textFill>
        </w:rPr>
      </w:pPr>
      <w:bookmarkStart w:id="149" w:name="_Toc23429147"/>
      <w:r>
        <w:rPr>
          <w:rFonts w:eastAsiaTheme="minorEastAsia"/>
          <w:color w:val="000000" w:themeColor="text1"/>
          <w14:textFill>
            <w14:solidFill>
              <w14:schemeClr w14:val="tx1"/>
            </w14:solidFill>
          </w14:textFill>
        </w:rPr>
        <w:t>环境风险事故情形分析</w:t>
      </w:r>
      <w:bookmarkEnd w:id="149"/>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本项目涉及的化学品类型主要为油品类，水域风险主要为码头船舶本身出现设施损废，或者发生船舶碰撞</w:t>
      </w:r>
      <w:r>
        <w:rPr>
          <w:rFonts w:hint="eastAsia" w:ascii="Times New Roman" w:hAnsi="Times New Roman" w:eastAsiaTheme="minorEastAsia"/>
          <w:color w:val="000000" w:themeColor="text1"/>
          <w:sz w:val="24"/>
          <w:szCs w:val="24"/>
          <w14:textFill>
            <w14:solidFill>
              <w14:schemeClr w14:val="tx1"/>
            </w14:solidFill>
          </w14:textFill>
        </w:rPr>
        <w:t>发生</w:t>
      </w:r>
      <w:r>
        <w:rPr>
          <w:rFonts w:ascii="Times New Roman" w:hAnsi="Times New Roman" w:eastAsiaTheme="minorEastAsia"/>
          <w:color w:val="000000" w:themeColor="text1"/>
          <w:sz w:val="24"/>
          <w:szCs w:val="24"/>
          <w14:textFill>
            <w14:solidFill>
              <w14:schemeClr w14:val="tx1"/>
            </w14:solidFill>
          </w14:textFill>
        </w:rPr>
        <w:t>水域溢油风险。因此，结合项目特点，本次评价重点评价水域溢油风险评价。</w:t>
      </w:r>
    </w:p>
    <w:p>
      <w:pPr>
        <w:pStyle w:val="4"/>
        <w:rPr>
          <w:rFonts w:eastAsiaTheme="minorEastAsia"/>
          <w:color w:val="000000" w:themeColor="text1"/>
          <w14:textFill>
            <w14:solidFill>
              <w14:schemeClr w14:val="tx1"/>
            </w14:solidFill>
          </w14:textFill>
        </w:rPr>
      </w:pPr>
      <w:bookmarkStart w:id="150" w:name="_Toc23429148"/>
      <w:r>
        <w:rPr>
          <w:rFonts w:eastAsiaTheme="minorEastAsia"/>
          <w:color w:val="000000" w:themeColor="text1"/>
          <w14:textFill>
            <w14:solidFill>
              <w14:schemeClr w14:val="tx1"/>
            </w14:solidFill>
          </w14:textFill>
        </w:rPr>
        <w:t>风险识别</w:t>
      </w:r>
      <w:bookmarkEnd w:id="150"/>
    </w:p>
    <w:p>
      <w:pPr>
        <w:pStyle w:val="5"/>
        <w:rPr>
          <w:rFonts w:eastAsiaTheme="minorEastAsia"/>
        </w:rPr>
      </w:pPr>
      <w:r>
        <w:rPr>
          <w:rFonts w:eastAsiaTheme="minorEastAsia"/>
        </w:rPr>
        <w:t>物质危险性识别</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本项目涉及到的主要危险化学品物质危险性及包装类别见表</w:t>
      </w:r>
      <w:r>
        <w:rPr>
          <w:rFonts w:hint="eastAsia" w:ascii="Times New Roman" w:hAnsi="Times New Roman" w:eastAsiaTheme="minorEastAsia"/>
          <w:color w:val="000000" w:themeColor="text1"/>
          <w:sz w:val="24"/>
          <w:szCs w:val="24"/>
          <w14:textFill>
            <w14:solidFill>
              <w14:schemeClr w14:val="tx1"/>
            </w14:solidFill>
          </w14:textFill>
        </w:rPr>
        <w:t>6.8-1</w:t>
      </w:r>
      <w:r>
        <w:rPr>
          <w:rFonts w:hint="eastAsia" w:ascii="Times New Roman" w:hAnsi="Times New Roman" w:eastAsiaTheme="minorEastAsia"/>
          <w:color w:val="000000" w:themeColor="text1"/>
          <w:sz w:val="24"/>
          <w:szCs w:val="24"/>
          <w:lang w:val="en-US" w:eastAsia="zh-CN"/>
          <w14:textFill>
            <w14:solidFill>
              <w14:schemeClr w14:val="tx1"/>
            </w14:solidFill>
          </w14:textFill>
        </w:rPr>
        <w:t>4</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6.8-1</w:t>
      </w:r>
      <w:r>
        <w:rPr>
          <w:rFonts w:hint="eastAsia" w:ascii="Times New Roman" w:hAnsi="Times New Roman" w:eastAsiaTheme="minorEastAsia"/>
          <w:b/>
          <w:color w:val="000000" w:themeColor="text1"/>
          <w:sz w:val="24"/>
          <w:szCs w:val="24"/>
          <w:lang w:val="en-US" w:eastAsia="zh-CN"/>
          <w14:textFill>
            <w14:solidFill>
              <w14:schemeClr w14:val="tx1"/>
            </w14:solidFill>
          </w14:textFill>
        </w:rPr>
        <w:t>5</w:t>
      </w:r>
      <w:r>
        <w:rPr>
          <w:rFonts w:ascii="Times New Roman" w:hAnsi="Times New Roman" w:eastAsiaTheme="minorEastAsia"/>
          <w:b/>
          <w:color w:val="000000" w:themeColor="text1"/>
          <w:sz w:val="24"/>
          <w:szCs w:val="24"/>
          <w14:textFill>
            <w14:solidFill>
              <w14:schemeClr w14:val="tx1"/>
            </w14:solidFill>
          </w14:textFill>
        </w:rPr>
        <w:t xml:space="preserve">  本项目涉及的主要危险化学品危险性类别及包装类别一览表</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98"/>
        <w:gridCol w:w="1689"/>
        <w:gridCol w:w="2734"/>
        <w:gridCol w:w="1713"/>
        <w:gridCol w:w="1285"/>
        <w:gridCol w:w="9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698"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编号</w:t>
            </w:r>
          </w:p>
        </w:tc>
        <w:tc>
          <w:tcPr>
            <w:tcW w:w="1689"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名称和说明</w:t>
            </w:r>
          </w:p>
        </w:tc>
        <w:tc>
          <w:tcPr>
            <w:tcW w:w="2734"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类别和项别</w:t>
            </w:r>
          </w:p>
        </w:tc>
        <w:tc>
          <w:tcPr>
            <w:tcW w:w="1713"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次要危险性</w:t>
            </w:r>
          </w:p>
        </w:tc>
        <w:tc>
          <w:tcPr>
            <w:tcW w:w="1285"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包装类别</w:t>
            </w:r>
          </w:p>
        </w:tc>
        <w:tc>
          <w:tcPr>
            <w:tcW w:w="98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CN号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绥中油</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Ⅲ</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柴油</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第3.1类低闪点易燃液体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Ⅲ</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32501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汽油</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第3.1类低闪点易燃液体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Ⅲ</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31001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乙烯石脑油</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Ⅲ</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32004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重整石脑油</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Ⅲ</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32004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蜡油</w:t>
            </w:r>
            <w:r>
              <w:rPr>
                <w:rFonts w:ascii="Times New Roman" w:hAnsi="Times New Roman"/>
                <w:color w:val="000000" w:themeColor="text1"/>
                <w:kern w:val="0"/>
                <w:lang w:bidi="ar"/>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渣油</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Ⅲ</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二甲苯</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第3.3类高闪点易燃液体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Ⅲ</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33535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乙酸甲酯</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第3.2类中闪点易燃液体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Ⅱ</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32126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醋酸</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第8.3类腐蚀品</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Ⅱ</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81601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丁酮</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易燃，具刺激性</w:t>
            </w:r>
            <w:r>
              <w:rPr>
                <w:rFonts w:hint="eastAsia" w:ascii="Times New Roman" w:hAnsi="Times New Roman" w:eastAsiaTheme="minorEastAsia"/>
                <w:color w:val="000000" w:themeColor="text1"/>
                <w14:textFill>
                  <w14:solidFill>
                    <w14:schemeClr w14:val="tx1"/>
                  </w14:solidFill>
                </w14:textFill>
              </w:rPr>
              <w:t>，低毒</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Ⅱ</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32073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11</w:t>
            </w:r>
          </w:p>
        </w:tc>
        <w:tc>
          <w:tcPr>
            <w:tcW w:w="1689"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乙酸仲丁酯</w:t>
            </w:r>
          </w:p>
        </w:tc>
        <w:tc>
          <w:tcPr>
            <w:tcW w:w="273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第3.2类中闪点易燃液体</w:t>
            </w:r>
          </w:p>
        </w:tc>
        <w:tc>
          <w:tcPr>
            <w:tcW w:w="171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w:t>
            </w:r>
          </w:p>
        </w:tc>
        <w:tc>
          <w:tcPr>
            <w:tcW w:w="1285"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Ⅱ</w:t>
            </w:r>
          </w:p>
        </w:tc>
        <w:tc>
          <w:tcPr>
            <w:tcW w:w="98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32130</w:t>
            </w:r>
          </w:p>
        </w:tc>
      </w:tr>
    </w:tbl>
    <w:p>
      <w:pP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注：I类包装：具有高度危险性的物质；II类包装：具有中等危险性的物质；III类包装；具有轻度危险性的物质。</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根据《化学品分类、警示标签和警示性说明安全规范急性毒性》（GB20592-2006），本项目生产和运输过程中涉及到的危险化学品急性毒性类别见表</w:t>
      </w:r>
      <w:r>
        <w:rPr>
          <w:rFonts w:hint="eastAsia" w:ascii="Times New Roman" w:hAnsi="Times New Roman" w:eastAsiaTheme="minorEastAsia"/>
          <w:color w:val="000000" w:themeColor="text1"/>
          <w:sz w:val="24"/>
          <w:szCs w:val="24"/>
          <w14:textFill>
            <w14:solidFill>
              <w14:schemeClr w14:val="tx1"/>
            </w14:solidFill>
          </w14:textFill>
        </w:rPr>
        <w:t>6.8-1</w:t>
      </w:r>
      <w:r>
        <w:rPr>
          <w:rFonts w:hint="eastAsia" w:ascii="Times New Roman" w:hAnsi="Times New Roman" w:eastAsiaTheme="minorEastAsia"/>
          <w:color w:val="000000" w:themeColor="text1"/>
          <w:sz w:val="24"/>
          <w:szCs w:val="24"/>
          <w:lang w:val="en-US" w:eastAsia="zh-CN"/>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6.8-1</w:t>
      </w:r>
      <w:r>
        <w:rPr>
          <w:rFonts w:hint="eastAsia" w:ascii="Times New Roman" w:hAnsi="Times New Roman" w:eastAsiaTheme="minorEastAsia"/>
          <w:b/>
          <w:color w:val="000000" w:themeColor="text1"/>
          <w:sz w:val="24"/>
          <w:szCs w:val="24"/>
          <w:lang w:val="en-US" w:eastAsia="zh-CN"/>
          <w14:textFill>
            <w14:solidFill>
              <w14:schemeClr w14:val="tx1"/>
            </w14:solidFill>
          </w14:textFill>
        </w:rPr>
        <w:t>5</w:t>
      </w:r>
      <w:r>
        <w:rPr>
          <w:rFonts w:ascii="Times New Roman" w:hAnsi="Times New Roman" w:eastAsiaTheme="minorEastAsia"/>
          <w:b/>
          <w:color w:val="000000" w:themeColor="text1"/>
          <w:sz w:val="24"/>
          <w:szCs w:val="24"/>
          <w14:textFill>
            <w14:solidFill>
              <w14:schemeClr w14:val="tx1"/>
            </w14:solidFill>
          </w14:textFill>
        </w:rPr>
        <w:t xml:space="preserve">  本项目涉及危险化学品急性毒性类别一览表</w:t>
      </w:r>
    </w:p>
    <w:tbl>
      <w:tblPr>
        <w:tblStyle w:val="71"/>
        <w:tblW w:w="910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960"/>
        <w:gridCol w:w="2506"/>
        <w:gridCol w:w="3161"/>
        <w:gridCol w:w="8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55" w:type="dxa"/>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编号</w:t>
            </w:r>
          </w:p>
        </w:tc>
        <w:tc>
          <w:tcPr>
            <w:tcW w:w="1960" w:type="dxa"/>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名称</w:t>
            </w:r>
          </w:p>
        </w:tc>
        <w:tc>
          <w:tcPr>
            <w:tcW w:w="2506" w:type="dxa"/>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LD</w:t>
            </w:r>
            <w:r>
              <w:rPr>
                <w:rFonts w:ascii="Times New Roman" w:hAnsi="Times New Roman" w:eastAsiaTheme="minorEastAsia"/>
                <w:b/>
                <w:color w:val="000000" w:themeColor="text1"/>
                <w:vertAlign w:val="subscript"/>
                <w14:textFill>
                  <w14:solidFill>
                    <w14:schemeClr w14:val="tx1"/>
                  </w14:solidFill>
                </w14:textFill>
              </w:rPr>
              <w:t>50</w:t>
            </w:r>
          </w:p>
        </w:tc>
        <w:tc>
          <w:tcPr>
            <w:tcW w:w="3161" w:type="dxa"/>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LC</w:t>
            </w:r>
            <w:r>
              <w:rPr>
                <w:rFonts w:ascii="Times New Roman" w:hAnsi="Times New Roman" w:eastAsiaTheme="minorEastAsia"/>
                <w:b/>
                <w:color w:val="000000" w:themeColor="text1"/>
                <w:vertAlign w:val="subscript"/>
                <w14:textFill>
                  <w14:solidFill>
                    <w14:schemeClr w14:val="tx1"/>
                  </w14:solidFill>
                </w14:textFill>
              </w:rPr>
              <w:t>50</w:t>
            </w:r>
          </w:p>
        </w:tc>
        <w:tc>
          <w:tcPr>
            <w:tcW w:w="818" w:type="dxa"/>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w:t>
            </w:r>
          </w:p>
        </w:tc>
        <w:tc>
          <w:tcPr>
            <w:tcW w:w="1960" w:type="dxa"/>
            <w:tcMar>
              <w:left w:w="0" w:type="dxa"/>
              <w:right w:w="0" w:type="dxa"/>
            </w:tcMar>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柴油</w:t>
            </w:r>
          </w:p>
        </w:tc>
        <w:tc>
          <w:tcPr>
            <w:tcW w:w="2506"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5000</w:t>
            </w:r>
            <w:r>
              <w:rPr>
                <w:rFonts w:ascii="Times New Roman" w:hAnsi="Times New Roman" w:eastAsiaTheme="minorEastAsia"/>
                <w:color w:val="000000" w:themeColor="text1"/>
                <w14:textFill>
                  <w14:solidFill>
                    <w14:schemeClr w14:val="tx1"/>
                  </w14:solidFill>
                </w14:textFill>
              </w:rPr>
              <w:t>mg/kg（大鼠经口）</w:t>
            </w:r>
          </w:p>
        </w:tc>
        <w:tc>
          <w:tcPr>
            <w:tcW w:w="3161"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5000</w:t>
            </w:r>
            <w:r>
              <w:rPr>
                <w:rFonts w:ascii="Times New Roman" w:hAnsi="Times New Roman" w:eastAsiaTheme="minorEastAsia"/>
                <w:color w:val="000000" w:themeColor="text1"/>
                <w14:textFill>
                  <w14:solidFill>
                    <w14:schemeClr w14:val="tx1"/>
                  </w14:solidFill>
                </w14:textFill>
              </w:rPr>
              <w:t>mg/m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，4小时(大鼠吸入)</w:t>
            </w:r>
          </w:p>
        </w:tc>
        <w:tc>
          <w:tcPr>
            <w:tcW w:w="818"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类别5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w:t>
            </w:r>
          </w:p>
        </w:tc>
        <w:tc>
          <w:tcPr>
            <w:tcW w:w="1960" w:type="dxa"/>
            <w:tcMar>
              <w:left w:w="0" w:type="dxa"/>
              <w:right w:w="0" w:type="dxa"/>
            </w:tcMar>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汽油</w:t>
            </w:r>
          </w:p>
        </w:tc>
        <w:tc>
          <w:tcPr>
            <w:tcW w:w="2506"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67000</w:t>
            </w:r>
            <w:r>
              <w:rPr>
                <w:rFonts w:ascii="Times New Roman" w:hAnsi="Times New Roman" w:eastAsiaTheme="minorEastAsia"/>
                <w:color w:val="000000" w:themeColor="text1"/>
                <w14:textFill>
                  <w14:solidFill>
                    <w14:schemeClr w14:val="tx1"/>
                  </w14:solidFill>
                </w14:textFill>
              </w:rPr>
              <w:t>mg/kg（大鼠经口）</w:t>
            </w:r>
          </w:p>
        </w:tc>
        <w:tc>
          <w:tcPr>
            <w:tcW w:w="3161"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103000</w:t>
            </w:r>
            <w:r>
              <w:rPr>
                <w:rFonts w:ascii="Times New Roman" w:hAnsi="Times New Roman" w:eastAsiaTheme="minorEastAsia"/>
                <w:color w:val="000000" w:themeColor="text1"/>
                <w14:textFill>
                  <w14:solidFill>
                    <w14:schemeClr w14:val="tx1"/>
                  </w14:solidFill>
                </w14:textFill>
              </w:rPr>
              <w:t>mg/m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，4小时(大鼠吸入)</w:t>
            </w:r>
          </w:p>
        </w:tc>
        <w:tc>
          <w:tcPr>
            <w:tcW w:w="818" w:type="dxa"/>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类别5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w:t>
            </w:r>
          </w:p>
        </w:tc>
        <w:tc>
          <w:tcPr>
            <w:tcW w:w="1960"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乙酸甲酯</w:t>
            </w:r>
          </w:p>
        </w:tc>
        <w:tc>
          <w:tcPr>
            <w:tcW w:w="2506"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5450</w:t>
            </w:r>
            <w:r>
              <w:rPr>
                <w:rFonts w:ascii="Times New Roman" w:hAnsi="Times New Roman" w:eastAsiaTheme="minorEastAsia"/>
                <w:color w:val="000000" w:themeColor="text1"/>
                <w14:textFill>
                  <w14:solidFill>
                    <w14:schemeClr w14:val="tx1"/>
                  </w14:solidFill>
                </w14:textFill>
              </w:rPr>
              <w:t>mg/kg（大鼠经口）</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3700</w:t>
            </w:r>
            <w:r>
              <w:rPr>
                <w:rFonts w:ascii="Times New Roman" w:hAnsi="Times New Roman" w:eastAsiaTheme="minorEastAsia"/>
                <w:color w:val="000000" w:themeColor="text1"/>
                <w14:textFill>
                  <w14:solidFill>
                    <w14:schemeClr w14:val="tx1"/>
                  </w14:solidFill>
                </w14:textFill>
              </w:rPr>
              <w:t>mg/kg（兔经皮）</w:t>
            </w:r>
          </w:p>
        </w:tc>
        <w:tc>
          <w:tcPr>
            <w:tcW w:w="3161"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w:t>
            </w:r>
          </w:p>
        </w:tc>
        <w:tc>
          <w:tcPr>
            <w:tcW w:w="818"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类别5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w:t>
            </w:r>
          </w:p>
        </w:tc>
        <w:tc>
          <w:tcPr>
            <w:tcW w:w="1960"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醋酸</w:t>
            </w:r>
          </w:p>
        </w:tc>
        <w:tc>
          <w:tcPr>
            <w:tcW w:w="2506"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3530</w:t>
            </w:r>
            <w:r>
              <w:rPr>
                <w:rFonts w:ascii="Times New Roman" w:hAnsi="Times New Roman" w:eastAsiaTheme="minorEastAsia"/>
                <w:color w:val="000000" w:themeColor="text1"/>
                <w14:textFill>
                  <w14:solidFill>
                    <w14:schemeClr w14:val="tx1"/>
                  </w14:solidFill>
                </w14:textFill>
              </w:rPr>
              <w:t>mg/kg（大鼠经口）</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1060</w:t>
            </w:r>
            <w:r>
              <w:rPr>
                <w:rFonts w:ascii="Times New Roman" w:hAnsi="Times New Roman" w:eastAsiaTheme="minorEastAsia"/>
                <w:color w:val="000000" w:themeColor="text1"/>
                <w14:textFill>
                  <w14:solidFill>
                    <w14:schemeClr w14:val="tx1"/>
                  </w14:solidFill>
                </w14:textFill>
              </w:rPr>
              <w:t>mg/kg（兔经皮）</w:t>
            </w:r>
          </w:p>
        </w:tc>
        <w:tc>
          <w:tcPr>
            <w:tcW w:w="3161"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13791</w:t>
            </w:r>
            <w:r>
              <w:rPr>
                <w:rFonts w:ascii="Times New Roman" w:hAnsi="Times New Roman" w:eastAsiaTheme="minorEastAsia"/>
                <w:color w:val="000000" w:themeColor="text1"/>
                <w14:textFill>
                  <w14:solidFill>
                    <w14:schemeClr w14:val="tx1"/>
                  </w14:solidFill>
                </w14:textFill>
              </w:rPr>
              <w:t>mg/m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1</w:t>
            </w:r>
            <w:r>
              <w:rPr>
                <w:rFonts w:ascii="Times New Roman" w:hAnsi="Times New Roman" w:eastAsiaTheme="minorEastAsia"/>
                <w:color w:val="000000" w:themeColor="text1"/>
                <w14:textFill>
                  <w14:solidFill>
                    <w14:schemeClr w14:val="tx1"/>
                  </w14:solidFill>
                </w14:textFill>
              </w:rPr>
              <w:t>小时(</w:t>
            </w:r>
            <w:r>
              <w:rPr>
                <w:rFonts w:hint="eastAsia" w:ascii="Times New Roman" w:hAnsi="Times New Roman" w:eastAsiaTheme="minorEastAsia"/>
                <w:color w:val="000000" w:themeColor="text1"/>
                <w14:textFill>
                  <w14:solidFill>
                    <w14:schemeClr w14:val="tx1"/>
                  </w14:solidFill>
                </w14:textFill>
              </w:rPr>
              <w:t>小</w:t>
            </w:r>
            <w:r>
              <w:rPr>
                <w:rFonts w:ascii="Times New Roman" w:hAnsi="Times New Roman" w:eastAsiaTheme="minorEastAsia"/>
                <w:color w:val="000000" w:themeColor="text1"/>
                <w14:textFill>
                  <w14:solidFill>
                    <w14:schemeClr w14:val="tx1"/>
                  </w14:solidFill>
                </w14:textFill>
              </w:rPr>
              <w:t>鼠吸入)</w:t>
            </w:r>
          </w:p>
        </w:tc>
        <w:tc>
          <w:tcPr>
            <w:tcW w:w="818"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类别5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55"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5</w:t>
            </w:r>
          </w:p>
        </w:tc>
        <w:tc>
          <w:tcPr>
            <w:tcW w:w="1960" w:type="dxa"/>
            <w:vAlign w:val="center"/>
          </w:tcPr>
          <w:p>
            <w:pPr>
              <w:widowControl/>
              <w:jc w:val="center"/>
              <w:textAlignment w:val="center"/>
              <w:rPr>
                <w:rFonts w:ascii="Times New Roman" w:hAnsi="Times New Roman" w:eastAsiaTheme="minorEastAsia"/>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丁酮</w:t>
            </w:r>
          </w:p>
        </w:tc>
        <w:tc>
          <w:tcPr>
            <w:tcW w:w="2506"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3400</w:t>
            </w:r>
            <w:r>
              <w:rPr>
                <w:rFonts w:ascii="Times New Roman" w:hAnsi="Times New Roman" w:eastAsiaTheme="minorEastAsia"/>
                <w:color w:val="000000" w:themeColor="text1"/>
                <w14:textFill>
                  <w14:solidFill>
                    <w14:schemeClr w14:val="tx1"/>
                  </w14:solidFill>
                </w14:textFill>
              </w:rPr>
              <w:t>mg/kg（大鼠经口）</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6480</w:t>
            </w:r>
            <w:r>
              <w:rPr>
                <w:rFonts w:ascii="Times New Roman" w:hAnsi="Times New Roman" w:eastAsiaTheme="minorEastAsia"/>
                <w:color w:val="000000" w:themeColor="text1"/>
                <w14:textFill>
                  <w14:solidFill>
                    <w14:schemeClr w14:val="tx1"/>
                  </w14:solidFill>
                </w14:textFill>
              </w:rPr>
              <w:t>mg/kg（兔经皮）</w:t>
            </w:r>
          </w:p>
        </w:tc>
        <w:tc>
          <w:tcPr>
            <w:tcW w:w="3161"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23520</w:t>
            </w:r>
            <w:r>
              <w:rPr>
                <w:rFonts w:ascii="Times New Roman" w:hAnsi="Times New Roman" w:eastAsiaTheme="minorEastAsia"/>
                <w:color w:val="000000" w:themeColor="text1"/>
                <w14:textFill>
                  <w14:solidFill>
                    <w14:schemeClr w14:val="tx1"/>
                  </w14:solidFill>
                </w14:textFill>
              </w:rPr>
              <w:t>mg/m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8</w:t>
            </w:r>
            <w:r>
              <w:rPr>
                <w:rFonts w:ascii="Times New Roman" w:hAnsi="Times New Roman" w:eastAsiaTheme="minorEastAsia"/>
                <w:color w:val="000000" w:themeColor="text1"/>
                <w14:textFill>
                  <w14:solidFill>
                    <w14:schemeClr w14:val="tx1"/>
                  </w14:solidFill>
                </w14:textFill>
              </w:rPr>
              <w:t>小时(大鼠吸入)</w:t>
            </w:r>
          </w:p>
        </w:tc>
        <w:tc>
          <w:tcPr>
            <w:tcW w:w="818" w:type="dxa"/>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类别5</w:t>
            </w:r>
          </w:p>
        </w:tc>
      </w:tr>
    </w:tbl>
    <w:p>
      <w:pP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注：急性毒性数据来源于《危险化学品安全技术全书》（ISBN7-5025-1628-X）。</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对照《建设项目环境风险评价技术导则》（HJ169-2018）附录A表1物质危险性标准和《化学品分类、警示标签和警示性说明安全规范急性毒性》（GB20592-2006），拟建项目化学品不属于以上标准范围内的毒性物质，涉及到的风险物质主要为易燃性物质。</w:t>
      </w:r>
    </w:p>
    <w:p>
      <w:pPr>
        <w:pStyle w:val="5"/>
        <w:rPr>
          <w:rFonts w:hint="eastAsia" w:eastAsiaTheme="minorEastAsia"/>
          <w:lang w:val="en-US" w:eastAsia="zh-CN"/>
        </w:rPr>
      </w:pPr>
      <w:r>
        <w:rPr>
          <w:rFonts w:hint="eastAsia" w:eastAsiaTheme="minorEastAsia"/>
          <w:lang w:val="en-US" w:eastAsia="zh-CN"/>
        </w:rPr>
        <w:t>生产系统危险性识别</w:t>
      </w:r>
    </w:p>
    <w:p>
      <w:pPr>
        <w:adjustRightInd w:val="0"/>
        <w:snapToGrid w:val="0"/>
        <w:spacing w:line="360" w:lineRule="auto"/>
        <w:ind w:firstLine="480" w:firstLineChars="200"/>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码头主要承担货物装卸任务，不涉及其他生产操作工序和储罐区。</w:t>
      </w:r>
    </w:p>
    <w:p>
      <w:pPr>
        <w:pStyle w:val="5"/>
        <w:rPr>
          <w:rFonts w:eastAsiaTheme="minorEastAsia"/>
        </w:rPr>
      </w:pPr>
      <w:r>
        <w:rPr>
          <w:rFonts w:eastAsiaTheme="minorEastAsia"/>
        </w:rPr>
        <w:t>风险类型识别</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本项目可能产生的主要风险见表</w:t>
      </w:r>
      <w:r>
        <w:rPr>
          <w:rFonts w:hint="eastAsia" w:ascii="Times New Roman" w:hAnsi="Times New Roman" w:eastAsiaTheme="minorEastAsia"/>
          <w:color w:val="000000" w:themeColor="text1"/>
          <w:sz w:val="24"/>
          <w:szCs w:val="24"/>
          <w14:textFill>
            <w14:solidFill>
              <w14:schemeClr w14:val="tx1"/>
            </w14:solidFill>
          </w14:textFill>
        </w:rPr>
        <w:t>6.8-1</w:t>
      </w:r>
      <w:r>
        <w:rPr>
          <w:rFonts w:hint="eastAsia" w:ascii="Times New Roman" w:hAnsi="Times New Roman" w:eastAsiaTheme="minorEastAsia"/>
          <w:color w:val="000000" w:themeColor="text1"/>
          <w:sz w:val="24"/>
          <w:szCs w:val="24"/>
          <w:lang w:val="en-US" w:eastAsia="zh-CN"/>
          <w14:textFill>
            <w14:solidFill>
              <w14:schemeClr w14:val="tx1"/>
            </w14:solidFill>
          </w14:textFill>
        </w:rPr>
        <w:t>6</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6.8-1</w:t>
      </w:r>
      <w:r>
        <w:rPr>
          <w:rFonts w:hint="eastAsia" w:ascii="Times New Roman" w:hAnsi="Times New Roman" w:eastAsiaTheme="minorEastAsia"/>
          <w:b/>
          <w:color w:val="000000" w:themeColor="text1"/>
          <w:sz w:val="24"/>
          <w:szCs w:val="24"/>
          <w:lang w:val="en-US" w:eastAsia="zh-CN"/>
          <w14:textFill>
            <w14:solidFill>
              <w14:schemeClr w14:val="tx1"/>
            </w14:solidFill>
          </w14:textFill>
        </w:rPr>
        <w:t>6</w:t>
      </w:r>
      <w:r>
        <w:rPr>
          <w:rFonts w:ascii="Times New Roman" w:hAnsi="Times New Roman" w:eastAsiaTheme="minorEastAsia"/>
          <w:b/>
          <w:color w:val="000000" w:themeColor="text1"/>
          <w:sz w:val="24"/>
          <w:szCs w:val="24"/>
          <w14:textFill>
            <w14:solidFill>
              <w14:schemeClr w14:val="tx1"/>
            </w14:solidFill>
          </w14:textFill>
        </w:rPr>
        <w:t xml:space="preserve">  本项目风险类型一览表</w:t>
      </w:r>
    </w:p>
    <w:tbl>
      <w:tblPr>
        <w:tblStyle w:val="71"/>
        <w:tblW w:w="893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56"/>
        <w:gridCol w:w="924"/>
        <w:gridCol w:w="1056"/>
        <w:gridCol w:w="2496"/>
        <w:gridCol w:w="1332"/>
        <w:gridCol w:w="1320"/>
        <w:gridCol w:w="1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456"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bookmarkStart w:id="151" w:name="_Toc263851341"/>
            <w:bookmarkStart w:id="152" w:name="_Toc217208125"/>
            <w:bookmarkStart w:id="153" w:name="_Toc353885898"/>
            <w:bookmarkStart w:id="154" w:name="_Toc320800900"/>
            <w:bookmarkStart w:id="155" w:name="_Toc246093544"/>
            <w:bookmarkStart w:id="156" w:name="_Toc247186195"/>
            <w:bookmarkStart w:id="157" w:name="_Toc283374725"/>
            <w:r>
              <w:rPr>
                <w:rFonts w:ascii="Times New Roman" w:hAnsi="Times New Roman" w:eastAsiaTheme="minorEastAsia"/>
                <w:b/>
                <w:color w:val="000000" w:themeColor="text1"/>
                <w14:textFill>
                  <w14:solidFill>
                    <w14:schemeClr w14:val="tx1"/>
                  </w14:solidFill>
                </w14:textFill>
              </w:rPr>
              <w:t>序号</w:t>
            </w:r>
          </w:p>
        </w:tc>
        <w:tc>
          <w:tcPr>
            <w:tcW w:w="924" w:type="dxa"/>
            <w:vAlign w:val="center"/>
          </w:tcPr>
          <w:p>
            <w:pPr>
              <w:adjustRightInd w:val="0"/>
              <w:snapToGrid w:val="0"/>
              <w:jc w:val="center"/>
              <w:rPr>
                <w:rFonts w:hint="eastAsia" w:ascii="Times New Roman" w:hAnsi="Times New Roman" w:eastAsiaTheme="minorEastAsia"/>
                <w:b/>
                <w:color w:val="000000" w:themeColor="text1"/>
                <w:lang w:eastAsia="zh-CN"/>
                <w14:textFill>
                  <w14:solidFill>
                    <w14:schemeClr w14:val="tx1"/>
                  </w14:solidFill>
                </w14:textFill>
              </w:rPr>
            </w:pPr>
            <w:r>
              <w:rPr>
                <w:rFonts w:hint="eastAsia" w:ascii="Times New Roman" w:hAnsi="Times New Roman" w:eastAsiaTheme="minorEastAsia"/>
                <w:b/>
                <w:color w:val="000000" w:themeColor="text1"/>
                <w:lang w:val="en-US" w:eastAsia="zh-CN"/>
                <w14:textFill>
                  <w14:solidFill>
                    <w14:schemeClr w14:val="tx1"/>
                  </w14:solidFill>
                </w14:textFill>
              </w:rPr>
              <w:t>危险单元</w:t>
            </w:r>
          </w:p>
        </w:tc>
        <w:tc>
          <w:tcPr>
            <w:tcW w:w="1056" w:type="dxa"/>
            <w:vAlign w:val="center"/>
          </w:tcPr>
          <w:p>
            <w:pPr>
              <w:adjustRightInd w:val="0"/>
              <w:snapToGrid w:val="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hint="eastAsia" w:ascii="Times New Roman" w:hAnsi="Times New Roman" w:eastAsiaTheme="minorEastAsia"/>
                <w:b/>
                <w:color w:val="000000" w:themeColor="text1"/>
                <w:lang w:val="en-US" w:eastAsia="zh-CN"/>
                <w14:textFill>
                  <w14:solidFill>
                    <w14:schemeClr w14:val="tx1"/>
                  </w14:solidFill>
                </w14:textFill>
              </w:rPr>
              <w:t>风险源</w:t>
            </w:r>
          </w:p>
        </w:tc>
        <w:tc>
          <w:tcPr>
            <w:tcW w:w="2496" w:type="dxa"/>
            <w:vAlign w:val="center"/>
          </w:tcPr>
          <w:p>
            <w:pPr>
              <w:adjustRightInd w:val="0"/>
              <w:snapToGrid w:val="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hint="eastAsia" w:ascii="Times New Roman" w:hAnsi="Times New Roman" w:eastAsiaTheme="minorEastAsia"/>
                <w:b/>
                <w:color w:val="000000" w:themeColor="text1"/>
                <w:lang w:val="en-US" w:eastAsia="zh-CN"/>
                <w14:textFill>
                  <w14:solidFill>
                    <w14:schemeClr w14:val="tx1"/>
                  </w14:solidFill>
                </w14:textFill>
              </w:rPr>
              <w:t>主要危险物质</w:t>
            </w:r>
          </w:p>
        </w:tc>
        <w:tc>
          <w:tcPr>
            <w:tcW w:w="1332" w:type="dxa"/>
            <w:vAlign w:val="center"/>
          </w:tcPr>
          <w:p>
            <w:pPr>
              <w:adjustRightInd w:val="0"/>
              <w:snapToGrid w:val="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hint="eastAsia" w:ascii="Times New Roman" w:hAnsi="Times New Roman" w:eastAsiaTheme="minorEastAsia"/>
                <w:b/>
                <w:color w:val="000000" w:themeColor="text1"/>
                <w:lang w:val="en-US" w:eastAsia="zh-CN"/>
                <w14:textFill>
                  <w14:solidFill>
                    <w14:schemeClr w14:val="tx1"/>
                  </w14:solidFill>
                </w14:textFill>
              </w:rPr>
              <w:t>环境风险类型</w:t>
            </w:r>
          </w:p>
        </w:tc>
        <w:tc>
          <w:tcPr>
            <w:tcW w:w="1320" w:type="dxa"/>
            <w:vAlign w:val="center"/>
          </w:tcPr>
          <w:p>
            <w:pPr>
              <w:adjustRightInd w:val="0"/>
              <w:snapToGrid w:val="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hint="eastAsia" w:ascii="Times New Roman" w:hAnsi="Times New Roman" w:eastAsiaTheme="minorEastAsia"/>
                <w:b/>
                <w:color w:val="000000" w:themeColor="text1"/>
                <w:lang w:val="en-US" w:eastAsia="zh-CN"/>
                <w14:textFill>
                  <w14:solidFill>
                    <w14:schemeClr w14:val="tx1"/>
                  </w14:solidFill>
                </w14:textFill>
              </w:rPr>
              <w:t>环境影响途径</w:t>
            </w:r>
          </w:p>
        </w:tc>
        <w:tc>
          <w:tcPr>
            <w:tcW w:w="1353" w:type="dxa"/>
            <w:vAlign w:val="center"/>
          </w:tcPr>
          <w:p>
            <w:pPr>
              <w:adjustRightInd w:val="0"/>
              <w:snapToGrid w:val="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hint="eastAsia" w:ascii="Times New Roman" w:hAnsi="Times New Roman" w:eastAsiaTheme="minorEastAsia"/>
                <w:b/>
                <w:color w:val="000000" w:themeColor="text1"/>
                <w:lang w:val="en-US" w:eastAsia="zh-CN"/>
                <w14:textFill>
                  <w14:solidFill>
                    <w14:schemeClr w14:val="tx1"/>
                  </w14:solidFill>
                </w14:textFill>
              </w:rPr>
              <w:t>可能影响环境敏感目标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5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924" w:type="dxa"/>
            <w:vAlign w:val="center"/>
          </w:tcPr>
          <w:p>
            <w:pPr>
              <w:adjustRightInd w:val="0"/>
              <w:snapToGrid w:val="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油品化工泊位</w:t>
            </w:r>
          </w:p>
        </w:tc>
        <w:tc>
          <w:tcPr>
            <w:tcW w:w="1056" w:type="dxa"/>
            <w:vAlign w:val="center"/>
          </w:tcPr>
          <w:p>
            <w:pPr>
              <w:adjustRightInd w:val="0"/>
              <w:snapToGrid w:val="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装卸工艺</w:t>
            </w:r>
          </w:p>
        </w:tc>
        <w:tc>
          <w:tcPr>
            <w:tcW w:w="2496" w:type="dxa"/>
            <w:vAlign w:val="center"/>
          </w:tcPr>
          <w:p>
            <w:pPr>
              <w:adjustRightInd w:val="0"/>
              <w:snapToGrid w:val="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柴油、汽油、乙烯石脑油、二甲苯、乙酸甲酯、醋酸、丁酮、乙酸仲丁酯等</w:t>
            </w:r>
          </w:p>
        </w:tc>
        <w:tc>
          <w:tcPr>
            <w:tcW w:w="1332" w:type="dxa"/>
            <w:vAlign w:val="center"/>
          </w:tcPr>
          <w:p>
            <w:pPr>
              <w:adjustRightInd w:val="0"/>
              <w:snapToGrid w:val="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泄漏、中毒</w:t>
            </w:r>
          </w:p>
        </w:tc>
        <w:tc>
          <w:tcPr>
            <w:tcW w:w="1320" w:type="dxa"/>
            <w:vAlign w:val="center"/>
          </w:tcPr>
          <w:p>
            <w:pPr>
              <w:adjustRightInd w:val="0"/>
              <w:snapToGrid w:val="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大气、地表水</w:t>
            </w:r>
          </w:p>
        </w:tc>
        <w:tc>
          <w:tcPr>
            <w:tcW w:w="1353" w:type="dxa"/>
            <w:vAlign w:val="center"/>
          </w:tcPr>
          <w:p>
            <w:pPr>
              <w:adjustRightInd w:val="0"/>
              <w:snapToGrid w:val="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居民点、长江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56" w:type="dxa"/>
            <w:vAlign w:val="center"/>
          </w:tcPr>
          <w:p>
            <w:pPr>
              <w:adjustRightInd w:val="0"/>
              <w:snapToGrid w:val="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2</w:t>
            </w:r>
          </w:p>
        </w:tc>
        <w:tc>
          <w:tcPr>
            <w:tcW w:w="924" w:type="dxa"/>
            <w:vAlign w:val="center"/>
          </w:tcPr>
          <w:p>
            <w:pPr>
              <w:adjustRightInd w:val="0"/>
              <w:snapToGrid w:val="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码头水域</w:t>
            </w:r>
          </w:p>
        </w:tc>
        <w:tc>
          <w:tcPr>
            <w:tcW w:w="1056" w:type="dxa"/>
            <w:vAlign w:val="center"/>
          </w:tcPr>
          <w:p>
            <w:pPr>
              <w:adjustRightInd w:val="0"/>
              <w:snapToGrid w:val="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运输船</w:t>
            </w:r>
          </w:p>
        </w:tc>
        <w:tc>
          <w:tcPr>
            <w:tcW w:w="2496" w:type="dxa"/>
            <w:vAlign w:val="center"/>
          </w:tcPr>
          <w:p>
            <w:pPr>
              <w:adjustRightInd w:val="0"/>
              <w:snapToGrid w:val="0"/>
              <w:jc w:val="center"/>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柴油、汽油等</w:t>
            </w:r>
          </w:p>
        </w:tc>
        <w:tc>
          <w:tcPr>
            <w:tcW w:w="1332" w:type="dxa"/>
            <w:vAlign w:val="center"/>
          </w:tcPr>
          <w:p>
            <w:pPr>
              <w:adjustRightInd w:val="0"/>
              <w:snapToGrid w:val="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泄漏</w:t>
            </w:r>
          </w:p>
        </w:tc>
        <w:tc>
          <w:tcPr>
            <w:tcW w:w="1320" w:type="dxa"/>
            <w:vAlign w:val="center"/>
          </w:tcPr>
          <w:p>
            <w:pPr>
              <w:adjustRightInd w:val="0"/>
              <w:snapToGrid w:val="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地表水</w:t>
            </w:r>
          </w:p>
        </w:tc>
        <w:tc>
          <w:tcPr>
            <w:tcW w:w="1353" w:type="dxa"/>
            <w:vAlign w:val="center"/>
          </w:tcPr>
          <w:p>
            <w:pPr>
              <w:adjustRightInd w:val="0"/>
              <w:snapToGrid w:val="0"/>
              <w:jc w:val="center"/>
              <w:rPr>
                <w:rFonts w:hint="eastAsia"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eastAsiaTheme="minorEastAsia"/>
                <w:color w:val="000000" w:themeColor="text1"/>
                <w:lang w:val="en-US" w:eastAsia="zh-CN"/>
                <w14:textFill>
                  <w14:solidFill>
                    <w14:schemeClr w14:val="tx1"/>
                  </w14:solidFill>
                </w14:textFill>
              </w:rPr>
              <w:t>长江</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pStyle w:val="4"/>
        <w:rPr>
          <w:rFonts w:eastAsiaTheme="minorEastAsia"/>
          <w:color w:val="000000" w:themeColor="text1"/>
          <w14:textFill>
            <w14:solidFill>
              <w14:schemeClr w14:val="tx1"/>
            </w14:solidFill>
          </w14:textFill>
        </w:rPr>
      </w:pPr>
      <w:bookmarkStart w:id="158" w:name="_Toc23429149"/>
      <w:r>
        <w:rPr>
          <w:rFonts w:eastAsiaTheme="minorEastAsia"/>
          <w:color w:val="000000" w:themeColor="text1"/>
          <w14:textFill>
            <w14:solidFill>
              <w14:schemeClr w14:val="tx1"/>
            </w14:solidFill>
          </w14:textFill>
        </w:rPr>
        <w:t>事故成因调查分析</w:t>
      </w:r>
      <w:bookmarkEnd w:id="158"/>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物料泄漏事故常常属于一般性的事故，碰船溢油事故原因主要包括：</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⑴ 违章航行、操作不当；</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⑵ 通航环境复杂和航道条件变化；</w:t>
      </w:r>
    </w:p>
    <w:p>
      <w:pPr>
        <w:adjustRightInd w:val="0"/>
        <w:snapToGrid w:val="0"/>
        <w:spacing w:line="360" w:lineRule="auto"/>
        <w:ind w:firstLine="480" w:firstLineChars="20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⑶ 船舶所有人、经营人安全管理不到位，投入不足，船舶技术状况较差船龄较长、船况较差。</w:t>
      </w:r>
    </w:p>
    <w:bookmarkEnd w:id="151"/>
    <w:bookmarkEnd w:id="152"/>
    <w:bookmarkEnd w:id="153"/>
    <w:bookmarkEnd w:id="154"/>
    <w:bookmarkEnd w:id="155"/>
    <w:bookmarkEnd w:id="156"/>
    <w:bookmarkEnd w:id="157"/>
    <w:p>
      <w:pPr>
        <w:pStyle w:val="4"/>
        <w:rPr>
          <w:rFonts w:eastAsiaTheme="minorEastAsia"/>
          <w:color w:val="000000" w:themeColor="text1"/>
          <w14:textFill>
            <w14:solidFill>
              <w14:schemeClr w14:val="tx1"/>
            </w14:solidFill>
          </w14:textFill>
        </w:rPr>
      </w:pPr>
      <w:bookmarkStart w:id="159" w:name="_Toc283374728"/>
      <w:bookmarkStart w:id="160" w:name="_Toc320800901"/>
      <w:bookmarkStart w:id="161" w:name="_Toc353885899"/>
      <w:bookmarkStart w:id="162" w:name="_Toc23429151"/>
      <w:bookmarkStart w:id="163" w:name="_Toc491031786"/>
      <w:r>
        <w:rPr>
          <w:rFonts w:eastAsiaTheme="minorEastAsia"/>
          <w:color w:val="000000" w:themeColor="text1"/>
          <w14:textFill>
            <w14:solidFill>
              <w14:schemeClr w14:val="tx1"/>
            </w14:solidFill>
          </w14:textFill>
        </w:rPr>
        <w:t>事故概率及源项</w:t>
      </w:r>
      <w:bookmarkEnd w:id="159"/>
      <w:bookmarkEnd w:id="160"/>
      <w:r>
        <w:rPr>
          <w:rFonts w:eastAsiaTheme="minorEastAsia"/>
          <w:color w:val="000000" w:themeColor="text1"/>
          <w14:textFill>
            <w14:solidFill>
              <w14:schemeClr w14:val="tx1"/>
            </w14:solidFill>
          </w14:textFill>
        </w:rPr>
        <w:t>后果计算</w:t>
      </w:r>
      <w:bookmarkEnd w:id="161"/>
      <w:bookmarkEnd w:id="162"/>
      <w:bookmarkEnd w:id="163"/>
    </w:p>
    <w:p>
      <w:pPr>
        <w:pStyle w:val="5"/>
        <w:rPr>
          <w:rFonts w:eastAsiaTheme="minorEastAsia"/>
        </w:rPr>
      </w:pPr>
      <w:r>
        <w:rPr>
          <w:rFonts w:eastAsiaTheme="minorEastAsia"/>
        </w:rPr>
        <w:t>事故概率</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1、我国内河省份（直辖市）船舶事故统计</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据统计，1973~2003年，中国沿海、长江平均每年发生500多起溢油事故，发生溢油量在50t以上的重大船舶污染事故71起（平均每年发生2起），其中，长江平均每年发生船舶污染事故17起。2004年全国各内河省份（直辖市）船舶进出港艘次和各类船舶事故数统计资料见表</w:t>
      </w:r>
      <w:r>
        <w:rPr>
          <w:rFonts w:hint="eastAsia" w:ascii="Times New Roman" w:hAnsi="Times New Roman" w:eastAsiaTheme="minorEastAsia"/>
          <w:color w:val="000000" w:themeColor="text1"/>
          <w:sz w:val="24"/>
          <w:szCs w:val="24"/>
          <w14:textFill>
            <w14:solidFill>
              <w14:schemeClr w14:val="tx1"/>
            </w14:solidFill>
          </w14:textFill>
        </w:rPr>
        <w:t>6.8-1</w:t>
      </w:r>
      <w:r>
        <w:rPr>
          <w:rFonts w:hint="eastAsia" w:ascii="Times New Roman" w:hAnsi="Times New Roman" w:eastAsiaTheme="minorEastAsia"/>
          <w:color w:val="000000" w:themeColor="text1"/>
          <w:sz w:val="24"/>
          <w:szCs w:val="24"/>
          <w:lang w:val="en-US" w:eastAsia="zh-CN"/>
          <w14:textFill>
            <w14:solidFill>
              <w14:schemeClr w14:val="tx1"/>
            </w14:solidFill>
          </w14:textFill>
        </w:rPr>
        <w:t>7</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6.8-1</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ascii="Times New Roman" w:hAnsi="Times New Roman" w:eastAsiaTheme="minorEastAsia"/>
          <w:b/>
          <w:color w:val="000000" w:themeColor="text1"/>
          <w:sz w:val="24"/>
          <w:szCs w:val="24"/>
          <w14:textFill>
            <w14:solidFill>
              <w14:schemeClr w14:val="tx1"/>
            </w14:solidFill>
          </w14:textFill>
        </w:rPr>
        <w:t xml:space="preserve">  2004年全国各内河省份（直辖市）船舶进出港艘次、事故数统计</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23"/>
        <w:gridCol w:w="1627"/>
        <w:gridCol w:w="1017"/>
        <w:gridCol w:w="861"/>
        <w:gridCol w:w="861"/>
        <w:gridCol w:w="814"/>
        <w:gridCol w:w="861"/>
        <w:gridCol w:w="814"/>
        <w:gridCol w:w="863"/>
        <w:gridCol w:w="8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1627" w:type="dxa"/>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地区</w:t>
            </w:r>
          </w:p>
        </w:tc>
        <w:tc>
          <w:tcPr>
            <w:tcW w:w="1017" w:type="dxa"/>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内河船舶进出港艘次</w:t>
            </w:r>
          </w:p>
        </w:tc>
        <w:tc>
          <w:tcPr>
            <w:tcW w:w="5074" w:type="dxa"/>
            <w:gridSpan w:val="6"/>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统计事故数</w:t>
            </w:r>
          </w:p>
        </w:tc>
        <w:tc>
          <w:tcPr>
            <w:tcW w:w="859" w:type="dxa"/>
            <w:vMerge w:val="restar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经济损失（万元）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1627" w:type="dxa"/>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1017" w:type="dxa"/>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8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事故总数</w:t>
            </w:r>
          </w:p>
        </w:tc>
        <w:tc>
          <w:tcPr>
            <w:tcW w:w="8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重大事故</w:t>
            </w:r>
          </w:p>
        </w:tc>
        <w:tc>
          <w:tcPr>
            <w:tcW w:w="814"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大事故</w:t>
            </w:r>
          </w:p>
        </w:tc>
        <w:tc>
          <w:tcPr>
            <w:tcW w:w="8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一般事故</w:t>
            </w:r>
          </w:p>
        </w:tc>
        <w:tc>
          <w:tcPr>
            <w:tcW w:w="814"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沉船</w:t>
            </w:r>
          </w:p>
        </w:tc>
        <w:tc>
          <w:tcPr>
            <w:tcW w:w="863"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死亡人数</w:t>
            </w:r>
          </w:p>
        </w:tc>
        <w:tc>
          <w:tcPr>
            <w:tcW w:w="859" w:type="dxa"/>
            <w:vMerge w:val="continue"/>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62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长江（湖北、重庆）</w:t>
            </w:r>
          </w:p>
        </w:tc>
        <w:tc>
          <w:tcPr>
            <w:tcW w:w="101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200043</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72</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w:t>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49</w:t>
            </w:r>
          </w:p>
        </w:tc>
        <w:tc>
          <w:tcPr>
            <w:tcW w:w="86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c>
          <w:tcPr>
            <w:tcW w:w="85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62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江苏</w:t>
            </w:r>
          </w:p>
        </w:tc>
        <w:tc>
          <w:tcPr>
            <w:tcW w:w="101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551601</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58</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40</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w:t>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49</w:t>
            </w:r>
          </w:p>
        </w:tc>
        <w:tc>
          <w:tcPr>
            <w:tcW w:w="86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w:t>
            </w:r>
          </w:p>
        </w:tc>
        <w:tc>
          <w:tcPr>
            <w:tcW w:w="85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4785.35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162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w:t>
            </w:r>
          </w:p>
        </w:tc>
        <w:tc>
          <w:tcPr>
            <w:tcW w:w="101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503733</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w:t>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32</w:t>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w:t>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66</w:t>
            </w:r>
          </w:p>
        </w:tc>
        <w:tc>
          <w:tcPr>
            <w:tcW w:w="86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64</w:t>
            </w:r>
          </w:p>
        </w:tc>
        <w:tc>
          <w:tcPr>
            <w:tcW w:w="85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10586.9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150" w:type="dxa"/>
            <w:gridSpan w:val="2"/>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合计</w:t>
            </w:r>
          </w:p>
        </w:tc>
        <w:tc>
          <w:tcPr>
            <w:tcW w:w="101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1255377</w:t>
            </w:r>
            <w:r>
              <w:rPr>
                <w:rFonts w:ascii="Times New Roman" w:hAnsi="Times New Roman" w:eastAsiaTheme="minorEastAsia"/>
                <w:color w:val="000000" w:themeColor="text1"/>
                <w14:textFill>
                  <w14:solidFill>
                    <w14:schemeClr w14:val="tx1"/>
                  </w14:solidFill>
                </w14:textFill>
              </w:rPr>
              <w:fldChar w:fldCharType="end"/>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197</w:t>
            </w:r>
            <w:r>
              <w:rPr>
                <w:rFonts w:ascii="Times New Roman" w:hAnsi="Times New Roman" w:eastAsiaTheme="minorEastAsia"/>
                <w:color w:val="000000" w:themeColor="text1"/>
                <w14:textFill>
                  <w14:solidFill>
                    <w14:schemeClr w14:val="tx1"/>
                  </w14:solidFill>
                </w14:textFill>
              </w:rPr>
              <w:fldChar w:fldCharType="end"/>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28</w:t>
            </w:r>
            <w:r>
              <w:rPr>
                <w:rFonts w:ascii="Times New Roman" w:hAnsi="Times New Roman" w:eastAsiaTheme="minorEastAsia"/>
                <w:color w:val="000000" w:themeColor="text1"/>
                <w14:textFill>
                  <w14:solidFill>
                    <w14:schemeClr w14:val="tx1"/>
                  </w14:solidFill>
                </w14:textFill>
              </w:rPr>
              <w:fldChar w:fldCharType="end"/>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113</w:t>
            </w:r>
            <w:r>
              <w:rPr>
                <w:rFonts w:ascii="Times New Roman" w:hAnsi="Times New Roman" w:eastAsiaTheme="minorEastAsia"/>
                <w:color w:val="000000" w:themeColor="text1"/>
                <w14:textFill>
                  <w14:solidFill>
                    <w14:schemeClr w14:val="tx1"/>
                  </w14:solidFill>
                </w14:textFill>
              </w:rPr>
              <w:fldChar w:fldCharType="end"/>
            </w:r>
          </w:p>
        </w:tc>
        <w:tc>
          <w:tcPr>
            <w:tcW w:w="8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56</w:t>
            </w:r>
            <w:r>
              <w:rPr>
                <w:rFonts w:ascii="Times New Roman" w:hAnsi="Times New Roman" w:eastAsiaTheme="minorEastAsia"/>
                <w:color w:val="000000" w:themeColor="text1"/>
                <w14:textFill>
                  <w14:solidFill>
                    <w14:schemeClr w14:val="tx1"/>
                  </w14:solidFill>
                </w14:textFill>
              </w:rPr>
              <w:fldChar w:fldCharType="end"/>
            </w:r>
          </w:p>
        </w:tc>
        <w:tc>
          <w:tcPr>
            <w:tcW w:w="814"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164</w:t>
            </w:r>
            <w:r>
              <w:rPr>
                <w:rFonts w:ascii="Times New Roman" w:hAnsi="Times New Roman" w:eastAsiaTheme="minorEastAsia"/>
                <w:color w:val="000000" w:themeColor="text1"/>
                <w14:textFill>
                  <w14:solidFill>
                    <w14:schemeClr w14:val="tx1"/>
                  </w14:solidFill>
                </w14:textFill>
              </w:rPr>
              <w:fldChar w:fldCharType="end"/>
            </w:r>
          </w:p>
        </w:tc>
        <w:tc>
          <w:tcPr>
            <w:tcW w:w="863"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184</w:t>
            </w:r>
            <w:r>
              <w:rPr>
                <w:rFonts w:ascii="Times New Roman" w:hAnsi="Times New Roman" w:eastAsiaTheme="minorEastAsia"/>
                <w:color w:val="000000" w:themeColor="text1"/>
                <w14:textFill>
                  <w14:solidFill>
                    <w14:schemeClr w14:val="tx1"/>
                  </w14:solidFill>
                </w14:textFill>
              </w:rPr>
              <w:fldChar w:fldCharType="end"/>
            </w:r>
          </w:p>
        </w:tc>
        <w:tc>
          <w:tcPr>
            <w:tcW w:w="85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17906.25</w:t>
            </w:r>
            <w:r>
              <w:rPr>
                <w:rFonts w:ascii="Times New Roman" w:hAnsi="Times New Roman" w:eastAsiaTheme="minorEastAsia"/>
                <w:color w:val="000000" w:themeColor="text1"/>
                <w14:textFill>
                  <w14:solidFill>
                    <w14:schemeClr w14:val="tx1"/>
                  </w14:solidFill>
                </w14:textFill>
              </w:rPr>
              <w:fldChar w:fldCharType="end"/>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从中可以看出，各地区发生船舶事故的次数与进出港船舶数量呈比较显著的正比关系，长江干流近十年溢油事故及溢油量统计见表</w:t>
      </w:r>
      <w:r>
        <w:rPr>
          <w:rFonts w:hint="eastAsia" w:ascii="Times New Roman" w:hAnsi="Times New Roman" w:eastAsiaTheme="minorEastAsia"/>
          <w:color w:val="000000" w:themeColor="text1"/>
          <w:sz w:val="24"/>
          <w:szCs w:val="24"/>
          <w14:textFill>
            <w14:solidFill>
              <w14:schemeClr w14:val="tx1"/>
            </w14:solidFill>
          </w14:textFill>
        </w:rPr>
        <w:t>6.8-1</w:t>
      </w:r>
      <w:r>
        <w:rPr>
          <w:rFonts w:hint="eastAsia" w:ascii="Times New Roman" w:hAnsi="Times New Roman" w:eastAsiaTheme="minorEastAsia"/>
          <w:color w:val="000000" w:themeColor="text1"/>
          <w:sz w:val="24"/>
          <w:szCs w:val="24"/>
          <w:lang w:val="en-US" w:eastAsia="zh-CN"/>
          <w14:textFill>
            <w14:solidFill>
              <w14:schemeClr w14:val="tx1"/>
            </w14:solidFill>
          </w14:textFill>
        </w:rPr>
        <w:t>8</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6.8-1</w:t>
      </w:r>
      <w:r>
        <w:rPr>
          <w:rFonts w:hint="eastAsia" w:ascii="Times New Roman" w:hAnsi="Times New Roman" w:eastAsiaTheme="minorEastAsia"/>
          <w:b/>
          <w:color w:val="000000" w:themeColor="text1"/>
          <w:sz w:val="24"/>
          <w:szCs w:val="24"/>
          <w:lang w:val="en-US" w:eastAsia="zh-CN"/>
          <w14:textFill>
            <w14:solidFill>
              <w14:schemeClr w14:val="tx1"/>
            </w14:solidFill>
          </w14:textFill>
        </w:rPr>
        <w:t>8</w:t>
      </w:r>
      <w:r>
        <w:rPr>
          <w:rFonts w:ascii="Times New Roman" w:hAnsi="Times New Roman" w:eastAsiaTheme="minorEastAsia"/>
          <w:b/>
          <w:color w:val="000000" w:themeColor="text1"/>
          <w:sz w:val="24"/>
          <w:szCs w:val="24"/>
          <w14:textFill>
            <w14:solidFill>
              <w14:schemeClr w14:val="tx1"/>
            </w14:solidFill>
          </w14:textFill>
        </w:rPr>
        <w:t xml:space="preserve">  长江近十年溢油事故及溢油量统计</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1"/>
        <w:gridCol w:w="1168"/>
        <w:gridCol w:w="2089"/>
        <w:gridCol w:w="2115"/>
        <w:gridCol w:w="1170"/>
        <w:gridCol w:w="1003"/>
        <w:gridCol w:w="9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581"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1168"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溢油时间</w:t>
            </w:r>
          </w:p>
        </w:tc>
        <w:tc>
          <w:tcPr>
            <w:tcW w:w="2089"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溢油地点</w:t>
            </w:r>
          </w:p>
        </w:tc>
        <w:tc>
          <w:tcPr>
            <w:tcW w:w="2115"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船名或单位</w:t>
            </w:r>
          </w:p>
        </w:tc>
        <w:tc>
          <w:tcPr>
            <w:tcW w:w="1170"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溢油原因</w:t>
            </w:r>
          </w:p>
        </w:tc>
        <w:tc>
          <w:tcPr>
            <w:tcW w:w="1003"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溢油量(t)</w:t>
            </w:r>
          </w:p>
        </w:tc>
        <w:tc>
          <w:tcPr>
            <w:tcW w:w="974"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油种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1995.6.19</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万县鼓洞附马</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“油库囤船”</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1028</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航空煤油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1997.3.28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南京扬子10-2码头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“PUSAN”油轮(韩国)</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装油操作失误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汽油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1997.6.3</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南京港栖霞山油轮锚地</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“大庆243”油轮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爆炸起火而翻沉</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1000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原油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1997.6.2</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南京栖霞锚地</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“油63005驳”</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(南京长江油运公司)</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过驳时操作失误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原油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1998.2.6</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南京大胜关水道</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宇鹏加油站附近</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“皖江供油2001”油轮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沉没</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原油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1998.7.30</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万县豹子滩</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“屈原7＃”客滚船</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海损事故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柴油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1998.9.12</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吴淞口101灯浮附近</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“上电油1215”油轮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与“崇明岛”轮发生碰撞</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272</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重油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1999.4.18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上海炼油厂码头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“浙航拖127船队”</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输油管爆管</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1999.7.25</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重庆万州区巫山码头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“旅游3囤”(油囤船)</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柴油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2003.2.9</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长江浏河口</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“华盛油1”</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成品油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2003.8.5</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上海吴泾热电厂码头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“长阳”轮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燃料油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2004.4.18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长江口276号灯浮水域</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“现代荣耀”轮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燃料油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2005.4.8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长江口水域</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“GGCHEMIST”轮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燃油和甲苯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2005.9.17</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上海XX路闸北电厂码头水域</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“朝阳平8”轮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汽油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15</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2006.12.12</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洋山沈家油库码头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“舟通油11”轮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因误操作</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燃油</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从表中可以看出，事故河段多发生长江下游和长江上游，其中最大溢油量发生在长江上游万县，溢油1028t。</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2、长江海事局所辖区段船舶事故统计</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根据长江海事局辖区2008年~2010年上半年统计资料，辖区2008年共发生事故及险情346件，其中一般及以上事故46件，直接经济损失2763.2万元。</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2009年辖区内发生事故、险情315件，一般及以上事故42.5件，直接经济损失3779.9万元。</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2010年上半年共发生事故、险情138件（同比下降9.8%），一般及以上事故11件，经济损失407万元，同比等级事故数、沉船数、经济损失分别下降53.2%、40%、70.2%。辖区安全形势明显改善。</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6.8-1</w:t>
      </w:r>
      <w:r>
        <w:rPr>
          <w:rFonts w:hint="eastAsia" w:ascii="Times New Roman" w:hAnsi="Times New Roman" w:eastAsiaTheme="minorEastAsia"/>
          <w:b/>
          <w:color w:val="000000" w:themeColor="text1"/>
          <w:sz w:val="24"/>
          <w:szCs w:val="24"/>
          <w:lang w:val="en-US" w:eastAsia="zh-CN"/>
          <w14:textFill>
            <w14:solidFill>
              <w14:schemeClr w14:val="tx1"/>
            </w14:solidFill>
          </w14:textFill>
        </w:rPr>
        <w:t>9</w:t>
      </w:r>
      <w:r>
        <w:rPr>
          <w:rFonts w:ascii="Times New Roman" w:hAnsi="Times New Roman" w:eastAsiaTheme="minorEastAsia"/>
          <w:b/>
          <w:color w:val="000000" w:themeColor="text1"/>
          <w:sz w:val="24"/>
          <w:szCs w:val="24"/>
          <w14:textFill>
            <w14:solidFill>
              <w14:schemeClr w14:val="tx1"/>
            </w14:solidFill>
          </w14:textFill>
        </w:rPr>
        <w:t xml:space="preserve">  长江海事局管辖河段按遇险种类统计2008~2010年险情分布</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62"/>
        <w:gridCol w:w="796"/>
        <w:gridCol w:w="867"/>
        <w:gridCol w:w="867"/>
        <w:gridCol w:w="867"/>
        <w:gridCol w:w="761"/>
        <w:gridCol w:w="936"/>
        <w:gridCol w:w="761"/>
        <w:gridCol w:w="761"/>
        <w:gridCol w:w="761"/>
        <w:gridCol w:w="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962"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年度</w:t>
            </w:r>
          </w:p>
        </w:tc>
        <w:tc>
          <w:tcPr>
            <w:tcW w:w="796"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遇险</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种类</w:t>
            </w:r>
          </w:p>
        </w:tc>
        <w:tc>
          <w:tcPr>
            <w:tcW w:w="867"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碰撞</w:t>
            </w:r>
          </w:p>
        </w:tc>
        <w:tc>
          <w:tcPr>
            <w:tcW w:w="867"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搁浅</w:t>
            </w:r>
          </w:p>
        </w:tc>
        <w:tc>
          <w:tcPr>
            <w:tcW w:w="867"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触礁</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触损</w:t>
            </w:r>
          </w:p>
        </w:tc>
        <w:tc>
          <w:tcPr>
            <w:tcW w:w="936"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火灾</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爆炸</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机损</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自沉</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风灾</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62"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bookmarkStart w:id="164" w:name="_Hlk362597787"/>
            <w:r>
              <w:rPr>
                <w:rFonts w:ascii="Times New Roman" w:hAnsi="Times New Roman" w:eastAsiaTheme="minorEastAsia"/>
                <w:color w:val="000000" w:themeColor="text1"/>
                <w14:textFill>
                  <w14:solidFill>
                    <w14:schemeClr w14:val="tx1"/>
                  </w14:solidFill>
                </w14:textFill>
              </w:rPr>
              <w:t>2008</w:t>
            </w:r>
          </w:p>
        </w:tc>
        <w:tc>
          <w:tcPr>
            <w:tcW w:w="79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件数</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160</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87</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6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79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比例</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46.24%</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25.14%</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9.54%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1.73%</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2.02%</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8.96%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1.73%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62"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2009</w:t>
            </w:r>
          </w:p>
        </w:tc>
        <w:tc>
          <w:tcPr>
            <w:tcW w:w="79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件数</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134</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75</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6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79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比例</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42.68%</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23.89%</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10.51%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4.14%</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3.18%</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4.46%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62"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2010</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w:t>
            </w:r>
            <w:r>
              <w:rPr>
                <w:rFonts w:hint="eastAsia" w:ascii="Times New Roman" w:hAnsi="Times New Roman" w:eastAsiaTheme="minorEastAsia"/>
                <w:color w:val="000000" w:themeColor="text1"/>
                <w14:textFill>
                  <w14:solidFill>
                    <w14:schemeClr w14:val="tx1"/>
                  </w14:solidFill>
                </w14:textFill>
              </w:rPr>
              <w:t>月</w:t>
            </w:r>
            <w:r>
              <w:rPr>
                <w:rFonts w:ascii="Times New Roman" w:hAnsi="Times New Roman" w:eastAsiaTheme="minorEastAsia"/>
                <w:color w:val="000000" w:themeColor="text1"/>
                <w14:textFill>
                  <w14:solidFill>
                    <w14:schemeClr w14:val="tx1"/>
                  </w14:solidFill>
                </w14:textFill>
              </w:rPr>
              <w:t>）</w:t>
            </w:r>
          </w:p>
        </w:tc>
        <w:tc>
          <w:tcPr>
            <w:tcW w:w="79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件数</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68</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15</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r>
      <w:bookmarkEnd w:id="164"/>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62"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79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比例</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49.28%</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21.01%</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10.87%</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1.45%</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2.90%</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6.52%</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2.17%</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5.80%</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由上表统计数据分析，碰撞、搁浅和触礁所占遇险的比例较高。</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3、事故概率</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鉴于本项目产品的特殊用途，系泊试验处于内河，年试航次数约4~6次，发生碰船事故概率为小概率事件。</w:t>
      </w:r>
    </w:p>
    <w:p>
      <w:pPr>
        <w:pStyle w:val="5"/>
        <w:rPr>
          <w:rFonts w:eastAsiaTheme="minorEastAsia"/>
        </w:rPr>
      </w:pPr>
      <w:r>
        <w:rPr>
          <w:rFonts w:eastAsiaTheme="minorEastAsia"/>
        </w:rPr>
        <w:t>源项分析</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最大可信事故是指在所有预测的概率不为零的事故中，对环境（或健康）危害最严重的重大事故。将产品系泊试验过程中发生船舶碰撞溢油事故作为最大可信事故。</w:t>
      </w:r>
    </w:p>
    <w:p>
      <w:pPr>
        <w:pStyle w:val="4"/>
        <w:rPr>
          <w:rFonts w:eastAsiaTheme="minorEastAsia"/>
          <w:color w:val="000000" w:themeColor="text1"/>
          <w14:textFill>
            <w14:solidFill>
              <w14:schemeClr w14:val="tx1"/>
            </w14:solidFill>
          </w14:textFill>
        </w:rPr>
      </w:pPr>
      <w:bookmarkStart w:id="165" w:name="_Toc23429152"/>
      <w:bookmarkStart w:id="166" w:name="_Toc491031787"/>
      <w:r>
        <w:rPr>
          <w:rFonts w:eastAsiaTheme="minorEastAsia"/>
          <w:color w:val="000000" w:themeColor="text1"/>
          <w14:textFill>
            <w14:solidFill>
              <w14:schemeClr w14:val="tx1"/>
            </w14:solidFill>
          </w14:textFill>
        </w:rPr>
        <w:t>后果计算</w:t>
      </w:r>
      <w:bookmarkEnd w:id="165"/>
      <w:bookmarkEnd w:id="166"/>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本次环境风险重点预测船舶溢油事故和液体化学品泄漏事故对长江等水体的影响。</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船舶溢油事故</w:t>
      </w:r>
    </w:p>
    <w:p>
      <w:pPr>
        <w:pStyle w:val="5"/>
        <w:rPr>
          <w:rFonts w:eastAsiaTheme="minorEastAsia"/>
        </w:rPr>
      </w:pPr>
      <w:r>
        <w:rPr>
          <w:rFonts w:eastAsiaTheme="minorEastAsia"/>
        </w:rPr>
        <w:t>预测模型</w:t>
      </w:r>
    </w:p>
    <w:p>
      <w:pPr>
        <w:adjustRightInd w:val="0"/>
        <w:snapToGrid w:val="0"/>
        <w:spacing w:line="360" w:lineRule="auto"/>
        <w:ind w:firstLine="482"/>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1、</w:t>
      </w:r>
      <w:r>
        <w:rPr>
          <w:rFonts w:ascii="Times New Roman" w:hAnsi="Times New Roman" w:eastAsiaTheme="minorEastAsia"/>
          <w:b/>
          <w:color w:val="000000" w:themeColor="text1"/>
          <w:sz w:val="24"/>
          <w:szCs w:val="24"/>
          <w14:textFill>
            <w14:solidFill>
              <w14:schemeClr w14:val="tx1"/>
            </w14:solidFill>
          </w14:textFill>
        </w:rPr>
        <w:t>预测模型选择</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由于石油类的扩散特点，本次评价采用费伊</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Fay</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油膜扩延公式</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张永良，等.溢油污染数学模型及其应用研究[J].环境科学研究</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1991,4 (3): 7-17</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计算船舶溢油入河事故的风险预测。</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费伊</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Fay</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油膜扩延公式目前广泛采用，费伊把扩展过程划分为三个阶段</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惯性扩展阶段、粘性扩展阶段、表面张力扩展阶段，三个阶段油膜直径分别按下列公式计算：</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●在惯性扩展阶段</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1254125" cy="333375"/>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8"/>
                    <a:stretch>
                      <a:fillRect/>
                    </a:stretch>
                  </pic:blipFill>
                  <pic:spPr>
                    <a:xfrm>
                      <a:off x="0" y="0"/>
                      <a:ext cx="1260579" cy="335043"/>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●在粘性扩展阶段</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1447165" cy="52324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1447619" cy="523810"/>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●在表面张力扩展阶段</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1570990" cy="5232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0"/>
                    <a:stretch>
                      <a:fillRect/>
                    </a:stretch>
                  </pic:blipFill>
                  <pic:spPr>
                    <a:xfrm>
                      <a:off x="0" y="0"/>
                      <a:ext cx="1571429" cy="523810"/>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●在扩展结束之后，油膜直径保持不变，为</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913765" cy="323215"/>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1"/>
                    <a:stretch>
                      <a:fillRect/>
                    </a:stretch>
                  </pic:blipFill>
                  <pic:spPr>
                    <a:xfrm>
                      <a:off x="0" y="0"/>
                      <a:ext cx="914286" cy="323810"/>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式中：D</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、D</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、D</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—分别为惯性扩展阶段、粘性护展阶段、表面张力扩展阶段的油膜直径，m；</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imes New Roman" w:eastAsiaTheme="minorEastAsia"/>
          <w:color w:val="000000" w:themeColor="text1"/>
          <w:sz w:val="24"/>
          <w:szCs w:val="24"/>
          <w:vertAlign w:val="subscript"/>
          <w14:textFill>
            <w14:solidFill>
              <w14:schemeClr w14:val="tx1"/>
            </w14:solidFill>
          </w14:textFill>
        </w:rPr>
        <w:t>f</w:t>
      </w:r>
      <w:r>
        <w:rPr>
          <w:rFonts w:ascii="Times New Roman" w:hAnsi="Times New Roman" w:eastAsiaTheme="minorEastAsia"/>
          <w:color w:val="000000" w:themeColor="text1"/>
          <w:sz w:val="24"/>
          <w:szCs w:val="24"/>
          <w14:textFill>
            <w14:solidFill>
              <w14:schemeClr w14:val="tx1"/>
            </w14:solidFill>
          </w14:textFill>
        </w:rPr>
        <w:t>—油膜扩张结束后的最终面积，m</w:t>
      </w:r>
      <w:r>
        <w:rPr>
          <w:rFonts w:ascii="Times New Roman" w:hAnsi="Times New Roman" w:eastAsiaTheme="minorEastAsia"/>
          <w:color w:val="000000" w:themeColor="text1"/>
          <w:sz w:val="24"/>
          <w:szCs w:val="24"/>
          <w:vertAlign w:val="super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β—</w:t>
      </w:r>
      <w:r>
        <w:rPr>
          <w:rFonts w:ascii="Times New Roman" w:hAnsi="Times New Roman" w:eastAsiaTheme="minorEastAsia"/>
          <w:color w:val="000000" w:themeColor="text1"/>
          <w14:textFill>
            <w14:solidFill>
              <w14:schemeClr w14:val="tx1"/>
            </w14:solidFill>
          </w14:textFill>
        </w:rPr>
        <w:drawing>
          <wp:inline distT="0" distB="0" distL="0" distR="0">
            <wp:extent cx="693420" cy="4114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693420" cy="411480"/>
                    </a:xfrm>
                    <a:prstGeom prst="rect">
                      <a:avLst/>
                    </a:prstGeom>
                  </pic:spPr>
                </pic:pic>
              </a:graphicData>
            </a:graphic>
          </wp:inline>
        </w:drawing>
      </w:r>
      <w:r>
        <w:rPr>
          <w:rFonts w:ascii="Times New Roman" w:hAnsi="Times New Roman" w:eastAsiaTheme="minorEastAsia"/>
          <w:color w:val="000000" w:themeColor="text1"/>
          <w:sz w:val="24"/>
          <w:szCs w:val="24"/>
          <w14:textFill>
            <w14:solidFill>
              <w14:schemeClr w14:val="tx1"/>
            </w14:solidFill>
          </w14:textFill>
        </w:rPr>
        <w:t>，P</w:t>
      </w:r>
      <w:r>
        <w:rPr>
          <w:rFonts w:ascii="Times New Roman" w:hAnsi="Times New Roman" w:eastAsiaTheme="minorEastAsia"/>
          <w:color w:val="000000" w:themeColor="text1"/>
          <w:sz w:val="24"/>
          <w:szCs w:val="24"/>
          <w:vertAlign w:val="subscript"/>
          <w14:textFill>
            <w14:solidFill>
              <w14:schemeClr w14:val="tx1"/>
            </w14:solidFill>
          </w14:textFill>
        </w:rPr>
        <w:t>0</w:t>
      </w:r>
      <w:r>
        <w:rPr>
          <w:rFonts w:ascii="Times New Roman" w:hAnsi="Times New Roman" w:eastAsiaTheme="minorEastAsia"/>
          <w:color w:val="000000" w:themeColor="text1"/>
          <w:sz w:val="24"/>
          <w:szCs w:val="24"/>
          <w14:textFill>
            <w14:solidFill>
              <w14:schemeClr w14:val="tx1"/>
            </w14:solidFill>
          </w14:textFill>
        </w:rPr>
        <w:t>为油的密度，P</w:t>
      </w:r>
      <w:r>
        <w:rPr>
          <w:rFonts w:ascii="Times New Roman" w:hAnsi="Times New Roman" w:eastAsiaTheme="minorEastAsia"/>
          <w:color w:val="000000" w:themeColor="text1"/>
          <w:sz w:val="24"/>
          <w:szCs w:val="24"/>
          <w:vertAlign w:val="subscript"/>
          <w14:textFill>
            <w14:solidFill>
              <w14:schemeClr w14:val="tx1"/>
            </w14:solidFill>
          </w14:textFill>
        </w:rPr>
        <w:t>w</w:t>
      </w:r>
      <w:r>
        <w:rPr>
          <w:rFonts w:ascii="Times New Roman" w:hAnsi="Times New Roman" w:eastAsiaTheme="minorEastAsia"/>
          <w:color w:val="000000" w:themeColor="text1"/>
          <w:sz w:val="24"/>
          <w:szCs w:val="24"/>
          <w14:textFill>
            <w14:solidFill>
              <w14:schemeClr w14:val="tx1"/>
            </w14:solidFill>
          </w14:textFill>
        </w:rPr>
        <w:t>为水的密度，P</w:t>
      </w:r>
      <w:r>
        <w:rPr>
          <w:rFonts w:ascii="Times New Roman" w:hAnsi="Times New Roman" w:eastAsiaTheme="minorEastAsia"/>
          <w:color w:val="000000" w:themeColor="text1"/>
          <w:sz w:val="24"/>
          <w:szCs w:val="24"/>
          <w:vertAlign w:val="subscript"/>
          <w14:textFill>
            <w14:solidFill>
              <w14:schemeClr w14:val="tx1"/>
            </w14:solidFill>
          </w14:textFill>
        </w:rPr>
        <w:t>0</w:t>
      </w:r>
      <w:r>
        <w:rPr>
          <w:rFonts w:ascii="Times New Roman" w:hAnsi="Times New Roman" w:eastAsiaTheme="minorEastAsia"/>
          <w:color w:val="000000" w:themeColor="text1"/>
          <w:sz w:val="24"/>
          <w:szCs w:val="24"/>
          <w14:textFill>
            <w14:solidFill>
              <w14:schemeClr w14:val="tx1"/>
            </w14:solidFill>
          </w14:textFill>
        </w:rPr>
        <w:t>=850kg/m</w:t>
      </w:r>
      <w:r>
        <w:rPr>
          <w:rFonts w:ascii="Times New Roman" w:hAnsi="Times New Roman" w:eastAsiaTheme="minorEastAsia"/>
          <w:color w:val="000000" w:themeColor="text1"/>
          <w:sz w:val="24"/>
          <w:szCs w:val="24"/>
          <w:vertAlign w:val="super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，P</w:t>
      </w:r>
      <w:r>
        <w:rPr>
          <w:rFonts w:ascii="Times New Roman" w:hAnsi="Times New Roman" w:eastAsiaTheme="minorEastAsia"/>
          <w:color w:val="000000" w:themeColor="text1"/>
          <w:sz w:val="24"/>
          <w:szCs w:val="24"/>
          <w:vertAlign w:val="subscript"/>
          <w14:textFill>
            <w14:solidFill>
              <w14:schemeClr w14:val="tx1"/>
            </w14:solidFill>
          </w14:textFill>
        </w:rPr>
        <w:t>w</w:t>
      </w:r>
      <w:r>
        <w:rPr>
          <w:rFonts w:ascii="Times New Roman" w:hAnsi="Times New Roman" w:eastAsiaTheme="minorEastAsia"/>
          <w:color w:val="000000" w:themeColor="text1"/>
          <w:sz w:val="24"/>
          <w:szCs w:val="24"/>
          <w14:textFill>
            <w14:solidFill>
              <w14:schemeClr w14:val="tx1"/>
            </w14:solidFill>
          </w14:textFill>
        </w:rPr>
        <w:t>=1000kg/m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g—重力加速度，g=9.8m/s</w:t>
      </w:r>
      <w:r>
        <w:rPr>
          <w:rFonts w:ascii="Times New Roman" w:hAnsi="Times New Roman" w:eastAsiaTheme="minorEastAsia"/>
          <w:color w:val="000000" w:themeColor="text1"/>
          <w:sz w:val="24"/>
          <w:szCs w:val="24"/>
          <w:vertAlign w:val="super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V—溢油总体积，m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t—从溢油开始所计算的时间，s；</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γ</w:t>
      </w:r>
      <w:r>
        <w:rPr>
          <w:rFonts w:ascii="Times New Roman" w:hAnsi="Times New Roman" w:eastAsiaTheme="minorEastAsia"/>
          <w:color w:val="000000" w:themeColor="text1"/>
          <w:sz w:val="24"/>
          <w:szCs w:val="24"/>
          <w:vertAlign w:val="subscript"/>
          <w14:textFill>
            <w14:solidFill>
              <w14:schemeClr w14:val="tx1"/>
            </w14:solidFill>
          </w14:textFill>
        </w:rPr>
        <w:t>w</w:t>
      </w:r>
      <w:r>
        <w:rPr>
          <w:rFonts w:ascii="Times New Roman" w:hAnsi="Times New Roman" w:eastAsiaTheme="minorEastAsia"/>
          <w:color w:val="000000" w:themeColor="text1"/>
          <w:sz w:val="24"/>
          <w:szCs w:val="24"/>
          <w14:textFill>
            <w14:solidFill>
              <w14:schemeClr w14:val="tx1"/>
            </w14:solidFill>
          </w14:textFill>
        </w:rPr>
        <w:t>—水的运动粘度系数，γ</w:t>
      </w:r>
      <w:r>
        <w:rPr>
          <w:rFonts w:ascii="Times New Roman" w:hAnsi="Times New Roman" w:eastAsiaTheme="minorEastAsia"/>
          <w:color w:val="000000" w:themeColor="text1"/>
          <w:sz w:val="24"/>
          <w:szCs w:val="24"/>
          <w:vertAlign w:val="subscript"/>
          <w14:textFill>
            <w14:solidFill>
              <w14:schemeClr w14:val="tx1"/>
            </w14:solidFill>
          </w14:textFill>
        </w:rPr>
        <w:t>w</w:t>
      </w:r>
      <w:r>
        <w:rPr>
          <w:rFonts w:ascii="Times New Roman" w:hAnsi="Times New Roman" w:eastAsiaTheme="minorEastAsia"/>
          <w:color w:val="000000" w:themeColor="text1"/>
          <w:sz w:val="24"/>
          <w:szCs w:val="24"/>
          <w14:textFill>
            <w14:solidFill>
              <w14:schemeClr w14:val="tx1"/>
            </w14:solidFill>
          </w14:textFill>
        </w:rPr>
        <w:t xml:space="preserve"> =1.007×10</w:t>
      </w:r>
      <w:r>
        <w:rPr>
          <w:rFonts w:ascii="Times New Roman" w:hAnsi="Times New Roman" w:eastAsiaTheme="minorEastAsia"/>
          <w:color w:val="000000" w:themeColor="text1"/>
          <w:sz w:val="24"/>
          <w:szCs w:val="24"/>
          <w:vertAlign w:val="superscript"/>
          <w14:textFill>
            <w14:solidFill>
              <w14:schemeClr w14:val="tx1"/>
            </w14:solidFill>
          </w14:textFill>
        </w:rPr>
        <w:t>-6</w:t>
      </w:r>
      <w:r>
        <w:rPr>
          <w:rFonts w:ascii="Times New Roman" w:hAnsi="Times New Roman" w:eastAsiaTheme="minorEastAsia"/>
          <w:color w:val="000000" w:themeColor="text1"/>
          <w:sz w:val="24"/>
          <w:szCs w:val="24"/>
          <w14:textFill>
            <w14:solidFill>
              <w14:schemeClr w14:val="tx1"/>
            </w14:solidFill>
          </w14:textFill>
        </w:rPr>
        <w:t>m</w:t>
      </w:r>
      <w:r>
        <w:rPr>
          <w:rFonts w:ascii="Times New Roman" w:hAnsi="Times New Roman" w:eastAsiaTheme="minorEastAsia"/>
          <w:color w:val="000000" w:themeColor="text1"/>
          <w:sz w:val="24"/>
          <w:szCs w:val="24"/>
          <w:vertAlign w:val="super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/s；</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δ—δ=δ</w:t>
      </w:r>
      <w:r>
        <w:rPr>
          <w:rFonts w:ascii="Times New Roman" w:hAnsi="Times New Roman" w:eastAsiaTheme="minorEastAsia"/>
          <w:color w:val="000000" w:themeColor="text1"/>
          <w:sz w:val="24"/>
          <w:szCs w:val="24"/>
          <w:vertAlign w:val="subscript"/>
          <w14:textFill>
            <w14:solidFill>
              <w14:schemeClr w14:val="tx1"/>
            </w14:solidFill>
          </w14:textFill>
        </w:rPr>
        <w:t>AW</w:t>
      </w:r>
      <w:r>
        <w:rPr>
          <w:rFonts w:ascii="Times New Roman" w:hAnsi="Times New Roman" w:eastAsiaTheme="minorEastAsia"/>
          <w:color w:val="000000" w:themeColor="text1"/>
          <w:sz w:val="24"/>
          <w:szCs w:val="24"/>
          <w14:textFill>
            <w14:solidFill>
              <w14:schemeClr w14:val="tx1"/>
            </w14:solidFill>
          </w14:textFill>
        </w:rPr>
        <w:t>-δ</w:t>
      </w:r>
      <w:r>
        <w:rPr>
          <w:rFonts w:ascii="Times New Roman" w:hAnsi="Times New Roman" w:eastAsiaTheme="minorEastAsia"/>
          <w:color w:val="000000" w:themeColor="text1"/>
          <w:sz w:val="24"/>
          <w:szCs w:val="24"/>
          <w:vertAlign w:val="subscript"/>
          <w14:textFill>
            <w14:solidFill>
              <w14:schemeClr w14:val="tx1"/>
            </w14:solidFill>
          </w14:textFill>
        </w:rPr>
        <w:t>OA</w:t>
      </w:r>
      <w:r>
        <w:rPr>
          <w:rFonts w:ascii="Times New Roman" w:hAnsi="Times New Roman" w:eastAsiaTheme="minorEastAsia"/>
          <w:color w:val="000000" w:themeColor="text1"/>
          <w:sz w:val="24"/>
          <w:szCs w:val="24"/>
          <w14:textFill>
            <w14:solidFill>
              <w14:schemeClr w14:val="tx1"/>
            </w14:solidFill>
          </w14:textFill>
        </w:rPr>
        <w:t xml:space="preserve"> –δ</w:t>
      </w:r>
      <w:r>
        <w:rPr>
          <w:rFonts w:ascii="Times New Roman" w:hAnsi="Times New Roman" w:eastAsiaTheme="minorEastAsia"/>
          <w:color w:val="000000" w:themeColor="text1"/>
          <w:sz w:val="24"/>
          <w:szCs w:val="24"/>
          <w:vertAlign w:val="subscript"/>
          <w14:textFill>
            <w14:solidFill>
              <w14:schemeClr w14:val="tx1"/>
            </w14:solidFill>
          </w14:textFill>
        </w:rPr>
        <w:t>OW</w:t>
      </w:r>
      <w:r>
        <w:rPr>
          <w:rFonts w:ascii="Times New Roman" w:hAnsi="Times New Roman" w:eastAsiaTheme="minorEastAsia"/>
          <w:color w:val="000000" w:themeColor="text1"/>
          <w:sz w:val="24"/>
          <w:szCs w:val="24"/>
          <w14:textFill>
            <w14:solidFill>
              <w14:schemeClr w14:val="tx1"/>
            </w14:solidFill>
          </w14:textFill>
        </w:rPr>
        <w:t>，δ</w:t>
      </w:r>
      <w:r>
        <w:rPr>
          <w:rFonts w:ascii="Times New Roman" w:hAnsi="Times New Roman" w:eastAsiaTheme="minorEastAsia"/>
          <w:color w:val="000000" w:themeColor="text1"/>
          <w:sz w:val="24"/>
          <w:szCs w:val="24"/>
          <w:vertAlign w:val="subscript"/>
          <w14:textFill>
            <w14:solidFill>
              <w14:schemeClr w14:val="tx1"/>
            </w14:solidFill>
          </w14:textFill>
        </w:rPr>
        <w:t>AW</w:t>
      </w:r>
      <w:r>
        <w:rPr>
          <w:rFonts w:ascii="Times New Roman" w:hAnsi="Times New Roman" w:eastAsiaTheme="minorEastAsia"/>
          <w:color w:val="000000" w:themeColor="text1"/>
          <w:sz w:val="24"/>
          <w:szCs w:val="24"/>
          <w14:textFill>
            <w14:solidFill>
              <w14:schemeClr w14:val="tx1"/>
            </w14:solidFill>
          </w14:textFill>
        </w:rPr>
        <w:t>为空气与水之间的表面张力系数，δ</w:t>
      </w:r>
      <w:r>
        <w:rPr>
          <w:rFonts w:ascii="Times New Roman" w:hAnsi="Times New Roman" w:eastAsiaTheme="minorEastAsia"/>
          <w:color w:val="000000" w:themeColor="text1"/>
          <w:sz w:val="24"/>
          <w:szCs w:val="24"/>
          <w:vertAlign w:val="subscript"/>
          <w14:textFill>
            <w14:solidFill>
              <w14:schemeClr w14:val="tx1"/>
            </w14:solidFill>
          </w14:textFill>
        </w:rPr>
        <w:t>OA</w:t>
      </w:r>
      <w:r>
        <w:rPr>
          <w:rFonts w:ascii="Times New Roman" w:hAnsi="Times New Roman" w:eastAsiaTheme="minorEastAsia"/>
          <w:color w:val="000000" w:themeColor="text1"/>
          <w:sz w:val="24"/>
          <w:szCs w:val="24"/>
          <w14:textFill>
            <w14:solidFill>
              <w14:schemeClr w14:val="tx1"/>
            </w14:solidFill>
          </w14:textFill>
        </w:rPr>
        <w:t>为油与空气之间的表面张力系数，δ</w:t>
      </w:r>
      <w:r>
        <w:rPr>
          <w:rFonts w:ascii="Times New Roman" w:hAnsi="Times New Roman" w:eastAsiaTheme="minorEastAsia"/>
          <w:color w:val="000000" w:themeColor="text1"/>
          <w:sz w:val="24"/>
          <w:szCs w:val="24"/>
          <w:vertAlign w:val="subscript"/>
          <w14:textFill>
            <w14:solidFill>
              <w14:schemeClr w14:val="tx1"/>
            </w14:solidFill>
          </w14:textFill>
        </w:rPr>
        <w:t>OW</w:t>
      </w:r>
      <w:r>
        <w:rPr>
          <w:rFonts w:ascii="Times New Roman" w:hAnsi="Times New Roman" w:eastAsiaTheme="minorEastAsia"/>
          <w:color w:val="000000" w:themeColor="text1"/>
          <w:sz w:val="24"/>
          <w:szCs w:val="24"/>
          <w14:textFill>
            <w14:solidFill>
              <w14:schemeClr w14:val="tx1"/>
            </w14:solidFill>
          </w14:textFill>
        </w:rPr>
        <w:t>为油与水之间的表面张力系数，δ=0.03N/m；</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K</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—惯性扩展阶段经验系数，K</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=2.28；</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K</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—粘性扩展阶段经验系数，K</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=2.90；</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K</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—表面张力扩展阶段经验系数，K</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=3.20。</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对于河流，当油膜直径扩散至河段宽度时，油膜将仅沿河流方向进行一维扩散。此时一般已进入表面张力扩展阶段，油膜长度按下式计算</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忻韦方.关于海面溢油扩散的计算方法[J].1984 (1): 6-12</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1532890" cy="4946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3"/>
                    <a:stretch>
                      <a:fillRect/>
                    </a:stretch>
                  </pic:blipFill>
                  <pic:spPr>
                    <a:xfrm>
                      <a:off x="0" y="0"/>
                      <a:ext cx="1533333" cy="495238"/>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式中：L—油膜一维扩散长度，m；</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K</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'—维扩散表面张力扩展阶段经验系数，K</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'=2.66。</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在实际中，膜扩展使油膜面积增大，厚度减小，当膜厚度大于其临界厚度时</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即扩展结束之后，膜尺寸保持不变时的厚度</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，膜保持整体性，膜厚度等于或小于临界厚度时，膜开始分裂为碎片，并继续扩展。</w:t>
      </w:r>
    </w:p>
    <w:p>
      <w:pPr>
        <w:adjustRightInd w:val="0"/>
        <w:snapToGrid w:val="0"/>
        <w:spacing w:line="360" w:lineRule="auto"/>
        <w:ind w:firstLine="482"/>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w:t>
      </w:r>
      <w:r>
        <w:rPr>
          <w:rFonts w:hint="eastAsia" w:ascii="Times New Roman" w:hAnsi="Times New Roman" w:eastAsiaTheme="minorEastAsia"/>
          <w:b/>
          <w:color w:val="000000" w:themeColor="text1"/>
          <w:sz w:val="24"/>
          <w:szCs w:val="24"/>
          <w14:textFill>
            <w14:solidFill>
              <w14:schemeClr w14:val="tx1"/>
            </w14:solidFill>
          </w14:textFill>
        </w:rPr>
        <w:t>、</w:t>
      </w:r>
      <w:r>
        <w:rPr>
          <w:rFonts w:ascii="Times New Roman" w:hAnsi="Times New Roman" w:eastAsiaTheme="minorEastAsia"/>
          <w:b/>
          <w:color w:val="000000" w:themeColor="text1"/>
          <w:sz w:val="24"/>
          <w:szCs w:val="24"/>
          <w14:textFill>
            <w14:solidFill>
              <w14:schemeClr w14:val="tx1"/>
            </w14:solidFill>
          </w14:textFill>
        </w:rPr>
        <w:t>溢油漂移计算方法</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油品入水后很快扩展成膜，然后在水流、风生流作用下产生漂移，同时溢油本身扩散的等效圆膜还在不断地扩散增大。因此，溢油污染范围就是这个不断扩大而在漂移的等效圆膜。如果膜中心初始位置为S</w:t>
      </w:r>
      <w:r>
        <w:rPr>
          <w:rFonts w:ascii="Times New Roman" w:hAnsi="Times New Roman" w:eastAsiaTheme="minorEastAsia"/>
          <w:color w:val="000000" w:themeColor="text1"/>
          <w:sz w:val="24"/>
          <w:szCs w:val="24"/>
          <w:vertAlign w:val="subscript"/>
          <w14:textFill>
            <w14:solidFill>
              <w14:schemeClr w14:val="tx1"/>
            </w14:solidFill>
          </w14:textFill>
        </w:rPr>
        <w:t>0</w:t>
      </w:r>
      <w:r>
        <w:rPr>
          <w:rFonts w:ascii="Times New Roman" w:hAnsi="Times New Roman" w:eastAsiaTheme="minorEastAsia"/>
          <w:color w:val="000000" w:themeColor="text1"/>
          <w:sz w:val="24"/>
          <w:szCs w:val="24"/>
          <w14:textFill>
            <w14:solidFill>
              <w14:schemeClr w14:val="tx1"/>
            </w14:solidFill>
          </w14:textFill>
        </w:rPr>
        <w:t>，经过</w:t>
      </w:r>
      <w:r>
        <w:rPr>
          <w:rFonts w:hint="eastAsia" w:ascii="宋体" w:hAnsi="宋体" w:cs="宋体"/>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t时间后，其位置S由下公式计算：</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1113790" cy="3994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4"/>
                    <a:stretch>
                      <a:fillRect/>
                    </a:stretch>
                  </pic:blipFill>
                  <pic:spPr>
                    <a:xfrm>
                      <a:off x="0" y="0"/>
                      <a:ext cx="1114286" cy="400000"/>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式中: V=V</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+V</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，V</w:t>
      </w:r>
      <w:r>
        <w:rPr>
          <w:rFonts w:ascii="Times New Roman" w:hAnsi="Times New Roman" w:eastAsiaTheme="minorEastAsia"/>
          <w:color w:val="000000" w:themeColor="text1"/>
          <w:sz w:val="24"/>
          <w:szCs w:val="24"/>
          <w:vertAlign w:val="subscript"/>
          <w14:textFill>
            <w14:solidFill>
              <w14:schemeClr w14:val="tx1"/>
            </w14:solidFill>
          </w14:textFill>
        </w:rPr>
        <w:t>1</w:t>
      </w:r>
      <w:r>
        <w:rPr>
          <w:rFonts w:ascii="Times New Roman" w:hAnsi="Times New Roman" w:eastAsiaTheme="minorEastAsia"/>
          <w:color w:val="000000" w:themeColor="text1"/>
          <w:sz w:val="24"/>
          <w:szCs w:val="24"/>
          <w14:textFill>
            <w14:solidFill>
              <w14:schemeClr w14:val="tx1"/>
            </w14:solidFill>
          </w14:textFill>
        </w:rPr>
        <w:t>为表面水流漂移速度矢量，V</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为风漂移速度矢量，V</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=0.035×V</w:t>
      </w:r>
      <w:r>
        <w:rPr>
          <w:rFonts w:ascii="Times New Roman" w:hAnsi="Times New Roman" w:eastAsiaTheme="minorEastAsia"/>
          <w:color w:val="000000" w:themeColor="text1"/>
          <w:sz w:val="24"/>
          <w:szCs w:val="24"/>
          <w:vertAlign w:val="subscript"/>
          <w14:textFill>
            <w14:solidFill>
              <w14:schemeClr w14:val="tx1"/>
            </w14:solidFill>
          </w14:textFill>
        </w:rPr>
        <w:t>10</w:t>
      </w:r>
      <w:r>
        <w:rPr>
          <w:rFonts w:ascii="Times New Roman" w:hAnsi="Times New Roman" w:eastAsiaTheme="minorEastAsia"/>
          <w:color w:val="000000" w:themeColor="text1"/>
          <w:sz w:val="24"/>
          <w:szCs w:val="24"/>
          <w14:textFill>
            <w14:solidFill>
              <w14:schemeClr w14:val="tx1"/>
            </w14:solidFill>
          </w14:textFill>
        </w:rPr>
        <w:t>，V</w:t>
      </w:r>
      <w:r>
        <w:rPr>
          <w:rFonts w:ascii="Times New Roman" w:hAnsi="Times New Roman" w:eastAsiaTheme="minorEastAsia"/>
          <w:color w:val="000000" w:themeColor="text1"/>
          <w:sz w:val="24"/>
          <w:szCs w:val="24"/>
          <w:vertAlign w:val="subscript"/>
          <w14:textFill>
            <w14:solidFill>
              <w14:schemeClr w14:val="tx1"/>
            </w14:solidFill>
          </w14:textFill>
        </w:rPr>
        <w:t>10</w:t>
      </w:r>
      <w:r>
        <w:rPr>
          <w:rFonts w:ascii="Times New Roman" w:hAnsi="Times New Roman" w:eastAsiaTheme="minorEastAsia"/>
          <w:color w:val="000000" w:themeColor="text1"/>
          <w:sz w:val="24"/>
          <w:szCs w:val="24"/>
          <w14:textFill>
            <w14:solidFill>
              <w14:schemeClr w14:val="tx1"/>
            </w14:solidFill>
          </w14:textFill>
        </w:rPr>
        <w:t>为当地水面上10m处风速，取历年平均风速3.1m/s。二维水动力模型计算的流速是沿水深方向平均值，而油膜所计算流速是表面流速，修正系数d取1.05。</w:t>
      </w:r>
    </w:p>
    <w:p>
      <w:pPr>
        <w:adjustRightInd w:val="0"/>
        <w:snapToGrid w:val="0"/>
        <w:spacing w:line="360" w:lineRule="auto"/>
        <w:ind w:firstLine="482"/>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3</w:t>
      </w:r>
      <w:r>
        <w:rPr>
          <w:rFonts w:hint="eastAsia" w:ascii="Times New Roman" w:hAnsi="Times New Roman" w:eastAsiaTheme="minorEastAsia"/>
          <w:b/>
          <w:color w:val="000000" w:themeColor="text1"/>
          <w:sz w:val="24"/>
          <w:szCs w:val="24"/>
          <w14:textFill>
            <w14:solidFill>
              <w14:schemeClr w14:val="tx1"/>
            </w14:solidFill>
          </w14:textFill>
        </w:rPr>
        <w:t>、</w:t>
      </w:r>
      <w:r>
        <w:rPr>
          <w:rFonts w:ascii="Times New Roman" w:hAnsi="Times New Roman" w:eastAsiaTheme="minorEastAsia"/>
          <w:b/>
          <w:color w:val="000000" w:themeColor="text1"/>
          <w:sz w:val="24"/>
          <w:szCs w:val="24"/>
          <w14:textFill>
            <w14:solidFill>
              <w14:schemeClr w14:val="tx1"/>
            </w14:solidFill>
          </w14:textFill>
        </w:rPr>
        <w:t>石油类浓度垂向分布</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由于石油类不溶于水，且密度小于1，故石油类污染物主要集中在水面下1m范围内，其在垂直方向上的分布可利用下式计算：</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1073785" cy="457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5"/>
                    <a:stretch>
                      <a:fillRect/>
                    </a:stretch>
                  </pic:blipFill>
                  <pic:spPr>
                    <a:xfrm>
                      <a:off x="0" y="0"/>
                      <a:ext cx="1079844" cy="459624"/>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式中</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C(Z) —水深为 Z米处的石油类浓度，mg/L；</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C</w:t>
      </w:r>
      <w:r>
        <w:rPr>
          <w:rFonts w:ascii="Times New Roman" w:hAnsi="Times New Roman" w:eastAsiaTheme="minorEastAsia"/>
          <w:color w:val="000000" w:themeColor="text1"/>
          <w:sz w:val="24"/>
          <w:szCs w:val="24"/>
          <w:vertAlign w:val="subscript"/>
          <w14:textFill>
            <w14:solidFill>
              <w14:schemeClr w14:val="tx1"/>
            </w14:solidFill>
          </w14:textFill>
        </w:rPr>
        <w:t>0</w:t>
      </w:r>
      <w:r>
        <w:rPr>
          <w:rFonts w:ascii="Times New Roman" w:hAnsi="Times New Roman" w:eastAsiaTheme="minorEastAsia"/>
          <w:color w:val="000000" w:themeColor="text1"/>
          <w:sz w:val="24"/>
          <w:szCs w:val="24"/>
          <w14:textFill>
            <w14:solidFill>
              <w14:schemeClr w14:val="tx1"/>
            </w14:solidFill>
          </w14:textFill>
        </w:rPr>
        <w:t>—水面处的石油类浓度，mg/L。</w:t>
      </w:r>
    </w:p>
    <w:p>
      <w:pPr>
        <w:pStyle w:val="5"/>
        <w:rPr>
          <w:rFonts w:eastAsiaTheme="minorEastAsia"/>
        </w:rPr>
      </w:pPr>
      <w:r>
        <w:rPr>
          <w:rFonts w:eastAsiaTheme="minorEastAsia"/>
        </w:rPr>
        <w:t>预测结果</w:t>
      </w:r>
    </w:p>
    <w:p>
      <w:pPr>
        <w:adjustRightInd w:val="0"/>
        <w:snapToGrid w:val="0"/>
        <w:spacing w:line="360" w:lineRule="auto"/>
        <w:ind w:firstLine="482"/>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长江水文条件，本项目码头前河流波浪主要为船行波，该地区平均风速为3.1m/s，最不利风速按5m/s计算。本项目码头为内河码头，根据模型计算，码头位于潮区界以上，不受涨落潮影响。根据对该河段的水文分析，取与流向最不利风向W，以及最大流速情况进行预测，长江往下游流的最快，故预测在开闸时发生泄露的情况：此最不利情况预测不考忠油膜生物降解、油膜的风化作用，也不考虑事故发生后采取的紧急措施。</w:t>
      </w:r>
    </w:p>
    <w:p>
      <w:pPr>
        <w:adjustRightInd w:val="0"/>
        <w:snapToGrid w:val="0"/>
        <w:spacing w:line="360" w:lineRule="auto"/>
        <w:ind w:firstLine="482"/>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按照上述最不利参数情况下，预测船舶碰撞溢油事故油膜扩延过程。预测方案见表</w:t>
      </w:r>
      <w:r>
        <w:rPr>
          <w:rFonts w:hint="eastAsia" w:ascii="Times New Roman" w:hAnsi="Times New Roman" w:eastAsiaTheme="minorEastAsia"/>
          <w:color w:val="FF0000"/>
          <w:sz w:val="24"/>
          <w:szCs w:val="24"/>
          <w:u w:val="single"/>
        </w:rPr>
        <w:t>6.8-</w:t>
      </w:r>
      <w:r>
        <w:rPr>
          <w:rFonts w:hint="eastAsia" w:ascii="Times New Roman" w:hAnsi="Times New Roman" w:eastAsiaTheme="minorEastAsia"/>
          <w:color w:val="FF0000"/>
          <w:sz w:val="24"/>
          <w:szCs w:val="24"/>
          <w:u w:val="single"/>
          <w:lang w:val="en-US" w:eastAsia="zh-CN"/>
        </w:rPr>
        <w:t>20</w:t>
      </w:r>
      <w:r>
        <w:rPr>
          <w:rFonts w:ascii="Times New Roman" w:hAnsi="Times New Roman" w:eastAsiaTheme="minorEastAsia"/>
          <w:color w:val="FF0000"/>
          <w:sz w:val="24"/>
          <w:szCs w:val="24"/>
          <w:u w:val="single"/>
        </w:rPr>
        <w:t>。</w:t>
      </w:r>
    </w:p>
    <w:p>
      <w:pPr>
        <w:adjustRightInd w:val="0"/>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w:t>
      </w:r>
      <w:r>
        <w:rPr>
          <w:rFonts w:hint="eastAsia" w:ascii="Times New Roman" w:hAnsi="Times New Roman" w:eastAsiaTheme="minorEastAsia"/>
          <w:b/>
          <w:color w:val="FF0000"/>
          <w:sz w:val="24"/>
          <w:szCs w:val="24"/>
          <w:u w:val="single"/>
        </w:rPr>
        <w:t>6.8-</w:t>
      </w:r>
      <w:r>
        <w:rPr>
          <w:rFonts w:hint="eastAsia" w:ascii="Times New Roman" w:hAnsi="Times New Roman" w:eastAsiaTheme="minorEastAsia"/>
          <w:b/>
          <w:color w:val="FF0000"/>
          <w:sz w:val="24"/>
          <w:szCs w:val="24"/>
          <w:u w:val="single"/>
          <w:lang w:val="en-US" w:eastAsia="zh-CN"/>
        </w:rPr>
        <w:t>20</w:t>
      </w:r>
      <w:r>
        <w:rPr>
          <w:rFonts w:ascii="Times New Roman" w:hAnsi="Times New Roman" w:eastAsiaTheme="minorEastAsia"/>
          <w:b/>
          <w:color w:val="FF0000"/>
          <w:sz w:val="24"/>
          <w:szCs w:val="24"/>
          <w:u w:val="single"/>
        </w:rPr>
        <w:t xml:space="preserve"> </w:t>
      </w:r>
      <w:r>
        <w:rPr>
          <w:rFonts w:hint="eastAsia" w:ascii="Times New Roman" w:hAnsi="Times New Roman" w:eastAsiaTheme="minorEastAsia"/>
          <w:b/>
          <w:color w:val="FF0000"/>
          <w:sz w:val="24"/>
          <w:szCs w:val="24"/>
          <w:u w:val="single"/>
        </w:rPr>
        <w:t xml:space="preserve"> </w:t>
      </w:r>
      <w:r>
        <w:rPr>
          <w:rFonts w:ascii="Times New Roman" w:hAnsi="Times New Roman" w:eastAsiaTheme="minorEastAsia"/>
          <w:b/>
          <w:color w:val="FF0000"/>
          <w:sz w:val="24"/>
          <w:szCs w:val="24"/>
          <w:u w:val="single"/>
        </w:rPr>
        <w:t>溢油预测方案一览表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94"/>
        <w:gridCol w:w="3098"/>
        <w:gridCol w:w="30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风向</w:t>
            </w:r>
          </w:p>
        </w:tc>
        <w:tc>
          <w:tcPr>
            <w:tcW w:w="1668" w:type="pct"/>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风速（m/s）</w:t>
            </w:r>
          </w:p>
        </w:tc>
        <w:tc>
          <w:tcPr>
            <w:tcW w:w="1666" w:type="pct"/>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溢油量（t）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西</w:t>
            </w:r>
          </w:p>
        </w:tc>
        <w:tc>
          <w:tcPr>
            <w:tcW w:w="1668" w:type="pct"/>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w:t>
            </w:r>
          </w:p>
        </w:tc>
        <w:tc>
          <w:tcPr>
            <w:tcW w:w="1666" w:type="pct"/>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0.5</w:t>
            </w:r>
          </w:p>
        </w:tc>
      </w:tr>
    </w:tbl>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FF0000"/>
          <w:sz w:val="24"/>
          <w:szCs w:val="24"/>
          <w:u w:val="single"/>
        </w:rPr>
        <w:t>最不利情况下</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开闸时</w:t>
      </w:r>
      <w:r>
        <w:rPr>
          <w:rFonts w:hint="eastAsia" w:ascii="Times New Roman" w:hAnsi="Times New Roman" w:eastAsiaTheme="minorEastAsia"/>
          <w:color w:val="FF0000"/>
          <w:sz w:val="24"/>
          <w:szCs w:val="24"/>
          <w:u w:val="single"/>
        </w:rPr>
        <w:t>）</w:t>
      </w:r>
      <w:r>
        <w:rPr>
          <w:rFonts w:ascii="Times New Roman" w:hAnsi="Times New Roman" w:eastAsiaTheme="minorEastAsia"/>
          <w:color w:val="FF0000"/>
          <w:sz w:val="24"/>
          <w:szCs w:val="24"/>
          <w:u w:val="single"/>
        </w:rPr>
        <w:t>溢油事故发生后的油膜迁移情况见表</w:t>
      </w:r>
      <w:r>
        <w:rPr>
          <w:rFonts w:hint="eastAsia" w:ascii="Times New Roman" w:hAnsi="Times New Roman" w:eastAsiaTheme="minorEastAsia"/>
          <w:color w:val="FF0000"/>
          <w:sz w:val="24"/>
          <w:szCs w:val="24"/>
          <w:u w:val="single"/>
        </w:rPr>
        <w:t>6.8-</w:t>
      </w:r>
      <w:r>
        <w:rPr>
          <w:rFonts w:hint="eastAsia" w:ascii="Times New Roman" w:hAnsi="Times New Roman" w:eastAsiaTheme="minorEastAsia"/>
          <w:color w:val="FF0000"/>
          <w:sz w:val="24"/>
          <w:szCs w:val="24"/>
          <w:u w:val="single"/>
          <w:lang w:val="en-US" w:eastAsia="zh-CN"/>
        </w:rPr>
        <w:t>21</w:t>
      </w:r>
      <w:r>
        <w:rPr>
          <w:rFonts w:ascii="Times New Roman" w:hAnsi="Times New Roman" w:eastAsiaTheme="minorEastAsia"/>
          <w:color w:val="FF0000"/>
          <w:sz w:val="24"/>
          <w:szCs w:val="24"/>
          <w:u w:val="single"/>
        </w:rPr>
        <w:t>：</w:t>
      </w:r>
    </w:p>
    <w:p>
      <w:pPr>
        <w:adjustRightInd w:val="0"/>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w:t>
      </w:r>
      <w:r>
        <w:rPr>
          <w:rFonts w:hint="eastAsia" w:ascii="Times New Roman" w:hAnsi="Times New Roman" w:eastAsiaTheme="minorEastAsia"/>
          <w:b/>
          <w:color w:val="FF0000"/>
          <w:sz w:val="24"/>
          <w:szCs w:val="24"/>
          <w:u w:val="single"/>
        </w:rPr>
        <w:t>6.8-</w:t>
      </w:r>
      <w:r>
        <w:rPr>
          <w:rFonts w:hint="eastAsia" w:ascii="Times New Roman" w:hAnsi="Times New Roman" w:eastAsiaTheme="minorEastAsia"/>
          <w:b/>
          <w:color w:val="FF0000"/>
          <w:sz w:val="24"/>
          <w:szCs w:val="24"/>
          <w:u w:val="single"/>
          <w:lang w:val="en-US" w:eastAsia="zh-CN"/>
        </w:rPr>
        <w:t>21</w:t>
      </w:r>
      <w:r>
        <w:rPr>
          <w:rFonts w:hint="eastAsia" w:ascii="Times New Roman" w:hAnsi="Times New Roman" w:eastAsiaTheme="minorEastAsia"/>
          <w:b/>
          <w:color w:val="FF0000"/>
          <w:sz w:val="24"/>
          <w:szCs w:val="24"/>
          <w:u w:val="single"/>
        </w:rPr>
        <w:t xml:space="preserve"> </w:t>
      </w:r>
      <w:r>
        <w:rPr>
          <w:rFonts w:ascii="Times New Roman" w:hAnsi="Times New Roman" w:eastAsiaTheme="minorEastAsia"/>
          <w:b/>
          <w:color w:val="FF0000"/>
          <w:sz w:val="24"/>
          <w:szCs w:val="24"/>
          <w:u w:val="single"/>
        </w:rPr>
        <w:t xml:space="preserve"> 溢油事故预测计算结果一览表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19"/>
        <w:gridCol w:w="2323"/>
        <w:gridCol w:w="2322"/>
        <w:gridCol w:w="2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溢油发生时间</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h</w:t>
            </w:r>
            <w:r>
              <w:rPr>
                <w:rFonts w:hint="eastAsia" w:ascii="Times New Roman" w:hAnsi="Times New Roman" w:eastAsiaTheme="minorEastAsia"/>
                <w:b/>
                <w:color w:val="FF0000"/>
                <w:u w:val="single"/>
              </w:rPr>
              <w:t>）</w:t>
            </w:r>
          </w:p>
        </w:tc>
        <w:tc>
          <w:tcPr>
            <w:tcW w:w="1251"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最大影响面积</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m</w:t>
            </w:r>
            <w:r>
              <w:rPr>
                <w:rFonts w:ascii="Times New Roman" w:hAnsi="Times New Roman" w:eastAsiaTheme="minorEastAsia"/>
                <w:b/>
                <w:color w:val="FF0000"/>
                <w:u w:val="single"/>
                <w:vertAlign w:val="superscript"/>
              </w:rPr>
              <w:t>2</w:t>
            </w:r>
            <w:r>
              <w:rPr>
                <w:rFonts w:hint="eastAsia" w:ascii="Times New Roman" w:hAnsi="Times New Roman" w:eastAsiaTheme="minorEastAsia"/>
                <w:b/>
                <w:color w:val="FF0000"/>
                <w:u w:val="single"/>
              </w:rPr>
              <w:t>）</w:t>
            </w:r>
          </w:p>
        </w:tc>
        <w:tc>
          <w:tcPr>
            <w:tcW w:w="1250"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油膜漂移距离</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m</w:t>
            </w:r>
            <w:r>
              <w:rPr>
                <w:rFonts w:hint="eastAsia" w:ascii="Times New Roman" w:hAnsi="Times New Roman" w:eastAsiaTheme="minorEastAsia"/>
                <w:b/>
                <w:color w:val="FF0000"/>
                <w:u w:val="single"/>
              </w:rPr>
              <w:t>）</w:t>
            </w:r>
          </w:p>
        </w:tc>
        <w:tc>
          <w:tcPr>
            <w:tcW w:w="1250"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最大油膜厚度</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mm</w:t>
            </w:r>
            <w:r>
              <w:rPr>
                <w:rFonts w:hint="eastAsia" w:ascii="Times New Roman" w:hAnsi="Times New Roman" w:eastAsiaTheme="minorEastAsia"/>
                <w:b/>
                <w:color w:val="FF0000"/>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0.5</w:t>
            </w:r>
          </w:p>
        </w:tc>
        <w:tc>
          <w:tcPr>
            <w:tcW w:w="1251"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4016.9</w:t>
            </w:r>
          </w:p>
        </w:tc>
        <w:tc>
          <w:tcPr>
            <w:tcW w:w="125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144.6</w:t>
            </w:r>
          </w:p>
        </w:tc>
        <w:tc>
          <w:tcPr>
            <w:tcW w:w="125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3.5</w:t>
            </w:r>
          </w:p>
        </w:tc>
        <w:tc>
          <w:tcPr>
            <w:tcW w:w="1251"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12390.2</w:t>
            </w:r>
          </w:p>
        </w:tc>
        <w:tc>
          <w:tcPr>
            <w:tcW w:w="125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534.4</w:t>
            </w:r>
          </w:p>
        </w:tc>
        <w:tc>
          <w:tcPr>
            <w:tcW w:w="125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9"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8</w:t>
            </w:r>
          </w:p>
        </w:tc>
        <w:tc>
          <w:tcPr>
            <w:tcW w:w="1251"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39071.8</w:t>
            </w:r>
          </w:p>
        </w:tc>
        <w:tc>
          <w:tcPr>
            <w:tcW w:w="125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1217.2</w:t>
            </w:r>
          </w:p>
        </w:tc>
        <w:tc>
          <w:tcPr>
            <w:tcW w:w="125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0.022</w:t>
            </w:r>
          </w:p>
        </w:tc>
      </w:tr>
    </w:tbl>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由表</w:t>
      </w:r>
      <w:r>
        <w:rPr>
          <w:rFonts w:hint="eastAsia" w:ascii="Times New Roman" w:hAnsi="Times New Roman" w:eastAsiaTheme="minorEastAsia"/>
          <w:color w:val="FF0000"/>
          <w:sz w:val="24"/>
          <w:szCs w:val="24"/>
          <w:u w:val="single"/>
        </w:rPr>
        <w:t>6.8-</w:t>
      </w:r>
      <w:r>
        <w:rPr>
          <w:rFonts w:hint="eastAsia" w:ascii="Times New Roman" w:hAnsi="Times New Roman" w:eastAsiaTheme="minorEastAsia"/>
          <w:color w:val="FF0000"/>
          <w:sz w:val="24"/>
          <w:szCs w:val="24"/>
          <w:u w:val="single"/>
          <w:lang w:val="en-US" w:eastAsia="zh-CN"/>
        </w:rPr>
        <w:t>21</w:t>
      </w:r>
      <w:r>
        <w:rPr>
          <w:rFonts w:ascii="Times New Roman" w:hAnsi="Times New Roman" w:eastAsiaTheme="minorEastAsia"/>
          <w:color w:val="FF0000"/>
          <w:sz w:val="24"/>
          <w:szCs w:val="24"/>
          <w:u w:val="single"/>
        </w:rPr>
        <w:t>可知，开闸情况下发生溢油事故，在最不利情况下，以及风和水流的共同作用下，油膜向河段下游漂移，事故发生30min后油膜最大影响面积约为4016.9m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，油膜漂移距离为144.6m，最大油膜厚度为0.028mm；事故发生3.5h后油膜最大影响面积约为12390.2 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，油膜漂移距离为534.4m，最大油膜厚度为0.025mm；事故发生8h后油膜最大影响面积约为39071.8m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油膜漂移距离为1217.2m，最大油膜厚度为0.022mm。由于油膜的黏附性，油膜在漂移的过程种会黏附于岸边，但随着时间的迁移，油膜会随水流流出长江，进入其它河流，因此，在码头处发生船舶溢油事故时，应该尽快启动溢油应急计划，实现在短时间内设置围油栏，拦截油膜，把油膜的影响控制在长江内，杜绝进入其它河流，扩大污染范围。</w:t>
      </w:r>
    </w:p>
    <w:p>
      <w:pPr>
        <w:pStyle w:val="5"/>
        <w:rPr>
          <w:rFonts w:eastAsiaTheme="minorEastAsia"/>
        </w:rPr>
      </w:pPr>
      <w:r>
        <w:rPr>
          <w:rFonts w:eastAsiaTheme="minorEastAsia"/>
        </w:rPr>
        <w:t>影响分析</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溢油入水后，一部分覆盖水面，一部分蒸发进入大气，另一部分则溶解和分散于水中。扩散在水中的油将长时间停留在水中，直至被水生生物吞食，或与水中固体物质进行交换而沉入水底。从某种意义上讲，分散在水下的石油比漂浮在水面的石油危害更大。就溢油的回收处理而论，扩散于水中的石油难于回收。</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据文献报导，分散于水中的溶解油和乳化油的总量小于溢油量的1%。本项目船舶碰撞事故溢油量以0.5t 计，则分散于水中的油约0.5kg。由于石油类不溶于水，且密度小于1，故石油类污染物主要集中在水面下1m范围内，对表层水质产生一定的影响。</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尽管发生此类风险事故的概率较低，但一旦发生将对长江的水质产生影响，</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因此必须采取必要的措施，加强码头和船舶进出港的管理，进一步降低事故发生的概率；制定应急预案，并准备必要的防护物资，减少事故发生时的环境危害。因此，采取必要的保护措施后，船舶溢油事故的环境风险处于可接受的水平。</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液体化学品泄漏事故</w:t>
      </w:r>
    </w:p>
    <w:p>
      <w:pPr>
        <w:pStyle w:val="5"/>
        <w:rPr>
          <w:rFonts w:eastAsiaTheme="minorEastAsia"/>
        </w:rPr>
      </w:pPr>
      <w:r>
        <w:rPr>
          <w:rFonts w:eastAsiaTheme="minorEastAsia"/>
        </w:rPr>
        <w:t>预测模型</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可溶性化学品入河事故采用水质预测模型。</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水质方程是以质量平衡方程为基础的。采用垂向平均的二维水质模型。二维水质输</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移方程为:</w:t>
      </w:r>
    </w:p>
    <w:p>
      <w:pPr>
        <w:adjustRightInd w:val="0"/>
        <w:snapToGrid w:val="0"/>
        <w:spacing w:line="360" w:lineRule="auto"/>
        <w:ind w:firstLine="482"/>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0" distR="0">
            <wp:extent cx="4348480" cy="6032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6"/>
                    <a:stretch>
                      <a:fillRect/>
                    </a:stretch>
                  </pic:blipFill>
                  <pic:spPr>
                    <a:xfrm>
                      <a:off x="0" y="0"/>
                      <a:ext cx="4402155" cy="611211"/>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式中</w:t>
      </w:r>
      <w:r>
        <w:rPr>
          <w:rFonts w:hint="eastAsia"/>
          <w:color w:val="000000" w:themeColor="text1"/>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C</w:t>
      </w:r>
      <w:r>
        <w:rPr>
          <w:rFonts w:ascii="Times New Roman" w:hAnsi="Times New Roman" w:eastAsiaTheme="minorEastAsia"/>
          <w:color w:val="000000" w:themeColor="text1"/>
          <w:sz w:val="24"/>
          <w:szCs w:val="24"/>
          <w:vertAlign w:val="subscript"/>
          <w14:textFill>
            <w14:solidFill>
              <w14:schemeClr w14:val="tx1"/>
            </w14:solidFill>
          </w14:textFill>
        </w:rPr>
        <w:t>i</w:t>
      </w:r>
      <w:r>
        <w:rPr>
          <w:rFonts w:ascii="Times New Roman" w:hAnsi="Times New Roman" w:eastAsiaTheme="minorEastAsia"/>
          <w:color w:val="000000" w:themeColor="text1"/>
          <w:sz w:val="24"/>
          <w:szCs w:val="24"/>
          <w14:textFill>
            <w14:solidFill>
              <w14:schemeClr w14:val="tx1"/>
            </w14:solidFill>
          </w14:textFill>
        </w:rPr>
        <w:t>—污染物浓度；</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U、V— x、y方向上的流速分量；</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Ex、Ey—x、 y方向上的扩散系数</w:t>
      </w:r>
      <w:r>
        <w:rPr>
          <w:rFonts w:hint="eastAsia"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K</w:t>
      </w:r>
      <w:r>
        <w:rPr>
          <w:rFonts w:ascii="Times New Roman" w:hAnsi="Times New Roman" w:eastAsiaTheme="minorEastAsia"/>
          <w:color w:val="000000" w:themeColor="text1"/>
          <w:sz w:val="24"/>
          <w:szCs w:val="24"/>
          <w:vertAlign w:val="subscript"/>
          <w14:textFill>
            <w14:solidFill>
              <w14:schemeClr w14:val="tx1"/>
            </w14:solidFill>
          </w14:textFill>
        </w:rPr>
        <w:t>i</w:t>
      </w:r>
      <w:r>
        <w:rPr>
          <w:rFonts w:ascii="Times New Roman" w:hAnsi="Times New Roman" w:eastAsiaTheme="minorEastAsia"/>
          <w:color w:val="000000" w:themeColor="text1"/>
          <w:sz w:val="24"/>
          <w:szCs w:val="24"/>
          <w14:textFill>
            <w14:solidFill>
              <w14:schemeClr w14:val="tx1"/>
            </w14:solidFill>
          </w14:textFill>
        </w:rPr>
        <w:t>—污染物降解系数；</w:t>
      </w:r>
    </w:p>
    <w:p>
      <w:pPr>
        <w:adjustRightInd w:val="0"/>
        <w:snapToGrid w:val="0"/>
        <w:spacing w:line="360" w:lineRule="auto"/>
        <w:ind w:firstLine="1200" w:firstLineChars="5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S</w:t>
      </w:r>
      <w:r>
        <w:rPr>
          <w:rFonts w:ascii="Times New Roman" w:hAnsi="Times New Roman" w:eastAsiaTheme="minorEastAsia"/>
          <w:color w:val="000000" w:themeColor="text1"/>
          <w:sz w:val="24"/>
          <w:szCs w:val="24"/>
          <w:vertAlign w:val="subscript"/>
          <w14:textFill>
            <w14:solidFill>
              <w14:schemeClr w14:val="tx1"/>
            </w14:solidFill>
          </w14:textFill>
        </w:rPr>
        <w:t>i</w:t>
      </w:r>
      <w:r>
        <w:rPr>
          <w:rFonts w:ascii="Times New Roman" w:hAnsi="Times New Roman" w:eastAsiaTheme="minorEastAsia"/>
          <w:color w:val="000000" w:themeColor="text1"/>
          <w:sz w:val="24"/>
          <w:szCs w:val="24"/>
          <w14:textFill>
            <w14:solidFill>
              <w14:schemeClr w14:val="tx1"/>
            </w14:solidFill>
          </w14:textFill>
        </w:rPr>
        <w:t>—污染物底泥释放项。</w:t>
      </w:r>
    </w:p>
    <w:p>
      <w:pPr>
        <w:pStyle w:val="5"/>
        <w:rPr>
          <w:rFonts w:eastAsiaTheme="minorEastAsia"/>
        </w:rPr>
      </w:pPr>
      <w:r>
        <w:rPr>
          <w:rFonts w:eastAsiaTheme="minorEastAsia"/>
        </w:rPr>
        <w:t>预测结果</w:t>
      </w:r>
    </w:p>
    <w:p>
      <w:pPr>
        <w:adjustRightInd w:val="0"/>
        <w:snapToGrid w:val="0"/>
        <w:spacing w:line="360" w:lineRule="auto"/>
        <w:ind w:firstLine="482"/>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水文条件以及气象条件同溢油预测。根据上述预测模型进行预测，液体化学品泄漏事故发生后不同时间点可溶性污染物扩散距离及污染物浓度预测结果见表</w:t>
      </w:r>
      <w:r>
        <w:rPr>
          <w:rFonts w:hint="eastAsia" w:ascii="Times New Roman" w:hAnsi="Times New Roman" w:eastAsiaTheme="minorEastAsia"/>
          <w:color w:val="FF0000"/>
          <w:sz w:val="24"/>
          <w:szCs w:val="24"/>
          <w:u w:val="single"/>
        </w:rPr>
        <w:t>6.8-</w:t>
      </w:r>
      <w:r>
        <w:rPr>
          <w:rFonts w:hint="eastAsia" w:ascii="Times New Roman" w:hAnsi="Times New Roman" w:eastAsiaTheme="minorEastAsia"/>
          <w:color w:val="FF0000"/>
          <w:sz w:val="24"/>
          <w:szCs w:val="24"/>
          <w:u w:val="single"/>
          <w:lang w:val="en-US" w:eastAsia="zh-CN"/>
        </w:rPr>
        <w:t>22</w:t>
      </w:r>
      <w:r>
        <w:rPr>
          <w:rFonts w:ascii="Times New Roman" w:hAnsi="Times New Roman" w:eastAsiaTheme="minorEastAsia"/>
          <w:color w:val="FF0000"/>
          <w:sz w:val="24"/>
          <w:szCs w:val="24"/>
          <w:u w:val="single"/>
        </w:rPr>
        <w:t>。</w:t>
      </w:r>
    </w:p>
    <w:p>
      <w:pPr>
        <w:adjustRightInd w:val="0"/>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w:t>
      </w:r>
      <w:r>
        <w:rPr>
          <w:rFonts w:hint="eastAsia" w:ascii="Times New Roman" w:hAnsi="Times New Roman" w:eastAsiaTheme="minorEastAsia"/>
          <w:b/>
          <w:color w:val="FF0000"/>
          <w:sz w:val="24"/>
          <w:szCs w:val="24"/>
          <w:u w:val="single"/>
        </w:rPr>
        <w:t>6.8-</w:t>
      </w:r>
      <w:r>
        <w:rPr>
          <w:rFonts w:hint="eastAsia" w:ascii="Times New Roman" w:hAnsi="Times New Roman" w:eastAsiaTheme="minorEastAsia"/>
          <w:b/>
          <w:color w:val="FF0000"/>
          <w:sz w:val="24"/>
          <w:szCs w:val="24"/>
          <w:u w:val="single"/>
          <w:lang w:val="en-US" w:eastAsia="zh-CN"/>
        </w:rPr>
        <w:t xml:space="preserve">22 </w:t>
      </w:r>
      <w:r>
        <w:rPr>
          <w:rFonts w:hint="eastAsia" w:ascii="Times New Roman" w:hAnsi="Times New Roman" w:eastAsiaTheme="minorEastAsia"/>
          <w:b/>
          <w:color w:val="FF0000"/>
          <w:sz w:val="24"/>
          <w:szCs w:val="24"/>
          <w:u w:val="single"/>
        </w:rPr>
        <w:t xml:space="preserve"> </w:t>
      </w:r>
      <w:r>
        <w:rPr>
          <w:rFonts w:ascii="Times New Roman" w:hAnsi="Times New Roman" w:eastAsiaTheme="minorEastAsia"/>
          <w:b/>
          <w:color w:val="FF0000"/>
          <w:sz w:val="24"/>
          <w:szCs w:val="24"/>
          <w:u w:val="single"/>
        </w:rPr>
        <w:t>事故发生后不同时间点污染扩散距离及污染物最大浓度预测一览表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12"/>
        <w:gridCol w:w="2230"/>
        <w:gridCol w:w="1820"/>
        <w:gridCol w:w="2086"/>
        <w:gridCol w:w="15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776"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时间</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h</w:t>
            </w:r>
            <w:r>
              <w:rPr>
                <w:rFonts w:hint="eastAsia" w:ascii="Times New Roman" w:hAnsi="Times New Roman" w:eastAsiaTheme="minorEastAsia"/>
                <w:b/>
                <w:color w:val="FF0000"/>
                <w:u w:val="single"/>
              </w:rPr>
              <w:t>）</w:t>
            </w:r>
          </w:p>
        </w:tc>
        <w:tc>
          <w:tcPr>
            <w:tcW w:w="1225"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污染影响面积</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m</w:t>
            </w:r>
            <w:r>
              <w:rPr>
                <w:rFonts w:ascii="Times New Roman" w:hAnsi="Times New Roman" w:eastAsiaTheme="minorEastAsia"/>
                <w:b/>
                <w:color w:val="FF0000"/>
                <w:u w:val="single"/>
                <w:vertAlign w:val="superscript"/>
              </w:rPr>
              <w:t>2</w:t>
            </w:r>
            <w:r>
              <w:rPr>
                <w:rFonts w:hint="eastAsia" w:ascii="Times New Roman" w:hAnsi="Times New Roman" w:eastAsiaTheme="minorEastAsia"/>
                <w:b/>
                <w:color w:val="FF0000"/>
                <w:u w:val="single"/>
              </w:rPr>
              <w:t>）</w:t>
            </w:r>
          </w:p>
        </w:tc>
        <w:tc>
          <w:tcPr>
            <w:tcW w:w="1000"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扩散距离</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m</w:t>
            </w:r>
            <w:r>
              <w:rPr>
                <w:rFonts w:hint="eastAsia" w:ascii="Times New Roman" w:hAnsi="Times New Roman" w:eastAsiaTheme="minorEastAsia"/>
                <w:b/>
                <w:color w:val="FF0000"/>
                <w:u w:val="single"/>
              </w:rPr>
              <w:t>）</w:t>
            </w:r>
          </w:p>
        </w:tc>
        <w:tc>
          <w:tcPr>
            <w:tcW w:w="1146"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最大浓度</w:t>
            </w:r>
            <w:r>
              <w:rPr>
                <w:rFonts w:hint="eastAsia" w:ascii="Times New Roman" w:hAnsi="Times New Roman" w:eastAsiaTheme="minorEastAsia"/>
                <w:b/>
                <w:color w:val="FF0000"/>
                <w:u w:val="single"/>
              </w:rPr>
              <w:t>（</w:t>
            </w:r>
            <w:r>
              <w:rPr>
                <w:rFonts w:ascii="Times New Roman" w:hAnsi="Times New Roman" w:eastAsiaTheme="minorEastAsia"/>
                <w:b/>
                <w:color w:val="FF0000"/>
                <w:u w:val="single"/>
              </w:rPr>
              <w:t>mg/L</w:t>
            </w:r>
            <w:r>
              <w:rPr>
                <w:rFonts w:hint="eastAsia" w:ascii="Times New Roman" w:hAnsi="Times New Roman" w:eastAsiaTheme="minorEastAsia"/>
                <w:b/>
                <w:color w:val="FF0000"/>
                <w:u w:val="single"/>
              </w:rPr>
              <w:t>）</w:t>
            </w:r>
          </w:p>
        </w:tc>
        <w:tc>
          <w:tcPr>
            <w:tcW w:w="853" w:type="pct"/>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最不利pH值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77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0.5</w:t>
            </w:r>
          </w:p>
        </w:tc>
        <w:tc>
          <w:tcPr>
            <w:tcW w:w="1225"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18227.49</w:t>
            </w:r>
          </w:p>
        </w:tc>
        <w:tc>
          <w:tcPr>
            <w:tcW w:w="100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460.3</w:t>
            </w:r>
          </w:p>
        </w:tc>
        <w:tc>
          <w:tcPr>
            <w:tcW w:w="114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1.88</w:t>
            </w:r>
          </w:p>
        </w:tc>
        <w:tc>
          <w:tcPr>
            <w:tcW w:w="853"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77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w:t>
            </w:r>
          </w:p>
        </w:tc>
        <w:tc>
          <w:tcPr>
            <w:tcW w:w="1225"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27982.49</w:t>
            </w:r>
          </w:p>
        </w:tc>
        <w:tc>
          <w:tcPr>
            <w:tcW w:w="100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595.4</w:t>
            </w:r>
          </w:p>
        </w:tc>
        <w:tc>
          <w:tcPr>
            <w:tcW w:w="114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1.37</w:t>
            </w:r>
          </w:p>
        </w:tc>
        <w:tc>
          <w:tcPr>
            <w:tcW w:w="853"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77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1.5</w:t>
            </w:r>
          </w:p>
        </w:tc>
        <w:tc>
          <w:tcPr>
            <w:tcW w:w="1225"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31719.97</w:t>
            </w:r>
          </w:p>
        </w:tc>
        <w:tc>
          <w:tcPr>
            <w:tcW w:w="100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792.6</w:t>
            </w:r>
          </w:p>
        </w:tc>
        <w:tc>
          <w:tcPr>
            <w:tcW w:w="114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0.85</w:t>
            </w:r>
          </w:p>
        </w:tc>
        <w:tc>
          <w:tcPr>
            <w:tcW w:w="853"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77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w:t>
            </w:r>
          </w:p>
        </w:tc>
        <w:tc>
          <w:tcPr>
            <w:tcW w:w="1225"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39808.78 .</w:t>
            </w:r>
          </w:p>
        </w:tc>
        <w:tc>
          <w:tcPr>
            <w:tcW w:w="100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1154.4</w:t>
            </w:r>
          </w:p>
        </w:tc>
        <w:tc>
          <w:tcPr>
            <w:tcW w:w="114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0.17</w:t>
            </w:r>
          </w:p>
        </w:tc>
        <w:tc>
          <w:tcPr>
            <w:tcW w:w="853"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4.07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77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6</w:t>
            </w:r>
          </w:p>
        </w:tc>
        <w:tc>
          <w:tcPr>
            <w:tcW w:w="1225"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59150.62</w:t>
            </w:r>
          </w:p>
        </w:tc>
        <w:tc>
          <w:tcPr>
            <w:tcW w:w="1000"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1814.3</w:t>
            </w:r>
          </w:p>
        </w:tc>
        <w:tc>
          <w:tcPr>
            <w:tcW w:w="1146"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0.07</w:t>
            </w:r>
          </w:p>
        </w:tc>
        <w:tc>
          <w:tcPr>
            <w:tcW w:w="853" w:type="pct"/>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4.46</w:t>
            </w:r>
          </w:p>
        </w:tc>
      </w:tr>
    </w:tbl>
    <w:p>
      <w:pPr>
        <w:adjustRightInd w:val="0"/>
        <w:snapToGrid w:val="0"/>
        <w:spacing w:line="360" w:lineRule="auto"/>
        <w:rPr>
          <w:rFonts w:ascii="Times New Roman" w:hAnsi="Times New Roman" w:eastAsiaTheme="minorEastAsia"/>
          <w:color w:val="FF0000"/>
          <w:sz w:val="24"/>
          <w:szCs w:val="24"/>
          <w:u w:val="single"/>
        </w:rPr>
      </w:pPr>
    </w:p>
    <w:p>
      <w:pPr>
        <w:adjustRightInd w:val="0"/>
        <w:snapToGrid w:val="0"/>
        <w:spacing w:line="360" w:lineRule="auto"/>
        <w:ind w:firstLine="482"/>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由表</w:t>
      </w:r>
      <w:r>
        <w:rPr>
          <w:rFonts w:hint="eastAsia" w:ascii="Times New Roman" w:hAnsi="Times New Roman" w:eastAsiaTheme="minorEastAsia"/>
          <w:color w:val="FF0000"/>
          <w:sz w:val="24"/>
          <w:szCs w:val="24"/>
          <w:u w:val="single"/>
        </w:rPr>
        <w:t>6.8-</w:t>
      </w:r>
      <w:r>
        <w:rPr>
          <w:rFonts w:hint="eastAsia" w:ascii="Times New Roman" w:hAnsi="Times New Roman" w:eastAsiaTheme="minorEastAsia"/>
          <w:color w:val="FF0000"/>
          <w:sz w:val="24"/>
          <w:szCs w:val="24"/>
          <w:u w:val="single"/>
          <w:lang w:val="en-US" w:eastAsia="zh-CN"/>
        </w:rPr>
        <w:t>22</w:t>
      </w:r>
      <w:r>
        <w:rPr>
          <w:rFonts w:ascii="Times New Roman" w:hAnsi="Times New Roman" w:eastAsiaTheme="minorEastAsia"/>
          <w:color w:val="FF0000"/>
          <w:sz w:val="24"/>
          <w:szCs w:val="24"/>
          <w:u w:val="single"/>
        </w:rPr>
        <w:t>可知，事故发生后0.5h，污染物影响面积为18227.49m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，扩散距离460.3m，此时污染物最大浓度为1.88mg/L，即最不利pH值为3.03；事故发生后lh，污染物影响面积为27982.49m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，打散距离595.4m，此时污染物最大浓度为1.37mg/L。扩散距离460.3m，即最不利pH值为3.16；事故发生后1.5h，污染物影响面积为31719.97m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，扩散距离792.6m，此时污染物最大浓度为0.85mg/L，即最不利pH值为3.37；事故发生后3h，污染物影响面积为39808.78m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，扩散距离1154.4m，此时污染物最大浓度为0.17mg/L，即最不利pH值为4.07；事故发生后6h，污染物影响面积为59150.62m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扩散距离1814.3m，此时污染物最大浓度为0.07mg/L，即最不利pH值为4.46。预测结果表明，硫酸泄漏入水会对长江水质产生较大影响，造成水体的pH值过低。pH值过低，会使水中细菌、藻类及浮游动物活动受到抑制，硝化细菌的分解作用受阻，有机物不易降解，水体自净能力降低，水质恶化。</w:t>
      </w:r>
    </w:p>
    <w:p>
      <w:pPr>
        <w:pStyle w:val="5"/>
        <w:rPr>
          <w:rFonts w:eastAsiaTheme="minorEastAsia"/>
        </w:rPr>
      </w:pPr>
      <w:r>
        <w:rPr>
          <w:rFonts w:eastAsiaTheme="minorEastAsia"/>
        </w:rPr>
        <w:t>影响分析</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本项目大部分输料管线位于码头后方厂区，厂区内管线破裂泄漏的液体化学品将会被截留在厂区沟渠内，不会泄漏进入长江。</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码头区域设置了4个收集池和2个围堰，收集池位于接卸口下方，尺寸为2.0m×1.0m×0.5m；围堰尺寸为31.5m×2.0m×0.2m。码头区域大分部管道破裂后泄漏的液体化学品可收集于收集池和围堰范围内，仅码头接卸口与船舶连接的软管破裂泄漏的液体化学品存在泄漏进入长江的风险，但此类风险事故发生的概率较低。在本码头运营过程中，长炼厂区应制定严格的巡护检查制度，明确检查人员、检查时间、检查部门、应检查的项目，操作人员和维修人员均要按照各自岗位责任和要求定期按巡回检查路线完成每个部位、每个项目的检查，做好巡护检查记录，发现异常情况应及时汇报和处理。巡护检查的项目主要包括各项工艺操作指标参数、运行情况、系统的平稳情况；管道接头、阀门及各管件密封无泄漏情况</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防腐层、保温层是否完好等。采取上述措施后，将进一步降低液体化学品泄漏事故发生的概率。</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综上所述，本项目液体化学品泄漏事故的概率较低，通过加强码头和船舶进出港的管理，制定严格的码头巡护检查制度，进一步降低事故发生的概率：制定应急预案，并准备必要的防护物资，减少事故发生时的环境危害。本项目液体化学品泄漏事故的环境风险处于可接受的水平。</w:t>
      </w:r>
    </w:p>
    <w:p>
      <w:pPr>
        <w:pStyle w:val="5"/>
        <w:rPr>
          <w:rFonts w:eastAsiaTheme="minorEastAsia"/>
        </w:rPr>
      </w:pPr>
      <w:bookmarkStart w:id="167" w:name="_Toc353885902"/>
      <w:bookmarkStart w:id="168" w:name="_Toc312680486"/>
      <w:bookmarkStart w:id="169" w:name="_Toc491031788"/>
      <w:r>
        <w:rPr>
          <w:rFonts w:eastAsiaTheme="minorEastAsia"/>
        </w:rPr>
        <w:t>制定事故应急计划</w:t>
      </w:r>
      <w:bookmarkEnd w:id="167"/>
      <w:bookmarkEnd w:id="168"/>
      <w:bookmarkEnd w:id="169"/>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本次评价主要针对溢油</w:t>
      </w:r>
      <w:r>
        <w:rPr>
          <w:rFonts w:hint="eastAsia" w:ascii="Times New Roman" w:hAnsi="Times New Roman" w:eastAsiaTheme="minorEastAsia"/>
          <w:color w:val="000000" w:themeColor="text1"/>
          <w:sz w:val="24"/>
          <w:szCs w:val="24"/>
          <w14:textFill>
            <w14:solidFill>
              <w14:schemeClr w14:val="tx1"/>
            </w14:solidFill>
          </w14:textFill>
        </w:rPr>
        <w:t>及液体化学品</w:t>
      </w:r>
      <w:r>
        <w:rPr>
          <w:rFonts w:ascii="Times New Roman" w:hAnsi="Times New Roman" w:eastAsiaTheme="minorEastAsia"/>
          <w:color w:val="000000" w:themeColor="text1"/>
          <w:sz w:val="24"/>
          <w:szCs w:val="24"/>
          <w14:textFill>
            <w14:solidFill>
              <w14:schemeClr w14:val="tx1"/>
            </w14:solidFill>
          </w14:textFill>
        </w:rPr>
        <w:t>风险提出具体的风险应急措施及预案要求，如下：</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1、应急组织指挥机构</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事故溢油</w:t>
      </w:r>
      <w:r>
        <w:rPr>
          <w:rFonts w:hint="eastAsia" w:ascii="Times New Roman" w:hAnsi="Times New Roman" w:eastAsiaTheme="minorEastAsia"/>
          <w:color w:val="000000" w:themeColor="text1"/>
          <w:sz w:val="24"/>
          <w:szCs w:val="24"/>
          <w14:textFill>
            <w14:solidFill>
              <w14:schemeClr w14:val="tx1"/>
            </w14:solidFill>
          </w14:textFill>
        </w:rPr>
        <w:t>及液体化学品</w:t>
      </w:r>
      <w:r>
        <w:rPr>
          <w:rFonts w:ascii="Times New Roman" w:hAnsi="Times New Roman" w:eastAsiaTheme="minorEastAsia"/>
          <w:color w:val="000000" w:themeColor="text1"/>
          <w:sz w:val="24"/>
          <w:szCs w:val="24"/>
          <w14:textFill>
            <w14:solidFill>
              <w14:schemeClr w14:val="tx1"/>
            </w14:solidFill>
          </w14:textFill>
        </w:rPr>
        <w:t>应急组织指挥机构见图</w:t>
      </w:r>
      <w:r>
        <w:rPr>
          <w:rFonts w:hint="eastAsia" w:ascii="Times New Roman" w:hAnsi="Times New Roman" w:eastAsiaTheme="minorEastAsia"/>
          <w:color w:val="000000" w:themeColor="text1"/>
          <w:sz w:val="24"/>
          <w:szCs w:val="24"/>
          <w14:textFill>
            <w14:solidFill>
              <w14:schemeClr w14:val="tx1"/>
            </w14:solidFill>
          </w14:textFill>
        </w:rPr>
        <w:t>6.8</w:t>
      </w:r>
      <w:r>
        <w:rPr>
          <w:rFonts w:ascii="Times New Roman" w:hAnsi="Times New Roman" w:eastAsiaTheme="minorEastAsia"/>
          <w:color w:val="000000" w:themeColor="text1"/>
          <w:sz w:val="24"/>
          <w:szCs w:val="24"/>
          <w14:textFill>
            <w14:solidFill>
              <w14:schemeClr w14:val="tx1"/>
            </w14:solidFill>
          </w14:textFill>
        </w:rPr>
        <w:t>-1。</w:t>
      </w:r>
    </w:p>
    <w:p>
      <w:pPr>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mc:AlternateContent>
          <mc:Choice Requires="wpc">
            <w:drawing>
              <wp:inline distT="0" distB="0" distL="0" distR="0">
                <wp:extent cx="5848350" cy="4356735"/>
                <wp:effectExtent l="0" t="0" r="19050" b="24765"/>
                <wp:docPr id="300" name="画布 300"/>
                <wp:cNvGraphicFramePr/>
                <a:graphic xmlns:a="http://schemas.openxmlformats.org/drawingml/2006/main">
                  <a:graphicData uri="http://schemas.microsoft.com/office/word/2010/wordprocessingCanvas">
                    <wpc:wpc>
                      <wpc:bg>
                        <a:noFill/>
                      </wpc:bg>
                      <wpc:whole>
                        <a:ln w="19050" cap="flat" cmpd="sng" algn="ctr">
                          <a:solidFill>
                            <a:srgbClr val="000000"/>
                          </a:solidFill>
                          <a:prstDash val="solid"/>
                          <a:miter lim="800000"/>
                          <a:headEnd type="none" w="med" len="med"/>
                          <a:tailEnd type="none" w="med" len="med"/>
                        </a:ln>
                      </wpc:whole>
                      <wps:wsp>
                        <wps:cNvPr id="37" name="Text Box 39256"/>
                        <wps:cNvSpPr txBox="1">
                          <a:spLocks noChangeArrowheads="1"/>
                        </wps:cNvSpPr>
                        <wps:spPr bwMode="auto">
                          <a:xfrm>
                            <a:off x="1540693" y="85800"/>
                            <a:ext cx="2525917" cy="267801"/>
                          </a:xfrm>
                          <a:prstGeom prst="rect">
                            <a:avLst/>
                          </a:prstGeom>
                          <a:solidFill>
                            <a:srgbClr val="FFFFFF"/>
                          </a:solidFill>
                          <a:ln w="9525">
                            <a:solidFill>
                              <a:srgbClr val="000000"/>
                            </a:solidFill>
                            <a:miter lim="800000"/>
                          </a:ln>
                        </wps:spPr>
                        <wps:txbx>
                          <w:txbxContent>
                            <w:p>
                              <w:pPr>
                                <w:jc w:val="center"/>
                              </w:pPr>
                              <w:r>
                                <w:rPr>
                                  <w:rFonts w:hint="eastAsia"/>
                                </w:rPr>
                                <w:t>岳阳海事局海事监管中心（事故总指挥）</w:t>
                              </w:r>
                            </w:p>
                          </w:txbxContent>
                        </wps:txbx>
                        <wps:bodyPr rot="0" vert="horz" wrap="square" lIns="0" tIns="45720" rIns="0" bIns="45720" anchor="t" anchorCtr="0" upright="1">
                          <a:noAutofit/>
                        </wps:bodyPr>
                      </wps:wsp>
                      <wps:wsp>
                        <wps:cNvPr id="38" name="Line 39257"/>
                        <wps:cNvCnPr>
                          <a:cxnSpLocks noChangeShapeType="1"/>
                        </wps:cNvCnPr>
                        <wps:spPr bwMode="auto">
                          <a:xfrm>
                            <a:off x="2283787" y="349301"/>
                            <a:ext cx="0" cy="263501"/>
                          </a:xfrm>
                          <a:prstGeom prst="line">
                            <a:avLst/>
                          </a:prstGeom>
                          <a:noFill/>
                          <a:ln w="9525">
                            <a:solidFill>
                              <a:srgbClr val="000000"/>
                            </a:solidFill>
                            <a:round/>
                            <a:tailEnd type="triangle" w="sm" len="lg"/>
                          </a:ln>
                        </wps:spPr>
                        <wps:bodyPr/>
                      </wps:wsp>
                      <wps:wsp>
                        <wps:cNvPr id="30" name="Text Box 39258"/>
                        <wps:cNvSpPr txBox="1">
                          <a:spLocks noChangeArrowheads="1"/>
                        </wps:cNvSpPr>
                        <wps:spPr bwMode="auto">
                          <a:xfrm>
                            <a:off x="1540693" y="621302"/>
                            <a:ext cx="1383274" cy="253301"/>
                          </a:xfrm>
                          <a:prstGeom prst="rect">
                            <a:avLst/>
                          </a:prstGeom>
                          <a:solidFill>
                            <a:srgbClr val="FFFFFF"/>
                          </a:solidFill>
                          <a:ln w="9525">
                            <a:solidFill>
                              <a:srgbClr val="000000"/>
                            </a:solidFill>
                            <a:miter lim="800000"/>
                          </a:ln>
                        </wps:spPr>
                        <wps:txbx>
                          <w:txbxContent>
                            <w:p>
                              <w:pPr>
                                <w:jc w:val="center"/>
                              </w:pPr>
                              <w:r>
                                <w:rPr>
                                  <w:rFonts w:hint="eastAsia"/>
                                </w:rPr>
                                <w:t>环保主管部门</w:t>
                              </w:r>
                            </w:p>
                          </w:txbxContent>
                        </wps:txbx>
                        <wps:bodyPr rot="0" vert="horz" wrap="square" lIns="91440" tIns="45720" rIns="91440" bIns="45720" anchor="t" anchorCtr="0" upright="1">
                          <a:noAutofit/>
                        </wps:bodyPr>
                      </wps:wsp>
                      <wps:wsp>
                        <wps:cNvPr id="40" name="Line 39259"/>
                        <wps:cNvCnPr>
                          <a:cxnSpLocks noChangeShapeType="1"/>
                        </wps:cNvCnPr>
                        <wps:spPr bwMode="auto">
                          <a:xfrm>
                            <a:off x="2264184" y="952004"/>
                            <a:ext cx="0" cy="349401"/>
                          </a:xfrm>
                          <a:prstGeom prst="line">
                            <a:avLst/>
                          </a:prstGeom>
                          <a:noFill/>
                          <a:ln w="9525">
                            <a:solidFill>
                              <a:srgbClr val="000000"/>
                            </a:solidFill>
                            <a:round/>
                            <a:tailEnd type="triangle" w="sm" len="lg"/>
                          </a:ln>
                        </wps:spPr>
                        <wps:bodyPr/>
                      </wps:wsp>
                      <wps:wsp>
                        <wps:cNvPr id="41" name="Text Box 39260"/>
                        <wps:cNvSpPr txBox="1">
                          <a:spLocks noChangeArrowheads="1"/>
                        </wps:cNvSpPr>
                        <wps:spPr bwMode="auto">
                          <a:xfrm>
                            <a:off x="796290" y="1308100"/>
                            <a:ext cx="4486275" cy="301625"/>
                          </a:xfrm>
                          <a:prstGeom prst="rect">
                            <a:avLst/>
                          </a:prstGeom>
                          <a:solidFill>
                            <a:srgbClr val="FFFFFF"/>
                          </a:solidFill>
                          <a:ln w="9525">
                            <a:solidFill>
                              <a:srgbClr val="000000"/>
                            </a:solidFill>
                            <a:miter lim="800000"/>
                          </a:ln>
                        </wps:spPr>
                        <wps:txbx>
                          <w:txbxContent>
                            <w:p>
                              <w:pPr>
                                <w:jc w:val="center"/>
                              </w:pPr>
                              <w:r>
                                <w:rPr>
                                  <w:rFonts w:hint="eastAsia"/>
                                </w:rPr>
                                <w:t>中国石化集团资产经营管理有限公司长岭分公司生产安全部（现场总监）</w:t>
                              </w:r>
                            </w:p>
                          </w:txbxContent>
                        </wps:txbx>
                        <wps:bodyPr rot="0" vert="horz" wrap="square" lIns="91440" tIns="45720" rIns="91440" bIns="45720" anchor="t" anchorCtr="0" upright="1">
                          <a:noAutofit/>
                        </wps:bodyPr>
                      </wps:wsp>
                      <wps:wsp>
                        <wps:cNvPr id="42" name="Line 39261"/>
                        <wps:cNvCnPr>
                          <a:cxnSpLocks noChangeShapeType="1"/>
                        </wps:cNvCnPr>
                        <wps:spPr bwMode="auto">
                          <a:xfrm>
                            <a:off x="2264184" y="1575106"/>
                            <a:ext cx="0" cy="235501"/>
                          </a:xfrm>
                          <a:prstGeom prst="line">
                            <a:avLst/>
                          </a:prstGeom>
                          <a:noFill/>
                          <a:ln w="9525">
                            <a:solidFill>
                              <a:srgbClr val="000000"/>
                            </a:solidFill>
                            <a:round/>
                            <a:headEnd type="triangle" w="med" len="med"/>
                            <a:tailEnd type="triangle" w="med" len="med"/>
                          </a:ln>
                        </wps:spPr>
                        <wps:bodyPr/>
                      </wps:wsp>
                      <wps:wsp>
                        <wps:cNvPr id="44" name="Line 39262"/>
                        <wps:cNvCnPr>
                          <a:cxnSpLocks noChangeShapeType="1"/>
                        </wps:cNvCnPr>
                        <wps:spPr bwMode="auto">
                          <a:xfrm>
                            <a:off x="1270259" y="197201"/>
                            <a:ext cx="0" cy="992004"/>
                          </a:xfrm>
                          <a:prstGeom prst="line">
                            <a:avLst/>
                          </a:prstGeom>
                          <a:noFill/>
                          <a:ln w="9525">
                            <a:solidFill>
                              <a:srgbClr val="000000"/>
                            </a:solidFill>
                            <a:round/>
                          </a:ln>
                        </wps:spPr>
                        <wps:bodyPr/>
                      </wps:wsp>
                      <wps:wsp>
                        <wps:cNvPr id="45" name="Line 39263"/>
                        <wps:cNvCnPr>
                          <a:cxnSpLocks noChangeShapeType="1"/>
                        </wps:cNvCnPr>
                        <wps:spPr bwMode="auto">
                          <a:xfrm>
                            <a:off x="1260058" y="1173004"/>
                            <a:ext cx="904614" cy="0"/>
                          </a:xfrm>
                          <a:prstGeom prst="line">
                            <a:avLst/>
                          </a:prstGeom>
                          <a:noFill/>
                          <a:ln w="9525">
                            <a:solidFill>
                              <a:srgbClr val="000000"/>
                            </a:solidFill>
                            <a:round/>
                            <a:tailEnd type="triangle" w="sm" len="lg"/>
                          </a:ln>
                        </wps:spPr>
                        <wps:bodyPr/>
                      </wps:wsp>
                      <wps:wsp>
                        <wps:cNvPr id="46" name="Line 39264"/>
                        <wps:cNvCnPr>
                          <a:cxnSpLocks noChangeShapeType="1"/>
                        </wps:cNvCnPr>
                        <wps:spPr bwMode="auto">
                          <a:xfrm>
                            <a:off x="1224354" y="1809707"/>
                            <a:ext cx="2141669" cy="0"/>
                          </a:xfrm>
                          <a:prstGeom prst="line">
                            <a:avLst/>
                          </a:prstGeom>
                          <a:noFill/>
                          <a:ln w="9525">
                            <a:solidFill>
                              <a:srgbClr val="000000"/>
                            </a:solidFill>
                            <a:round/>
                          </a:ln>
                        </wps:spPr>
                        <wps:bodyPr/>
                      </wps:wsp>
                      <wps:wsp>
                        <wps:cNvPr id="47" name="Line 39265"/>
                        <wps:cNvCnPr>
                          <a:cxnSpLocks noChangeShapeType="1"/>
                        </wps:cNvCnPr>
                        <wps:spPr bwMode="auto">
                          <a:xfrm>
                            <a:off x="1224354" y="1809707"/>
                            <a:ext cx="0" cy="234601"/>
                          </a:xfrm>
                          <a:prstGeom prst="line">
                            <a:avLst/>
                          </a:prstGeom>
                          <a:noFill/>
                          <a:ln w="9525">
                            <a:solidFill>
                              <a:srgbClr val="000000"/>
                            </a:solidFill>
                            <a:round/>
                            <a:tailEnd type="triangle" w="sm" len="lg"/>
                          </a:ln>
                        </wps:spPr>
                        <wps:bodyPr/>
                      </wps:wsp>
                      <wps:wsp>
                        <wps:cNvPr id="48" name="Line 39266"/>
                        <wps:cNvCnPr>
                          <a:cxnSpLocks noChangeShapeType="1"/>
                        </wps:cNvCnPr>
                        <wps:spPr bwMode="auto">
                          <a:xfrm>
                            <a:off x="3363522" y="1809707"/>
                            <a:ext cx="0" cy="234601"/>
                          </a:xfrm>
                          <a:prstGeom prst="line">
                            <a:avLst/>
                          </a:prstGeom>
                          <a:noFill/>
                          <a:ln w="9525">
                            <a:solidFill>
                              <a:srgbClr val="000000"/>
                            </a:solidFill>
                            <a:round/>
                            <a:tailEnd type="triangle" w="sm" len="lg"/>
                          </a:ln>
                        </wps:spPr>
                        <wps:bodyPr/>
                      </wps:wsp>
                      <wps:wsp>
                        <wps:cNvPr id="49" name="Text Box 39267"/>
                        <wps:cNvSpPr txBox="1">
                          <a:spLocks noChangeArrowheads="1"/>
                        </wps:cNvSpPr>
                        <wps:spPr bwMode="auto">
                          <a:xfrm>
                            <a:off x="480060" y="2044065"/>
                            <a:ext cx="1069340" cy="260985"/>
                          </a:xfrm>
                          <a:prstGeom prst="rect">
                            <a:avLst/>
                          </a:prstGeom>
                          <a:solidFill>
                            <a:srgbClr val="FFFFFF"/>
                          </a:solidFill>
                          <a:ln w="9525">
                            <a:solidFill>
                              <a:srgbClr val="000000"/>
                            </a:solidFill>
                            <a:miter lim="800000"/>
                          </a:ln>
                        </wps:spPr>
                        <wps:txbx>
                          <w:txbxContent>
                            <w:p>
                              <w:pPr>
                                <w:jc w:val="center"/>
                              </w:pPr>
                              <w:r>
                                <w:rPr>
                                  <w:rFonts w:hint="eastAsia"/>
                                </w:rPr>
                                <w:t>码头区工作人员</w:t>
                              </w:r>
                            </w:p>
                          </w:txbxContent>
                        </wps:txbx>
                        <wps:bodyPr rot="0" vert="horz" wrap="square" lIns="0" tIns="45720" rIns="0" bIns="45720" anchor="t" anchorCtr="0" upright="1">
                          <a:noAutofit/>
                        </wps:bodyPr>
                      </wps:wsp>
                      <wps:wsp>
                        <wps:cNvPr id="50" name="Text Box 39268"/>
                        <wps:cNvSpPr txBox="1">
                          <a:spLocks noChangeArrowheads="1"/>
                        </wps:cNvSpPr>
                        <wps:spPr bwMode="auto">
                          <a:xfrm>
                            <a:off x="1605280" y="2008505"/>
                            <a:ext cx="4208780" cy="271145"/>
                          </a:xfrm>
                          <a:prstGeom prst="rect">
                            <a:avLst/>
                          </a:prstGeom>
                          <a:solidFill>
                            <a:srgbClr val="FFFFFF"/>
                          </a:solidFill>
                          <a:ln w="9525">
                            <a:solidFill>
                              <a:srgbClr val="000000"/>
                            </a:solidFill>
                            <a:miter lim="800000"/>
                          </a:ln>
                        </wps:spPr>
                        <wps:txbx>
                          <w:txbxContent>
                            <w:p>
                              <w:pPr>
                                <w:jc w:val="center"/>
                              </w:pPr>
                              <w:r>
                                <w:rPr>
                                  <w:rFonts w:hint="eastAsia"/>
                                </w:rPr>
                                <w:t>中国石化集团资产经营管理有限公司长岭分公司生产安全部应急小组</w:t>
                              </w:r>
                            </w:p>
                          </w:txbxContent>
                        </wps:txbx>
                        <wps:bodyPr rot="0" vert="horz" wrap="square" lIns="0" tIns="45720" rIns="0" bIns="45720" anchor="t" anchorCtr="0" upright="1">
                          <a:noAutofit/>
                        </wps:bodyPr>
                      </wps:wsp>
                      <wps:wsp>
                        <wps:cNvPr id="51" name="Line 39269"/>
                        <wps:cNvCnPr>
                          <a:cxnSpLocks noChangeShapeType="1"/>
                        </wps:cNvCnPr>
                        <wps:spPr bwMode="auto">
                          <a:xfrm>
                            <a:off x="3349020" y="2278109"/>
                            <a:ext cx="0" cy="232901"/>
                          </a:xfrm>
                          <a:prstGeom prst="line">
                            <a:avLst/>
                          </a:prstGeom>
                          <a:noFill/>
                          <a:ln w="9525">
                            <a:solidFill>
                              <a:srgbClr val="000000"/>
                            </a:solidFill>
                            <a:round/>
                            <a:headEnd type="triangle" w="med" len="med"/>
                            <a:tailEnd type="triangle" w="med" len="med"/>
                          </a:ln>
                        </wps:spPr>
                        <wps:bodyPr/>
                      </wps:wsp>
                      <wps:wsp>
                        <wps:cNvPr id="52" name="Line 39270"/>
                        <wps:cNvCnPr>
                          <a:cxnSpLocks noChangeShapeType="1"/>
                        </wps:cNvCnPr>
                        <wps:spPr bwMode="auto">
                          <a:xfrm>
                            <a:off x="2445307" y="2512710"/>
                            <a:ext cx="1807527" cy="0"/>
                          </a:xfrm>
                          <a:prstGeom prst="line">
                            <a:avLst/>
                          </a:prstGeom>
                          <a:noFill/>
                          <a:ln w="9525">
                            <a:solidFill>
                              <a:srgbClr val="000000"/>
                            </a:solidFill>
                            <a:round/>
                          </a:ln>
                        </wps:spPr>
                        <wps:bodyPr/>
                      </wps:wsp>
                      <wps:wsp>
                        <wps:cNvPr id="53" name="Line 39271"/>
                        <wps:cNvCnPr>
                          <a:cxnSpLocks noChangeShapeType="1"/>
                        </wps:cNvCnPr>
                        <wps:spPr bwMode="auto">
                          <a:xfrm>
                            <a:off x="2445307" y="2512710"/>
                            <a:ext cx="0" cy="234601"/>
                          </a:xfrm>
                          <a:prstGeom prst="line">
                            <a:avLst/>
                          </a:prstGeom>
                          <a:noFill/>
                          <a:ln w="9525">
                            <a:solidFill>
                              <a:srgbClr val="000000"/>
                            </a:solidFill>
                            <a:round/>
                            <a:tailEnd type="triangle" w="sm" len="lg"/>
                          </a:ln>
                        </wps:spPr>
                        <wps:bodyPr/>
                      </wps:wsp>
                      <wps:wsp>
                        <wps:cNvPr id="54" name="Text Box 39272"/>
                        <wps:cNvSpPr txBox="1">
                          <a:spLocks noChangeArrowheads="1"/>
                        </wps:cNvSpPr>
                        <wps:spPr bwMode="auto">
                          <a:xfrm>
                            <a:off x="2354296" y="2746479"/>
                            <a:ext cx="271234" cy="1268930"/>
                          </a:xfrm>
                          <a:prstGeom prst="rect">
                            <a:avLst/>
                          </a:prstGeom>
                          <a:solidFill>
                            <a:srgbClr val="FFFFFF"/>
                          </a:solidFill>
                          <a:ln w="9525">
                            <a:solidFill>
                              <a:srgbClr val="000000"/>
                            </a:solidFill>
                            <a:miter lim="800000"/>
                          </a:ln>
                        </wps:spPr>
                        <wps:txbx>
                          <w:txbxContent>
                            <w:p>
                              <w:pPr>
                                <w:jc w:val="center"/>
                              </w:pPr>
                              <w:r>
                                <w:rPr>
                                  <w:rFonts w:hint="eastAsia"/>
                                </w:rPr>
                                <w:t>组长副组长</w:t>
                              </w:r>
                            </w:p>
                          </w:txbxContent>
                        </wps:txbx>
                        <wps:bodyPr rot="0" vert="horz" wrap="square" lIns="0" tIns="45720" rIns="0" bIns="45720" anchor="t" anchorCtr="0" upright="1">
                          <a:noAutofit/>
                        </wps:bodyPr>
                      </wps:wsp>
                      <wps:wsp>
                        <wps:cNvPr id="55" name="Line 39273"/>
                        <wps:cNvCnPr>
                          <a:cxnSpLocks noChangeShapeType="1"/>
                        </wps:cNvCnPr>
                        <wps:spPr bwMode="auto">
                          <a:xfrm>
                            <a:off x="3077886" y="2512710"/>
                            <a:ext cx="0" cy="234601"/>
                          </a:xfrm>
                          <a:prstGeom prst="line">
                            <a:avLst/>
                          </a:prstGeom>
                          <a:noFill/>
                          <a:ln w="9525">
                            <a:solidFill>
                              <a:srgbClr val="000000"/>
                            </a:solidFill>
                            <a:round/>
                            <a:tailEnd type="triangle" w="sm" len="lg"/>
                          </a:ln>
                        </wps:spPr>
                        <wps:bodyPr/>
                      </wps:wsp>
                      <wps:wsp>
                        <wps:cNvPr id="56" name="Text Box 39274"/>
                        <wps:cNvSpPr txBox="1">
                          <a:spLocks noChangeArrowheads="1"/>
                        </wps:cNvSpPr>
                        <wps:spPr bwMode="auto">
                          <a:xfrm>
                            <a:off x="2949470" y="2746844"/>
                            <a:ext cx="271234" cy="1339582"/>
                          </a:xfrm>
                          <a:prstGeom prst="rect">
                            <a:avLst/>
                          </a:prstGeom>
                          <a:solidFill>
                            <a:srgbClr val="FFFFFF"/>
                          </a:solidFill>
                          <a:ln w="9525">
                            <a:solidFill>
                              <a:srgbClr val="000000"/>
                            </a:solidFill>
                            <a:miter lim="800000"/>
                          </a:ln>
                        </wps:spPr>
                        <wps:txbx>
                          <w:txbxContent>
                            <w:p>
                              <w:pPr>
                                <w:jc w:val="center"/>
                              </w:pPr>
                              <w:r>
                                <w:rPr>
                                  <w:rFonts w:hint="eastAsia"/>
                                </w:rPr>
                                <w:t>预测评估人员</w:t>
                              </w:r>
                            </w:p>
                          </w:txbxContent>
                        </wps:txbx>
                        <wps:bodyPr rot="0" vert="horz" wrap="square" lIns="91440" tIns="45720" rIns="91440" bIns="45720" anchor="t" anchorCtr="0" upright="1">
                          <a:noAutofit/>
                        </wps:bodyPr>
                      </wps:wsp>
                      <wps:wsp>
                        <wps:cNvPr id="57" name="Line 39275"/>
                        <wps:cNvCnPr>
                          <a:cxnSpLocks noChangeShapeType="1"/>
                        </wps:cNvCnPr>
                        <wps:spPr bwMode="auto">
                          <a:xfrm>
                            <a:off x="3612654" y="2512710"/>
                            <a:ext cx="0" cy="234601"/>
                          </a:xfrm>
                          <a:prstGeom prst="line">
                            <a:avLst/>
                          </a:prstGeom>
                          <a:noFill/>
                          <a:ln w="9525">
                            <a:solidFill>
                              <a:srgbClr val="000000"/>
                            </a:solidFill>
                            <a:round/>
                            <a:tailEnd type="triangle" w="sm" len="lg"/>
                          </a:ln>
                        </wps:spPr>
                        <wps:bodyPr/>
                      </wps:wsp>
                      <wps:wsp>
                        <wps:cNvPr id="58" name="Text Box 39276"/>
                        <wps:cNvSpPr txBox="1">
                          <a:spLocks noChangeArrowheads="1"/>
                        </wps:cNvSpPr>
                        <wps:spPr bwMode="auto">
                          <a:xfrm>
                            <a:off x="3522542" y="2746844"/>
                            <a:ext cx="271134" cy="1355482"/>
                          </a:xfrm>
                          <a:prstGeom prst="rect">
                            <a:avLst/>
                          </a:prstGeom>
                          <a:solidFill>
                            <a:srgbClr val="FFFFFF"/>
                          </a:solidFill>
                          <a:ln w="9525">
                            <a:solidFill>
                              <a:srgbClr val="000000"/>
                            </a:solidFill>
                            <a:miter lim="800000"/>
                          </a:ln>
                        </wps:spPr>
                        <wps:txbx>
                          <w:txbxContent>
                            <w:p>
                              <w:pPr>
                                <w:jc w:val="center"/>
                              </w:pPr>
                              <w:r>
                                <w:rPr>
                                  <w:rFonts w:hint="eastAsia"/>
                                </w:rPr>
                                <w:t>应急处理人员</w:t>
                              </w:r>
                            </w:p>
                          </w:txbxContent>
                        </wps:txbx>
                        <wps:bodyPr rot="0" vert="horz" wrap="square" lIns="91440" tIns="45720" rIns="91440" bIns="45720" anchor="t" anchorCtr="0" upright="1">
                          <a:noAutofit/>
                        </wps:bodyPr>
                      </wps:wsp>
                      <wps:wsp>
                        <wps:cNvPr id="59" name="Line 39277"/>
                        <wps:cNvCnPr>
                          <a:cxnSpLocks noChangeShapeType="1"/>
                        </wps:cNvCnPr>
                        <wps:spPr bwMode="auto">
                          <a:xfrm>
                            <a:off x="4252834" y="2512710"/>
                            <a:ext cx="0" cy="234601"/>
                          </a:xfrm>
                          <a:prstGeom prst="line">
                            <a:avLst/>
                          </a:prstGeom>
                          <a:noFill/>
                          <a:ln w="9525">
                            <a:solidFill>
                              <a:srgbClr val="000000"/>
                            </a:solidFill>
                            <a:round/>
                            <a:tailEnd type="triangle" w="sm" len="lg"/>
                          </a:ln>
                        </wps:spPr>
                        <wps:bodyPr/>
                      </wps:wsp>
                      <wps:wsp>
                        <wps:cNvPr id="60" name="Text Box 39278"/>
                        <wps:cNvSpPr txBox="1">
                          <a:spLocks noChangeArrowheads="1"/>
                        </wps:cNvSpPr>
                        <wps:spPr bwMode="auto">
                          <a:xfrm>
                            <a:off x="4162723" y="2747310"/>
                            <a:ext cx="271234" cy="861103"/>
                          </a:xfrm>
                          <a:prstGeom prst="rect">
                            <a:avLst/>
                          </a:prstGeom>
                          <a:solidFill>
                            <a:srgbClr val="FFFFFF"/>
                          </a:solidFill>
                          <a:ln w="9525">
                            <a:solidFill>
                              <a:srgbClr val="000000"/>
                            </a:solidFill>
                            <a:miter lim="800000"/>
                          </a:ln>
                        </wps:spPr>
                        <wps:txbx>
                          <w:txbxContent>
                            <w:p>
                              <w:pPr>
                                <w:jc w:val="center"/>
                              </w:pPr>
                              <w:r>
                                <w:rPr>
                                  <w:rFonts w:hint="eastAsia"/>
                                </w:rPr>
                                <w:t>值班人员</w:t>
                              </w:r>
                            </w:p>
                          </w:txbxContent>
                        </wps:txbx>
                        <wps:bodyPr rot="0" vert="horz" wrap="square" lIns="91440" tIns="45720" rIns="91440" bIns="45720" anchor="t" anchorCtr="0" upright="1">
                          <a:noAutofit/>
                        </wps:bodyPr>
                      </wps:wsp>
                      <wps:wsp>
                        <wps:cNvPr id="61" name="Line 39279"/>
                        <wps:cNvCnPr>
                          <a:cxnSpLocks noChangeShapeType="1"/>
                        </wps:cNvCnPr>
                        <wps:spPr bwMode="auto">
                          <a:xfrm>
                            <a:off x="1217553" y="2278109"/>
                            <a:ext cx="0" cy="232901"/>
                          </a:xfrm>
                          <a:prstGeom prst="line">
                            <a:avLst/>
                          </a:prstGeom>
                          <a:noFill/>
                          <a:ln w="9525">
                            <a:solidFill>
                              <a:srgbClr val="000000"/>
                            </a:solidFill>
                            <a:round/>
                            <a:headEnd type="triangle" w="sm" len="lg"/>
                            <a:tailEnd type="none" w="sm" len="lg"/>
                          </a:ln>
                        </wps:spPr>
                        <wps:bodyPr/>
                      </wps:wsp>
                      <wps:wsp>
                        <wps:cNvPr id="62" name="Line 39280"/>
                        <wps:cNvCnPr>
                          <a:cxnSpLocks noChangeShapeType="1"/>
                        </wps:cNvCnPr>
                        <wps:spPr bwMode="auto">
                          <a:xfrm>
                            <a:off x="727891" y="2512710"/>
                            <a:ext cx="903713" cy="0"/>
                          </a:xfrm>
                          <a:prstGeom prst="line">
                            <a:avLst/>
                          </a:prstGeom>
                          <a:noFill/>
                          <a:ln w="9525">
                            <a:solidFill>
                              <a:srgbClr val="000000"/>
                            </a:solidFill>
                            <a:round/>
                          </a:ln>
                        </wps:spPr>
                        <wps:bodyPr/>
                      </wps:wsp>
                      <wps:wsp>
                        <wps:cNvPr id="63" name="Line 39281"/>
                        <wps:cNvCnPr>
                          <a:cxnSpLocks noChangeShapeType="1"/>
                        </wps:cNvCnPr>
                        <wps:spPr bwMode="auto">
                          <a:xfrm>
                            <a:off x="727891" y="2511010"/>
                            <a:ext cx="0" cy="235501"/>
                          </a:xfrm>
                          <a:prstGeom prst="line">
                            <a:avLst/>
                          </a:prstGeom>
                          <a:noFill/>
                          <a:ln w="9525">
                            <a:solidFill>
                              <a:srgbClr val="000000"/>
                            </a:solidFill>
                            <a:round/>
                            <a:tailEnd type="triangle" w="sm" len="lg"/>
                          </a:ln>
                        </wps:spPr>
                        <wps:bodyPr/>
                      </wps:wsp>
                      <wps:wsp>
                        <wps:cNvPr id="288" name="Line 39282"/>
                        <wps:cNvCnPr>
                          <a:cxnSpLocks noChangeShapeType="1"/>
                        </wps:cNvCnPr>
                        <wps:spPr bwMode="auto">
                          <a:xfrm>
                            <a:off x="1631605" y="2512710"/>
                            <a:ext cx="0" cy="234601"/>
                          </a:xfrm>
                          <a:prstGeom prst="line">
                            <a:avLst/>
                          </a:prstGeom>
                          <a:noFill/>
                          <a:ln w="9525">
                            <a:solidFill>
                              <a:srgbClr val="000000"/>
                            </a:solidFill>
                            <a:round/>
                            <a:tailEnd type="triangle" w="sm" len="lg"/>
                          </a:ln>
                        </wps:spPr>
                        <wps:bodyPr/>
                      </wps:wsp>
                      <wps:wsp>
                        <wps:cNvPr id="289" name="Text Box 39283"/>
                        <wps:cNvSpPr txBox="1">
                          <a:spLocks noChangeArrowheads="1"/>
                        </wps:cNvSpPr>
                        <wps:spPr bwMode="auto">
                          <a:xfrm>
                            <a:off x="637780" y="2747310"/>
                            <a:ext cx="270334" cy="861103"/>
                          </a:xfrm>
                          <a:prstGeom prst="rect">
                            <a:avLst/>
                          </a:prstGeom>
                          <a:solidFill>
                            <a:srgbClr val="FFFFFF"/>
                          </a:solidFill>
                          <a:ln w="9525">
                            <a:solidFill>
                              <a:srgbClr val="000000"/>
                            </a:solidFill>
                            <a:miter lim="800000"/>
                          </a:ln>
                        </wps:spPr>
                        <wps:txbx>
                          <w:txbxContent>
                            <w:p>
                              <w:r>
                                <w:rPr>
                                  <w:rFonts w:hint="eastAsia"/>
                                </w:rPr>
                                <w:t>码</w:t>
                              </w:r>
                            </w:p>
                            <w:p>
                              <w:r>
                                <w:rPr>
                                  <w:rFonts w:hint="eastAsia"/>
                                </w:rPr>
                                <w:t>头</w:t>
                              </w:r>
                            </w:p>
                            <w:p>
                              <w:r>
                                <w:rPr>
                                  <w:rFonts w:hint="eastAsia"/>
                                </w:rPr>
                                <w:t>长</w:t>
                              </w:r>
                            </w:p>
                          </w:txbxContent>
                        </wps:txbx>
                        <wps:bodyPr rot="0" vert="horz" wrap="square" lIns="91440" tIns="45720" rIns="91440" bIns="45720" anchor="t" anchorCtr="0" upright="1">
                          <a:noAutofit/>
                        </wps:bodyPr>
                      </wps:wsp>
                      <wps:wsp>
                        <wps:cNvPr id="290" name="Text Box 39284"/>
                        <wps:cNvSpPr txBox="1">
                          <a:spLocks noChangeArrowheads="1"/>
                        </wps:cNvSpPr>
                        <wps:spPr bwMode="auto">
                          <a:xfrm>
                            <a:off x="1540693" y="2746577"/>
                            <a:ext cx="271134" cy="1340393"/>
                          </a:xfrm>
                          <a:prstGeom prst="rect">
                            <a:avLst/>
                          </a:prstGeom>
                          <a:solidFill>
                            <a:srgbClr val="FFFFFF"/>
                          </a:solidFill>
                          <a:ln w="9525">
                            <a:solidFill>
                              <a:srgbClr val="000000"/>
                            </a:solidFill>
                            <a:miter lim="800000"/>
                          </a:ln>
                        </wps:spPr>
                        <wps:txbx>
                          <w:txbxContent>
                            <w:p>
                              <w:pPr>
                                <w:jc w:val="center"/>
                              </w:pPr>
                              <w:r>
                                <w:rPr>
                                  <w:rFonts w:hint="eastAsia"/>
                                </w:rPr>
                                <w:t>码头值班人员</w:t>
                              </w:r>
                            </w:p>
                          </w:txbxContent>
                        </wps:txbx>
                        <wps:bodyPr rot="0" vert="horz" wrap="square" lIns="91440" tIns="45720" rIns="91440" bIns="45720" anchor="t" anchorCtr="0" upright="1">
                          <a:noAutofit/>
                        </wps:bodyPr>
                      </wps:wsp>
                      <wps:wsp>
                        <wps:cNvPr id="291" name="Line 39285"/>
                        <wps:cNvCnPr>
                          <a:cxnSpLocks noChangeShapeType="1"/>
                        </wps:cNvCnPr>
                        <wps:spPr bwMode="auto">
                          <a:xfrm>
                            <a:off x="1217553" y="2512710"/>
                            <a:ext cx="0" cy="234601"/>
                          </a:xfrm>
                          <a:prstGeom prst="line">
                            <a:avLst/>
                          </a:prstGeom>
                          <a:noFill/>
                          <a:ln w="9525">
                            <a:solidFill>
                              <a:srgbClr val="000000"/>
                            </a:solidFill>
                            <a:round/>
                            <a:tailEnd type="triangle" w="sm" len="lg"/>
                          </a:ln>
                        </wps:spPr>
                        <wps:bodyPr/>
                      </wps:wsp>
                      <wps:wsp>
                        <wps:cNvPr id="292" name="Text Box 39286"/>
                        <wps:cNvSpPr txBox="1">
                          <a:spLocks noChangeArrowheads="1"/>
                        </wps:cNvSpPr>
                        <wps:spPr bwMode="auto">
                          <a:xfrm>
                            <a:off x="1089237" y="2746578"/>
                            <a:ext cx="271134" cy="1356295"/>
                          </a:xfrm>
                          <a:prstGeom prst="rect">
                            <a:avLst/>
                          </a:prstGeom>
                          <a:solidFill>
                            <a:srgbClr val="FFFFFF"/>
                          </a:solidFill>
                          <a:ln w="9525">
                            <a:solidFill>
                              <a:srgbClr val="000000"/>
                            </a:solidFill>
                            <a:miter lim="800000"/>
                          </a:ln>
                        </wps:spPr>
                        <wps:txbx>
                          <w:txbxContent>
                            <w:p>
                              <w:pPr>
                                <w:jc w:val="center"/>
                              </w:pPr>
                              <w:r>
                                <w:rPr>
                                  <w:rFonts w:hint="eastAsia"/>
                                </w:rPr>
                                <w:t>码头工作人员</w:t>
                              </w:r>
                            </w:p>
                          </w:txbxContent>
                        </wps:txbx>
                        <wps:bodyPr rot="0" vert="horz" wrap="square" lIns="91440" tIns="45720" rIns="91440" bIns="45720" anchor="t" anchorCtr="0" upright="1">
                          <a:noAutofit/>
                        </wps:bodyPr>
                      </wps:wsp>
                      <wps:wsp>
                        <wps:cNvPr id="293" name="Line 39287"/>
                        <wps:cNvCnPr>
                          <a:cxnSpLocks noChangeShapeType="1"/>
                        </wps:cNvCnPr>
                        <wps:spPr bwMode="auto">
                          <a:xfrm flipV="1">
                            <a:off x="2174073" y="368001"/>
                            <a:ext cx="0" cy="235501"/>
                          </a:xfrm>
                          <a:prstGeom prst="line">
                            <a:avLst/>
                          </a:prstGeom>
                          <a:noFill/>
                          <a:ln w="9525">
                            <a:solidFill>
                              <a:srgbClr val="000000"/>
                            </a:solidFill>
                            <a:round/>
                            <a:tailEnd type="triangle" w="sm" len="lg"/>
                          </a:ln>
                        </wps:spPr>
                        <wps:bodyPr/>
                      </wps:wsp>
                      <wps:wsp>
                        <wps:cNvPr id="294" name="Line 39288"/>
                        <wps:cNvCnPr>
                          <a:cxnSpLocks noChangeShapeType="1"/>
                        </wps:cNvCnPr>
                        <wps:spPr bwMode="auto">
                          <a:xfrm flipV="1">
                            <a:off x="2174073" y="952004"/>
                            <a:ext cx="0" cy="329801"/>
                          </a:xfrm>
                          <a:prstGeom prst="line">
                            <a:avLst/>
                          </a:prstGeom>
                          <a:noFill/>
                          <a:ln w="9525">
                            <a:solidFill>
                              <a:srgbClr val="000000"/>
                            </a:solidFill>
                            <a:round/>
                            <a:tailEnd type="triangle" w="sm" len="lg"/>
                          </a:ln>
                        </wps:spPr>
                        <wps:bodyPr/>
                      </wps:wsp>
                      <wps:wsp>
                        <wps:cNvPr id="295" name="Line 39289"/>
                        <wps:cNvCnPr>
                          <a:cxnSpLocks noChangeShapeType="1"/>
                        </wps:cNvCnPr>
                        <wps:spPr bwMode="auto">
                          <a:xfrm>
                            <a:off x="1270259" y="215901"/>
                            <a:ext cx="270434" cy="0"/>
                          </a:xfrm>
                          <a:prstGeom prst="line">
                            <a:avLst/>
                          </a:prstGeom>
                          <a:noFill/>
                          <a:ln w="9525">
                            <a:solidFill>
                              <a:srgbClr val="000000"/>
                            </a:solidFill>
                            <a:round/>
                          </a:ln>
                        </wps:spPr>
                        <wps:bodyPr/>
                      </wps:wsp>
                      <wps:wsp>
                        <wps:cNvPr id="296" name="Text Box 39290"/>
                        <wps:cNvSpPr txBox="1">
                          <a:spLocks noChangeArrowheads="1"/>
                        </wps:cNvSpPr>
                        <wps:spPr bwMode="auto">
                          <a:xfrm>
                            <a:off x="3258109" y="621302"/>
                            <a:ext cx="1265959" cy="329001"/>
                          </a:xfrm>
                          <a:prstGeom prst="rect">
                            <a:avLst/>
                          </a:prstGeom>
                          <a:solidFill>
                            <a:srgbClr val="FFFFFF"/>
                          </a:solidFill>
                          <a:ln w="9525">
                            <a:solidFill>
                              <a:srgbClr val="000000"/>
                            </a:solidFill>
                            <a:miter lim="800000"/>
                          </a:ln>
                        </wps:spPr>
                        <wps:txbx>
                          <w:txbxContent>
                            <w:p>
                              <w:pPr>
                                <w:jc w:val="center"/>
                              </w:pPr>
                              <w:r>
                                <w:rPr>
                                  <w:rFonts w:hint="eastAsia"/>
                                </w:rPr>
                                <w:t>技术咨询专家评估</w:t>
                              </w:r>
                            </w:p>
                          </w:txbxContent>
                        </wps:txbx>
                        <wps:bodyPr rot="0" vert="horz" wrap="square" lIns="91440" tIns="45720" rIns="91440" bIns="45720" anchor="t" anchorCtr="0" upright="1">
                          <a:noAutofit/>
                        </wps:bodyPr>
                      </wps:wsp>
                      <wps:wsp>
                        <wps:cNvPr id="297" name="Line 39291"/>
                        <wps:cNvCnPr>
                          <a:cxnSpLocks noChangeShapeType="1"/>
                        </wps:cNvCnPr>
                        <wps:spPr bwMode="auto">
                          <a:xfrm>
                            <a:off x="2939269" y="843203"/>
                            <a:ext cx="309439" cy="0"/>
                          </a:xfrm>
                          <a:prstGeom prst="line">
                            <a:avLst/>
                          </a:prstGeom>
                          <a:noFill/>
                          <a:ln w="9525">
                            <a:solidFill>
                              <a:srgbClr val="000000"/>
                            </a:solidFill>
                            <a:round/>
                            <a:tailEnd type="triangle" w="sm" len="lg"/>
                          </a:ln>
                        </wps:spPr>
                        <wps:bodyPr/>
                      </wps:wsp>
                      <wps:wsp>
                        <wps:cNvPr id="298" name="Line 39292"/>
                        <wps:cNvCnPr>
                          <a:cxnSpLocks noChangeShapeType="1"/>
                        </wps:cNvCnPr>
                        <wps:spPr bwMode="auto">
                          <a:xfrm>
                            <a:off x="2911165" y="727603"/>
                            <a:ext cx="308639" cy="0"/>
                          </a:xfrm>
                          <a:prstGeom prst="line">
                            <a:avLst/>
                          </a:prstGeom>
                          <a:noFill/>
                          <a:ln w="9525">
                            <a:solidFill>
                              <a:srgbClr val="000000"/>
                            </a:solidFill>
                            <a:round/>
                            <a:headEnd type="triangle" w="sm" len="lg"/>
                          </a:ln>
                        </wps:spPr>
                        <wps:bodyPr/>
                      </wps:wsp>
                    </wpc:wpc>
                  </a:graphicData>
                </a:graphic>
              </wp:inline>
            </w:drawing>
          </mc:Choice>
          <mc:Fallback>
            <w:pict>
              <v:group id="_x0000_s1026" o:spid="_x0000_s1026" o:spt="203" style="height:343.05pt;width:460.5pt;" coordsize="5848350,4356735" editas="canvas" o:gfxdata="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">
                <o:lock v:ext="edit" aspectratio="f"/>
                <v:shape id="_x0000_s1026" o:spid="_x0000_s1026" style="position:absolute;left:0;top:0;height:4356735;width:5848350;" filled="f" stroked="t" coordsize="21600,21600" o:gfxdata="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XOn1g1QAAAAUBAAAPAAAA&#10;AAAAAAEAIAAAACIAAABkcnMvZG93bnJldi54bWxQSwECFAAUAAAACACHTuJAiSZRFlQIAAAbVgAA&#10;DgAAAAAAAAABACAAAAAkAQAAZHJzL2Uyb0RvYy54bWxQSwUGAAAAAAYABgBZAQAA6gsAAAAA&#10;">
                  <v:fill on="f" focussize="0,0"/>
                  <v:stroke weight="1.5pt" color="#000000" miterlimit="8" joinstyle="miter"/>
                  <v:imagedata o:title=""/>
                  <o:lock v:ext="edit" aspectratio="f"/>
                </v:shape>
                <v:shape id="Text Box 39256" o:spid="_x0000_s1026" o:spt="202" type="#_x0000_t202" style="position:absolute;left:1540693;top:85800;height:267801;width:2525917;" fillcolor="#FFFFFF" filled="t" stroked="t" coordsize="21600,21600" o:gfxdata="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Kkch1AAAAAUBAAAPAAAAAAAAAAEAIAAAACIAAABkcnMvZG93bnJl&#10;di54bWxQSwECFAAUAAAACACHTuJAzVbHJjoCAACNBAAADgAAAAAAAAABACAAAAAjAQAAZHJzL2Uy&#10;b0RvYy54bWxQSwUGAAAAAAYABgBZAQAAzwUAAAAA&#10;">
                  <v:fill on="t" focussize="0,0"/>
                  <v:stroke color="#000000" miterlimit="8" joinstyle="miter"/>
                  <v:imagedata o:title=""/>
                  <o:lock v:ext="edit" aspectratio="f"/>
                  <v:textbox inset="0mm,1.27mm,0mm,1.27mm">
                    <w:txbxContent>
                      <w:p>
                        <w:pPr>
                          <w:jc w:val="center"/>
                        </w:pPr>
                        <w:r>
                          <w:rPr>
                            <w:rFonts w:hint="eastAsia"/>
                          </w:rPr>
                          <w:t>岳阳海事局海事监管中心（事故总指挥）</w:t>
                        </w:r>
                      </w:p>
                    </w:txbxContent>
                  </v:textbox>
                </v:shape>
                <v:line id="Line 39257" o:spid="_x0000_s1026" o:spt="20" style="position:absolute;left:2283787;top:349301;height:2635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oSHtcAAAAFAQAADwAAAAAAAAABACAAAAAiAAAAZHJzL2Rvd25yZXYueG1sUEsBAhQA&#10;FAAAAAgAh07iQPaVnJPzAQAA2gMAAA4AAAAAAAAAAQAgAAAAJgEAAGRycy9lMm9Eb2MueG1sUEsF&#10;BgAAAAAGAAYAWQEAAIsFAAAAAA==&#10;">
                  <v:fill on="f" focussize="0,0"/>
                  <v:stroke color="#000000" joinstyle="round" endarrow="block" endarrowwidth="narrow" endarrowlength="long"/>
                  <v:imagedata o:title=""/>
                  <o:lock v:ext="edit" aspectratio="f"/>
                </v:line>
                <v:shape id="Text Box 39258" o:spid="_x0000_s1026" o:spt="202" type="#_x0000_t202" style="position:absolute;left:1540693;top:621302;height:253301;width:1383274;"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TJKgDVAAAABQEAAA8AAAAAAAAAAQAgAAAAIgAAAGRycy9k&#10;b3ducmV2LnhtbFBLAQIUABQAAAAIAIdO4kCcGrXTPgIAAJYEAAAOAAAAAAAAAAEAIAAAACQBAABk&#10;cnMvZTJvRG9jLnhtbFBLBQYAAAAABgAGAFkBAADUBQAAAAA=&#10;">
                  <v:fill on="t" focussize="0,0"/>
                  <v:stroke color="#000000" miterlimit="8" joinstyle="miter"/>
                  <v:imagedata o:title=""/>
                  <o:lock v:ext="edit" aspectratio="f"/>
                  <v:textbox>
                    <w:txbxContent>
                      <w:p>
                        <w:pPr>
                          <w:jc w:val="center"/>
                        </w:pPr>
                        <w:r>
                          <w:rPr>
                            <w:rFonts w:hint="eastAsia"/>
                          </w:rPr>
                          <w:t>环保主管部门</w:t>
                        </w:r>
                      </w:p>
                    </w:txbxContent>
                  </v:textbox>
                </v:shape>
                <v:line id="Line 39259" o:spid="_x0000_s1026" o:spt="20" style="position:absolute;left:2264184;top:952004;height:3494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ioSHtcAAAAFAQAADwAAAAAAAAABACAAAAAiAAAAZHJzL2Rvd25yZXYueG1sUEsBAhQAFAAA&#10;AAgAh07iQH573GvwAQAA2gMAAA4AAAAAAAAAAQAgAAAAJgEAAGRycy9lMm9Eb2MueG1sUEsFBgAA&#10;AAAGAAYAWQEAAIgFAAAAAA==&#10;">
                  <v:fill on="f" focussize="0,0"/>
                  <v:stroke color="#000000" joinstyle="round" endarrow="block" endarrowwidth="narrow" endarrowlength="long"/>
                  <v:imagedata o:title=""/>
                  <o:lock v:ext="edit" aspectratio="f"/>
                </v:line>
                <v:shape id="Text Box 39260" o:spid="_x0000_s1026" o:spt="202" type="#_x0000_t202" style="position:absolute;left:796290;top:1308100;height:301625;width:4486275;"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MkqANUAAAAFAQAADwAAAAAAAAABACAAAAAiAAAAZHJzL2Rv&#10;d25yZXYueG1sUEsBAhQAFAAAAAgAh07iQIEVl749AgAAlgQAAA4AAAAAAAAAAQAgAAAAJAEAAGRy&#10;cy9lMm9Eb2MueG1sUEsFBgAAAAAGAAYAWQEAANMFAAAAAA==&#10;">
                  <v:fill on="t" focussize="0,0"/>
                  <v:stroke color="#000000" miterlimit="8" joinstyle="miter"/>
                  <v:imagedata o:title=""/>
                  <o:lock v:ext="edit" aspectratio="f"/>
                  <v:textbox>
                    <w:txbxContent>
                      <w:p>
                        <w:pPr>
                          <w:jc w:val="center"/>
                        </w:pPr>
                        <w:r>
                          <w:rPr>
                            <w:rFonts w:hint="eastAsia"/>
                          </w:rPr>
                          <w:t>中国石化集团资产经营管理有限公司长岭分公司生产安全部（现场总监）</w:t>
                        </w:r>
                      </w:p>
                    </w:txbxContent>
                  </v:textbox>
                </v:shape>
                <v:line id="Line 39261" o:spid="_x0000_s1026" o:spt="20" style="position:absolute;left:2264184;top:1575106;height:235501;width:0;" filled="f" stroked="t" coordsize="21600,21600" o:gfxdata="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v1yhfVAAAABQEAAA8AAAAAAAAAAQAgAAAAIgAAAGRycy9kb3ducmV2Lnht&#10;bFBLAQIUABQAAAAIAIdO4kD4XHhx/AEAAAsEAAAOAAAAAAAAAAEAIAAAACQBAABkcnMvZTJvRG9j&#10;LnhtbFBLBQYAAAAABgAGAFkBAACSBQAAAAA=&#10;">
                  <v:fill on="f" focussize="0,0"/>
                  <v:stroke color="#000000" joinstyle="round" startarrow="block" endarrow="block"/>
                  <v:imagedata o:title=""/>
                  <o:lock v:ext="edit" aspectratio="f"/>
                </v:line>
                <v:line id="Line 39262" o:spid="_x0000_s1026" o:spt="20" style="position:absolute;left:1270259;top:197201;height:992004;width:0;" filled="f" stroked="t" coordsize="21600,21600" o:gfxdata="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UhMQDTAAAABQEAAA8AAAAAAAAAAQAgAAAA&#10;IgAAAGRycy9kb3ducmV2LnhtbFBLAQIUABQAAAAIAIdO4kDx9CwL1wEAAK4DAAAOAAAAAAAAAAEA&#10;IAAAACIBAABkcnMvZTJvRG9jLnhtbFBLBQYAAAAABgAGAFkBAABrBQAAAAA=&#10;">
                  <v:fill on="f" focussize="0,0"/>
                  <v:stroke color="#000000" joinstyle="round"/>
                  <v:imagedata o:title=""/>
                  <o:lock v:ext="edit" aspectratio="f"/>
                </v:line>
                <v:line id="Line 39263" o:spid="_x0000_s1026" o:spt="20" style="position:absolute;left:1260058;top:1173004;height:0;width:904614;"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oSHtcAAAAFAQAADwAAAAAAAAABACAAAAAiAAAAZHJzL2Rvd25yZXYueG1sUEsBAhQA&#10;FAAAAAgAh07iQOhu3pXzAQAA2wMAAA4AAAAAAAAAAQAgAAAAJgEAAGRycy9lMm9Eb2MueG1sUEsF&#10;BgAAAAAGAAYAWQEAAIsFAAAAAA==&#10;">
                  <v:fill on="f" focussize="0,0"/>
                  <v:stroke color="#000000" joinstyle="round" endarrow="block" endarrowwidth="narrow" endarrowlength="long"/>
                  <v:imagedata o:title=""/>
                  <o:lock v:ext="edit" aspectratio="f"/>
                </v:line>
                <v:line id="Line 39264" o:spid="_x0000_s1026" o:spt="20" style="position:absolute;left:1224354;top:1809707;height:0;width:2141669;" filled="f" stroked="t" coordsize="21600,21600" o:gfxdata="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UhMQDTAAAABQEAAA8AAAAAAAAA&#10;AQAgAAAAIgAAAGRycy9kb3ducmV2LnhtbFBLAQIUABQAAAAIAIdO4kDkuLts3QEAALADAAAOAAAA&#10;AAAAAAEAIAAAACIBAABkcnMvZTJvRG9jLnhtbFBLBQYAAAAABgAGAFkBAABxBQAAAAA=&#10;">
                  <v:fill on="f" focussize="0,0"/>
                  <v:stroke color="#000000" joinstyle="round"/>
                  <v:imagedata o:title=""/>
                  <o:lock v:ext="edit" aspectratio="f"/>
                </v:line>
                <v:line id="Line 39265" o:spid="_x0000_s1026" o:spt="20" style="position:absolute;left:1224354;top:1809707;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oSHtcAAAAFAQAADwAAAAAAAAABACAAAAAiAAAAZHJzL2Rvd25yZXYueG1sUEsBAhQA&#10;FAAAAAgAh07iQKeFmqnzAQAA2wMAAA4AAAAAAAAAAQAgAAAAJgEAAGRycy9lMm9Eb2MueG1sUEsF&#10;BgAAAAAGAAYAWQEAAIsFAAAAAA==&#10;">
                  <v:fill on="f" focussize="0,0"/>
                  <v:stroke color="#000000" joinstyle="round" endarrow="block" endarrowwidth="narrow" endarrowlength="long"/>
                  <v:imagedata o:title=""/>
                  <o:lock v:ext="edit" aspectratio="f"/>
                </v:line>
                <v:line id="Line 39266" o:spid="_x0000_s1026" o:spt="20" style="position:absolute;left:3363522;top:1809707;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4qEh7XAAAABQEAAA8AAAAAAAAAAQAgAAAAIgAAAGRycy9kb3ducmV2LnhtbFBLAQIU&#10;ABQAAAAIAIdO4kBQoEom9AEAANsDAAAOAAAAAAAAAAEAIAAAACYBAABkcnMvZTJvRG9jLnhtbFBL&#10;BQYAAAAABgAGAFkBAACMBQAAAAA=&#10;">
                  <v:fill on="f" focussize="0,0"/>
                  <v:stroke color="#000000" joinstyle="round" endarrow="block" endarrowwidth="narrow" endarrowlength="long"/>
                  <v:imagedata o:title=""/>
                  <o:lock v:ext="edit" aspectratio="f"/>
                </v:line>
                <v:shape id="Text Box 39267" o:spid="_x0000_s1026" o:spt="202" type="#_x0000_t202" style="position:absolute;left:480060;top:2044065;height:260985;width:1069340;" fillcolor="#FFFFFF" filled="t" stroked="t" coordsize="21600,21600" o:gfxdata="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Kkch1AAAAAUBAAAPAAAAAAAAAAEAIAAAACIAAABkcnMvZG93&#10;bnJldi54bWxQSwECFAAUAAAACACHTuJAPNQCrj0CAACOBAAADgAAAAAAAAABACAAAAAjAQAAZHJz&#10;L2Uyb0RvYy54bWxQSwUGAAAAAAYABgBZAQAA0gUAAAAA&#10;">
                  <v:fill on="t" focussize="0,0"/>
                  <v:stroke color="#000000" miterlimit="8" joinstyle="miter"/>
                  <v:imagedata o:title=""/>
                  <o:lock v:ext="edit" aspectratio="f"/>
                  <v:textbox inset="0mm,1.27mm,0mm,1.27mm">
                    <w:txbxContent>
                      <w:p>
                        <w:pPr>
                          <w:jc w:val="center"/>
                        </w:pPr>
                        <w:r>
                          <w:rPr>
                            <w:rFonts w:hint="eastAsia"/>
                          </w:rPr>
                          <w:t>码头区工作人员</w:t>
                        </w:r>
                      </w:p>
                    </w:txbxContent>
                  </v:textbox>
                </v:shape>
                <v:shape id="Text Box 39268" o:spid="_x0000_s1026" o:spt="202" type="#_x0000_t202" style="position:absolute;left:1605280;top:2008505;height:271145;width:4208780;" fillcolor="#FFFFFF" filled="t" stroked="t" coordsize="21600,21600" o:gfxdata="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Kkch1AAAAAUBAAAPAAAAAAAAAAEAIAAAACIAAABkcnMvZG93bnJl&#10;di54bWxQSwECFAAUAAAACACHTuJAD4xs3joCAACPBAAADgAAAAAAAAABACAAAAAjAQAAZHJzL2Uy&#10;b0RvYy54bWxQSwUGAAAAAAYABgBZAQAAzwUAAAAA&#10;">
                  <v:fill on="t" focussize="0,0"/>
                  <v:stroke color="#000000" miterlimit="8" joinstyle="miter"/>
                  <v:imagedata o:title=""/>
                  <o:lock v:ext="edit" aspectratio="f"/>
                  <v:textbox inset="0mm,1.27mm,0mm,1.27mm">
                    <w:txbxContent>
                      <w:p>
                        <w:pPr>
                          <w:jc w:val="center"/>
                        </w:pPr>
                        <w:r>
                          <w:rPr>
                            <w:rFonts w:hint="eastAsia"/>
                          </w:rPr>
                          <w:t>中国石化集团资产经营管理有限公司长岭分公司生产安全部应急小组</w:t>
                        </w:r>
                      </w:p>
                    </w:txbxContent>
                  </v:textbox>
                </v:shape>
                <v:line id="Line 39269" o:spid="_x0000_s1026" o:spt="20" style="position:absolute;left:3349020;top:2278109;height:232901;width:0;" filled="f" stroked="t" coordsize="21600,21600" o:gfxdata="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v1yhfVAAAABQEAAA8AAAAAAAAAAQAgAAAAIgAAAGRycy9kb3ducmV2Lnht&#10;bFBLAQIUABQAAAAIAIdO4kC3v1VH/AEAAAsEAAAOAAAAAAAAAAEAIAAAACQBAABkcnMvZTJvRG9j&#10;LnhtbFBLBQYAAAAABgAGAFkBAACSBQAAAAA=&#10;">
                  <v:fill on="f" focussize="0,0"/>
                  <v:stroke color="#000000" joinstyle="round" startarrow="block" endarrow="block"/>
                  <v:imagedata o:title=""/>
                  <o:lock v:ext="edit" aspectratio="f"/>
                </v:line>
                <v:line id="Line 39270" o:spid="_x0000_s1026" o:spt="20" style="position:absolute;left:2445307;top:2512710;height:0;width:1807527;" filled="f" stroked="t" coordsize="21600,21600" o:gfxdata="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SExANMAAAAFAQAADwAAAAAAAAAB&#10;ACAAAAAiAAAAZHJzL2Rvd25yZXYueG1sUEsBAhQAFAAAAAgAh07iQLT0JbbcAQAAsAMAAA4AAAAA&#10;AAAAAQAgAAAAIgEAAGRycy9lMm9Eb2MueG1sUEsFBgAAAAAGAAYAWQEAAHAFAAAAAA==&#10;">
                  <v:fill on="f" focussize="0,0"/>
                  <v:stroke color="#000000" joinstyle="round"/>
                  <v:imagedata o:title=""/>
                  <o:lock v:ext="edit" aspectratio="f"/>
                </v:line>
                <v:line id="Line 39271" o:spid="_x0000_s1026" o:spt="20" style="position:absolute;left:2445307;top:2512710;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KhIe1wAAAAUBAAAPAAAAAAAAAAEAIAAAACIAAABkcnMvZG93bnJldi54bWxQSwECFAAU&#10;AAAACACHTuJA+0M0UPIBAADbAwAADgAAAAAAAAABACAAAAAmAQAAZHJzL2Uyb0RvYy54bWxQSwUG&#10;AAAAAAYABgBZAQAAigUAAAAA&#10;">
                  <v:fill on="f" focussize="0,0"/>
                  <v:stroke color="#000000" joinstyle="round" endarrow="block" endarrowwidth="narrow" endarrowlength="long"/>
                  <v:imagedata o:title=""/>
                  <o:lock v:ext="edit" aspectratio="f"/>
                </v:line>
                <v:shape id="Text Box 39272" o:spid="_x0000_s1026" o:spt="202" type="#_x0000_t202" style="position:absolute;left:2354296;top:2746479;height:1268930;width:271234;" fillcolor="#FFFFFF" filled="t" stroked="t" coordsize="21600,21600" o:gfxdata="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Kkch1AAAAAUBAAAPAAAAAAAAAAEAIAAAACIAAABkcnMvZG93&#10;bnJldi54bWxQSwECFAAUAAAACACHTuJAiKSLWj0CAACPBAAADgAAAAAAAAABACAAAAAjAQAAZHJz&#10;L2Uyb0RvYy54bWxQSwUGAAAAAAYABgBZAQAA0gUAAAAA&#10;">
                  <v:fill on="t" focussize="0,0"/>
                  <v:stroke color="#000000" miterlimit="8" joinstyle="miter"/>
                  <v:imagedata o:title=""/>
                  <o:lock v:ext="edit" aspectratio="f"/>
                  <v:textbox inset="0mm,1.27mm,0mm,1.27mm">
                    <w:txbxContent>
                      <w:p>
                        <w:pPr>
                          <w:jc w:val="center"/>
                        </w:pPr>
                        <w:r>
                          <w:rPr>
                            <w:rFonts w:hint="eastAsia"/>
                          </w:rPr>
                          <w:t>组长副组长</w:t>
                        </w:r>
                      </w:p>
                    </w:txbxContent>
                  </v:textbox>
                </v:shape>
                <v:line id="Line 39273" o:spid="_x0000_s1026" o:spt="20" style="position:absolute;left:3077886;top:2512710;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oSHtcAAAAFAQAADwAAAAAAAAABACAAAAAiAAAAZHJzL2Rvd25yZXYueG1sUEsBAhQA&#10;FAAAAAgAh07iQLJFmjzzAQAA2wMAAA4AAAAAAAAAAQAgAAAAJgEAAGRycy9lMm9Eb2MueG1sUEsF&#10;BgAAAAAGAAYAWQEAAIsFAAAAAA==&#10;">
                  <v:fill on="f" focussize="0,0"/>
                  <v:stroke color="#000000" joinstyle="round" endarrow="block" endarrowwidth="narrow" endarrowlength="long"/>
                  <v:imagedata o:title=""/>
                  <o:lock v:ext="edit" aspectratio="f"/>
                </v:line>
                <v:shape id="Text Box 39274" o:spid="_x0000_s1026" o:spt="202" type="#_x0000_t202" style="position:absolute;left:2949470;top:2746844;height:1339582;width:271234;"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&#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TJKgDVAAAABQEAAA8AAAAAAAAAAQAgAAAAIgAAAGRy&#10;cy9kb3ducmV2LnhtbFBLAQIUABQAAAAIAIdO4kA2m3UJQQIAAJcEAAAOAAAAAAAAAAEAIAAAACQB&#10;AABkcnMvZTJvRG9jLnhtbFBLBQYAAAAABgAGAFkBAADXBQAAAAA=&#10;">
                  <v:fill on="t" focussize="0,0"/>
                  <v:stroke color="#000000" miterlimit="8" joinstyle="miter"/>
                  <v:imagedata o:title=""/>
                  <o:lock v:ext="edit" aspectratio="f"/>
                  <v:textbox>
                    <w:txbxContent>
                      <w:p>
                        <w:pPr>
                          <w:jc w:val="center"/>
                        </w:pPr>
                        <w:r>
                          <w:rPr>
                            <w:rFonts w:hint="eastAsia"/>
                          </w:rPr>
                          <w:t>预测评估人员</w:t>
                        </w:r>
                      </w:p>
                    </w:txbxContent>
                  </v:textbox>
                </v:shape>
                <v:line id="Line 39275" o:spid="_x0000_s1026" o:spt="20" style="position:absolute;left:3612654;top:2512710;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oSHtcAAAAFAQAADwAAAAAAAAABACAAAAAiAAAAZHJzL2Rvd25yZXYueG1sUEsBAhQA&#10;FAAAAAgAh07iQCrS3nHzAQAA2wMAAA4AAAAAAAAAAQAgAAAAJgEAAGRycy9lMm9Eb2MueG1sUEsF&#10;BgAAAAAGAAYAWQEAAIsFAAAAAA==&#10;">
                  <v:fill on="f" focussize="0,0"/>
                  <v:stroke color="#000000" joinstyle="round" endarrow="block" endarrowwidth="narrow" endarrowlength="long"/>
                  <v:imagedata o:title=""/>
                  <o:lock v:ext="edit" aspectratio="f"/>
                </v:line>
                <v:shape id="Text Box 39276" o:spid="_x0000_s1026" o:spt="202" type="#_x0000_t202" style="position:absolute;left:3522542;top:2746844;height:1355482;width:271134;"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ySoA1QAAAAUBAAAPAAAAAAAAAAEAIAAAACIAAABk&#10;cnMvZG93bnJldi54bWxQSwECFAAUAAAACACHTuJA3oDBMUICAACXBAAADgAAAAAAAAABACAAAAAk&#10;AQAAZHJzL2Uyb0RvYy54bWxQSwUGAAAAAAYABgBZAQAA2AUAAAAA&#10;">
                  <v:fill on="t" focussize="0,0"/>
                  <v:stroke color="#000000" miterlimit="8" joinstyle="miter"/>
                  <v:imagedata o:title=""/>
                  <o:lock v:ext="edit" aspectratio="f"/>
                  <v:textbox>
                    <w:txbxContent>
                      <w:p>
                        <w:pPr>
                          <w:jc w:val="center"/>
                        </w:pPr>
                        <w:r>
                          <w:rPr>
                            <w:rFonts w:hint="eastAsia"/>
                          </w:rPr>
                          <w:t>应急处理人员</w:t>
                        </w:r>
                      </w:p>
                    </w:txbxContent>
                  </v:textbox>
                </v:shape>
                <v:line id="Line 39277" o:spid="_x0000_s1026" o:spt="20" style="position:absolute;left:4252834;top:2512710;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oSHtcAAAAFAQAADwAAAAAAAAABACAAAAAiAAAAZHJzL2Rvd25yZXYueG1sUEsBAhQA&#10;FAAAAAgAh07iQKoY/i3zAQAA2wMAAA4AAAAAAAAAAQAgAAAAJgEAAGRycy9lMm9Eb2MueG1sUEsF&#10;BgAAAAAGAAYAWQEAAIsFAAAAAA==&#10;">
                  <v:fill on="f" focussize="0,0"/>
                  <v:stroke color="#000000" joinstyle="round" endarrow="block" endarrowwidth="narrow" endarrowlength="long"/>
                  <v:imagedata o:title=""/>
                  <o:lock v:ext="edit" aspectratio="f"/>
                </v:line>
                <v:shape id="Text Box 39278" o:spid="_x0000_s1026" o:spt="202" type="#_x0000_t202" style="position:absolute;left:4162723;top:2747310;height:861103;width:271234;"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MkqANUAAAAFAQAADwAAAAAAAAABACAAAAAiAAAAZHJz&#10;L2Rvd25yZXYueG1sUEsBAhQAFAAAAAgAh07iQIkwjIVAAgAAlgQAAA4AAAAAAAAAAQAgAAAAJAEA&#10;AGRycy9lMm9Eb2MueG1sUEsFBgAAAAAGAAYAWQEAANYFAAAAAA==&#10;">
                  <v:fill on="t" focussize="0,0"/>
                  <v:stroke color="#000000" miterlimit="8" joinstyle="miter"/>
                  <v:imagedata o:title=""/>
                  <o:lock v:ext="edit" aspectratio="f"/>
                  <v:textbox>
                    <w:txbxContent>
                      <w:p>
                        <w:pPr>
                          <w:jc w:val="center"/>
                        </w:pPr>
                        <w:r>
                          <w:rPr>
                            <w:rFonts w:hint="eastAsia"/>
                          </w:rPr>
                          <w:t>值班人员</w:t>
                        </w:r>
                      </w:p>
                    </w:txbxContent>
                  </v:textbox>
                </v:shape>
                <v:line id="Line 39279" o:spid="_x0000_s1026" o:spt="20" style="position:absolute;left:1217553;top:2278109;height:232901;width:0;" filled="f" stroked="t" coordsize="21600,21600" o:gfxdata="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3mJrdQAAAAFAQAADwAAAAAAAAABACAAAAAiAAAAZHJzL2Rvd25yZXYu&#10;eG1sUEsBAhQAFAAAAAgAh07iQIKcHH3/AQAAAwQAAA4AAAAAAAAAAQAgAAAAIwEAAGRycy9lMm9E&#10;b2MueG1sUEsFBgAAAAAGAAYAWQEAAJQFAAAAAA==&#10;">
                  <v:fill on="f" focussize="0,0"/>
                  <v:stroke color="#000000" joinstyle="round" startarrow="block" startarrowwidth="narrow" startarrowlength="long" endarrowwidth="narrow" endarrowlength="long"/>
                  <v:imagedata o:title=""/>
                  <o:lock v:ext="edit" aspectratio="f"/>
                </v:line>
                <v:line id="Line 39280" o:spid="_x0000_s1026" o:spt="20" style="position:absolute;left:727891;top:2512710;height:0;width:903713;" filled="f" stroked="t" coordsize="21600,21600" o:gfxdata="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UhMQDTAAAABQEAAA8AAAAAAAAAAQAg&#10;AAAAIgAAAGRycy9kb3ducmV2LnhtbFBLAQIUABQAAAAIAIdO4kCQDrdh2gEAAK4DAAAOAAAAAAAA&#10;AAEAIAAAACIBAABkcnMvZTJvRG9jLnhtbFBLBQYAAAAABgAGAFkBAABuBQAAAAA=&#10;">
                  <v:fill on="f" focussize="0,0"/>
                  <v:stroke color="#000000" joinstyle="round"/>
                  <v:imagedata o:title=""/>
                  <o:lock v:ext="edit" aspectratio="f"/>
                </v:line>
                <v:line id="Line 39281" o:spid="_x0000_s1026" o:spt="20" style="position:absolute;left:727891;top:2511010;height:2355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KhIe1wAAAAUBAAAPAAAAAAAAAAEAIAAAACIAAABkcnMvZG93bnJldi54bWxQSwECFAAU&#10;AAAACACHTuJAW/kwPPIBAADaAwAADgAAAAAAAAABACAAAAAmAQAAZHJzL2Uyb0RvYy54bWxQSwUG&#10;AAAAAAYABgBZAQAAigUAAAAA&#10;">
                  <v:fill on="f" focussize="0,0"/>
                  <v:stroke color="#000000" joinstyle="round" endarrow="block" endarrowwidth="narrow" endarrowlength="long"/>
                  <v:imagedata o:title=""/>
                  <o:lock v:ext="edit" aspectratio="f"/>
                </v:line>
                <v:line id="Line 39282" o:spid="_x0000_s1026" o:spt="20" style="position:absolute;left:1631605;top:2512710;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oSHtcAAAAFAQAADwAAAAAAAAABACAAAAAiAAAAZHJzL2Rvd25yZXYueG1sUEsBAhQA&#10;FAAAAAgAh07iQFjNNcHzAQAA3AMAAA4AAAAAAAAAAQAgAAAAJgEAAGRycy9lMm9Eb2MueG1sUEsF&#10;BgAAAAAGAAYAWQEAAIsFAAAAAA==&#10;">
                  <v:fill on="f" focussize="0,0"/>
                  <v:stroke color="#000000" joinstyle="round" endarrow="block" endarrowwidth="narrow" endarrowlength="long"/>
                  <v:imagedata o:title=""/>
                  <o:lock v:ext="edit" aspectratio="f"/>
                </v:line>
                <v:shape id="Text Box 39283" o:spid="_x0000_s1026" o:spt="202" type="#_x0000_t202" style="position:absolute;left:637780;top:2747310;height:861103;width:270334;"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MkqANUAAAAFAQAADwAAAAAAAAABACAAAAAiAAAAZHJz&#10;L2Rvd25yZXYueG1sUEsBAhQAFAAAAAgAh07iQPgpcpJAAgAAlgQAAA4AAAAAAAAAAQAgAAAAJAEA&#10;AGRycy9lMm9Eb2MueG1sUEsFBgAAAAAGAAYAWQEAANYFAAAAAA==&#10;">
                  <v:fill on="t" focussize="0,0"/>
                  <v:stroke color="#000000" miterlimit="8" joinstyle="miter"/>
                  <v:imagedata o:title=""/>
                  <o:lock v:ext="edit" aspectratio="f"/>
                  <v:textbox>
                    <w:txbxContent>
                      <w:p>
                        <w:r>
                          <w:rPr>
                            <w:rFonts w:hint="eastAsia"/>
                          </w:rPr>
                          <w:t>码</w:t>
                        </w:r>
                      </w:p>
                      <w:p>
                        <w:r>
                          <w:rPr>
                            <w:rFonts w:hint="eastAsia"/>
                          </w:rPr>
                          <w:t>头</w:t>
                        </w:r>
                      </w:p>
                      <w:p>
                        <w:r>
                          <w:rPr>
                            <w:rFonts w:hint="eastAsia"/>
                          </w:rPr>
                          <w:t>长</w:t>
                        </w:r>
                      </w:p>
                    </w:txbxContent>
                  </v:textbox>
                </v:shape>
                <v:shape id="Text Box 39284" o:spid="_x0000_s1026" o:spt="202" type="#_x0000_t202" style="position:absolute;left:1540693;top:2746577;height:1340393;width:271134;"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UySoA1QAAAAUBAAAPAAAAAAAAAAEAIAAAACIAAABkcnMv&#10;ZG93bnJldi54bWxQSwECFAAUAAAACACHTuJAStfXnD8CAACYBAAADgAAAAAAAAABACAAAAAkAQAA&#10;ZHJzL2Uyb0RvYy54bWxQSwUGAAAAAAYABgBZAQAA1QUAAAAA&#10;">
                  <v:fill on="t" focussize="0,0"/>
                  <v:stroke color="#000000" miterlimit="8" joinstyle="miter"/>
                  <v:imagedata o:title=""/>
                  <o:lock v:ext="edit" aspectratio="f"/>
                  <v:textbox>
                    <w:txbxContent>
                      <w:p>
                        <w:pPr>
                          <w:jc w:val="center"/>
                        </w:pPr>
                        <w:r>
                          <w:rPr>
                            <w:rFonts w:hint="eastAsia"/>
                          </w:rPr>
                          <w:t>码头值班人员</w:t>
                        </w:r>
                      </w:p>
                    </w:txbxContent>
                  </v:textbox>
                </v:shape>
                <v:line id="Line 39285" o:spid="_x0000_s1026" o:spt="20" style="position:absolute;left:1217553;top:2512710;height:234601;width:0;"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KhIe1wAAAAUBAAAPAAAAAAAAAAEAIAAAACIAAABkcnMvZG93bnJldi54bWxQSwECFAAU&#10;AAAACACHTuJArXpy7vIBAADcAwAADgAAAAAAAAABACAAAAAmAQAAZHJzL2Uyb0RvYy54bWxQSwUG&#10;AAAAAAYABgBZAQAAigUAAAAA&#10;">
                  <v:fill on="f" focussize="0,0"/>
                  <v:stroke color="#000000" joinstyle="round" endarrow="block" endarrowwidth="narrow" endarrowlength="long"/>
                  <v:imagedata o:title=""/>
                  <o:lock v:ext="edit" aspectratio="f"/>
                </v:line>
                <v:shape id="Text Box 39286" o:spid="_x0000_s1026" o:spt="202" type="#_x0000_t202" style="position:absolute;left:1089237;top:2746578;height:1356295;width:271134;"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ySoA1QAAAAUBAAAPAAAAAAAAAAEAIAAAACIAAABk&#10;cnMvZG93bnJldi54bWxQSwECFAAUAAAACACHTuJAg7wvG0ICAACYBAAADgAAAAAAAAABACAAAAAk&#10;AQAAZHJzL2Uyb0RvYy54bWxQSwUGAAAAAAYABgBZAQAA2AUAAAAA&#10;">
                  <v:fill on="t" focussize="0,0"/>
                  <v:stroke color="#000000" miterlimit="8" joinstyle="miter"/>
                  <v:imagedata o:title=""/>
                  <o:lock v:ext="edit" aspectratio="f"/>
                  <v:textbox>
                    <w:txbxContent>
                      <w:p>
                        <w:pPr>
                          <w:jc w:val="center"/>
                        </w:pPr>
                        <w:r>
                          <w:rPr>
                            <w:rFonts w:hint="eastAsia"/>
                          </w:rPr>
                          <w:t>码头工作人员</w:t>
                        </w:r>
                      </w:p>
                    </w:txbxContent>
                  </v:textbox>
                </v:shape>
                <v:line id="Line 39287" o:spid="_x0000_s1026" o:spt="20" style="position:absolute;left:2174073;top:368001;flip:y;height:235501;width:0;" filled="f" stroked="t" coordsize="21600,21600" o:gfxdata="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mcF9EAAAAFAQAADwAAAAAAAAABACAAAAAiAAAAZHJzL2Rvd25yZXYueG1sUEsBAhQA&#10;FAAAAAgAh07iQCCeAOH5AQAA5QMAAA4AAAAAAAAAAQAgAAAAIAEAAGRycy9lMm9Eb2MueG1sUEsF&#10;BgAAAAAGAAYAWQEAAIsFAAAAAA==&#10;">
                  <v:fill on="f" focussize="0,0"/>
                  <v:stroke color="#000000" joinstyle="round" endarrow="block" endarrowwidth="narrow" endarrowlength="long"/>
                  <v:imagedata o:title=""/>
                  <o:lock v:ext="edit" aspectratio="f"/>
                </v:line>
                <v:line id="Line 39288" o:spid="_x0000_s1026" o:spt="20" style="position:absolute;left:2174073;top:952004;flip:y;height:329801;width:0;" filled="f" stroked="t" coordsize="21600,21600" o:gfxdata="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5nBfRAAAABQEAAA8AAAAAAAAAAQAgAAAAIgAAAGRycy9kb3ducmV2LnhtbFBLAQIUABQA&#10;AAAIAIdO4kApKJMM9wEAAOUDAAAOAAAAAAAAAAEAIAAAACABAABkcnMvZTJvRG9jLnhtbFBLBQYA&#10;AAAABgAGAFkBAACJBQAAAAA=&#10;">
                  <v:fill on="f" focussize="0,0"/>
                  <v:stroke color="#000000" joinstyle="round" endarrow="block" endarrowwidth="narrow" endarrowlength="long"/>
                  <v:imagedata o:title=""/>
                  <o:lock v:ext="edit" aspectratio="f"/>
                </v:line>
                <v:line id="Line 39289" o:spid="_x0000_s1026" o:spt="20" style="position:absolute;left:1270259;top:215901;height:0;width:270434;" filled="f" stroked="t" coordsize="21600,21600" o:gfxdata="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1ITEA0wAAAAUBAAAPAAAAAAAAAAEA&#10;IAAAACIAAABkcnMvZG93bnJldi54bWxQSwECFAAUAAAACACHTuJA7AMu+tsBAACvAwAADgAAAAAA&#10;AAABACAAAAAiAQAAZHJzL2Uyb0RvYy54bWxQSwUGAAAAAAYABgBZAQAAbwUAAAAA&#10;">
                  <v:fill on="f" focussize="0,0"/>
                  <v:stroke color="#000000" joinstyle="round"/>
                  <v:imagedata o:title=""/>
                  <o:lock v:ext="edit" aspectratio="f"/>
                </v:line>
                <v:shape id="Text Box 39290" o:spid="_x0000_s1026" o:spt="202" type="#_x0000_t202" style="position:absolute;left:3258109;top:621302;height:329001;width:1265959;" fillcolor="#FFFFFF" filled="t" stroked="t" coordsize="21600,21600" o:gfxdata="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UySoA1QAAAAUBAAAPAAAAAAAAAAEAIAAAACIAAABkcnMv&#10;ZG93bnJldi54bWxQSwECFAAUAAAACACHTuJA3Jmvlj8CAACXBAAADgAAAAAAAAABACAAAAAkAQAA&#10;ZHJzL2Uyb0RvYy54bWxQSwUGAAAAAAYABgBZAQAA1QUAAAAA&#10;">
                  <v:fill on="t" focussize="0,0"/>
                  <v:stroke color="#000000" miterlimit="8" joinstyle="miter"/>
                  <v:imagedata o:title=""/>
                  <o:lock v:ext="edit" aspectratio="f"/>
                  <v:textbox>
                    <w:txbxContent>
                      <w:p>
                        <w:pPr>
                          <w:jc w:val="center"/>
                        </w:pPr>
                        <w:r>
                          <w:rPr>
                            <w:rFonts w:hint="eastAsia"/>
                          </w:rPr>
                          <w:t>技术咨询专家评估</w:t>
                        </w:r>
                      </w:p>
                    </w:txbxContent>
                  </v:textbox>
                </v:shape>
                <v:line id="Line 39291" o:spid="_x0000_s1026" o:spt="20" style="position:absolute;left:2939269;top:843203;height:0;width:309439;" filled="f" stroked="t" coordsize="21600,21600" o:gfxdata="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KhIe1wAAAAUBAAAPAAAAAAAAAAEAIAAAACIAAABkcnMvZG93bnJldi54bWxQSwECFAAU&#10;AAAACACHTuJAJd+xU/IBAADbAwAADgAAAAAAAAABACAAAAAmAQAAZHJzL2Uyb0RvYy54bWxQSwUG&#10;AAAAAAYABgBZAQAAigUAAAAA&#10;">
                  <v:fill on="f" focussize="0,0"/>
                  <v:stroke color="#000000" joinstyle="round" endarrow="block" endarrowwidth="narrow" endarrowlength="long"/>
                  <v:imagedata o:title=""/>
                  <o:lock v:ext="edit" aspectratio="f"/>
                </v:line>
                <v:line id="Line 39292" o:spid="_x0000_s1026" o:spt="20" style="position:absolute;left:2911165;top:727603;height:0;width:308639;" filled="f" stroked="t" coordsize="21600,21600" o:gfxdata="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5n+U1QAAAAUBAAAPAAAAAAAAAAEAIAAAACIAAABkcnMvZG93bnJldi54bWxQSwECFAAU&#10;AAAACACHTuJAwapuV/QBAADbAwAADgAAAAAAAAABACAAAAAkAQAAZHJzL2Uyb0RvYy54bWxQSwUG&#10;AAAAAAYABgBZAQAAigUAAAAA&#10;">
                  <v:fill on="f" focussize="0,0"/>
                  <v:stroke color="#000000" joinstyle="round" startarrow="block" startarrowwidth="narrow" startarrowlength="long"/>
                  <v:imagedata o:title=""/>
                  <o:lock v:ext="edit" aspectratio="f"/>
                </v:line>
                <w10:wrap type="none"/>
                <w10:anchorlock/>
              </v:group>
            </w:pict>
          </mc:Fallback>
        </mc:AlternateContent>
      </w:r>
    </w:p>
    <w:p>
      <w:pPr>
        <w:adjustRightInd w:val="0"/>
        <w:snapToGrid w:val="0"/>
        <w:spacing w:line="360"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图</w:t>
      </w:r>
      <w:r>
        <w:rPr>
          <w:rFonts w:hint="eastAsia" w:ascii="Times New Roman" w:hAnsi="Times New Roman" w:eastAsiaTheme="minorEastAsia"/>
          <w:b/>
          <w:color w:val="000000" w:themeColor="text1"/>
          <w:sz w:val="24"/>
          <w:szCs w:val="24"/>
          <w14:textFill>
            <w14:solidFill>
              <w14:schemeClr w14:val="tx1"/>
            </w14:solidFill>
          </w14:textFill>
        </w:rPr>
        <w:t>6.8</w:t>
      </w:r>
      <w:r>
        <w:rPr>
          <w:rFonts w:ascii="Times New Roman" w:hAnsi="Times New Roman" w:eastAsiaTheme="minorEastAsia"/>
          <w:b/>
          <w:color w:val="000000" w:themeColor="text1"/>
          <w:sz w:val="24"/>
          <w:szCs w:val="24"/>
          <w14:textFill>
            <w14:solidFill>
              <w14:schemeClr w14:val="tx1"/>
            </w14:solidFill>
          </w14:textFill>
        </w:rPr>
        <w:t>-1  组织指挥机构框图</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应急组织指挥机构由岳阳海事局海事处领导、</w:t>
      </w:r>
      <w:r>
        <w:rPr>
          <w:rFonts w:hint="eastAsia" w:ascii="Times New Roman" w:hAnsi="Times New Roman" w:eastAsiaTheme="minorEastAsia"/>
          <w:color w:val="000000" w:themeColor="text1"/>
          <w:sz w:val="24"/>
          <w:szCs w:val="24"/>
          <w14:textFill>
            <w14:solidFill>
              <w14:schemeClr w14:val="tx1"/>
            </w14:solidFill>
          </w14:textFill>
        </w:rPr>
        <w:t>中国石化集团资产经营管理有限公司长岭分公司</w:t>
      </w:r>
      <w:r>
        <w:rPr>
          <w:rFonts w:ascii="Times New Roman" w:hAnsi="Times New Roman" w:eastAsiaTheme="minorEastAsia"/>
          <w:color w:val="000000" w:themeColor="text1"/>
          <w:sz w:val="24"/>
          <w:szCs w:val="24"/>
          <w14:textFill>
            <w14:solidFill>
              <w14:schemeClr w14:val="tx1"/>
            </w14:solidFill>
          </w14:textFill>
        </w:rPr>
        <w:t>生产安全部领导、生产安全部应急小组领导成员、以及相关的技术咨询专家组成。</w:t>
      </w:r>
      <w:r>
        <w:rPr>
          <w:rFonts w:hint="eastAsia" w:ascii="Times New Roman" w:hAnsi="Times New Roman" w:eastAsiaTheme="minorEastAsia"/>
          <w:color w:val="000000" w:themeColor="text1"/>
          <w:sz w:val="24"/>
          <w:szCs w:val="24"/>
          <w14:textFill>
            <w14:solidFill>
              <w14:schemeClr w14:val="tx1"/>
            </w14:solidFill>
          </w14:textFill>
        </w:rPr>
        <w:t>中国石化集团资产经营管理有限公司长岭分公司</w:t>
      </w:r>
      <w:r>
        <w:rPr>
          <w:rFonts w:ascii="Times New Roman" w:hAnsi="Times New Roman" w:eastAsiaTheme="minorEastAsia"/>
          <w:color w:val="000000" w:themeColor="text1"/>
          <w:sz w:val="24"/>
          <w:szCs w:val="24"/>
          <w14:textFill>
            <w14:solidFill>
              <w14:schemeClr w14:val="tx1"/>
            </w14:solidFill>
          </w14:textFill>
        </w:rPr>
        <w:t>生产安全部应急小组组长在岳阳海事局海事处领导、公司生产安全部领导未到达事故现场时担任应急指挥，待有关领导抵达现场时移交指挥。</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应急组织指挥机构成员职责见表</w:t>
      </w:r>
      <w:r>
        <w:rPr>
          <w:rFonts w:hint="eastAsia" w:ascii="Times New Roman" w:hAnsi="Times New Roman" w:eastAsiaTheme="minorEastAsia"/>
          <w:color w:val="000000" w:themeColor="text1"/>
          <w:sz w:val="24"/>
          <w:szCs w:val="24"/>
          <w14:textFill>
            <w14:solidFill>
              <w14:schemeClr w14:val="tx1"/>
            </w14:solidFill>
          </w14:textFill>
        </w:rPr>
        <w:t>6.8-</w:t>
      </w:r>
      <w:r>
        <w:rPr>
          <w:rFonts w:hint="eastAsia" w:ascii="Times New Roman" w:hAnsi="Times New Roman" w:eastAsiaTheme="minorEastAsia"/>
          <w:color w:val="000000" w:themeColor="text1"/>
          <w:sz w:val="24"/>
          <w:szCs w:val="24"/>
          <w:lang w:val="en-US" w:eastAsia="zh-CN"/>
          <w14:textFill>
            <w14:solidFill>
              <w14:schemeClr w14:val="tx1"/>
            </w14:solidFill>
          </w14:textFill>
        </w:rPr>
        <w:t>23</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14:textFill>
            <w14:solidFill>
              <w14:schemeClr w14:val="tx1"/>
            </w14:solidFill>
          </w14:textFill>
        </w:rPr>
        <w:t>6.8-</w:t>
      </w:r>
      <w:r>
        <w:rPr>
          <w:rFonts w:hint="eastAsia" w:ascii="Times New Roman" w:hAnsi="Times New Roman" w:eastAsiaTheme="minorEastAsia"/>
          <w:b/>
          <w:color w:val="000000" w:themeColor="text1"/>
          <w:sz w:val="24"/>
          <w:szCs w:val="24"/>
          <w:lang w:val="en-US" w:eastAsia="zh-CN"/>
          <w14:textFill>
            <w14:solidFill>
              <w14:schemeClr w14:val="tx1"/>
            </w14:solidFill>
          </w14:textFill>
        </w:rPr>
        <w:t>23</w:t>
      </w:r>
      <w:r>
        <w:rPr>
          <w:rFonts w:ascii="Times New Roman" w:hAnsi="Times New Roman" w:eastAsiaTheme="minorEastAsia"/>
          <w:b/>
          <w:color w:val="000000" w:themeColor="text1"/>
          <w:sz w:val="24"/>
          <w:szCs w:val="24"/>
          <w14:textFill>
            <w14:solidFill>
              <w14:schemeClr w14:val="tx1"/>
            </w14:solidFill>
          </w14:textFill>
        </w:rPr>
        <w:t xml:space="preserve">  应急组织指挥机构成员职责一览表</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91"/>
        <w:gridCol w:w="1349"/>
        <w:gridCol w:w="5851"/>
        <w:gridCol w:w="14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49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1349"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机构成员</w:t>
            </w:r>
          </w:p>
        </w:tc>
        <w:tc>
          <w:tcPr>
            <w:tcW w:w="585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职责</w:t>
            </w:r>
          </w:p>
        </w:tc>
        <w:tc>
          <w:tcPr>
            <w:tcW w:w="1409"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9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34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岳阳海事局海事处</w:t>
            </w:r>
          </w:p>
        </w:tc>
        <w:tc>
          <w:tcPr>
            <w:tcW w:w="585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接收水上事故险情报告，负责监督油污应急计划的实施，必要时协调水上专业救助队伍和交通行业有关部门的应急行动，调动各部门拥有的溢油及液体化学品应急反应的人力、物力、后勤支援，召集应急专家为本码头提供技术咨询支持。</w:t>
            </w:r>
          </w:p>
        </w:tc>
        <w:tc>
          <w:tcPr>
            <w:tcW w:w="140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91"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349"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环保主管部门</w:t>
            </w:r>
          </w:p>
        </w:tc>
        <w:tc>
          <w:tcPr>
            <w:tcW w:w="5851"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组织有关专家提供技术咨询，负责事故可能造成环境危害的监测组织、指导工作，组织有关单位人员进行现场监测，密切关注上下游水厂取水口水域水质变化情况，提供相应的环保监测技术支持。对事故处理后的吸油毡处置、溢油及液体化学品回收、清污作业等提出技术要求。</w:t>
            </w:r>
          </w:p>
        </w:tc>
        <w:tc>
          <w:tcPr>
            <w:tcW w:w="140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湖南省生态环境厅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9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349"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585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40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岳阳市生态环境局、岳阳市生态环境局云溪分局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9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134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技术咨询专家组</w:t>
            </w:r>
          </w:p>
        </w:tc>
        <w:tc>
          <w:tcPr>
            <w:tcW w:w="585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由海事、环保等部门组织有关专家成立技术咨询专家组，为应急反应提供技术咨询参加应急反应决策支持工作。还将视事故影响程度聘请国内溢油及液体化学品应急反应专家，对事故影响预测、应急决策、清污作业和事故后的污染赔偿等处理提供咨询。</w:t>
            </w:r>
          </w:p>
        </w:tc>
        <w:tc>
          <w:tcPr>
            <w:tcW w:w="140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事故发生时临时组建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6" w:hRule="atLeast"/>
          <w:jc w:val="center"/>
        </w:trPr>
        <w:tc>
          <w:tcPr>
            <w:tcW w:w="491"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c>
          <w:tcPr>
            <w:tcW w:w="1349"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中国石化集团资产经营管理有限公司长岭分公司</w:t>
            </w:r>
            <w:r>
              <w:rPr>
                <w:rFonts w:ascii="Times New Roman" w:hAnsi="Times New Roman" w:eastAsiaTheme="minorEastAsia"/>
                <w:color w:val="000000" w:themeColor="text1"/>
                <w14:textFill>
                  <w14:solidFill>
                    <w14:schemeClr w14:val="tx1"/>
                  </w14:solidFill>
                </w14:textFill>
              </w:rPr>
              <w:t>生产安全部</w:t>
            </w:r>
          </w:p>
        </w:tc>
        <w:tc>
          <w:tcPr>
            <w:tcW w:w="5851"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应急指挥中心主任在应急指挥中担任本码头现场应急总指挥，下达调动本分公司各种力量参加抢险、救援命令，决策重大事故处理方案，决定向本系统上级汇报或请求其它救援的时间、方式等。</w:t>
            </w:r>
          </w:p>
        </w:tc>
        <w:tc>
          <w:tcPr>
            <w:tcW w:w="140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法人代表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9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349"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5851"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140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部门负责人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9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134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中国石化集团资产经营管理有限公司长岭分公司</w:t>
            </w:r>
            <w:r>
              <w:rPr>
                <w:rFonts w:ascii="Times New Roman" w:hAnsi="Times New Roman" w:eastAsiaTheme="minorEastAsia"/>
                <w:color w:val="000000" w:themeColor="text1"/>
                <w14:textFill>
                  <w14:solidFill>
                    <w14:schemeClr w14:val="tx1"/>
                  </w14:solidFill>
                </w14:textFill>
              </w:rPr>
              <w:t>生产安全部应急小组</w:t>
            </w:r>
          </w:p>
        </w:tc>
        <w:tc>
          <w:tcPr>
            <w:tcW w:w="585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组长全面负责本计划实施。在接到现场事故报告后组织本港区人员采取应急措施，并在海事局主管部门领导、公司应急小组领导抵达现场前担任应急指挥。组长不在现场时，副组长担任总监相应的职责，依此类推。小组成员执行组长或应急总指挥下达的命令，具体负责组织现场人员回收或消除溢油等工作。</w:t>
            </w:r>
          </w:p>
        </w:tc>
        <w:tc>
          <w:tcPr>
            <w:tcW w:w="140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项目建成后组建</w:t>
            </w:r>
          </w:p>
        </w:tc>
      </w:tr>
    </w:tbl>
    <w:p>
      <w:pPr>
        <w:adjustRightInd w:val="0"/>
        <w:snapToGrid w:val="0"/>
        <w:spacing w:line="360" w:lineRule="auto"/>
        <w:rPr>
          <w:rFonts w:ascii="Times New Roman" w:hAnsi="Times New Roman" w:eastAsiaTheme="minorEastAsia"/>
          <w:b/>
          <w:color w:val="000000" w:themeColor="text1"/>
          <w:sz w:val="24"/>
          <w:szCs w:val="24"/>
          <w14:textFill>
            <w14:solidFill>
              <w14:schemeClr w14:val="tx1"/>
            </w14:solidFill>
          </w14:textFill>
        </w:rPr>
      </w:pP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2、应急防治队伍</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成立专职应急队伍，可选择平时从事围油栏铺设作业、回收和处理污染物及残油</w:t>
      </w:r>
      <w:r>
        <w:rPr>
          <w:rFonts w:hint="eastAsia" w:ascii="Times New Roman" w:hAnsi="Times New Roman" w:eastAsiaTheme="minorEastAsia"/>
          <w:color w:val="000000" w:themeColor="text1"/>
          <w:sz w:val="24"/>
          <w:szCs w:val="24"/>
          <w14:textFill>
            <w14:solidFill>
              <w14:schemeClr w14:val="tx1"/>
            </w14:solidFill>
          </w14:textFill>
        </w:rPr>
        <w:t>、残留化学品</w:t>
      </w:r>
      <w:r>
        <w:rPr>
          <w:rFonts w:ascii="Times New Roman" w:hAnsi="Times New Roman" w:eastAsiaTheme="minorEastAsia"/>
          <w:color w:val="000000" w:themeColor="text1"/>
          <w:sz w:val="24"/>
          <w:szCs w:val="24"/>
          <w14:textFill>
            <w14:solidFill>
              <w14:schemeClr w14:val="tx1"/>
            </w14:solidFill>
          </w14:textFill>
        </w:rPr>
        <w:t>、以及码头装卸作业人员等，发生污染事故时，可以立即投入应急行动。</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3、工程应急反应</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码头出现和可能出现事故溢油时，码头区调度室及值班人员应视溢油及液体化学品程度需要快速向应急小组报告。应急小组在接到事故现场人员报告后，迅速组织技术评估人员立即评估溢油及液体化学品规模，预计溢油及液体化学品</w:t>
      </w:r>
      <w:r>
        <w:rPr>
          <w:rFonts w:hint="eastAsia" w:ascii="Times New Roman" w:hAnsi="Times New Roman" w:eastAsiaTheme="minorEastAsia"/>
          <w:color w:val="000000" w:themeColor="text1"/>
          <w:sz w:val="24"/>
          <w:szCs w:val="24"/>
          <w14:textFill>
            <w14:solidFill>
              <w14:schemeClr w14:val="tx1"/>
            </w14:solidFill>
          </w14:textFill>
        </w:rPr>
        <w:t>扩散</w:t>
      </w:r>
      <w:r>
        <w:rPr>
          <w:rFonts w:ascii="Times New Roman" w:hAnsi="Times New Roman" w:eastAsiaTheme="minorEastAsia"/>
          <w:color w:val="000000" w:themeColor="text1"/>
          <w:sz w:val="24"/>
          <w:szCs w:val="24"/>
          <w14:textFill>
            <w14:solidFill>
              <w14:schemeClr w14:val="tx1"/>
            </w14:solidFill>
          </w14:textFill>
        </w:rPr>
        <w:t>趋势及对码头上、下游水厂取水口造成影响，初步确定应急方案。</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在经过</w:t>
      </w:r>
      <w:r>
        <w:rPr>
          <w:rFonts w:hint="eastAsia" w:ascii="宋体" w:hAnsi="宋体"/>
          <w:color w:val="000000" w:themeColor="text1"/>
          <w:sz w:val="24"/>
          <w:lang w:val="zh-CN"/>
          <w14:textFill>
            <w14:solidFill>
              <w14:schemeClr w14:val="tx1"/>
            </w14:solidFill>
          </w14:textFill>
        </w:rPr>
        <w:t>溢油及液体化学品泄漏</w:t>
      </w:r>
      <w:r>
        <w:rPr>
          <w:rFonts w:ascii="Times New Roman" w:hAnsi="Times New Roman" w:eastAsiaTheme="minorEastAsia"/>
          <w:color w:val="000000" w:themeColor="text1"/>
          <w:sz w:val="24"/>
          <w:szCs w:val="24"/>
          <w14:textFill>
            <w14:solidFill>
              <w14:schemeClr w14:val="tx1"/>
            </w14:solidFill>
          </w14:textFill>
        </w:rPr>
        <w:t>事故初始评估后，应急小组组长决定是否启动应急计划。若</w:t>
      </w:r>
      <w:r>
        <w:rPr>
          <w:rFonts w:hint="eastAsia" w:ascii="宋体" w:hAnsi="宋体"/>
          <w:color w:val="000000" w:themeColor="text1"/>
          <w:sz w:val="24"/>
          <w:lang w:val="zh-CN"/>
          <w14:textFill>
            <w14:solidFill>
              <w14:schemeClr w14:val="tx1"/>
            </w14:solidFill>
          </w14:textFill>
        </w:rPr>
        <w:t>溢油及液体化学品泄漏</w:t>
      </w:r>
      <w:r>
        <w:rPr>
          <w:rFonts w:ascii="Times New Roman" w:hAnsi="Times New Roman" w:eastAsiaTheme="minorEastAsia"/>
          <w:color w:val="000000" w:themeColor="text1"/>
          <w:sz w:val="24"/>
          <w:szCs w:val="24"/>
          <w14:textFill>
            <w14:solidFill>
              <w14:schemeClr w14:val="tx1"/>
            </w14:solidFill>
          </w14:textFill>
        </w:rPr>
        <w:t>事故规模较小，码头人员、设备具备处理的能力，应立即组织人员、调用设备进行处理，若码头人员、设备不具备处理的能力，应立即启动应急计划。</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应急计划反应内容包括：由组长或其指定的人员向上级主管部门以及与事故相关海事、环保等部门报告。报告内容应包括：</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⑴ 事故发生的时间、地点、船名、位置；</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⑵ 事故发生江段气象、水文情况；</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⑶ 油污染源、溢油及液体化学品泄漏原因（包括船名、船型、碰撞/搁浅、船东或货主）、溢油单位（名称、地址、电话、联系人/代理人）、油品</w:t>
      </w:r>
      <w:r>
        <w:rPr>
          <w:rFonts w:hint="eastAsia" w:ascii="Times New Roman" w:hAnsi="Times New Roman" w:eastAsiaTheme="minorEastAsia"/>
          <w:color w:val="000000" w:themeColor="text1"/>
          <w:sz w:val="24"/>
          <w:szCs w:val="24"/>
          <w14:textFill>
            <w14:solidFill>
              <w14:schemeClr w14:val="tx1"/>
            </w14:solidFill>
          </w14:textFill>
        </w:rPr>
        <w:t>及化学品</w:t>
      </w:r>
      <w:r>
        <w:rPr>
          <w:rFonts w:ascii="Times New Roman" w:hAnsi="Times New Roman" w:eastAsiaTheme="minorEastAsia"/>
          <w:color w:val="000000" w:themeColor="text1"/>
          <w:sz w:val="24"/>
          <w:szCs w:val="24"/>
          <w14:textFill>
            <w14:solidFill>
              <w14:schemeClr w14:val="tx1"/>
            </w14:solidFill>
          </w14:textFill>
        </w:rPr>
        <w:t>种类和数量以及进一步溢油及液体化学品泄漏的可能性、油膜的描述，包括移动方向、长度、宽度和形状；</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⑷ 事故发生后已经采取的措施及控制情况；</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⑸ 事故发展势态、可能发生的严重后果；</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⑹ 需要的援助（应急设施和物资、人员、环境监测、医疗援助等）；</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⑺ 事故报警单位、联系人及联系电话等。</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采取的行动：</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⑴ 发出溢油事故报警或紧急通报，用电话和传真通知上级部门；</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⑵ 编制溢油及液体化学品泄漏源位置及漂移方向情况报告（根据实际情况至少每隔1小时报告一次）；</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⑶ 安排后勤保障，估计/预测污油</w:t>
      </w:r>
      <w:r>
        <w:rPr>
          <w:rFonts w:hint="eastAsia" w:ascii="Times New Roman" w:hAnsi="Times New Roman" w:eastAsiaTheme="minorEastAsia"/>
          <w:color w:val="000000" w:themeColor="text1"/>
          <w:sz w:val="24"/>
          <w:szCs w:val="24"/>
          <w14:textFill>
            <w14:solidFill>
              <w14:schemeClr w14:val="tx1"/>
            </w14:solidFill>
          </w14:textFill>
        </w:rPr>
        <w:t>、残留化学品</w:t>
      </w:r>
      <w:r>
        <w:rPr>
          <w:rFonts w:ascii="Times New Roman" w:hAnsi="Times New Roman" w:eastAsiaTheme="minorEastAsia"/>
          <w:color w:val="000000" w:themeColor="text1"/>
          <w:sz w:val="24"/>
          <w:szCs w:val="24"/>
          <w14:textFill>
            <w14:solidFill>
              <w14:schemeClr w14:val="tx1"/>
            </w14:solidFill>
          </w14:textFill>
        </w:rPr>
        <w:t>运动方向（经常处于变化中）；</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⑷ 派出船艇对溢油及液体化学品泄漏源/浮油区域周围实行警戒或交通管制，监视溢油及液体化学品泄漏在水上的扩散情况。必要和可能时，实行空中监视；</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⑸ 判别受威胁的敏感区域/设施，通知可能受威胁的单位；</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⑹ 根据溢油及液体化学品泄漏源的类型、规模、溢出地点、溢出油</w:t>
      </w:r>
      <w:r>
        <w:rPr>
          <w:rFonts w:hint="eastAsia" w:ascii="Times New Roman" w:hAnsi="Times New Roman" w:eastAsiaTheme="minorEastAsia"/>
          <w:color w:val="000000" w:themeColor="text1"/>
          <w:sz w:val="24"/>
          <w:szCs w:val="24"/>
          <w14:textFill>
            <w14:solidFill>
              <w14:schemeClr w14:val="tx1"/>
            </w14:solidFill>
          </w14:textFill>
        </w:rPr>
        <w:t>、化学品</w:t>
      </w:r>
      <w:r>
        <w:rPr>
          <w:rFonts w:ascii="Times New Roman" w:hAnsi="Times New Roman" w:eastAsiaTheme="minorEastAsia"/>
          <w:color w:val="000000" w:themeColor="text1"/>
          <w:sz w:val="24"/>
          <w:szCs w:val="24"/>
          <w14:textFill>
            <w14:solidFill>
              <w14:schemeClr w14:val="tx1"/>
            </w14:solidFill>
          </w14:textFill>
        </w:rPr>
        <w:t>的种类、溢油</w:t>
      </w:r>
      <w:r>
        <w:rPr>
          <w:rFonts w:hint="eastAsia" w:ascii="Times New Roman" w:hAnsi="Times New Roman" w:eastAsiaTheme="minorEastAsia"/>
          <w:color w:val="000000" w:themeColor="text1"/>
          <w:sz w:val="24"/>
          <w:szCs w:val="24"/>
          <w14:textFill>
            <w14:solidFill>
              <w14:schemeClr w14:val="tx1"/>
            </w14:solidFill>
          </w14:textFill>
        </w:rPr>
        <w:t>及化学品</w:t>
      </w:r>
      <w:r>
        <w:rPr>
          <w:rFonts w:ascii="Times New Roman" w:hAnsi="Times New Roman" w:eastAsiaTheme="minorEastAsia"/>
          <w:color w:val="000000" w:themeColor="text1"/>
          <w:sz w:val="24"/>
          <w:szCs w:val="24"/>
          <w14:textFill>
            <w14:solidFill>
              <w14:schemeClr w14:val="tx1"/>
            </w14:solidFill>
          </w14:textFill>
        </w:rPr>
        <w:t>扩散方向等，考虑采取相应的防治措施；</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⑺ 策划并执行清除作业，指定人员做好相关记录；</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⑻ 适时发布终止作业的命令和解除警报。</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各有关部门接到油污</w:t>
      </w:r>
      <w:r>
        <w:rPr>
          <w:rFonts w:hint="eastAsia" w:ascii="Times New Roman" w:hAnsi="Times New Roman" w:eastAsiaTheme="minorEastAsia"/>
          <w:color w:val="000000" w:themeColor="text1"/>
          <w:sz w:val="24"/>
          <w:szCs w:val="24"/>
          <w14:textFill>
            <w14:solidFill>
              <w14:schemeClr w14:val="tx1"/>
            </w14:solidFill>
          </w14:textFill>
        </w:rPr>
        <w:t>、化学品泄漏</w:t>
      </w:r>
      <w:r>
        <w:rPr>
          <w:rFonts w:ascii="Times New Roman" w:hAnsi="Times New Roman" w:eastAsiaTheme="minorEastAsia"/>
          <w:color w:val="000000" w:themeColor="text1"/>
          <w:sz w:val="24"/>
          <w:szCs w:val="24"/>
          <w14:textFill>
            <w14:solidFill>
              <w14:schemeClr w14:val="tx1"/>
            </w14:solidFill>
          </w14:textFill>
        </w:rPr>
        <w:t>事件报警或通报后，应及时按计划规定和要求做好溢油及液体化学品泄漏事故防备和应急反应的各项工作，及时将采取或可能采取的措施反馈给油污</w:t>
      </w:r>
      <w:r>
        <w:rPr>
          <w:rFonts w:hint="eastAsia" w:ascii="Times New Roman" w:hAnsi="Times New Roman" w:eastAsiaTheme="minorEastAsia"/>
          <w:color w:val="000000" w:themeColor="text1"/>
          <w:sz w:val="24"/>
          <w:szCs w:val="24"/>
          <w14:textFill>
            <w14:solidFill>
              <w14:schemeClr w14:val="tx1"/>
            </w14:solidFill>
          </w14:textFill>
        </w:rPr>
        <w:t>、化学品泄漏</w:t>
      </w:r>
      <w:r>
        <w:rPr>
          <w:rFonts w:ascii="Times New Roman" w:hAnsi="Times New Roman" w:eastAsiaTheme="minorEastAsia"/>
          <w:color w:val="000000" w:themeColor="text1"/>
          <w:sz w:val="24"/>
          <w:szCs w:val="24"/>
          <w14:textFill>
            <w14:solidFill>
              <w14:schemeClr w14:val="tx1"/>
            </w14:solidFill>
          </w14:textFill>
        </w:rPr>
        <w:t>应急指挥中心，听从应急指挥中心的统一指挥和行动现场总指挥的调动及安排，做好行动中的情况记录配合工作。</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应急小组全体成员立即采取应急措施，包括溢油及液体化学品泄漏控制与清除，溢油及液体化学品泄漏的监测和监视等。同时，在事故发生第一时间应立即通知码头上、下游各水厂，组织有关单位人员对取水口水域水质进行密集监测，一旦发现污染超标现象，立即停止取水。</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应急行动反应图见图</w:t>
      </w:r>
      <w:r>
        <w:rPr>
          <w:rFonts w:hint="eastAsia" w:ascii="Times New Roman" w:hAnsi="Times New Roman" w:eastAsiaTheme="minorEastAsia"/>
          <w:color w:val="000000" w:themeColor="text1"/>
          <w:sz w:val="24"/>
          <w:szCs w:val="24"/>
          <w14:textFill>
            <w14:solidFill>
              <w14:schemeClr w14:val="tx1"/>
            </w14:solidFill>
          </w14:textFill>
        </w:rPr>
        <w:t>6.8</w:t>
      </w:r>
      <w:r>
        <w:rPr>
          <w:rFonts w:ascii="Times New Roman" w:hAnsi="Times New Roman" w:eastAsiaTheme="minorEastAsia"/>
          <w:color w:val="000000" w:themeColor="text1"/>
          <w:sz w:val="24"/>
          <w:szCs w:val="24"/>
          <w14:textFill>
            <w14:solidFill>
              <w14:schemeClr w14:val="tx1"/>
            </w14:solidFill>
          </w14:textFill>
        </w:rPr>
        <w:t>-2。</w:t>
      </w:r>
    </w:p>
    <w:p>
      <w:pPr>
        <w:spacing w:line="360" w:lineRule="auto"/>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object>
          <v:shape id="_x0000_i1035" o:spt="75" type="#_x0000_t75" style="height:576.6pt;width:380.35pt;" o:ole="t" filled="f" o:preferrelative="t" stroked="f" coordsize="21600,21600">
            <v:path/>
            <v:fill on="f" focussize="0,0"/>
            <v:stroke on="f"/>
            <v:imagedata r:id="rId78" o:title=""/>
            <o:lock v:ext="edit" aspectratio="f"/>
            <w10:wrap type="none"/>
            <w10:anchorlock/>
          </v:shape>
          <o:OLEObject Type="Embed" ProgID="Visio.Drawing.15" ShapeID="_x0000_i1035" DrawAspect="Content" ObjectID="_1468075735" r:id="rId77">
            <o:LockedField>false</o:LockedField>
          </o:OLEObject>
        </w:object>
      </w:r>
    </w:p>
    <w:p>
      <w:pPr>
        <w:adjustRightInd w:val="0"/>
        <w:snapToGrid w:val="0"/>
        <w:spacing w:line="360"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图</w:t>
      </w:r>
      <w:r>
        <w:rPr>
          <w:rFonts w:hint="eastAsia" w:ascii="Times New Roman" w:hAnsi="Times New Roman" w:eastAsiaTheme="minorEastAsia"/>
          <w:b/>
          <w:color w:val="000000" w:themeColor="text1"/>
          <w:sz w:val="24"/>
          <w:szCs w:val="24"/>
          <w14:textFill>
            <w14:solidFill>
              <w14:schemeClr w14:val="tx1"/>
            </w14:solidFill>
          </w14:textFill>
        </w:rPr>
        <w:t>6.8</w:t>
      </w:r>
      <w:r>
        <w:rPr>
          <w:rFonts w:ascii="Times New Roman" w:hAnsi="Times New Roman" w:eastAsiaTheme="minorEastAsia"/>
          <w:b/>
          <w:color w:val="000000" w:themeColor="text1"/>
          <w:sz w:val="24"/>
          <w:szCs w:val="24"/>
          <w14:textFill>
            <w14:solidFill>
              <w14:schemeClr w14:val="tx1"/>
            </w14:solidFill>
          </w14:textFill>
        </w:rPr>
        <w:t>-2  应急反应行动图</w:t>
      </w:r>
    </w:p>
    <w:p>
      <w:pPr>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4、溢油</w:t>
      </w:r>
      <w:r>
        <w:rPr>
          <w:rFonts w:hint="eastAsia" w:ascii="Times New Roman" w:hAnsi="Times New Roman" w:eastAsiaTheme="minorEastAsia"/>
          <w:b/>
          <w:color w:val="FF0000"/>
          <w:sz w:val="24"/>
          <w:szCs w:val="24"/>
          <w:u w:val="single"/>
        </w:rPr>
        <w:t>及泄漏的液体化学品</w:t>
      </w:r>
      <w:r>
        <w:rPr>
          <w:rFonts w:ascii="Times New Roman" w:hAnsi="Times New Roman" w:eastAsiaTheme="minorEastAsia"/>
          <w:b/>
          <w:color w:val="FF0000"/>
          <w:sz w:val="24"/>
          <w:szCs w:val="24"/>
          <w:u w:val="single"/>
        </w:rPr>
        <w:t>回收</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⑴ 吸油毡回收后可重复使用。</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⑵ 处置大量油污物时，先选择油污物</w:t>
      </w:r>
      <w:r>
        <w:rPr>
          <w:rFonts w:hint="eastAsia" w:ascii="Times New Roman" w:hAnsi="Times New Roman" w:eastAsiaTheme="minorEastAsia"/>
          <w:color w:val="FF0000"/>
          <w:sz w:val="24"/>
          <w:szCs w:val="24"/>
          <w:u w:val="single"/>
        </w:rPr>
        <w:t>、化学品</w:t>
      </w:r>
      <w:r>
        <w:rPr>
          <w:rFonts w:ascii="Times New Roman" w:hAnsi="Times New Roman" w:eastAsiaTheme="minorEastAsia"/>
          <w:color w:val="FF0000"/>
          <w:sz w:val="24"/>
          <w:szCs w:val="24"/>
          <w:u w:val="single"/>
        </w:rPr>
        <w:t>的临时存储场所，存储过程分为两阶段：从岸线运到暂存地点，从暂存地点运到处置场所。将在室温下能泵吸的油</w:t>
      </w:r>
      <w:r>
        <w:rPr>
          <w:rFonts w:hint="eastAsia" w:ascii="Times New Roman" w:hAnsi="Times New Roman" w:eastAsiaTheme="minorEastAsia"/>
          <w:color w:val="FF0000"/>
          <w:sz w:val="24"/>
          <w:szCs w:val="24"/>
          <w:u w:val="single"/>
        </w:rPr>
        <w:t>、化学品</w:t>
      </w:r>
      <w:r>
        <w:rPr>
          <w:rFonts w:ascii="Times New Roman" w:hAnsi="Times New Roman" w:eastAsiaTheme="minorEastAsia"/>
          <w:color w:val="FF0000"/>
          <w:sz w:val="24"/>
          <w:szCs w:val="24"/>
          <w:u w:val="single"/>
        </w:rPr>
        <w:t>泵入密封油柜中存储，将高粘度的油</w:t>
      </w:r>
      <w:r>
        <w:rPr>
          <w:rFonts w:hint="eastAsia" w:ascii="Times New Roman" w:hAnsi="Times New Roman" w:eastAsiaTheme="minorEastAsia"/>
          <w:color w:val="FF0000"/>
          <w:sz w:val="24"/>
          <w:szCs w:val="24"/>
          <w:u w:val="single"/>
        </w:rPr>
        <w:t>、化学品</w:t>
      </w:r>
      <w:r>
        <w:rPr>
          <w:rFonts w:ascii="Times New Roman" w:hAnsi="Times New Roman" w:eastAsiaTheme="minorEastAsia"/>
          <w:color w:val="FF0000"/>
          <w:sz w:val="24"/>
          <w:szCs w:val="24"/>
          <w:u w:val="single"/>
        </w:rPr>
        <w:t>放在料车、桶等开口的容器里。对回收的污油和油</w:t>
      </w:r>
      <w:r>
        <w:rPr>
          <w:rFonts w:hint="eastAsia" w:ascii="Times New Roman" w:hAnsi="Times New Roman" w:eastAsiaTheme="minorEastAsia"/>
          <w:color w:val="FF0000"/>
          <w:sz w:val="24"/>
          <w:szCs w:val="24"/>
          <w:u w:val="single"/>
        </w:rPr>
        <w:t>、化学品</w:t>
      </w:r>
      <w:r>
        <w:rPr>
          <w:rFonts w:ascii="Times New Roman" w:hAnsi="Times New Roman" w:eastAsiaTheme="minorEastAsia"/>
          <w:color w:val="FF0000"/>
          <w:sz w:val="24"/>
          <w:szCs w:val="24"/>
          <w:u w:val="single"/>
        </w:rPr>
        <w:t>废弃物，应视溢油</w:t>
      </w:r>
      <w:r>
        <w:rPr>
          <w:rFonts w:hint="eastAsia" w:ascii="Times New Roman" w:hAnsi="Times New Roman" w:eastAsiaTheme="minorEastAsia"/>
          <w:color w:val="FF0000"/>
          <w:sz w:val="24"/>
          <w:szCs w:val="24"/>
          <w:u w:val="single"/>
        </w:rPr>
        <w:t>及液体化学品</w:t>
      </w:r>
      <w:r>
        <w:rPr>
          <w:rFonts w:ascii="Times New Roman" w:hAnsi="Times New Roman" w:eastAsiaTheme="minorEastAsia"/>
          <w:color w:val="FF0000"/>
          <w:sz w:val="24"/>
          <w:szCs w:val="24"/>
          <w:u w:val="single"/>
        </w:rPr>
        <w:t>的不同类型和数量，采取不同的合理利用和处置方案。</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⑶ 溢油</w:t>
      </w:r>
      <w:r>
        <w:rPr>
          <w:rFonts w:hint="eastAsia" w:ascii="Times New Roman" w:hAnsi="Times New Roman" w:eastAsiaTheme="minorEastAsia"/>
          <w:color w:val="FF0000"/>
          <w:sz w:val="24"/>
          <w:szCs w:val="24"/>
          <w:u w:val="single"/>
        </w:rPr>
        <w:t>及液体化学品</w:t>
      </w:r>
      <w:r>
        <w:rPr>
          <w:rFonts w:ascii="Times New Roman" w:hAnsi="Times New Roman" w:eastAsiaTheme="minorEastAsia"/>
          <w:color w:val="FF0000"/>
          <w:sz w:val="24"/>
          <w:szCs w:val="24"/>
          <w:u w:val="single"/>
        </w:rPr>
        <w:t>回收后，应送</w:t>
      </w:r>
      <w:r>
        <w:rPr>
          <w:rFonts w:hint="eastAsia" w:ascii="Times New Roman" w:hAnsi="Times New Roman" w:eastAsiaTheme="minorEastAsia"/>
          <w:color w:val="FF0000"/>
          <w:sz w:val="24"/>
          <w:szCs w:val="24"/>
          <w:u w:val="single"/>
        </w:rPr>
        <w:t>岳阳</w:t>
      </w:r>
      <w:r>
        <w:rPr>
          <w:rFonts w:ascii="Times New Roman" w:hAnsi="Times New Roman" w:eastAsiaTheme="minorEastAsia"/>
          <w:color w:val="FF0000"/>
          <w:sz w:val="24"/>
          <w:szCs w:val="24"/>
          <w:u w:val="single"/>
        </w:rPr>
        <w:t>海事局认可的油类</w:t>
      </w:r>
      <w:r>
        <w:rPr>
          <w:rFonts w:hint="eastAsia" w:ascii="Times New Roman" w:hAnsi="Times New Roman" w:eastAsiaTheme="minorEastAsia"/>
          <w:color w:val="FF0000"/>
          <w:sz w:val="24"/>
          <w:szCs w:val="24"/>
          <w:u w:val="single"/>
        </w:rPr>
        <w:t>、化学品类</w:t>
      </w:r>
      <w:r>
        <w:rPr>
          <w:rFonts w:ascii="Times New Roman" w:hAnsi="Times New Roman" w:eastAsiaTheme="minorEastAsia"/>
          <w:color w:val="FF0000"/>
          <w:sz w:val="24"/>
          <w:szCs w:val="24"/>
          <w:u w:val="single"/>
        </w:rPr>
        <w:t>废弃物回收单位处理。</w:t>
      </w:r>
    </w:p>
    <w:p>
      <w:pPr>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5、事故报告制度</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发生污染事故时应及时报告，事故处理完毕后，</w:t>
      </w:r>
      <w:r>
        <w:rPr>
          <w:rFonts w:hint="eastAsia" w:ascii="Times New Roman" w:hAnsi="Times New Roman" w:eastAsiaTheme="minorEastAsia"/>
          <w:color w:val="FF0000"/>
          <w:sz w:val="24"/>
          <w:szCs w:val="24"/>
          <w:u w:val="single"/>
        </w:rPr>
        <w:t>中国石化集团资产经营管理有限公司长岭分公司</w:t>
      </w:r>
      <w:r>
        <w:rPr>
          <w:rFonts w:ascii="Times New Roman" w:hAnsi="Times New Roman" w:eastAsiaTheme="minorEastAsia"/>
          <w:color w:val="FF0000"/>
          <w:sz w:val="24"/>
          <w:szCs w:val="24"/>
          <w:u w:val="single"/>
        </w:rPr>
        <w:t>生产安全部应对事故原因、</w:t>
      </w:r>
      <w:r>
        <w:rPr>
          <w:rFonts w:hint="eastAsia" w:ascii="Times New Roman" w:hAnsi="Times New Roman" w:eastAsiaTheme="minorEastAsia"/>
          <w:color w:val="FF0000"/>
          <w:sz w:val="24"/>
          <w:szCs w:val="24"/>
          <w:u w:val="single"/>
        </w:rPr>
        <w:t>泄漏</w:t>
      </w:r>
      <w:r>
        <w:rPr>
          <w:rFonts w:ascii="Times New Roman" w:hAnsi="Times New Roman" w:eastAsiaTheme="minorEastAsia"/>
          <w:color w:val="FF0000"/>
          <w:sz w:val="24"/>
          <w:szCs w:val="24"/>
          <w:u w:val="single"/>
        </w:rPr>
        <w:t>量、污染清除处理过程、污染范围和影响程度报告海事局和环保局，由海事局、环保局等部门组织调查，按实际情况确定由事故溢油造成受损失的赔偿费用，经法院最终裁决后，给予经济赔偿。</w:t>
      </w:r>
    </w:p>
    <w:p>
      <w:pPr>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6、人员培训</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码头应急反应的有关管理人员、设施操作人员、应急清污人员应通过专业培训和在职培训，掌握履行其职责所需的相关知识，逐步实现应急反应人员持证上岗，使应急人员具备应急反应理论和溢油及液体化学品泄漏控制及清污的实践经验。</w:t>
      </w:r>
    </w:p>
    <w:p>
      <w:pPr>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7、演习</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为了提高应对水上突发事件的应急处置水平和应急指挥能力，增强应急队伍应急处置和安全保护技能，加强各应急救助单位之间的配合与沟通，检验参与单位应急能力，应适时组织举办综合演习。</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每年举行一次溢油应急演习，检验各个环节是否能快速、协调、有效地实施。</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⑵</w:t>
      </w:r>
      <w:r>
        <w:rPr>
          <w:rFonts w:ascii="Times New Roman" w:hAnsi="Times New Roman" w:eastAsiaTheme="minorEastAsia"/>
          <w:color w:val="FF0000"/>
          <w:sz w:val="24"/>
          <w:szCs w:val="24"/>
          <w:u w:val="single"/>
        </w:rPr>
        <w:t xml:space="preserve"> 演习分室内演习和现场实地模拟事故演习。</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⑶</w:t>
      </w:r>
      <w:r>
        <w:rPr>
          <w:rFonts w:ascii="Times New Roman" w:hAnsi="Times New Roman" w:eastAsiaTheme="minorEastAsia"/>
          <w:color w:val="FF0000"/>
          <w:sz w:val="24"/>
          <w:szCs w:val="24"/>
          <w:u w:val="single"/>
        </w:rPr>
        <w:t xml:space="preserve"> 演习前，溢油及液体化学品泄漏应急指挥部办公室做好演习方案。</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演习内容：</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执行指挥人员的指示。</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⑵</w:t>
      </w:r>
      <w:r>
        <w:rPr>
          <w:rFonts w:ascii="Times New Roman" w:hAnsi="Times New Roman" w:eastAsiaTheme="minorEastAsia"/>
          <w:color w:val="FF0000"/>
          <w:sz w:val="24"/>
          <w:szCs w:val="24"/>
          <w:u w:val="single"/>
        </w:rPr>
        <w:t xml:space="preserve"> 使用各种设备和器材。</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 xml:space="preserve">⑶ </w:t>
      </w:r>
      <w:r>
        <w:rPr>
          <w:rFonts w:ascii="Times New Roman" w:hAnsi="Times New Roman" w:eastAsiaTheme="minorEastAsia"/>
          <w:color w:val="FF0000"/>
          <w:sz w:val="24"/>
          <w:szCs w:val="24"/>
          <w:u w:val="single"/>
        </w:rPr>
        <w:t>完成溢油及液体化学品泄漏围油栏和清除作业。</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⑷</w:t>
      </w:r>
      <w:r>
        <w:rPr>
          <w:rFonts w:ascii="Times New Roman" w:hAnsi="Times New Roman" w:eastAsiaTheme="minorEastAsia"/>
          <w:color w:val="FF0000"/>
          <w:sz w:val="24"/>
          <w:szCs w:val="24"/>
          <w:u w:val="single"/>
        </w:rPr>
        <w:t xml:space="preserve"> 清除受影响地区的溢油</w:t>
      </w:r>
      <w:r>
        <w:rPr>
          <w:rFonts w:hint="eastAsia" w:ascii="Times New Roman" w:hAnsi="Times New Roman" w:eastAsiaTheme="minorEastAsia"/>
          <w:color w:val="FF0000"/>
          <w:sz w:val="24"/>
          <w:szCs w:val="24"/>
          <w:u w:val="single"/>
        </w:rPr>
        <w:t>及液体化学品</w:t>
      </w:r>
      <w:r>
        <w:rPr>
          <w:rFonts w:ascii="Times New Roman" w:hAnsi="Times New Roman" w:eastAsiaTheme="minorEastAsia"/>
          <w:color w:val="FF0000"/>
          <w:sz w:val="24"/>
          <w:szCs w:val="24"/>
          <w:u w:val="single"/>
        </w:rPr>
        <w:t>。</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⑸</w:t>
      </w:r>
      <w:r>
        <w:rPr>
          <w:rFonts w:ascii="Times New Roman" w:hAnsi="Times New Roman" w:eastAsiaTheme="minorEastAsia"/>
          <w:color w:val="FF0000"/>
          <w:sz w:val="24"/>
          <w:szCs w:val="24"/>
          <w:u w:val="single"/>
        </w:rPr>
        <w:t xml:space="preserve"> 回收、清洁、修复和储存各种设备。</w:t>
      </w:r>
    </w:p>
    <w:p>
      <w:pPr>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8、定期检查</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本应急计划保证相关人员人手一册，并且每年进行一次计划检查，及时对应急组织指挥机构成员及其联系方式进行修改更新。</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评价小结</w:t>
      </w:r>
    </w:p>
    <w:p>
      <w:pPr>
        <w:adjustRightInd w:val="0"/>
        <w:snapToGrid w:val="0"/>
        <w:spacing w:line="360" w:lineRule="auto"/>
        <w:ind w:firstLine="482"/>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环境风险事故主要为船舶溢油事故、液体化学品泄漏事故，此类风险事故发生的概率较低，但一旦发生将对长江的水质和水生生态环境产生影响。因此，必须采取必要的风险防范措施，加强码头和船舶进出港的管理，制定严格的码头巡护检查制度，进一步降低事故发生的概率</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制定应急预案，并准备必要的防护物资，减少事故发生时的环境危害。因此，采取必要的保护措施后，本项目船舶溢油事故和液体化学品泄漏事故的环境风险处于可接受的水平。</w:t>
      </w:r>
    </w:p>
    <w:p>
      <w:pPr>
        <w:pStyle w:val="3"/>
        <w:ind w:left="578" w:hanging="578"/>
        <w:rPr>
          <w:rFonts w:hint="default" w:ascii="Times New Roman" w:hAnsi="Times New Roman" w:cs="Times New Roman" w:eastAsiaTheme="minorEastAsia"/>
          <w:b/>
        </w:rPr>
      </w:pPr>
      <w:bookmarkStart w:id="170" w:name="_Toc17521"/>
      <w:bookmarkStart w:id="171" w:name="_Toc32157"/>
      <w:bookmarkStart w:id="172" w:name="_Toc28869"/>
      <w:r>
        <w:rPr>
          <w:rFonts w:hint="default" w:ascii="Times New Roman" w:hAnsi="Times New Roman" w:cs="Times New Roman" w:eastAsiaTheme="minorEastAsia"/>
          <w:b/>
        </w:rPr>
        <w:t>相关专题影响分析</w:t>
      </w:r>
      <w:bookmarkEnd w:id="170"/>
      <w:bookmarkEnd w:id="171"/>
      <w:bookmarkEnd w:id="172"/>
    </w:p>
    <w:p>
      <w:pPr>
        <w:pStyle w:val="4"/>
        <w:ind w:left="578" w:hanging="578"/>
        <w:rPr>
          <w:rFonts w:hint="default" w:ascii="Times New Roman" w:hAnsi="Times New Roman" w:cs="Times New Roman" w:eastAsiaTheme="minorEastAsia"/>
        </w:rPr>
      </w:pPr>
      <w:r>
        <w:rPr>
          <w:rFonts w:hint="default" w:ascii="Times New Roman" w:hAnsi="Times New Roman" w:cs="Times New Roman" w:eastAsiaTheme="minorEastAsia"/>
        </w:rPr>
        <w:t>对区域河势及防洪的影响分析</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引用《</w:t>
      </w:r>
      <w:r>
        <w:rPr>
          <w:rFonts w:hint="eastAsia" w:ascii="Times New Roman" w:hAnsi="Times New Roman" w:cs="Times New Roman" w:eastAsiaTheme="minorEastAsia"/>
          <w:color w:val="auto"/>
          <w:kern w:val="0"/>
          <w:sz w:val="24"/>
          <w:szCs w:val="24"/>
        </w:rPr>
        <w:t>中国石化集团资产经营管理有限公司长岭分公司港口部码头提质改造工程</w:t>
      </w:r>
      <w:r>
        <w:rPr>
          <w:rFonts w:hint="default" w:ascii="Times New Roman" w:hAnsi="Times New Roman" w:cs="Times New Roman" w:eastAsiaTheme="minorEastAsia"/>
          <w:color w:val="auto"/>
          <w:kern w:val="0"/>
          <w:sz w:val="24"/>
          <w:szCs w:val="24"/>
        </w:rPr>
        <w:t>防洪评价报告》中的相关结论。</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本项目河段河宽一般在1.0km左右。多年来，虽河势的总体格局变化不大，但由于该段为宽浅河道，江中分布有潜洲，将河道分成左右两槽。受上游主流摆动的影响，工程附近的河道仍有一定的冲淤变化。从近年的水域条件看，基本具备建设码头工程的条件。</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本项目建成后，其主要阻水建筑物为码头及其引桥结构。根据码头工程河势影响分析数模计算结果，本项目对局部水流影响值不大，影响范围有限，水流结构的调整不足以引起工程附近河床冲淤性质发生大的改变。</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从计算流场来看，码头平台前沿线与水流基本平顺；在平滩流量条件下，工程后工程附近各监测点水流流向变化一般均在±1°之内，码头工程对水流流向影响不大；工程后工程附近几个监测断面流速分布基本没有变化，工程对河段主流线影响较小，河道主流稳定。</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总之，由于该码头工程采用阻水作用较小的浮码头结构，码头结构占用河道行洪面积不大，工程修建后对河道阻水作用较小，因此，工程的修建对河道水位流场影响不大，对工程河段河道行洪影响较小。</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综上所述，工程的建设与运行对长江行洪、河势稳定影响较小。</w:t>
      </w:r>
    </w:p>
    <w:p>
      <w:pPr>
        <w:pStyle w:val="4"/>
        <w:ind w:left="578" w:hanging="578"/>
        <w:rPr>
          <w:rFonts w:hint="default" w:ascii="Times New Roman" w:hAnsi="Times New Roman" w:cs="Times New Roman" w:eastAsiaTheme="minorEastAsia"/>
        </w:rPr>
      </w:pPr>
      <w:r>
        <w:rPr>
          <w:rFonts w:hint="default" w:ascii="Times New Roman" w:hAnsi="Times New Roman" w:cs="Times New Roman" w:eastAsiaTheme="minorEastAsia"/>
        </w:rPr>
        <w:t>对航道的影响分析</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引</w:t>
      </w:r>
      <w:r>
        <w:rPr>
          <w:rFonts w:hint="default" w:ascii="Times New Roman" w:hAnsi="Times New Roman" w:eastAsiaTheme="minorEastAsia"/>
          <w:color w:val="000000"/>
          <w:kern w:val="0"/>
          <w:sz w:val="24"/>
          <w:szCs w:val="24"/>
          <w:lang w:bidi="ar"/>
        </w:rPr>
        <w:t>用《</w:t>
      </w:r>
      <w:r>
        <w:rPr>
          <w:rFonts w:hint="eastAsia" w:ascii="Times New Roman" w:hAnsi="Times New Roman" w:eastAsiaTheme="minorEastAsia"/>
          <w:color w:val="000000"/>
          <w:kern w:val="0"/>
          <w:sz w:val="24"/>
          <w:szCs w:val="24"/>
          <w:lang w:bidi="ar"/>
        </w:rPr>
        <w:t>中国石化集团资产经营管理有限公司长岭分公司港口部码头提质改造工程</w:t>
      </w:r>
      <w:r>
        <w:rPr>
          <w:rFonts w:hint="default" w:ascii="Times New Roman" w:hAnsi="Times New Roman" w:eastAsiaTheme="minorEastAsia"/>
          <w:color w:val="000000"/>
          <w:kern w:val="0"/>
          <w:sz w:val="24"/>
          <w:szCs w:val="24"/>
          <w:lang w:bidi="ar"/>
        </w:rPr>
        <w:t>航道</w:t>
      </w:r>
      <w:r>
        <w:rPr>
          <w:rFonts w:hint="default" w:ascii="Times New Roman" w:hAnsi="Times New Roman" w:cs="Times New Roman" w:eastAsiaTheme="minorEastAsia"/>
          <w:color w:val="auto"/>
          <w:kern w:val="0"/>
          <w:sz w:val="24"/>
          <w:szCs w:val="24"/>
        </w:rPr>
        <w:t>影响报告书》中的相关结论。</w:t>
      </w:r>
    </w:p>
    <w:p>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4"/>
        </w:rPr>
      </w:pPr>
      <w:r>
        <w:rPr>
          <w:rFonts w:hint="eastAsia" w:ascii="Times New Roman" w:hAnsi="Times New Roman" w:cs="Times New Roman" w:eastAsiaTheme="minorEastAsia"/>
          <w:color w:val="auto"/>
          <w:kern w:val="0"/>
          <w:sz w:val="24"/>
          <w:szCs w:val="24"/>
          <w:lang w:eastAsia="zh-CN"/>
        </w:rPr>
        <w:t>本项目</w:t>
      </w:r>
      <w:r>
        <w:rPr>
          <w:rFonts w:hint="default" w:ascii="Times New Roman" w:hAnsi="Times New Roman" w:cs="Times New Roman" w:eastAsiaTheme="minorEastAsia"/>
          <w:color w:val="auto"/>
          <w:kern w:val="0"/>
          <w:sz w:val="24"/>
          <w:szCs w:val="24"/>
        </w:rPr>
        <w:t>位于湖南省</w:t>
      </w:r>
      <w:r>
        <w:rPr>
          <w:rFonts w:ascii="Times New Roman" w:hAnsi="Times New Roman" w:eastAsiaTheme="minorEastAsia"/>
          <w:color w:val="000000"/>
          <w:kern w:val="0"/>
          <w:sz w:val="24"/>
          <w:szCs w:val="24"/>
          <w:lang w:bidi="ar"/>
        </w:rPr>
        <w:t>岳阳港云溪港区陆城作业区</w:t>
      </w:r>
      <w:r>
        <w:rPr>
          <w:rFonts w:hint="default" w:ascii="Times New Roman" w:hAnsi="Times New Roman" w:cs="Times New Roman" w:eastAsiaTheme="minorEastAsia"/>
          <w:color w:val="auto"/>
          <w:kern w:val="0"/>
          <w:sz w:val="24"/>
          <w:szCs w:val="24"/>
        </w:rPr>
        <w:t>，</w:t>
      </w:r>
      <w:r>
        <w:rPr>
          <w:rFonts w:ascii="Times New Roman" w:hAnsi="Times New Roman" w:eastAsiaTheme="minorEastAsia"/>
          <w:color w:val="000000"/>
          <w:kern w:val="0"/>
          <w:sz w:val="24"/>
          <w:szCs w:val="24"/>
          <w:lang w:bidi="ar"/>
        </w:rPr>
        <w:t>长江中游杨林岩水道与螺山水道衔接段右岸</w:t>
      </w:r>
      <w:r>
        <w:rPr>
          <w:rFonts w:hint="default" w:ascii="Times New Roman" w:hAnsi="Times New Roman" w:cs="Times New Roman" w:eastAsiaTheme="minorEastAsia"/>
          <w:color w:val="auto"/>
          <w:kern w:val="0"/>
          <w:sz w:val="24"/>
          <w:szCs w:val="24"/>
        </w:rPr>
        <w:t>。根据工程河段历史及近期河床演变分析，工程河段整治工程实施后，总体河势稳定，工程局部河段水域开阔，水深条件较好，具备工程建设的水域条件。</w:t>
      </w:r>
    </w:p>
    <w:p>
      <w:pPr>
        <w:adjustRightInd w:val="0"/>
        <w:snapToGrid w:val="0"/>
        <w:spacing w:line="360" w:lineRule="auto"/>
        <w:ind w:firstLine="480" w:firstLineChars="200"/>
        <w:rPr>
          <w:rFonts w:ascii="Times New Roman" w:hAnsi="Times New Roman" w:eastAsiaTheme="minorEastAsia"/>
          <w:kern w:val="0"/>
          <w:sz w:val="24"/>
          <w:szCs w:val="24"/>
        </w:rPr>
      </w:pPr>
      <w:r>
        <w:rPr>
          <w:rFonts w:hint="default" w:ascii="Times New Roman" w:hAnsi="Times New Roman" w:cs="Times New Roman" w:eastAsiaTheme="minorEastAsia"/>
          <w:color w:val="auto"/>
          <w:kern w:val="0"/>
          <w:sz w:val="24"/>
          <w:szCs w:val="24"/>
        </w:rPr>
        <w:t>报告的结论是在现行航道布置及航标配布条件下，</w:t>
      </w:r>
      <w:r>
        <w:rPr>
          <w:rFonts w:hint="eastAsia" w:ascii="Times New Roman" w:hAnsi="Times New Roman" w:cs="Times New Roman" w:eastAsiaTheme="minorEastAsia"/>
          <w:color w:val="auto"/>
          <w:kern w:val="0"/>
          <w:sz w:val="24"/>
          <w:szCs w:val="24"/>
          <w:lang w:eastAsia="zh-CN"/>
        </w:rPr>
        <w:t>本项目</w:t>
      </w:r>
      <w:r>
        <w:rPr>
          <w:rFonts w:hint="default" w:ascii="Times New Roman" w:hAnsi="Times New Roman" w:cs="Times New Roman" w:eastAsiaTheme="minorEastAsia"/>
          <w:color w:val="auto"/>
          <w:kern w:val="0"/>
          <w:sz w:val="24"/>
          <w:szCs w:val="24"/>
        </w:rPr>
        <w:t>水工构筑物和停泊水域均未占用主航道及推荐航路水域，对现行航道布置影响较小，码头前沿线布置满足航道维护管理的要求。码头建设期及建成营运后，建议加强码头前沿水域水下地形、水流条件的观测，掌握变化情况，以便及时采取相应措施，以保证工程建设和运行安全。</w:t>
      </w:r>
    </w:p>
    <w:p>
      <w:pPr>
        <w:adjustRightInd w:val="0"/>
        <w:snapToGrid w:val="0"/>
        <w:spacing w:line="360" w:lineRule="auto"/>
        <w:rPr>
          <w:rFonts w:ascii="Times New Roman" w:hAnsi="Times New Roman" w:eastAsiaTheme="minorEastAsia"/>
          <w:kern w:val="0"/>
          <w:sz w:val="24"/>
          <w:szCs w:val="24"/>
        </w:rPr>
      </w:pPr>
    </w:p>
    <w:p>
      <w:pPr>
        <w:rPr>
          <w:rFonts w:ascii="Times New Roman" w:hAnsi="Times New Roman" w:eastAsiaTheme="minorEastAsia"/>
        </w:rPr>
        <w:sectPr>
          <w:headerReference r:id="rId15"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bookmarkStart w:id="173" w:name="_Toc1647856"/>
      <w:bookmarkEnd w:id="173"/>
    </w:p>
    <w:p>
      <w:pPr>
        <w:pStyle w:val="2"/>
        <w:spacing w:line="480" w:lineRule="auto"/>
        <w:ind w:left="431" w:hanging="431"/>
        <w:jc w:val="center"/>
        <w:rPr>
          <w:rFonts w:eastAsiaTheme="minorEastAsia"/>
          <w:b/>
          <w:sz w:val="32"/>
          <w:szCs w:val="32"/>
        </w:rPr>
      </w:pPr>
      <w:bookmarkStart w:id="174" w:name="_Toc11075"/>
      <w:r>
        <w:rPr>
          <w:rFonts w:eastAsiaTheme="minorEastAsia"/>
          <w:b/>
          <w:sz w:val="32"/>
          <w:szCs w:val="32"/>
        </w:rPr>
        <w:t>水产种质资源保护区环境影响评价及保护措施</w:t>
      </w:r>
      <w:bookmarkEnd w:id="174"/>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该章节内容摘录于</w:t>
      </w:r>
      <w:r>
        <w:rPr>
          <w:rFonts w:ascii="Times New Roman" w:hAnsi="Times New Roman" w:eastAsiaTheme="minorEastAsia"/>
          <w:color w:val="000000"/>
          <w:sz w:val="24"/>
          <w:szCs w:val="24"/>
        </w:rPr>
        <w:t>《中国石化集团资产经营管理有限公司长岭分公司港口部码头提质改造工程对</w:t>
      </w:r>
      <w:r>
        <w:rPr>
          <w:rFonts w:ascii="Times New Roman" w:hAnsi="Times New Roman" w:eastAsiaTheme="minorEastAsia"/>
          <w:color w:val="000000" w:themeColor="text1"/>
          <w:kern w:val="0"/>
          <w:sz w:val="24"/>
          <w:szCs w:val="24"/>
          <w14:textFill>
            <w14:solidFill>
              <w14:schemeClr w14:val="tx1"/>
            </w14:solidFill>
          </w14:textFill>
        </w:rPr>
        <w:t>长江监利四大家鱼国家级水产种质资源保护区</w:t>
      </w:r>
      <w:r>
        <w:rPr>
          <w:rFonts w:ascii="Times New Roman" w:hAnsi="Times New Roman" w:eastAsiaTheme="minorEastAsia"/>
          <w:color w:val="000000"/>
          <w:sz w:val="24"/>
          <w:szCs w:val="24"/>
        </w:rPr>
        <w:t>影响专题论证报告》</w:t>
      </w:r>
      <w:r>
        <w:rPr>
          <w:rFonts w:ascii="Times New Roman" w:hAnsi="Times New Roman" w:eastAsiaTheme="minorEastAsia"/>
          <w:sz w:val="24"/>
          <w:szCs w:val="24"/>
        </w:rPr>
        <w:t>的相关内容。</w:t>
      </w:r>
    </w:p>
    <w:p>
      <w:pPr>
        <w:pStyle w:val="3"/>
        <w:ind w:left="0" w:firstLine="0"/>
        <w:rPr>
          <w:rFonts w:ascii="Times New Roman" w:hAnsi="Times New Roman" w:eastAsiaTheme="minorEastAsia"/>
          <w:b/>
        </w:rPr>
      </w:pPr>
      <w:bookmarkStart w:id="175" w:name="_Toc387816903"/>
      <w:bookmarkStart w:id="176" w:name="_Toc29225482"/>
      <w:bookmarkStart w:id="177" w:name="_Toc382412924"/>
      <w:bookmarkStart w:id="178" w:name="_Toc25051372"/>
      <w:bookmarkStart w:id="179" w:name="_Toc396840929"/>
      <w:bookmarkStart w:id="180" w:name="_Toc7623"/>
      <w:r>
        <w:rPr>
          <w:rFonts w:ascii="Times New Roman" w:hAnsi="Times New Roman" w:eastAsiaTheme="minorEastAsia"/>
          <w:b/>
        </w:rPr>
        <w:t>对水生生物资源及保护区生态结构和功能的影响预测与评价</w:t>
      </w:r>
      <w:bookmarkEnd w:id="175"/>
      <w:bookmarkEnd w:id="176"/>
      <w:bookmarkEnd w:id="177"/>
      <w:bookmarkEnd w:id="178"/>
      <w:bookmarkEnd w:id="179"/>
      <w:bookmarkEnd w:id="180"/>
    </w:p>
    <w:p>
      <w:pPr>
        <w:pStyle w:val="4"/>
        <w:rPr>
          <w:rFonts w:eastAsiaTheme="minorEastAsia"/>
        </w:rPr>
      </w:pPr>
      <w:bookmarkStart w:id="181" w:name="_Toc505670926"/>
      <w:bookmarkStart w:id="182" w:name="_Toc8943568"/>
      <w:bookmarkStart w:id="183" w:name="_Toc387816907"/>
      <w:r>
        <w:rPr>
          <w:rFonts w:eastAsiaTheme="minorEastAsia"/>
        </w:rPr>
        <w:t>对鱼类等水生生物区系、种群结构、资源组成的影响</w:t>
      </w:r>
      <w:bookmarkEnd w:id="181"/>
      <w:bookmarkEnd w:id="182"/>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本工程水工建筑主要包括</w:t>
      </w:r>
      <w:r>
        <w:rPr>
          <w:rFonts w:ascii="Times New Roman" w:hAnsi="Times New Roman"/>
          <w:color w:val="000000"/>
          <w:sz w:val="24"/>
          <w:szCs w:val="24"/>
        </w:rPr>
        <w:t>联桥、引桥、综合用房、管线计量平台</w:t>
      </w:r>
      <w:r>
        <w:rPr>
          <w:rFonts w:ascii="Times New Roman" w:hAnsi="Times New Roman"/>
          <w:sz w:val="24"/>
          <w:szCs w:val="24"/>
        </w:rPr>
        <w:t>和跳趸等部分组成。工程（包括趸船、</w:t>
      </w:r>
      <w:r>
        <w:rPr>
          <w:rFonts w:ascii="Times New Roman" w:hAnsi="Times New Roman" w:eastAsiaTheme="minorEastAsia"/>
          <w:sz w:val="24"/>
        </w:rPr>
        <w:t>活动钢引桥、阀室平台、综合用房平台、固定引桥</w:t>
      </w:r>
      <w:r>
        <w:rPr>
          <w:rFonts w:ascii="Times New Roman" w:hAnsi="Times New Roman"/>
          <w:sz w:val="24"/>
          <w:szCs w:val="24"/>
        </w:rPr>
        <w:t>等全部水工工程投影）占用保护区面积为2.64hm</w:t>
      </w:r>
      <w:r>
        <w:rPr>
          <w:rFonts w:ascii="Times New Roman" w:hAnsi="Times New Roman"/>
          <w:sz w:val="24"/>
          <w:szCs w:val="24"/>
          <w:vertAlign w:val="superscript"/>
        </w:rPr>
        <w:t>2</w:t>
      </w:r>
      <w:r>
        <w:rPr>
          <w:rFonts w:ascii="Times New Roman" w:hAnsi="Times New Roman"/>
          <w:sz w:val="24"/>
          <w:szCs w:val="24"/>
        </w:rPr>
        <w:t>，其中桩基占地面积0.0537hm</w:t>
      </w:r>
      <w:r>
        <w:rPr>
          <w:rFonts w:ascii="Times New Roman" w:hAnsi="Times New Roman"/>
          <w:sz w:val="24"/>
          <w:szCs w:val="24"/>
          <w:vertAlign w:val="superscript"/>
        </w:rPr>
        <w:t>2</w:t>
      </w:r>
      <w:r>
        <w:rPr>
          <w:rFonts w:ascii="Times New Roman" w:hAnsi="Times New Roman"/>
          <w:sz w:val="24"/>
          <w:szCs w:val="24"/>
        </w:rPr>
        <w:t>，常水位及常水位下桩基占地面积0.04419hm</w:t>
      </w:r>
      <w:r>
        <w:rPr>
          <w:rFonts w:ascii="Times New Roman" w:hAnsi="Times New Roman"/>
          <w:sz w:val="24"/>
          <w:szCs w:val="24"/>
          <w:vertAlign w:val="superscript"/>
        </w:rPr>
        <w:t>2</w:t>
      </w:r>
      <w:r>
        <w:rPr>
          <w:rFonts w:ascii="Times New Roman" w:hAnsi="Times New Roman"/>
          <w:sz w:val="24"/>
          <w:szCs w:val="24"/>
        </w:rPr>
        <w:t>。</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由于涉水工程施工导致的水质破坏，浮游生物、底栖动物等饵料生物量的减少，改变了施工范围内原有鱼类的生存、生长和繁衍条件，鱼类将择水而栖迁到其它地方，施工区域鱼类密度有所降低。常水位线下桩基施工期在水下作业时，搅动水体和河床底泥，局部范围内破坏了鱼类的栖息地，对鱼类有驱赶作用，也会使鱼类远离施工现场。施工期内因饵料减少对渔业资源的影响非常轻微。工程对鱼类资源的影响包括施工期和运行期的影响。</w:t>
      </w:r>
    </w:p>
    <w:p>
      <w:pPr>
        <w:pStyle w:val="5"/>
        <w:rPr>
          <w:b w:val="0"/>
          <w:bCs w:val="0"/>
        </w:rPr>
      </w:pPr>
      <w:r>
        <w:rPr>
          <w:rFonts w:eastAsiaTheme="minorEastAsia"/>
        </w:rPr>
        <w:t>施工期</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工程对鱼类资源的影响主要来自以下4个方面。</w:t>
      </w:r>
    </w:p>
    <w:p>
      <w:pPr>
        <w:adjustRightInd w:val="0"/>
        <w:snapToGrid w:val="0"/>
        <w:spacing w:line="360" w:lineRule="auto"/>
        <w:ind w:firstLine="480" w:firstLineChars="200"/>
        <w:rPr>
          <w:sz w:val="24"/>
          <w:szCs w:val="24"/>
        </w:rPr>
      </w:pPr>
      <w:r>
        <w:rPr>
          <w:rFonts w:hint="eastAsia"/>
          <w:sz w:val="24"/>
          <w:szCs w:val="24"/>
        </w:rPr>
        <w:t xml:space="preserve">⑴ </w:t>
      </w:r>
      <w:r>
        <w:rPr>
          <w:sz w:val="24"/>
          <w:szCs w:val="24"/>
        </w:rPr>
        <w:t>施工产生的悬浮物对鱼类的影响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常水位线以下桩基切割拆除，重建桩基施工产生的悬浮泥沙会对鱼卵、仔稚鱼和幼体会造成伤害，主要表现为影响胚胎发育、堵塞生物的腮部造成窒息死亡，悬浮物沉积造成水体缺氧而导致死亡等。通常认为，成年鱼类的活动能力较强，在悬浮泥沙浓度超过10mg/L的范围内成鱼可以回避，施工作业对其的影响更多表现为“驱散效应”。</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由于施工区水域面积大，自身净化能力较强，不会形成污染带，鱼类也会本能避开浑浊水域。因此，施工阶段不会对作业湖区的鱼类带来较大的影响，其主要影响是改变了鱼类的暂时空间分布，不会导致鱼类资源量的明显变化。随着施工期的结束，不利影响也即消失。</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⑵ </w:t>
      </w:r>
      <w:r>
        <w:rPr>
          <w:rFonts w:ascii="Times New Roman" w:hAnsi="Times New Roman"/>
          <w:sz w:val="24"/>
          <w:szCs w:val="24"/>
        </w:rPr>
        <w:t>施工产生的噪声对鱼类的影响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桩基拆除、重建施工期噪声主要来自机械设备等作业时产生的噪声。这些机械运行时在噪声较大，联合作业时叠加影响更加突出。施工期施工噪音对施工区鱼类产生惊吓效果，不会对鱼类造成明显的伤害或导致其死亡。但是在持续噪音刺激下，一些种类的个体会出现行为紊乱，从而妨碍其正常索饵和繁殖。</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⑶ </w:t>
      </w:r>
      <w:r>
        <w:rPr>
          <w:rFonts w:ascii="Times New Roman" w:hAnsi="Times New Roman"/>
          <w:sz w:val="24"/>
          <w:szCs w:val="24"/>
        </w:rPr>
        <w:t>施工产生的废水对鱼类的影响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施工期间废水主要来自生产和生活，包括机修间含油废水、冲洗废水和生活污水等；施工期因水质污染对鱼类、浮游植物及底栖动物等有一定不利影响，但由于施工期较短，且多为点状施工，影响程度不大。</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⑷ </w:t>
      </w:r>
      <w:r>
        <w:rPr>
          <w:rFonts w:ascii="Times New Roman" w:hAnsi="Times New Roman"/>
          <w:sz w:val="24"/>
          <w:szCs w:val="24"/>
        </w:rPr>
        <w:t>施工对鱼类饵料资源的影响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桩基施工会导致施工区域内鱼类饵料生物损失，浮游生物、底栖生物和水生植物的损失，会造成以浮游生物为主要食物的鳙、以底栖生物为主要食物的青鱼和以水生植物为主要食物的草鱼饵料资源的损失。</w:t>
      </w:r>
    </w:p>
    <w:p>
      <w:pPr>
        <w:pStyle w:val="5"/>
        <w:rPr>
          <w:rFonts w:eastAsiaTheme="minorEastAsia"/>
        </w:rPr>
      </w:pPr>
      <w:r>
        <w:rPr>
          <w:rFonts w:eastAsiaTheme="minorEastAsia"/>
        </w:rPr>
        <w:t>营运期</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本工程建成后，由于本工程货物吞吐量的增加，相应的运输船舶也将相应增加，经预测本工程货物运输船舶将增加约700艘次/年。营运期间航运量增加对保护区鱼类的潜在影响主要表现为以下几个方面：</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⑴ </w:t>
      </w:r>
      <w:r>
        <w:rPr>
          <w:rFonts w:ascii="Times New Roman" w:hAnsi="Times New Roman"/>
          <w:sz w:val="24"/>
          <w:szCs w:val="24"/>
        </w:rPr>
        <w:t>项目运营期运输船舶产生噪声会对水产种质资源保护区产生一定干扰，噪音污染对鱼类的影响将增加。</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⑵ </w:t>
      </w:r>
      <w:r>
        <w:rPr>
          <w:rFonts w:ascii="Times New Roman" w:hAnsi="Times New Roman"/>
          <w:sz w:val="24"/>
          <w:szCs w:val="24"/>
        </w:rPr>
        <w:t>鱼类被机械损伤的几率也将增加。游船往来增加了保护区鱼类被机械损伤的几率。</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⑶ </w:t>
      </w:r>
      <w:r>
        <w:rPr>
          <w:rFonts w:ascii="Times New Roman" w:hAnsi="Times New Roman"/>
          <w:sz w:val="24"/>
          <w:szCs w:val="24"/>
        </w:rPr>
        <w:t>常水位以下引桥、联桥等桩基对保护区水域的永久占用，建筑投影会影响水下的浮游生物、水生植物等的正常生长，项目运营期造成饵料生物损失，进而对鱼产量产生不利影响。</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⑷ </w:t>
      </w:r>
      <w:r>
        <w:rPr>
          <w:rFonts w:ascii="Times New Roman" w:hAnsi="Times New Roman"/>
          <w:sz w:val="24"/>
          <w:szCs w:val="24"/>
        </w:rPr>
        <w:t>船舶废水排放的影响。营运期由于船舶舱底含油污水，船舶洗舱污水若直接排入保护区，则会直接产生污染；同时船上工作人员的生活污水若直接排放，也会对该区域产生影响，从而对保护区的水质造成破坏。</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⑸ </w:t>
      </w:r>
      <w:r>
        <w:rPr>
          <w:rFonts w:ascii="Times New Roman" w:hAnsi="Times New Roman"/>
          <w:sz w:val="24"/>
          <w:szCs w:val="24"/>
        </w:rPr>
        <w:t>营运期运输船舶运行对水域有一定扰动，造成浅水区域水中悬浮物浓度增加，水的透明度降低，间接影响水中浮游动植物、鱼类等，但运输船舶航行路线水域较深，距水岸较远，扰动产生的悬浮物有限。</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⑹ </w:t>
      </w:r>
      <w:r>
        <w:rPr>
          <w:rFonts w:ascii="Times New Roman" w:hAnsi="Times New Roman"/>
          <w:sz w:val="24"/>
          <w:szCs w:val="24"/>
        </w:rPr>
        <w:t>营运期间长江船舶数量增加约700艘次/年，平均约2艘次/天。由此产生的生活污水及其它生活垃圾也将增加，这些污染物特别是生活污水如果直接排放将可能导致保护区水质的恶化，鱼类等水生生物的生活环境将发生改变。但由于增加数量仅为2艘次/天，相较于保护区内现有通航量295艘次/天，占比极小，通航量增加对保护区影响较小。运营期通过合理处理生活垃圾和废水等，可减少或避免项目实施对水产种质资源保护区的水生态环境带来的影响。</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⑺ </w:t>
      </w:r>
      <w:r>
        <w:rPr>
          <w:rFonts w:ascii="Times New Roman" w:hAnsi="Times New Roman"/>
          <w:sz w:val="24"/>
          <w:szCs w:val="24"/>
        </w:rPr>
        <w:t>船舶碰撞、船舶舱底油污水事故等风险增加，对保护区鱼类的危害将会增加，但本工程建设完成后新增运输船舶较少，仅约增加2艘次/天，增加碰撞的概率较低。</w:t>
      </w:r>
    </w:p>
    <w:bookmarkEnd w:id="183"/>
    <w:p>
      <w:pPr>
        <w:pStyle w:val="4"/>
        <w:rPr>
          <w:rFonts w:eastAsiaTheme="minorEastAsia"/>
        </w:rPr>
      </w:pPr>
      <w:bookmarkStart w:id="184" w:name="_Toc505670927"/>
      <w:bookmarkStart w:id="185" w:name="_Toc8943569"/>
      <w:r>
        <w:rPr>
          <w:rFonts w:eastAsiaTheme="minorEastAsia"/>
        </w:rPr>
        <w:t>对鱼类等水生生物繁殖、索饵和越冬的影响</w:t>
      </w:r>
      <w:bookmarkEnd w:id="184"/>
      <w:bookmarkEnd w:id="185"/>
    </w:p>
    <w:p>
      <w:pPr>
        <w:pStyle w:val="5"/>
        <w:rPr>
          <w:rFonts w:eastAsiaTheme="minorEastAsia"/>
        </w:rPr>
      </w:pPr>
      <w:r>
        <w:rPr>
          <w:rFonts w:eastAsiaTheme="minorEastAsia"/>
        </w:rPr>
        <w:t>对鱼类繁殖的影响</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⑴ </w:t>
      </w:r>
      <w:r>
        <w:rPr>
          <w:rFonts w:ascii="Times New Roman" w:hAnsi="Times New Roman"/>
          <w:sz w:val="24"/>
          <w:szCs w:val="24"/>
        </w:rPr>
        <w:t>对产卵场的影响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评价区鱼类产卵场分布广泛，根据现场调查结果并结合历次调查成果，工程区河段为产漂流性卵鱼类产卵场。</w:t>
      </w:r>
    </w:p>
    <w:p>
      <w:pPr>
        <w:adjustRightInd w:val="0"/>
        <w:snapToGrid w:val="0"/>
        <w:spacing w:line="360" w:lineRule="auto"/>
        <w:ind w:firstLine="480" w:firstLineChars="200"/>
        <w:rPr>
          <w:rFonts w:ascii="Times New Roman" w:hAnsi="Times New Roman"/>
          <w:sz w:val="24"/>
          <w:szCs w:val="20"/>
        </w:rPr>
      </w:pPr>
      <w:r>
        <w:rPr>
          <w:rFonts w:ascii="Times New Roman" w:hAnsi="Times New Roman"/>
          <w:sz w:val="24"/>
          <w:szCs w:val="20"/>
        </w:rPr>
        <w:t>根据郭国忠等2017年在长江中游洪湖江段鱼类早期资源的研究结果，长炼码头工程区域位于四大家鱼产卵场区域，距长岭炼化提质改造码头最近的四大家鱼产卵场为陆城-永济产卵场，产卵场范围约28km，产卵规模0.4×10</w:t>
      </w:r>
      <w:r>
        <w:rPr>
          <w:rFonts w:ascii="Times New Roman" w:hAnsi="Times New Roman"/>
          <w:sz w:val="24"/>
          <w:szCs w:val="20"/>
          <w:vertAlign w:val="superscript"/>
        </w:rPr>
        <w:t>8</w:t>
      </w:r>
      <w:r>
        <w:rPr>
          <w:rFonts w:ascii="Times New Roman" w:hAnsi="Times New Roman"/>
          <w:sz w:val="24"/>
          <w:szCs w:val="20"/>
        </w:rPr>
        <w:t>粒。</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0"/>
        </w:rPr>
        <w:t>码头</w:t>
      </w:r>
      <w:r>
        <w:rPr>
          <w:rFonts w:ascii="Times New Roman" w:hAnsi="Times New Roman"/>
          <w:sz w:val="24"/>
          <w:szCs w:val="24"/>
        </w:rPr>
        <w:t>虽然在产卵场范围内，但四大家鱼产卵时间为5~7月，而码头水工建筑物的施工时间在枯水期，因此，码头施工对四大家鱼产卵无影响。但运营期，根据卵苗漂流发育过程中“近岸密度大，并逐渐向江心递减”的分布特点，码头建成后，部分鱼卵漂浮到码头附近，可能影响鱼卵的孵化，码头趸船占用长度16m，长江宽约1.0km，影响有限。</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⑵ </w:t>
      </w:r>
      <w:r>
        <w:rPr>
          <w:rFonts w:ascii="Times New Roman" w:hAnsi="Times New Roman"/>
          <w:sz w:val="24"/>
          <w:szCs w:val="24"/>
        </w:rPr>
        <w:t>对鱼类繁殖行为和效果的影响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本项目水下建筑桩基等工程选择枯水期建设，总工期约12个月。总体施工时间上与保护区部分鱼类的繁殖期是重叠。如鲤、鲫在长江中游繁殖季节为3</w:t>
      </w:r>
      <w:r>
        <w:rPr>
          <w:rFonts w:hint="eastAsia" w:ascii="Times New Roman" w:hAnsi="Times New Roman"/>
          <w:sz w:val="24"/>
          <w:szCs w:val="24"/>
        </w:rPr>
        <w:t>~</w:t>
      </w:r>
      <w:r>
        <w:rPr>
          <w:rFonts w:ascii="Times New Roman" w:hAnsi="Times New Roman"/>
          <w:sz w:val="24"/>
          <w:szCs w:val="24"/>
        </w:rPr>
        <w:t>5月，盛期为4</w:t>
      </w:r>
      <w:r>
        <w:rPr>
          <w:rFonts w:hint="eastAsia" w:ascii="Times New Roman" w:hAnsi="Times New Roman"/>
          <w:sz w:val="24"/>
          <w:szCs w:val="24"/>
        </w:rPr>
        <w:t>~</w:t>
      </w:r>
      <w:r>
        <w:rPr>
          <w:rFonts w:ascii="Times New Roman" w:hAnsi="Times New Roman"/>
          <w:sz w:val="24"/>
          <w:szCs w:val="24"/>
        </w:rPr>
        <w:t>5月；鳜繁殖产卵时间为4~7月，盛期为6~7月。需要在施工区及其相邻水域活动或繁殖的鱼类，受施工产生的浑水等因素的影响，有些个体或种类会产生生理反应，如受惊扰或水质变化因素刺激产生的应激反应等，对性腺发育不利，或产卵不能发生导致产卵行为紊乱，而对繁殖效果产生负面影响。</w:t>
      </w:r>
    </w:p>
    <w:p>
      <w:pPr>
        <w:pStyle w:val="5"/>
        <w:rPr>
          <w:rFonts w:eastAsiaTheme="minorEastAsia"/>
        </w:rPr>
      </w:pPr>
      <w:r>
        <w:rPr>
          <w:rFonts w:eastAsiaTheme="minorEastAsia"/>
        </w:rPr>
        <w:t>对索饵场的影响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鳜、鳡、乌鳢、鲌类、鲇科、鲿科鱼类等以鱼类为食鱼类的索饵场，随其生活习性及摄食鱼群的分布而分布。本项目施工所占水域面积较小，施工时间较短，施工区域之外，还有大量适宜鳜、鳡、乌鳢、鲌类、鲇科、鲿科等肉食性鱼类的索饵场所，因此工程对这类鱼类的索饵影响较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鲤、鲫等杂食性鱼类索饵场的环境基本特征是缓流或静水，水深0~0.5cm，其间有砾石、礁石、沙质岸边，这些区域易于躲避敌害，同时，这些地方小型饵料丰富，敌害生物少，有利于幼鱼的存活。根据现场调查并结合历次调查成果，保护区内距离工程最近的成规模的鱼类索饵场在洞庭湖汇口，位于工程区上游约20km，因此，工程施工不会对该处索饵场的功能产生影响。</w:t>
      </w:r>
    </w:p>
    <w:p>
      <w:pPr>
        <w:pStyle w:val="5"/>
        <w:rPr>
          <w:rFonts w:eastAsiaTheme="minorEastAsia"/>
        </w:rPr>
      </w:pPr>
      <w:r>
        <w:rPr>
          <w:rFonts w:eastAsiaTheme="minorEastAsia"/>
        </w:rPr>
        <w:t>对越冬场的影响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鱼类越冬场主要集中在干流的河床深处或坑穴中，工程在长江沿岸施工，不占用鱼类越冬场。施工期对鱼类的影响最主要的是施工期产生的船舶噪音，施工噪音将对施工区鱼类产生惊吓效果，鱼类会产生本能的回避反应，在远离施工区域较远的深水水域越冬。</w:t>
      </w:r>
    </w:p>
    <w:p>
      <w:pPr>
        <w:pStyle w:val="5"/>
        <w:rPr>
          <w:rFonts w:eastAsiaTheme="minorEastAsia"/>
        </w:rPr>
      </w:pPr>
      <w:r>
        <w:rPr>
          <w:rFonts w:eastAsiaTheme="minorEastAsia"/>
        </w:rPr>
        <w:t>对洄游通道的影响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施工江段是许多重要水生动物的洄游通道，如保护物种中华鲟，经济水生动物鳗鲡、四大家鱼等。鳗鲡在秋季（8</w:t>
      </w:r>
      <w:r>
        <w:rPr>
          <w:rFonts w:hint="eastAsia" w:ascii="Times New Roman" w:hAnsi="Times New Roman"/>
          <w:sz w:val="24"/>
          <w:szCs w:val="24"/>
        </w:rPr>
        <w:t>~</w:t>
      </w:r>
      <w:r>
        <w:rPr>
          <w:rFonts w:ascii="Times New Roman" w:hAnsi="Times New Roman"/>
          <w:sz w:val="24"/>
          <w:szCs w:val="24"/>
        </w:rPr>
        <w:t>10月）汇集结群沿江降河至海中进行产卵繁殖。在其洄游季节，施工作业产生的噪声、浑水等因素可能会对洄游行为产生影响。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通过既有资料和试验监测表明，海中性成熟中华鲟可能于9</w:t>
      </w:r>
      <w:r>
        <w:rPr>
          <w:rFonts w:hint="eastAsia" w:ascii="Times New Roman" w:hAnsi="Times New Roman"/>
          <w:sz w:val="24"/>
          <w:szCs w:val="24"/>
        </w:rPr>
        <w:t>~</w:t>
      </w:r>
      <w:r>
        <w:rPr>
          <w:rFonts w:ascii="Times New Roman" w:hAnsi="Times New Roman"/>
          <w:sz w:val="24"/>
          <w:szCs w:val="24"/>
        </w:rPr>
        <w:t>10月份通过长监利段上溯产卵，而水下工程施工期为枯水期，避开了中华鲟上溯洄游时间。中华鲟成鱼喜沿着长江主航道的深水槽贴底洄游，本工程建设的护岸和码头等建筑物向河道延伸94m，均不在长江主槽内，运营期对9~10月在此洄游的中华鲟的影响主要为船舶航行中产生的噪声及螺旋桨的机械损伤。</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产后亲鲟约12月份底至2月份降河入海。而此阶段刚好是涉水工程施工期间，施工所产生的噪声及悬浮物都将影响幼鱼的正常摄食，施工会造成作为中华鲟饵料生物的底栖生物部分损失，也会阻碍其顺利下行。运营期运输船舶的增加则可能使中华鲟被撞伤的概率增加。</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而人工放流的中华鲟，每年4月从宜昌出发，约经过5天到达长江监利江段。工程若在此期间施工，将对中华鲟入海洄游产生一定影响。</w:t>
      </w:r>
    </w:p>
    <w:p>
      <w:pPr>
        <w:pStyle w:val="4"/>
        <w:rPr>
          <w:rFonts w:eastAsiaTheme="minorEastAsia"/>
        </w:rPr>
      </w:pPr>
      <w:r>
        <w:rPr>
          <w:rFonts w:eastAsiaTheme="minorEastAsia"/>
        </w:rPr>
        <w:t>对饵料生物、底栖生物和水生植物的影响</w:t>
      </w:r>
    </w:p>
    <w:p>
      <w:pPr>
        <w:pStyle w:val="5"/>
        <w:rPr>
          <w:rFonts w:eastAsiaTheme="minorEastAsia"/>
        </w:rPr>
      </w:pPr>
      <w:r>
        <w:rPr>
          <w:rFonts w:eastAsiaTheme="minorEastAsia"/>
        </w:rPr>
        <w:t>对浮游植物的影响评价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藻类是一群具有叶绿素和其他光合色素，能进行光合作用的低等植物，是自然水体的原始生产者。多数藻类是鱼类或其他水生动物的饵料。码头工程对浮游植物的影响主要是常水位线以下桩基施工打桩阶段产生的悬浮物的影响，局部水域悬浮物浓度增加，使水中浮游植物光合作用暂时降低，不利于藻类生长繁殖，数量减少。施工江段平均水深8m，以泊位岸线长和施工区域外扩10%为工程影响区计算影响水域体积，通过计算，在施工期间，浮游植物的损失量1764.12kg。</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虽然工程施工会使浮游动物的生物量有一定的减少，但由于浮游动物个体小，繁殖速度快，待水质恢复后，浮游生物的数量将会逐步恢复，因此，工程施工对该江段的浮游生物的影响只是局部的、暂时性的。</w:t>
      </w:r>
    </w:p>
    <w:p>
      <w:pPr>
        <w:pStyle w:val="5"/>
        <w:rPr>
          <w:rFonts w:eastAsiaTheme="minorEastAsia"/>
        </w:rPr>
      </w:pPr>
      <w:r>
        <w:rPr>
          <w:rFonts w:eastAsiaTheme="minorEastAsia"/>
        </w:rPr>
        <w:t>对浮游动物的影响评价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导致的局部水域水质浑浊，一方面会直接造成浮游动物的死亡，另一方面这些施工作业会造成作为饵料的浮游植物减少，同样也会加速浮游动物数量和种类的减少。同时，常水位线以下桩基施工扰动底泥导致沉积在江底的有害物质释放，从而导致施工江段及其下游局部水域的水质改变，对浮游动物有一定的致毒作用。施工江段平均水深8m，以泊位岸线长和施工区域外扩10%为工程影响区计算影响水域体积，经计算，在施工期间，浮游动物的损失量5646.14kg。</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同浮游植物一样，工程施工虽然会使浮游动物的生物量有一定的减少，但这种影响只是局部的、暂时性的，因此工程施工对评价区的浮游生物的影响有限。</w:t>
      </w:r>
    </w:p>
    <w:p>
      <w:pPr>
        <w:pStyle w:val="5"/>
        <w:rPr>
          <w:rFonts w:eastAsiaTheme="minorEastAsia"/>
        </w:rPr>
      </w:pPr>
      <w:r>
        <w:rPr>
          <w:rFonts w:eastAsiaTheme="minorEastAsia"/>
        </w:rPr>
        <w:t>对底栖生物的影响评价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工程施工期间，常水位线以下桩基占用长江底质面积441.9m</w:t>
      </w:r>
      <w:r>
        <w:rPr>
          <w:rFonts w:ascii="Times New Roman" w:hAnsi="Times New Roman"/>
          <w:sz w:val="24"/>
          <w:szCs w:val="24"/>
          <w:vertAlign w:val="superscript"/>
        </w:rPr>
        <w:t>2</w:t>
      </w:r>
      <w:r>
        <w:rPr>
          <w:rFonts w:ascii="Times New Roman" w:hAnsi="Times New Roman"/>
          <w:sz w:val="24"/>
          <w:szCs w:val="24"/>
        </w:rPr>
        <w:t>。在施工期，桩基区域的底栖动物大部分都会死亡，从而对该江段底栖动物的种类和数量产生影响。同时施工所产生的悬浮物也会影响到附近水域底栖动物的呼吸、摄食等生命活动，也直接改变了其栖息环境。经计算，在施工期间，底栖动物的损失量10.05kg。</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由于施工影响范围有限，一段时间之后，施工区域生态效应作用将会逐渐形成新的平衡。</w:t>
      </w:r>
    </w:p>
    <w:p>
      <w:pPr>
        <w:pStyle w:val="5"/>
        <w:rPr>
          <w:rFonts w:eastAsiaTheme="minorEastAsia"/>
        </w:rPr>
      </w:pPr>
      <w:r>
        <w:rPr>
          <w:rFonts w:eastAsiaTheme="minorEastAsia"/>
        </w:rPr>
        <w:t>对水生维管束植物的影响评价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对水生植被的影响主要是码头施工过程中，引桥、联桥等的桩基永久占地对沿岸湿生植被的直接破坏，此外，施工过程中所产生的粉尘等会附着在水生植被上，对水生植被产生一定影响。由于施工区江段水生植物较少，以陆生植物和湿生植物为主，水生维管束植物较少，因此工程对水生维管束植物的影响较小。</w:t>
      </w:r>
    </w:p>
    <w:p>
      <w:pPr>
        <w:pStyle w:val="4"/>
        <w:rPr>
          <w:rFonts w:eastAsiaTheme="minorEastAsia"/>
        </w:rPr>
      </w:pPr>
      <w:r>
        <w:rPr>
          <w:rFonts w:eastAsiaTheme="minorEastAsia"/>
        </w:rPr>
        <w:t>对濒危、保护物种的影响评价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保护区江段有保护鱼类7种。其中国家级4种，分别为国家I级保护水生野生动物达氏鲟、中华鲟、白鲟，国家</w:t>
      </w:r>
      <w:r>
        <w:rPr>
          <w:rFonts w:hint="eastAsia" w:ascii="Times New Roman" w:hAnsi="Times New Roman"/>
          <w:sz w:val="24"/>
          <w:szCs w:val="24"/>
        </w:rPr>
        <w:t>Ⅱ</w:t>
      </w:r>
      <w:r>
        <w:rPr>
          <w:rFonts w:ascii="Times New Roman" w:hAnsi="Times New Roman"/>
          <w:sz w:val="24"/>
          <w:szCs w:val="24"/>
        </w:rPr>
        <w:t>级保护水生野生动物胭脂鱼。湖北省级保护鱼类有3种，分别为鯮、鳤、长吻鮠。</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红皮书及红色名录种类共8种。红皮书种类6种，其中濒危种</w:t>
      </w:r>
      <w:r>
        <w:rPr>
          <w:rFonts w:hint="eastAsia" w:ascii="Times New Roman" w:hAnsi="Times New Roman"/>
          <w:sz w:val="24"/>
          <w:szCs w:val="24"/>
        </w:rPr>
        <w:t>（</w:t>
      </w:r>
      <w:r>
        <w:rPr>
          <w:rFonts w:ascii="Times New Roman" w:hAnsi="Times New Roman"/>
          <w:sz w:val="24"/>
          <w:szCs w:val="24"/>
        </w:rPr>
        <w:t>EN</w:t>
      </w:r>
      <w:r>
        <w:rPr>
          <w:rFonts w:hint="eastAsia" w:ascii="Times New Roman" w:hAnsi="Times New Roman"/>
          <w:sz w:val="24"/>
          <w:szCs w:val="24"/>
        </w:rPr>
        <w:t>）</w:t>
      </w:r>
      <w:r>
        <w:rPr>
          <w:rFonts w:ascii="Times New Roman" w:hAnsi="Times New Roman"/>
          <w:sz w:val="24"/>
          <w:szCs w:val="24"/>
        </w:rPr>
        <w:t>1种为白鲟，易危种</w:t>
      </w:r>
      <w:r>
        <w:rPr>
          <w:rFonts w:hint="eastAsia" w:ascii="Times New Roman" w:hAnsi="Times New Roman"/>
          <w:sz w:val="24"/>
          <w:szCs w:val="24"/>
        </w:rPr>
        <w:t>（</w:t>
      </w:r>
      <w:r>
        <w:rPr>
          <w:rFonts w:ascii="Times New Roman" w:hAnsi="Times New Roman"/>
          <w:sz w:val="24"/>
          <w:szCs w:val="24"/>
        </w:rPr>
        <w:t>VU</w:t>
      </w:r>
      <w:r>
        <w:rPr>
          <w:rFonts w:hint="eastAsia" w:ascii="Times New Roman" w:hAnsi="Times New Roman"/>
          <w:sz w:val="24"/>
          <w:szCs w:val="24"/>
        </w:rPr>
        <w:t>）</w:t>
      </w:r>
      <w:r>
        <w:rPr>
          <w:rFonts w:ascii="Times New Roman" w:hAnsi="Times New Roman"/>
          <w:sz w:val="24"/>
          <w:szCs w:val="24"/>
        </w:rPr>
        <w:t>5种为达氏鲟、中华鲟、胭脂鱼、长薄鳅、鯮。红色名录种类8种，其中极危种</w:t>
      </w:r>
      <w:r>
        <w:rPr>
          <w:rFonts w:hint="eastAsia" w:ascii="Times New Roman" w:hAnsi="Times New Roman"/>
          <w:sz w:val="24"/>
          <w:szCs w:val="24"/>
        </w:rPr>
        <w:t>（</w:t>
      </w:r>
      <w:r>
        <w:rPr>
          <w:rFonts w:ascii="Times New Roman" w:hAnsi="Times New Roman"/>
          <w:sz w:val="24"/>
          <w:szCs w:val="24"/>
        </w:rPr>
        <w:t>CR</w:t>
      </w:r>
      <w:r>
        <w:rPr>
          <w:rFonts w:hint="eastAsia" w:ascii="Times New Roman" w:hAnsi="Times New Roman"/>
          <w:sz w:val="24"/>
          <w:szCs w:val="24"/>
        </w:rPr>
        <w:t>）</w:t>
      </w:r>
      <w:r>
        <w:rPr>
          <w:rFonts w:ascii="Times New Roman" w:hAnsi="Times New Roman"/>
          <w:sz w:val="24"/>
          <w:szCs w:val="24"/>
        </w:rPr>
        <w:t>2种为白鲟、中华鲟；濒危种</w:t>
      </w:r>
      <w:r>
        <w:rPr>
          <w:rFonts w:hint="eastAsia" w:ascii="Times New Roman" w:hAnsi="Times New Roman"/>
          <w:sz w:val="24"/>
          <w:szCs w:val="24"/>
        </w:rPr>
        <w:t>（</w:t>
      </w:r>
      <w:r>
        <w:rPr>
          <w:rFonts w:ascii="Times New Roman" w:hAnsi="Times New Roman"/>
          <w:sz w:val="24"/>
          <w:szCs w:val="24"/>
        </w:rPr>
        <w:t>EN</w:t>
      </w:r>
      <w:r>
        <w:rPr>
          <w:rFonts w:hint="eastAsia" w:ascii="Times New Roman" w:hAnsi="Times New Roman"/>
          <w:sz w:val="24"/>
          <w:szCs w:val="24"/>
        </w:rPr>
        <w:t>）</w:t>
      </w:r>
      <w:r>
        <w:rPr>
          <w:rFonts w:ascii="Times New Roman" w:hAnsi="Times New Roman"/>
          <w:sz w:val="24"/>
          <w:szCs w:val="24"/>
        </w:rPr>
        <w:t>1种，为达氏鲟；易危种</w:t>
      </w:r>
      <w:r>
        <w:rPr>
          <w:rFonts w:hint="eastAsia" w:ascii="Times New Roman" w:hAnsi="Times New Roman"/>
          <w:sz w:val="24"/>
          <w:szCs w:val="24"/>
        </w:rPr>
        <w:t>（</w:t>
      </w:r>
      <w:r>
        <w:rPr>
          <w:rFonts w:ascii="Times New Roman" w:hAnsi="Times New Roman"/>
          <w:sz w:val="24"/>
          <w:szCs w:val="24"/>
        </w:rPr>
        <w:t>VU</w:t>
      </w:r>
      <w:r>
        <w:rPr>
          <w:rFonts w:hint="eastAsia" w:ascii="Times New Roman" w:hAnsi="Times New Roman"/>
          <w:sz w:val="24"/>
          <w:szCs w:val="24"/>
        </w:rPr>
        <w:t>）</w:t>
      </w:r>
      <w:r>
        <w:rPr>
          <w:rFonts w:ascii="Times New Roman" w:hAnsi="Times New Roman"/>
          <w:sz w:val="24"/>
          <w:szCs w:val="24"/>
        </w:rPr>
        <w:t>5种，分别为胭脂鱼、长薄鳅、鯮、长须黄颡鱼、青鳉。</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此外，在该江段分布有哺乳纲鲸目的长江江豚为国家</w:t>
      </w:r>
      <w:r>
        <w:rPr>
          <w:rFonts w:hint="eastAsia" w:ascii="Times New Roman" w:hAnsi="Times New Roman"/>
          <w:sz w:val="24"/>
          <w:szCs w:val="24"/>
        </w:rPr>
        <w:t>Ⅱ</w:t>
      </w:r>
      <w:r>
        <w:rPr>
          <w:rFonts w:ascii="Times New Roman" w:hAnsi="Times New Roman"/>
          <w:sz w:val="24"/>
          <w:szCs w:val="24"/>
        </w:rPr>
        <w:t>级保护水生野生动物，或曾分布的哺乳纲鲸目的白鱀豚为国家I级保护水生野生动物。长江江豚在红皮书及红色名录中均被列为濒危种</w:t>
      </w:r>
      <w:r>
        <w:rPr>
          <w:rFonts w:hint="eastAsia" w:ascii="Times New Roman" w:hAnsi="Times New Roman"/>
          <w:sz w:val="24"/>
          <w:szCs w:val="24"/>
        </w:rPr>
        <w:t>（</w:t>
      </w:r>
      <w:r>
        <w:rPr>
          <w:rFonts w:ascii="Times New Roman" w:hAnsi="Times New Roman"/>
          <w:sz w:val="24"/>
          <w:szCs w:val="24"/>
        </w:rPr>
        <w:t>EN</w:t>
      </w:r>
      <w:r>
        <w:rPr>
          <w:rFonts w:hint="eastAsia" w:ascii="Times New Roman" w:hAnsi="Times New Roman"/>
          <w:sz w:val="24"/>
          <w:szCs w:val="24"/>
        </w:rPr>
        <w:t>）</w:t>
      </w:r>
      <w:r>
        <w:rPr>
          <w:rFonts w:ascii="Times New Roman" w:hAnsi="Times New Roman"/>
          <w:sz w:val="24"/>
          <w:szCs w:val="24"/>
        </w:rPr>
        <w:t>。</w:t>
      </w:r>
    </w:p>
    <w:p>
      <w:pPr>
        <w:pStyle w:val="5"/>
        <w:rPr>
          <w:rFonts w:eastAsiaTheme="minorEastAsia"/>
        </w:rPr>
      </w:pPr>
      <w:r>
        <w:rPr>
          <w:rFonts w:eastAsiaTheme="minorEastAsia"/>
        </w:rPr>
        <w:t>对长江江豚的影响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根据历史监测考察资料和本次现场调查，认为长炼码头江段附近水域存在一定数量的江豚分布。码头建设对江豚的影响主要为水下噪声、机械伤害、饵料资源3个方面：</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⑴ </w:t>
      </w:r>
      <w:r>
        <w:rPr>
          <w:rFonts w:ascii="Times New Roman" w:hAnsi="Times New Roman"/>
          <w:sz w:val="24"/>
          <w:szCs w:val="24"/>
        </w:rPr>
        <w:t>水下噪声</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江豚在水下最主要的感觉系统是声纳系统，因此水下噪声将对它们产生不利影响，例如对豚类声纳系统造成干扰，影响其在水中探测和识别物体的能力，受到水下噪声惊吓后急速游动，容易撞上船只螺旋桨而受到伤害，此外较大强度的噪声将对豚类的听力产生破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长江江豚发出的回声定位信号的频率都超过100kHz；在听觉方面，长江江豚对45-139kHz的声音极其敏感，长江江豚对10kHz以下的声音，其听阈值为80~100dB re 1</w:t>
      </w:r>
      <w:r>
        <w:rPr>
          <w:rFonts w:ascii="Times New Roman" w:hAnsi="Times New Roman"/>
          <w:sz w:val="24"/>
          <w:szCs w:val="24"/>
        </w:rPr>
        <w:sym w:font="Symbol" w:char="F06D"/>
      </w:r>
      <w:r>
        <w:rPr>
          <w:rFonts w:ascii="Times New Roman" w:hAnsi="Times New Roman"/>
          <w:sz w:val="24"/>
          <w:szCs w:val="24"/>
        </w:rPr>
        <w:t>Pa，而在其各自敏感频率范围内，其听阈值为50~60dB(A</w:t>
      </w:r>
      <w:r>
        <w:rPr>
          <w:rFonts w:hint="eastAsia" w:ascii="Times New Roman" w:hAnsi="Times New Roman"/>
          <w:sz w:val="24"/>
          <w:szCs w:val="24"/>
        </w:rPr>
        <w:t>)</w:t>
      </w:r>
      <w:r>
        <w:rPr>
          <w:rFonts w:ascii="Times New Roman" w:hAnsi="Times New Roman"/>
          <w:sz w:val="24"/>
          <w:szCs w:val="24"/>
        </w:rPr>
        <w:t>。因此，相对来讲，长江江豚对低频噪声（水流和波浪噪声，10kHz以下）相对不敏感，而对高频噪声（10~100kHz）相对更敏感。由于声传播特性，频率低于10kHz的声音较超声来说能够在衰减之前传播更远的距离，这些频率较低的声音将可能对豚类的听力产生严重的破坏。在施工期，该项目的主要水下噪声源有打桩和施工船舶噪声。运营期，主要为航行船舶噪声。</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①</w:t>
      </w:r>
      <w:r>
        <w:rPr>
          <w:rFonts w:ascii="Times New Roman" w:hAnsi="Times New Roman"/>
          <w:sz w:val="24"/>
          <w:szCs w:val="24"/>
        </w:rPr>
        <w:t xml:space="preserve"> 打桩水下噪声</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打桩噪声为低频、高声源级的脉冲信号，其主要能量的频带一般在1kHz以下，打桩噪声的声源级SPLp-p（峰值-峰值声压级）与SELcum（累积声暴露级）均大于200dBre1µPa。在距打桩点50m范围内，打桩噪声很可能会引起长江江豚暂时性听觉阈移（TTS）；根据打桩水下噪声对长江江豚影响研究（时文静等，2015年），即使在距打桩点362m处的打桩噪声仍明显高于背景噪声，很可能掩蔽动物的目标信号、干扰失散的幼豚寻找母豚。为了缓解打桩噪声对动物的影响，可以用气泡幕或桩体套筒对打桩噪声进行隔离，而缓启动可以使动物在缓启动过程中逃离打桩区域。</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②</w:t>
      </w:r>
      <w:r>
        <w:rPr>
          <w:rFonts w:ascii="Times New Roman" w:hAnsi="Times New Roman"/>
          <w:sz w:val="24"/>
          <w:szCs w:val="24"/>
        </w:rPr>
        <w:t xml:space="preserve"> 船舶噪声</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根据《中国石化集团资产经营管理有限公司长岭分公司港口部码头提质改造工程可行性研究报告》，长炼码头用途为原油及其炼化化工品集并码头及散货，而运输主要采用1000</w:t>
      </w:r>
      <w:r>
        <w:rPr>
          <w:rFonts w:hint="eastAsia" w:ascii="Times New Roman" w:hAnsi="Times New Roman"/>
          <w:sz w:val="24"/>
          <w:szCs w:val="24"/>
        </w:rPr>
        <w:t>~</w:t>
      </w:r>
      <w:r>
        <w:rPr>
          <w:rFonts w:ascii="Times New Roman" w:hAnsi="Times New Roman"/>
          <w:sz w:val="24"/>
          <w:szCs w:val="24"/>
        </w:rPr>
        <w:t>5000吨级内河机动货船。</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研究表明，大型船舶的航行噪声能量分布频率范围较广（&gt;100kHz），主要集中于中低频（&lt;10kHz）部分，各频率（20~144kHz）处的均方根声压级（SPLrms）对环境背景噪声在该频率处的噪声增量范围为3.7~66.5dB(A)。接收到的1/3倍频程声压级（TOL）在各频率处都&gt;70dB(A)，在80~140kHz频段内都高于长江江豚的听觉阈值。而江豚是主要依赖于声信号进行捕食和个体交流的物种，说明大型船舶的航行噪声可能会对长江江豚个体间的声通讯及听觉带来不利影响，如听觉掩盖（张天赐等，2017年）。</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交通运输部2016、2017年交通运输行业发展统计公报，保护区所在的长江中游航道年平均日船舶流量290.8艘和295.1艘，同比增长7.1%和1.5%，长江航道内现有船舶数量较多，且在逐年增加，本工程提质改造后新增船舶约2艘次/天，船舶噪声对江豚存在一定的不利影响，但新增船舶数量占总的船舶数量比例较小，新增噪声对江豚的影响有限。</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⑵ </w:t>
      </w:r>
      <w:r>
        <w:rPr>
          <w:rFonts w:ascii="Times New Roman" w:hAnsi="Times New Roman"/>
          <w:sz w:val="24"/>
          <w:szCs w:val="24"/>
        </w:rPr>
        <w:t>机械伤害</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江豚是主要依赖于声信号进行捕食和个体交流的物种，其声呐系统极易受到船舶机械噪声干扰，造成被船舶螺旋桨打伤击毙的机会增多。1998年4月18日，在长江界碑江段发现一头被螺旋桨打死的江豚。据统计，1998~2002年在长江新螺段内发现的死亡江豚中，被螺旋桨打死的占33.33%。多数情况下，长江江豚选择水深3~6m分离区觅食与抚幼活动，江豚在上行船舶之间避让的空间不足3m水深。江豚受干扰后，可以短暂逃避到干流深水中，但未能觅食必须返回分离区，特别是饥饿状态下，江豚会选择在穿梭不息上行船之间觅食。在江西鄱阳湖湖口水域船舶通行对长江江豚发声行为的影响研究中，船舶和江豚出现存在弱的负相关关系，船舶经过时狭窄水域中的江豚躲避船舶干扰可能采取一种“临时性”策略（董首悦等，2012年）。</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码头营运后，来往船舶数量增加，根据《中国石化集团资产经营管理有限公司长岭分公司港口部码头提质改造工程可行性研究报告》，本工程提质改造后，货品运输吞吐量预计新增190万吨/年，相应的进出船舶平均日船舶流量新增约2艘次，船舶机械伤害江豚概率有所上升，但现阶段长江航段船舶数量约为295艘，新增船舶数量占现阶段总的船舶数量比例较小，新增船舶机械伤害对江豚的影响有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已有研究表明，长江江豚对船舶噪声有主动躲避行为，比如，船舶出现与江豚出现存在负相关关系，在船舶航行轨迹的0~50m垂直距离范围内，通常难以观察到江豚，而在 50~100m 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如果运行期内船舶航运量密度过高，船舶之间的距离在200m以内，会对江豚产生一定的影响。因此，需控制到港船舶进出量。</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⑶ </w:t>
      </w:r>
      <w:r>
        <w:rPr>
          <w:rFonts w:ascii="Times New Roman" w:hAnsi="Times New Roman"/>
          <w:sz w:val="24"/>
          <w:szCs w:val="24"/>
        </w:rPr>
        <w:t>饵料资源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江豚主要以小型鱼类为食，如鲤、黄尾鲴、鲫、短颌鲚、鲇、餐、鲢、鳊、草鱼等在江豚的胃中都有发现。工程施工产生的悬浮泥沙会对鱼卵、仔稚鱼和幼体会造成伤害，影响鱼类资源一定程度减少，从而也影响了江豚的食物来源，导致其食物来源获得性降低。饵料的减少会增加江豚的捕食难度，从而降低抵御危险的能力，另外饵料的短缺还会影响江豚的正常繁殖。工程施工改变了施工影响江段鱼类的暂时空间分布，但由于工程影响范围较小，且不占用产粘沉性鱼类产卵场，因此对长江江豚饵料资源的影响很小。</w:t>
      </w:r>
    </w:p>
    <w:p>
      <w:pPr>
        <w:pStyle w:val="5"/>
        <w:rPr>
          <w:rFonts w:eastAsiaTheme="minorEastAsia"/>
        </w:rPr>
      </w:pPr>
      <w:r>
        <w:rPr>
          <w:rFonts w:eastAsiaTheme="minorEastAsia"/>
        </w:rPr>
        <w:t>对中华鲟的影响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中华鲟具有溯河洄游产卵习性，根据华中农业大学2012年对长江中华鲟生殖洄游和栖息地选择的研究结果，武汉至枝江江段（含保护区江段）存在中华鲟的临时栖息地，且本江段为其到达宜昌产卵场的必经江段。中华鲟为底层鱼类，在洄游途中喜好走深槽沙洲，故沿江河槽水深且为沙丘之处是良好的栖息场所。中华鲟生殖群体上溯进行繁殖时，停止摄食，产卵后亲鲟降河开始摄食。幼鱼的摄食强度大，一般吃浮游生物及底栖的水生昆虫、小型鱼虾及软体动物，成鱼期摄食底栖动物及动植物残渣。目前长江捕鱼渔船时常有误补中华鲟的事件发生，中华鲟在施工江段出现的概率较大。</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通过既有资料和试验监测表明，海中性成熟中华鲟可能于9~10月份通过长监利段上溯产卵，而水下桩基工程施工期为枯水期，避开了中华鲟上溯洄游时间。中华鲟成鱼喜沿着长江主航道的深水槽贴底洄游，本工程建设的护岸和码头等建筑物向河道延伸94m，均不在长江主槽内，运营期对9~10月在此洄游的中华鲟的影响主要为船舶航行中产生的噪声及螺旋桨的机械损伤。</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产后亲鲟约12月底至2月份降河入海，而此阶段刚好是涉水工程施工期间，施工所产生的噪音及悬浮物都将影响幼鱼的正常摄食，施工会造成作为中华鲟饵料生物的底栖生物部分损失，也会阻碍其顺利下行。运营期运输船舶的增加则可能使中华鲟被撞伤的概率增加。据记录，1996、1997、2003年秋季在长江界碑、龙口和乌林江段发现过中华鲟残体，切割明显（熊远辉，2004）。但中华鲟趋避活动能力较强，受惊扰后会主动逃离施工区域，且本工程提质改造完成后，新增船舶仅约为2艘次/天，因此船只对其产生伤害的几率较小。</w:t>
      </w:r>
    </w:p>
    <w:p>
      <w:pPr>
        <w:pStyle w:val="5"/>
        <w:rPr>
          <w:rFonts w:eastAsiaTheme="minorEastAsia"/>
        </w:rPr>
      </w:pPr>
      <w:r>
        <w:rPr>
          <w:rFonts w:eastAsiaTheme="minorEastAsia"/>
        </w:rPr>
        <w:t>对白鲟的影响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白鲟是我国最为濒危的水生野生动物之一，1988年列为国家一级重点保护动物，世界自然与自然保护联盟（IUCN）红色目录（1996）极危种（Critical Endangered），1998年列为“国际濒危动植物种贸易公约”（CITES）附录二保护物种。近年来长江白鲟资源锐减，资源已非常稀少，而且主要分布在长江上游和金沙江，自1995年以来，仅2002年在南京江段发现了一尾白鲟成鱼。综合历史资料分析，由于本保护区处于长江中游江段，在历史上主要为白鲟的洄游通道，从目前白鲟的资源量看，在本保护区分布的可能性较小，且本工程对白鲟的洄游基本没有影响。</w:t>
      </w:r>
    </w:p>
    <w:p>
      <w:pPr>
        <w:pStyle w:val="5"/>
        <w:rPr>
          <w:b w:val="0"/>
          <w:bCs w:val="0"/>
        </w:rPr>
      </w:pPr>
      <w:r>
        <w:rPr>
          <w:rFonts w:eastAsiaTheme="minorEastAsia"/>
        </w:rPr>
        <w:t>对达氏鲟的影响</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sz w:val="24"/>
          <w:szCs w:val="24"/>
        </w:rPr>
        <w:t>达氏鲟是一种淡水定居性鱼类，常在江河中下层活动，喜栖息于流速较缓、富腐植质和底栖生物的沙质底或卵石碛坝的河湾或深沱中。主要分布在长江上游干流及金沙江下游，以四川宜宾—合江段产量较高。现阶段达氏鲟主要栖息于泸州至宜宾江段的200km水域内。在本保护区内尚存有达氏鲟个体，但主要为增殖放流的个体，达氏鲟在本区内产卵的可能性较小，主要为达氏鲟的栖息和索饵提供环境。施工影响区域没有河湾或深沱生境，保护区也不是达氏鲟的主要分布区域，施工区域内出现达氏鲟的概率很低。</w:t>
      </w:r>
    </w:p>
    <w:p>
      <w:pPr>
        <w:pStyle w:val="5"/>
        <w:rPr>
          <w:rFonts w:eastAsiaTheme="minorEastAsia"/>
        </w:rPr>
      </w:pPr>
      <w:r>
        <w:rPr>
          <w:rFonts w:eastAsiaTheme="minorEastAsia"/>
        </w:rPr>
        <w:t>对胭脂鱼的影响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胭脂鱼广泛分布于长江水系的干、支流。长江干流，岷江、沱江、赤水河、嘉陵江、乌江、清江、汉江等支流，洞庭湖和鄱阳湖等沿江湖泊都有捕捞胭脂鱼的记录。繁殖季节为春季的3~4月，在水流湍急的石滩上产卵，卵具粘性。产卵场分布在宜宾至重庆的长江上游以及金沙江、岷江、嘉陵江等支流下游，主要产卵场集中在金沙江、岷江、赤水河和长江交汇的附近江段。本次调查在保护区监利城区河段捕获1尾胭脂鱼幼鱼，胭脂鱼资源呈明显的衰退趋势。工程不会对胭脂鱼的洄游产生过多影响，但是施工产生的污水、施工期噪音会驱赶施工区域附近的胭脂鱼到其它水域，但施工结束后施工区鱼类分布会回归正常水平。运营期运输船舶的增加会使胭脂鱼被撞伤的概率增加。</w:t>
      </w:r>
    </w:p>
    <w:p>
      <w:pPr>
        <w:pStyle w:val="5"/>
        <w:rPr>
          <w:rFonts w:eastAsiaTheme="minorEastAsia"/>
        </w:rPr>
      </w:pPr>
      <w:r>
        <w:rPr>
          <w:rFonts w:eastAsiaTheme="minorEastAsia"/>
        </w:rPr>
        <w:t>对长薄鳅的影响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薄鳅分布地区较广，主要分布在金沙江水系、长江中上游、岷江、嘉陵江、沱江、渠江和涪江水系的中下游等，一般栖息于江河底层中。其中尤以长江泸州、宜宾和雅砻江攀枝花等地长薄鳅分布较多，其他河流中有零星分布。长薄鳅为温水性底层鱼类，喜栖于江河中上游江段，江边水流较缓处的石砾缝间，常集群在水底砂砾间或岩石缝隙中活动。江河涨水时有溯水上游的习性。是一种凶猛肉食性鱼类，主要捕食小鱼，尤其是底层小型鱼类。繁殖季节为每年4~6月，卵粘附在砾石上孵化，产卵场主要分布在金沙江、雅砻江和岷江等支流。保护区也不是长薄鳅的主要分布区域，施工区域内出现长薄鳅的概率较低。</w:t>
      </w:r>
    </w:p>
    <w:p>
      <w:pPr>
        <w:pStyle w:val="5"/>
        <w:rPr>
          <w:rFonts w:eastAsiaTheme="minorEastAsia"/>
        </w:rPr>
      </w:pPr>
      <w:r>
        <w:rPr>
          <w:rFonts w:eastAsiaTheme="minorEastAsia"/>
        </w:rPr>
        <w:t>对长须黄颡鱼的影响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须黄颡鱼分布于长江干流及其附属湖泊中常见，但是产量不多。在湖泊静水或江河缓流中营底栖生活。一般喜食各种小型鱼、虾、泥鳅、蚯蚓及螺、蚌等。水下桩基的施工会增加长须黄颡鱼被船只撞伤的概率，但鱼类收到惊吓会择水而栖，迁移到其他水域，对长须黄颡鱼影响较小。</w:t>
      </w:r>
    </w:p>
    <w:p>
      <w:pPr>
        <w:pStyle w:val="5"/>
        <w:rPr>
          <w:rFonts w:eastAsiaTheme="minorEastAsia"/>
        </w:rPr>
      </w:pPr>
      <w:r>
        <w:rPr>
          <w:rFonts w:eastAsiaTheme="minorEastAsia"/>
        </w:rPr>
        <w:t>对青鳉的影响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青鳉是一种小型鱼类，分布于长江流域，常成群栖息于静水或缓流的表层。繁殖季节为4月~7月，分批产卵。工程区位于长江干流，流速较大，分布青鳉的概率较小，工程建设不会对青鳉造成不利影响。</w:t>
      </w:r>
    </w:p>
    <w:p>
      <w:pPr>
        <w:pStyle w:val="5"/>
        <w:rPr>
          <w:rFonts w:eastAsiaTheme="minorEastAsia"/>
        </w:rPr>
      </w:pPr>
      <w:r>
        <w:rPr>
          <w:rFonts w:eastAsiaTheme="minorEastAsia"/>
        </w:rPr>
        <w:t>对湖北省重点保护野生水生动物的影响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评价区内鳤、鯮、长吻鮠鱼被列入湖北省重点保护野生水生动物。近年来由于过度捕捞、江湖阻隔而影响鳤、鯮幼鱼进入湖泊生活与肥育、长江中鱼类资源总体下降而使大型凶猛肉食鱼类的食物短缺等原因，导致鳤、鯮的种群个体数量显著减少，目前已很难见到其个体。因此，鳤、鯮在施工区出现的概率很低，且工程施工并未对其繁殖洄游有明显阻碍作用，但是施工造成的鱼类资源损失会对以鱼类为主要食物的鳤、鯮饵料生物资源有一定的影响。</w:t>
      </w:r>
    </w:p>
    <w:p>
      <w:pPr>
        <w:adjustRightInd w:val="0"/>
        <w:snapToGrid w:val="0"/>
        <w:spacing w:line="360" w:lineRule="auto"/>
        <w:ind w:firstLine="480" w:firstLineChars="200"/>
        <w:rPr>
          <w:rFonts w:ascii="Times New Roman" w:hAnsi="Times New Roman"/>
          <w:sz w:val="24"/>
          <w:szCs w:val="28"/>
        </w:rPr>
      </w:pPr>
      <w:r>
        <w:rPr>
          <w:rFonts w:ascii="Times New Roman" w:hAnsi="Times New Roman"/>
          <w:sz w:val="24"/>
          <w:szCs w:val="24"/>
        </w:rPr>
        <w:t>长吻鮠通常栖息于缓流深水的乱石中，有钻缝的习性。终生喜阴蔽，畏光。白天不到水面活动，夜晚则散开到水面觅食，一般喜食各种小型鱼、虾、泥鳅、蚯蚓及螺、蚌等。施工期、营运期内，施工、运输船舶的增加会增加长吻鮠被船只撞伤的概率，施工船舶污水、油污也会把施工区域内喜净水的长吻鮠驱赶到其它水域。因此，工程的施工会对长吻鮠有一定的影响。</w:t>
      </w:r>
    </w:p>
    <w:p>
      <w:pPr>
        <w:pStyle w:val="4"/>
        <w:rPr>
          <w:rFonts w:eastAsiaTheme="minorEastAsia"/>
        </w:rPr>
      </w:pPr>
      <w:r>
        <w:rPr>
          <w:rFonts w:eastAsiaTheme="minorEastAsia"/>
        </w:rPr>
        <w:t>对保护区结构和功能的影响</w:t>
      </w:r>
    </w:p>
    <w:p>
      <w:pPr>
        <w:pStyle w:val="5"/>
        <w:rPr>
          <w:rFonts w:eastAsiaTheme="minorEastAsia"/>
        </w:rPr>
      </w:pPr>
      <w:r>
        <w:rPr>
          <w:rFonts w:eastAsiaTheme="minorEastAsia"/>
        </w:rPr>
        <w:t>对保护区主要保护对象的影响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保护区的主要保护对象四大家鱼（青、草、鲢、鳙）亲鱼于4</w:t>
      </w:r>
      <w:r>
        <w:rPr>
          <w:rFonts w:hint="eastAsia" w:ascii="Times New Roman" w:hAnsi="Times New Roman"/>
          <w:sz w:val="24"/>
          <w:szCs w:val="24"/>
        </w:rPr>
        <w:t>~</w:t>
      </w:r>
      <w:r>
        <w:rPr>
          <w:rFonts w:ascii="Times New Roman" w:hAnsi="Times New Roman"/>
          <w:sz w:val="24"/>
          <w:szCs w:val="24"/>
        </w:rPr>
        <w:t>7月在江河急流有泡漩水的江段繁殖，产后的亲鱼则洄游至湖泊中摄食，部分仔稚鱼随水流直接进入湖泊，部分在干流的漫滩摄食，生长为幼鱼后顶流进入湖泊索饵育肥。在秋末冬初水位下降时，成鱼开始从较浅的湖泊游到江河干流的河床深处进行越冬洄游，当湖泊中存在深水区（深洼或潭坑）时，也可在这些场所越冬，在繁殖季节，湖泊以及江河下游的亲鱼又洄游到干流的产卵场进行繁殖。</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性成熟四大家鱼在4~7月返回长江干流繁殖，此时段四大家鱼在长江干流的的数量多于其他时段，随着繁殖期结束产卵后亲鱼和仔稚鱼长为幼鱼后进入湖泊索饵，长江干流四大家鱼数量将有所减少。工程位于长江干流“陆城-永济”四大家鱼产卵场范围内，水下桩基工程选择枯水期施工，避开了四大家鱼产卵成鱼和幼鱼大量分布于干流的时间段，因此工程施工对四大家鱼的影响较小。但干流还是会存在一定规模的四大家鱼，施工产生的悬浮泥沙、噪声、废水以及对饵料食物的影响进而对四大家鱼产生不利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运营期，根据卵苗漂流发育过程中“近岸密度大，并逐渐向江心递减”的分布特点，码头建成后，部分鱼卵漂浮到码头附近，可能影响鱼卵的孵化，码头趸船占用长度16m，长江宽约1.0km，影响有限。由码头提质带来的新增船舶较少，仅为约2艘次/天，新增规模较长江现有通航量比例较小，因此运营期对四大家鱼的影响不大。</w:t>
      </w:r>
    </w:p>
    <w:p>
      <w:pPr>
        <w:pStyle w:val="5"/>
        <w:rPr>
          <w:rFonts w:eastAsiaTheme="minorEastAsia"/>
        </w:rPr>
      </w:pPr>
      <w:r>
        <w:rPr>
          <w:rFonts w:eastAsiaTheme="minorEastAsia"/>
        </w:rPr>
        <w:t>对保护区结构和功能的影响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工程位于保护区实验区，施工期内水质和水下噪声将对周围的环境及水生生物有一定的影响，桩基施工引起的SS排放，会影响施工区域附近重点保护鱼类的栖息。</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经计算，保护区总面积约15996hm</w:t>
      </w:r>
      <w:r>
        <w:rPr>
          <w:rFonts w:ascii="Times New Roman" w:hAnsi="Times New Roman"/>
          <w:sz w:val="24"/>
          <w:szCs w:val="24"/>
          <w:vertAlign w:val="superscript"/>
        </w:rPr>
        <w:t>2</w:t>
      </w:r>
      <w:r>
        <w:rPr>
          <w:rFonts w:ascii="Times New Roman" w:hAnsi="Times New Roman"/>
          <w:sz w:val="24"/>
          <w:szCs w:val="24"/>
        </w:rPr>
        <w:t>，运行期本工程（含水面趸船、油船，桩柱上引桥等投影）占用保护区约2.64hm</w:t>
      </w:r>
      <w:r>
        <w:rPr>
          <w:rFonts w:ascii="Times New Roman" w:hAnsi="Times New Roman"/>
          <w:sz w:val="24"/>
          <w:szCs w:val="24"/>
          <w:vertAlign w:val="superscript"/>
        </w:rPr>
        <w:t>2</w:t>
      </w:r>
      <w:r>
        <w:rPr>
          <w:rFonts w:ascii="Times New Roman" w:hAnsi="Times New Roman"/>
          <w:sz w:val="24"/>
          <w:szCs w:val="24"/>
        </w:rPr>
        <w:t>，占保护区面积的0.016%，因此工程的建设对保护区水生生物资源的生境影响很小。运行期内对水生生物的影响主要为运输船舶数量增加、船舶搁浅、碰撞、装卸料泄露等风险事故造成水质污染的影响。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sz w:val="24"/>
          <w:szCs w:val="24"/>
        </w:rPr>
        <w:t>由于本项目施工期较短、施工影响范围较小，运行期对水质、噪声的影响范围有限，故本工程的建设对保护区的功能影响较小，在保护区水生生态系统的可承受范围内。</w:t>
      </w:r>
    </w:p>
    <w:p>
      <w:pPr>
        <w:pStyle w:val="3"/>
        <w:ind w:left="0" w:firstLine="0"/>
        <w:rPr>
          <w:rFonts w:ascii="Times New Roman" w:hAnsi="Times New Roman" w:eastAsiaTheme="minorEastAsia"/>
          <w:b/>
        </w:rPr>
      </w:pPr>
      <w:bookmarkStart w:id="186" w:name="_Toc29225483"/>
      <w:bookmarkStart w:id="187" w:name="_Toc25965"/>
      <w:r>
        <w:rPr>
          <w:rFonts w:ascii="Times New Roman" w:hAnsi="Times New Roman" w:eastAsiaTheme="minorEastAsia"/>
          <w:b/>
        </w:rPr>
        <w:t>水产种质资源保护区保护及补偿措施</w:t>
      </w:r>
      <w:bookmarkEnd w:id="186"/>
      <w:bookmarkEnd w:id="187"/>
    </w:p>
    <w:p>
      <w:pPr>
        <w:pStyle w:val="4"/>
        <w:rPr>
          <w:rFonts w:eastAsiaTheme="minorEastAsia"/>
        </w:rPr>
      </w:pPr>
      <w:bookmarkStart w:id="188" w:name="_Toc18306820"/>
      <w:bookmarkStart w:id="189" w:name="_Toc18306877"/>
      <w:r>
        <w:rPr>
          <w:rFonts w:eastAsiaTheme="minorEastAsia"/>
        </w:rPr>
        <w:t>水环境保护措施</w:t>
      </w:r>
      <w:bookmarkEnd w:id="188"/>
      <w:bookmarkEnd w:id="189"/>
    </w:p>
    <w:p>
      <w:pPr>
        <w:pStyle w:val="5"/>
        <w:rPr>
          <w:rFonts w:eastAsiaTheme="minorEastAsia"/>
          <w:color w:val="auto"/>
        </w:rPr>
      </w:pPr>
      <w:bookmarkStart w:id="190" w:name="_Toc18519_WPSOffice_Level3"/>
      <w:bookmarkStart w:id="191" w:name="_Toc21254_WPSOffice_Level3"/>
      <w:bookmarkStart w:id="192" w:name="_Toc515895911"/>
      <w:r>
        <w:rPr>
          <w:rFonts w:eastAsiaTheme="minorEastAsia"/>
          <w:color w:val="auto"/>
        </w:rPr>
        <w:t>施工期保护措施</w:t>
      </w:r>
      <w:bookmarkEnd w:id="190"/>
      <w:bookmarkEnd w:id="191"/>
      <w:bookmarkEnd w:id="192"/>
    </w:p>
    <w:p>
      <w:pPr>
        <w:adjustRightInd w:val="0"/>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1、生产废水</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⑴ </w:t>
      </w:r>
      <w:r>
        <w:rPr>
          <w:rFonts w:ascii="Times New Roman" w:hAnsi="Times New Roman"/>
          <w:color w:val="000000"/>
          <w:sz w:val="24"/>
          <w:szCs w:val="24"/>
        </w:rPr>
        <w:t>施工期水下施工应合理安排施工进度，最大限度地控制水下施工作业对底泥的搅动范围和强度，减少悬浮泥砂的产生量。陆域钻孔灌注桩施工时在泥浆池四周设置土堤等类型围堰，在溢流口设置土工布，泥浆池设置雨天遮盖装置，该措施的落实可防止钻孔施工时因降雨而产生的悬浮泥沙对</w:t>
      </w:r>
      <w:r>
        <w:rPr>
          <w:rFonts w:hint="eastAsia" w:ascii="Times New Roman" w:hAnsi="Times New Roman"/>
          <w:color w:val="000000"/>
          <w:sz w:val="24"/>
          <w:szCs w:val="24"/>
        </w:rPr>
        <w:t>长江</w:t>
      </w:r>
      <w:r>
        <w:rPr>
          <w:rFonts w:ascii="Times New Roman" w:hAnsi="Times New Roman"/>
          <w:color w:val="000000"/>
          <w:sz w:val="24"/>
          <w:szCs w:val="24"/>
        </w:rPr>
        <w:t>水体的污染。</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⑵ </w:t>
      </w:r>
      <w:r>
        <w:rPr>
          <w:rFonts w:ascii="Times New Roman" w:hAnsi="Times New Roman"/>
          <w:color w:val="000000"/>
          <w:sz w:val="24"/>
          <w:szCs w:val="24"/>
        </w:rPr>
        <w:t>施工场地（包括临时工棚、材料堆场、钢筋加工棚等）设置于后方堆场，远离江边滩地，确保含有害物质的建筑材料（如施工水泥）远离水边，各类建筑材料设防雨、遮雨设施。</w:t>
      </w:r>
    </w:p>
    <w:p>
      <w:pPr>
        <w:adjustRightInd w:val="0"/>
        <w:snapToGrid w:val="0"/>
        <w:spacing w:line="360" w:lineRule="auto"/>
        <w:ind w:firstLine="480" w:firstLineChars="200"/>
        <w:rPr>
          <w:rFonts w:ascii="Times New Roman" w:hAnsi="Times New Roman"/>
          <w:color w:val="000000"/>
          <w:sz w:val="24"/>
          <w:szCs w:val="24"/>
        </w:rPr>
      </w:pPr>
      <w:r>
        <w:rPr>
          <w:rFonts w:hint="eastAsia" w:ascii="宋体" w:hAnsi="宋体" w:cs="宋体"/>
          <w:color w:val="000000"/>
          <w:sz w:val="24"/>
          <w:szCs w:val="24"/>
        </w:rPr>
        <w:t xml:space="preserve">⑶ </w:t>
      </w:r>
      <w:r>
        <w:rPr>
          <w:rFonts w:ascii="Times New Roman" w:hAnsi="Times New Roman"/>
          <w:color w:val="000000"/>
          <w:sz w:val="24"/>
          <w:szCs w:val="24"/>
        </w:rPr>
        <w:t>施工现场应建立临时排水体系和临时污水收集系统，使施工废水有序排放。临时污水收集系统采用沉淀法处理，对含悬浮物较高的废水处理率可达85%左右，可加入混凝剂进行混凝沉淀，SS去除率可达到90%以上，沉淀后用于施工现场抑尘洒水及砂石料冲洗。</w:t>
      </w:r>
    </w:p>
    <w:p>
      <w:pPr>
        <w:adjustRightInd w:val="0"/>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2、生活污水</w:t>
      </w:r>
    </w:p>
    <w:p>
      <w:pPr>
        <w:adjustRightInd w:val="0"/>
        <w:snapToGrid w:val="0"/>
        <w:spacing w:line="360" w:lineRule="auto"/>
        <w:ind w:firstLine="480" w:firstLineChars="200"/>
        <w:rPr>
          <w:rFonts w:ascii="Times New Roman" w:hAnsi="Times New Roman"/>
          <w:color w:val="000000"/>
          <w:sz w:val="24"/>
          <w:szCs w:val="24"/>
        </w:rPr>
      </w:pPr>
      <w:bookmarkStart w:id="193" w:name="_Toc515895912"/>
      <w:bookmarkStart w:id="194" w:name="_Toc5118_WPSOffice_Level3"/>
      <w:bookmarkStart w:id="195" w:name="_Toc15855_WPSOffice_Level3"/>
      <w:r>
        <w:rPr>
          <w:rFonts w:ascii="Times New Roman" w:hAnsi="Times New Roman"/>
          <w:color w:val="000000"/>
          <w:sz w:val="24"/>
          <w:szCs w:val="24"/>
        </w:rPr>
        <w:t>施工人员应充分利用</w:t>
      </w:r>
      <w:r>
        <w:rPr>
          <w:rFonts w:hint="eastAsia" w:ascii="Times New Roman" w:hAnsi="Times New Roman"/>
          <w:color w:val="000000"/>
          <w:sz w:val="24"/>
          <w:szCs w:val="24"/>
        </w:rPr>
        <w:t>周边居民城镇住房，尽量避免在保护区周边大量搭建临时工棚</w:t>
      </w:r>
      <w:r>
        <w:rPr>
          <w:rFonts w:ascii="Times New Roman" w:hAnsi="Times New Roman"/>
          <w:color w:val="000000"/>
          <w:sz w:val="24"/>
          <w:szCs w:val="24"/>
        </w:rPr>
        <w:t>，</w:t>
      </w:r>
      <w:r>
        <w:rPr>
          <w:rFonts w:hint="eastAsia" w:ascii="Times New Roman" w:hAnsi="Times New Roman"/>
          <w:color w:val="000000"/>
          <w:sz w:val="24"/>
          <w:szCs w:val="24"/>
        </w:rPr>
        <w:t>产生的</w:t>
      </w:r>
      <w:r>
        <w:rPr>
          <w:rFonts w:ascii="Times New Roman" w:hAnsi="Times New Roman"/>
          <w:color w:val="000000"/>
          <w:sz w:val="24"/>
          <w:szCs w:val="24"/>
        </w:rPr>
        <w:t>生活污水</w:t>
      </w:r>
      <w:r>
        <w:rPr>
          <w:rFonts w:hint="eastAsia" w:ascii="Times New Roman" w:hAnsi="Times New Roman"/>
          <w:color w:val="000000"/>
          <w:sz w:val="24"/>
          <w:szCs w:val="24"/>
        </w:rPr>
        <w:t>应收集后排入长炼</w:t>
      </w:r>
      <w:r>
        <w:rPr>
          <w:rFonts w:ascii="Times New Roman" w:hAnsi="Times New Roman"/>
          <w:color w:val="000000"/>
          <w:sz w:val="24"/>
          <w:szCs w:val="24"/>
        </w:rPr>
        <w:t>第二</w:t>
      </w:r>
      <w:r>
        <w:rPr>
          <w:rFonts w:hint="eastAsia" w:ascii="Times New Roman" w:hAnsi="Times New Roman"/>
          <w:color w:val="000000"/>
          <w:sz w:val="24"/>
          <w:szCs w:val="24"/>
        </w:rPr>
        <w:t>污水管网，</w:t>
      </w:r>
      <w:r>
        <w:rPr>
          <w:rFonts w:ascii="Times New Roman" w:hAnsi="Times New Roman"/>
          <w:color w:val="000000"/>
          <w:sz w:val="24"/>
          <w:szCs w:val="24"/>
        </w:rPr>
        <w:t>禁止排入</w:t>
      </w:r>
      <w:r>
        <w:rPr>
          <w:rFonts w:hint="eastAsia" w:ascii="Times New Roman" w:hAnsi="Times New Roman"/>
          <w:color w:val="000000"/>
          <w:sz w:val="24"/>
          <w:szCs w:val="24"/>
        </w:rPr>
        <w:t>保护区</w:t>
      </w:r>
      <w:r>
        <w:rPr>
          <w:rFonts w:ascii="Times New Roman" w:hAnsi="Times New Roman"/>
          <w:color w:val="000000"/>
          <w:sz w:val="24"/>
          <w:szCs w:val="24"/>
        </w:rPr>
        <w:t>。</w:t>
      </w:r>
    </w:p>
    <w:p>
      <w:pPr>
        <w:pStyle w:val="5"/>
        <w:rPr>
          <w:rFonts w:eastAsiaTheme="minorEastAsia"/>
          <w:color w:val="auto"/>
        </w:rPr>
      </w:pPr>
      <w:r>
        <w:rPr>
          <w:rFonts w:eastAsiaTheme="minorEastAsia"/>
          <w:color w:val="auto"/>
        </w:rPr>
        <w:t>营运期保护措施</w:t>
      </w:r>
      <w:bookmarkEnd w:id="193"/>
      <w:bookmarkEnd w:id="194"/>
      <w:bookmarkEnd w:id="195"/>
    </w:p>
    <w:p>
      <w:pPr>
        <w:adjustRightInd w:val="0"/>
        <w:snapToGrid w:val="0"/>
        <w:spacing w:line="360" w:lineRule="auto"/>
        <w:ind w:firstLine="480" w:firstLineChars="200"/>
        <w:rPr>
          <w:rFonts w:ascii="Times New Roman" w:hAnsi="Times New Roman"/>
          <w:color w:val="000000"/>
          <w:sz w:val="24"/>
          <w:szCs w:val="24"/>
        </w:rPr>
      </w:pPr>
      <w:bookmarkStart w:id="196" w:name="_Toc515895913"/>
      <w:bookmarkStart w:id="197" w:name="_Toc13783_WPSOffice_Level2"/>
      <w:bookmarkStart w:id="198" w:name="_Toc23265_WPSOffice_Level2"/>
      <w:r>
        <w:rPr>
          <w:rFonts w:hint="eastAsia" w:ascii="Times New Roman" w:hAnsi="Times New Roman"/>
          <w:color w:val="000000"/>
          <w:sz w:val="24"/>
          <w:szCs w:val="24"/>
        </w:rPr>
        <w:t xml:space="preserve">⑴ </w:t>
      </w:r>
      <w:r>
        <w:rPr>
          <w:rFonts w:ascii="Times New Roman" w:hAnsi="Times New Roman"/>
          <w:color w:val="000000"/>
          <w:sz w:val="24"/>
          <w:szCs w:val="24"/>
        </w:rPr>
        <w:t>运营期废水主要为工作人员生活污水、船舶维护点含油废水。运营期生活污水通过回收管线送至陆域处理。含油废水通过设置在趸船上的油气装置回收后送至陆域处理。</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⑵ </w:t>
      </w:r>
      <w:r>
        <w:rPr>
          <w:rFonts w:ascii="Times New Roman" w:hAnsi="Times New Roman"/>
          <w:color w:val="000000"/>
          <w:sz w:val="24"/>
          <w:szCs w:val="24"/>
        </w:rPr>
        <w:t>设置永久布放型围油栏、应急型围油栏及其附属设施，以防治事故溢油。</w:t>
      </w:r>
    </w:p>
    <w:p>
      <w:pPr>
        <w:pStyle w:val="4"/>
        <w:rPr>
          <w:szCs w:val="28"/>
        </w:rPr>
      </w:pPr>
      <w:bookmarkStart w:id="199" w:name="_Toc18306878"/>
      <w:bookmarkStart w:id="200" w:name="_Toc18306821"/>
      <w:r>
        <w:rPr>
          <w:rFonts w:eastAsiaTheme="minorEastAsia"/>
        </w:rPr>
        <w:t>环境噪声控制措施</w:t>
      </w:r>
      <w:bookmarkEnd w:id="196"/>
      <w:bookmarkEnd w:id="197"/>
      <w:bookmarkEnd w:id="198"/>
      <w:bookmarkEnd w:id="199"/>
      <w:bookmarkEnd w:id="200"/>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施工期尽量选取低噪声、低振动的施工机械和运输车辆，加强机械、车辆的日常维修保养，使其保持良好状态，避免超过正常噪声运转。对高噪声设备，应在其附近加设可移动的简单围障，以降低其噪音影响。</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营运期的噪声主要是通航船舶噪声及振动，应定期保养船只，减少发动机噪声污染。</w:t>
      </w:r>
    </w:p>
    <w:p>
      <w:pPr>
        <w:pStyle w:val="4"/>
        <w:rPr>
          <w:rFonts w:eastAsiaTheme="minorEastAsia"/>
        </w:rPr>
      </w:pPr>
      <w:bookmarkStart w:id="201" w:name="_Toc24053_WPSOffice_Level2"/>
      <w:bookmarkStart w:id="202" w:name="_Toc515895914"/>
      <w:bookmarkStart w:id="203" w:name="_Toc503779528"/>
      <w:bookmarkStart w:id="204" w:name="_Toc18306879"/>
      <w:bookmarkStart w:id="205" w:name="_Toc8948_WPSOffice_Level2"/>
      <w:bookmarkStart w:id="206" w:name="_Toc18306822"/>
      <w:r>
        <w:rPr>
          <w:rFonts w:eastAsiaTheme="minorEastAsia"/>
        </w:rPr>
        <w:t>废气影响防治措施</w:t>
      </w:r>
      <w:bookmarkEnd w:id="201"/>
      <w:bookmarkEnd w:id="202"/>
      <w:bookmarkEnd w:id="203"/>
      <w:bookmarkEnd w:id="204"/>
      <w:bookmarkEnd w:id="205"/>
      <w:bookmarkEnd w:id="206"/>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⑴ </w:t>
      </w:r>
      <w:r>
        <w:rPr>
          <w:rFonts w:ascii="Times New Roman" w:hAnsi="Times New Roman"/>
          <w:color w:val="000000"/>
          <w:sz w:val="24"/>
          <w:szCs w:val="24"/>
        </w:rPr>
        <w:t>要在施工区定期洒水，以减少扬尘污染。对装载建筑垃圾、砂石料及土方的车辆应密闭或遮盖帆布，避免沿途抛洒。</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⑵ </w:t>
      </w:r>
      <w:r>
        <w:rPr>
          <w:rFonts w:ascii="Times New Roman" w:hAnsi="Times New Roman"/>
          <w:color w:val="000000"/>
          <w:sz w:val="24"/>
          <w:szCs w:val="24"/>
        </w:rPr>
        <w:t>进场前应加强施工车辆检测管理工作，对于未达到排放标准或未取得营运资格的应禁止入场；施工期加强施工机械的维护和保养，减少废气污染。施工区域尽量利用当地民用电力设施，减少柴油发电机废气排放。禁止在施工现场焚烧有毒、有害和有恶臭气味的物质。</w:t>
      </w:r>
    </w:p>
    <w:p>
      <w:pPr>
        <w:pStyle w:val="4"/>
        <w:rPr>
          <w:rFonts w:eastAsiaTheme="minorEastAsia"/>
        </w:rPr>
      </w:pPr>
      <w:bookmarkStart w:id="207" w:name="_Toc22436_WPSOffice_Level2"/>
      <w:bookmarkStart w:id="208" w:name="_Toc18519_WPSOffice_Level2"/>
      <w:bookmarkStart w:id="209" w:name="_Toc18306823"/>
      <w:bookmarkStart w:id="210" w:name="_Toc18306880"/>
      <w:r>
        <w:rPr>
          <w:rFonts w:eastAsiaTheme="minorEastAsia"/>
        </w:rPr>
        <w:t>固体废物处理处置措施</w:t>
      </w:r>
      <w:bookmarkEnd w:id="207"/>
      <w:bookmarkEnd w:id="208"/>
      <w:bookmarkEnd w:id="209"/>
      <w:bookmarkEnd w:id="210"/>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⑴ </w:t>
      </w:r>
      <w:r>
        <w:rPr>
          <w:rFonts w:ascii="Times New Roman" w:hAnsi="Times New Roman"/>
          <w:color w:val="000000"/>
          <w:sz w:val="24"/>
          <w:szCs w:val="24"/>
        </w:rPr>
        <w:t>施工区配备垃圾桶，施工人员的生活垃圾、施工物料垃圾等尽量分类收集，废弃物应在施工中尽量回收利用，设置临时垃圾集中堆放场地，施工期生产、生活垃圾定期清运至附近垃圾处理场处置。</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⑵ </w:t>
      </w:r>
      <w:r>
        <w:rPr>
          <w:rFonts w:ascii="Times New Roman" w:hAnsi="Times New Roman"/>
          <w:color w:val="000000"/>
          <w:sz w:val="24"/>
          <w:szCs w:val="24"/>
        </w:rPr>
        <w:t>引桥桩基施工产生的钻渣必须上岸进行干化处置，钻孔泥浆应循环利用。</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⑶ </w:t>
      </w:r>
      <w:r>
        <w:rPr>
          <w:rFonts w:ascii="Times New Roman" w:hAnsi="Times New Roman"/>
          <w:color w:val="000000"/>
          <w:sz w:val="24"/>
          <w:szCs w:val="24"/>
        </w:rPr>
        <w:t>船舶固体废物均由专门船舶污染物接收船接收处理，确需在停靠点周边排放时，经由垃圾清运车收集后送至城市垃圾处理场。</w:t>
      </w:r>
    </w:p>
    <w:p>
      <w:pPr>
        <w:pStyle w:val="4"/>
        <w:rPr>
          <w:rFonts w:eastAsiaTheme="minorEastAsia"/>
        </w:rPr>
      </w:pPr>
      <w:bookmarkStart w:id="211" w:name="_Toc18306824"/>
      <w:bookmarkStart w:id="212" w:name="_Toc515895915"/>
      <w:bookmarkStart w:id="213" w:name="_Toc18306881"/>
      <w:bookmarkStart w:id="214" w:name="_Toc21254_WPSOffice_Level2"/>
      <w:bookmarkStart w:id="215" w:name="_Toc15855_WPSOffice_Level2"/>
      <w:r>
        <w:rPr>
          <w:rFonts w:eastAsiaTheme="minorEastAsia"/>
        </w:rPr>
        <w:t>保护区水生态保护措施</w:t>
      </w:r>
      <w:bookmarkEnd w:id="211"/>
      <w:bookmarkEnd w:id="212"/>
      <w:bookmarkEnd w:id="213"/>
      <w:bookmarkEnd w:id="214"/>
      <w:bookmarkEnd w:id="215"/>
    </w:p>
    <w:p>
      <w:pPr>
        <w:pStyle w:val="5"/>
        <w:rPr>
          <w:rFonts w:eastAsiaTheme="minorEastAsia"/>
          <w:color w:val="auto"/>
        </w:rPr>
      </w:pPr>
      <w:bookmarkStart w:id="216" w:name="_Toc12907_WPSOffice_Level3"/>
      <w:bookmarkStart w:id="217" w:name="_Toc515895916"/>
      <w:bookmarkStart w:id="218" w:name="_Toc26642_WPSOffice_Level3"/>
      <w:r>
        <w:rPr>
          <w:rFonts w:eastAsiaTheme="minorEastAsia"/>
          <w:color w:val="auto"/>
        </w:rPr>
        <w:t>繁殖期避让措施</w:t>
      </w:r>
      <w:bookmarkEnd w:id="216"/>
      <w:bookmarkEnd w:id="217"/>
      <w:bookmarkEnd w:id="218"/>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本工程施工共计12个月，施工时间上与部分鱼类的繁殖期是重叠的，水下桩基施工时间选择枯水期，避开鱼类繁殖期。如豚类繁殖季节为3~6月，“四大家鱼”繁殖季节为4~7月，鲤、鲫繁殖季节为3</w:t>
      </w:r>
      <w:r>
        <w:rPr>
          <w:rFonts w:hint="eastAsia" w:ascii="Times New Roman" w:hAnsi="Times New Roman"/>
          <w:color w:val="000000"/>
          <w:sz w:val="24"/>
          <w:szCs w:val="24"/>
        </w:rPr>
        <w:t>~</w:t>
      </w:r>
      <w:r>
        <w:rPr>
          <w:rFonts w:ascii="Times New Roman" w:hAnsi="Times New Roman"/>
          <w:color w:val="000000"/>
          <w:sz w:val="24"/>
          <w:szCs w:val="24"/>
        </w:rPr>
        <w:t>5月，盛期为4</w:t>
      </w:r>
      <w:r>
        <w:rPr>
          <w:rFonts w:hint="eastAsia" w:ascii="Times New Roman" w:hAnsi="Times New Roman"/>
          <w:color w:val="000000"/>
          <w:sz w:val="24"/>
          <w:szCs w:val="24"/>
        </w:rPr>
        <w:t>~</w:t>
      </w:r>
      <w:r>
        <w:rPr>
          <w:rFonts w:ascii="Times New Roman" w:hAnsi="Times New Roman"/>
          <w:color w:val="000000"/>
          <w:sz w:val="24"/>
          <w:szCs w:val="24"/>
        </w:rPr>
        <w:t>5月；黄颡鱼繁殖产卵时间为4</w:t>
      </w:r>
      <w:r>
        <w:rPr>
          <w:rFonts w:hint="eastAsia" w:ascii="Times New Roman" w:hAnsi="Times New Roman"/>
          <w:color w:val="000000"/>
          <w:sz w:val="24"/>
          <w:szCs w:val="24"/>
        </w:rPr>
        <w:t>~</w:t>
      </w:r>
      <w:r>
        <w:rPr>
          <w:rFonts w:ascii="Times New Roman" w:hAnsi="Times New Roman"/>
          <w:color w:val="000000"/>
          <w:sz w:val="24"/>
          <w:szCs w:val="24"/>
        </w:rPr>
        <w:t>5月。需要在施工区及其相邻水域活动或繁殖的鱼类，受施工船舶及机械的惊扰、施工产生的浑水等因素的影响，有些个体或种类会产生生理反应，如受惊扰或水质变化因素刺激产生的应激反应等，对性腺发育不利，或产卵不能发生导致产卵行为紊乱，而对繁殖效果产生负面影响。</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桩基施工时间选择在枯水期进行，并采取严格的污水及噪声防护措施来减缓对鱼类及珍稀水生生物的影响。</w:t>
      </w:r>
    </w:p>
    <w:p>
      <w:pPr>
        <w:pStyle w:val="5"/>
        <w:rPr>
          <w:rFonts w:eastAsiaTheme="minorEastAsia"/>
          <w:color w:val="auto"/>
        </w:rPr>
      </w:pPr>
      <w:bookmarkStart w:id="219" w:name="_Toc21588_WPSOffice_Level3"/>
      <w:bookmarkStart w:id="220" w:name="_Toc794_WPSOffice_Level3"/>
      <w:bookmarkStart w:id="221" w:name="_Toc515895917"/>
      <w:r>
        <w:rPr>
          <w:rFonts w:eastAsiaTheme="minorEastAsia"/>
          <w:color w:val="auto"/>
        </w:rPr>
        <w:t>减缓措施</w:t>
      </w:r>
      <w:bookmarkEnd w:id="219"/>
      <w:bookmarkEnd w:id="220"/>
      <w:bookmarkEnd w:id="221"/>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eastAsiaTheme="minorEastAsia"/>
          <w:sz w:val="24"/>
          <w:szCs w:val="24"/>
        </w:rPr>
        <w:t xml:space="preserve">⑴ </w:t>
      </w:r>
      <w:r>
        <w:rPr>
          <w:rFonts w:ascii="Times New Roman" w:hAnsi="Times New Roman"/>
          <w:color w:val="000000"/>
          <w:sz w:val="24"/>
          <w:szCs w:val="24"/>
        </w:rPr>
        <w:t>施工前驱赶水生生物。施工前，建设单位可采用“海豚声音记录仪”对江豚进行监测。海豚声音记录仪是一个海豚声音记录分析仪，用于监测海岸边海豚所发出的高频声纳信号。它被用于评估在某个特定地点海豚的活动情况。记录的数据都会存储在非易失性的内存中，保存的参数有：海豚发声时间，持续的时间，声音级别，测定时间等。当被浸入水中时，记录仪就开始记录水中长江江豚所发出的高频声音信号。建设单位可购置或租用该设备，在使用前进行调试，使其满足记录江豚活动特性的要求，在施工期对施工江段的江豚进行监测，以了解施工江段江豚活动规律，并选择没有江豚活动的时段进行施工。</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为减少工程施工作业对鱼类的伤害，工程开工前，应采用</w:t>
      </w:r>
      <w:bookmarkStart w:id="222" w:name="baidusnap0"/>
      <w:bookmarkEnd w:id="222"/>
      <w:r>
        <w:rPr>
          <w:rFonts w:ascii="Times New Roman" w:hAnsi="Times New Roman"/>
          <w:color w:val="000000"/>
          <w:sz w:val="24"/>
          <w:szCs w:val="24"/>
        </w:rPr>
        <w:t>超声波驱鱼驱豚等技术手段，对施工区及其邻近水域进行驱赶水生生物作业，将鱼类和豚类驱离施工区。</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⑵ </w:t>
      </w:r>
      <w:r>
        <w:rPr>
          <w:rFonts w:ascii="Times New Roman" w:hAnsi="Times New Roman"/>
          <w:color w:val="000000"/>
          <w:sz w:val="24"/>
          <w:szCs w:val="24"/>
        </w:rPr>
        <w:t>减小水下噪声。施工及营运期间的船舶噪声应通过合理调度，减少施工船舶数量等方法加以控制。针对在水下打桩、水下钻孔等施工，建议采取气泡帷幕降噪或桩体套筒措施，打桩时缓启动。施工及营运期间的各种设备尽量采用低噪声设备，打桩机或空压机噪声通过安装吸音结构、吸音材料和消音器处理。</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⑶ </w:t>
      </w:r>
      <w:r>
        <w:rPr>
          <w:rFonts w:ascii="Times New Roman" w:hAnsi="Times New Roman"/>
          <w:color w:val="000000"/>
          <w:sz w:val="24"/>
          <w:szCs w:val="24"/>
        </w:rPr>
        <w:t>控制到港船舶进出量。已有研究表明，长江江豚对船舶噪声有主动躲避行为，比如，船舶出现与江豚出现存在负相关关系，在船舶航行轨迹的0~50m垂直距离范围内，通常难以观察到江豚，而在50~100m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到港船舶航行过程中要求速度不大于4km，船速较慢，此处水域面积宽广，且各船舶安排专门江豚观察员，时刻关注江豚活动。到港船舶之间的距离必须保持在200m以外，如由于到港船舶量过大而导致到港船舶之间的距离小于200m，应控制到港船舶进出量，必要的时候禁止船舶进出。</w:t>
      </w:r>
    </w:p>
    <w:p>
      <w:pPr>
        <w:pStyle w:val="5"/>
        <w:rPr>
          <w:rFonts w:eastAsiaTheme="minorEastAsia"/>
          <w:color w:val="auto"/>
        </w:rPr>
      </w:pPr>
      <w:r>
        <w:rPr>
          <w:rFonts w:eastAsiaTheme="minorEastAsia"/>
          <w:color w:val="auto"/>
        </w:rPr>
        <w:t>渔政执法和日常监管</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渔政执法和日常监管是重要和有效的保护措施之一，因此，工程施工和运营期间，应加强这两项管理工作。具体工作内容包括：</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⑴ </w:t>
      </w:r>
      <w:r>
        <w:rPr>
          <w:rFonts w:ascii="Times New Roman" w:hAnsi="Times New Roman"/>
          <w:color w:val="000000"/>
          <w:sz w:val="24"/>
          <w:szCs w:val="24"/>
        </w:rPr>
        <w:t>加强环境保护的宣传。在工程所在水域设置宣传牌和明显的警示标牌，对施工人员发送宣传手册，不定期组织与水生生物保护和环境保护相关的科普讲座。</w:t>
      </w:r>
    </w:p>
    <w:p>
      <w:pPr>
        <w:adjustRightInd w:val="0"/>
        <w:snapToGrid w:val="0"/>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⑵ </w:t>
      </w:r>
      <w:r>
        <w:rPr>
          <w:rFonts w:ascii="Times New Roman" w:hAnsi="Times New Roman"/>
          <w:color w:val="000000"/>
          <w:sz w:val="24"/>
          <w:szCs w:val="24"/>
        </w:rPr>
        <w:t>取缔非法渔业和有害渔业活动，控制和制止对水生生物和保护区环境有影响的各种水上人类活动。</w:t>
      </w:r>
    </w:p>
    <w:p>
      <w:pPr>
        <w:pStyle w:val="5"/>
        <w:rPr>
          <w:rFonts w:eastAsiaTheme="minorEastAsia"/>
          <w:color w:val="auto"/>
        </w:rPr>
      </w:pPr>
      <w:bookmarkStart w:id="223" w:name="_Toc28778_WPSOffice_Level3"/>
      <w:bookmarkStart w:id="224" w:name="_Toc14627_WPSOffice_Level3"/>
      <w:bookmarkStart w:id="225" w:name="_Toc515895919"/>
      <w:r>
        <w:rPr>
          <w:rFonts w:eastAsiaTheme="minorEastAsia"/>
          <w:color w:val="auto"/>
        </w:rPr>
        <w:t>水生植被恢复</w:t>
      </w:r>
      <w:bookmarkEnd w:id="223"/>
      <w:bookmarkEnd w:id="224"/>
      <w:bookmarkEnd w:id="225"/>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工程完工后，对拟建码头附近区域进行生态修复，恢复水生植被，主要选择在浅水区和缓坡地带进行恢复，为鱼类等水生生物营造必要的栖息、繁殖、庇护生境。恢复植物可选择芦苇、黑藻、菹草、竹叶眼子菜等。</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预计沿岸段浅水区种植水生植被约5.6亩（按照工程永久占用保护区面积的20%），按照每亩2000元计，预算经费1.1万元，三年合计3.3万元。</w:t>
      </w:r>
    </w:p>
    <w:p>
      <w:pPr>
        <w:pStyle w:val="5"/>
        <w:rPr>
          <w:rFonts w:eastAsiaTheme="minorEastAsia"/>
          <w:color w:val="auto"/>
        </w:rPr>
      </w:pPr>
      <w:bookmarkStart w:id="226" w:name="_Toc2136_WPSOffice_Level3"/>
      <w:bookmarkStart w:id="227" w:name="_Toc515895918"/>
      <w:bookmarkStart w:id="228" w:name="_Toc24585_WPSOffice_Level3"/>
      <w:r>
        <w:rPr>
          <w:rFonts w:eastAsiaTheme="minorEastAsia"/>
          <w:color w:val="auto"/>
        </w:rPr>
        <w:t>增殖放流</w:t>
      </w:r>
      <w:bookmarkEnd w:id="226"/>
      <w:bookmarkEnd w:id="227"/>
      <w:bookmarkEnd w:id="228"/>
    </w:p>
    <w:p>
      <w:pPr>
        <w:adjustRightInd w:val="0"/>
        <w:snapToGrid w:val="0"/>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1、</w:t>
      </w:r>
      <w:r>
        <w:rPr>
          <w:rFonts w:ascii="Times New Roman" w:hAnsi="Times New Roman"/>
          <w:b/>
          <w:color w:val="000000"/>
          <w:sz w:val="24"/>
          <w:szCs w:val="24"/>
        </w:rPr>
        <w:t>放流目的</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鱼类人工种群建立及增殖放流是目前保护鱼类物种、增加鱼类种群数量的重要措施之一。采取人工增殖放流，不仅可以对那些种群数量已经减少或面临各种影响将大量减少的鱼类进行人工增殖，补充其资源量，在一定程度上可以缓解本工程对鱼类资源的不利影响。但鱼类增殖放流涉及面广，管理操作过程较为复杂，对水域生态系统影响深远，技术含量比较高，需要对放流水域生态环境和鱼类资源现状了解非常清楚，对放流对象生物学特性、苗种繁育技术、放流和效果评价技术等研究较为深入，对增殖放流进行合理的规划和布局，制定科学增殖放流方案。</w:t>
      </w:r>
    </w:p>
    <w:p>
      <w:pPr>
        <w:adjustRightInd w:val="0"/>
        <w:snapToGrid w:val="0"/>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2、</w:t>
      </w:r>
      <w:r>
        <w:rPr>
          <w:rFonts w:ascii="Times New Roman" w:hAnsi="Times New Roman"/>
          <w:b/>
          <w:color w:val="000000"/>
          <w:sz w:val="24"/>
          <w:szCs w:val="24"/>
        </w:rPr>
        <w:t>放流种类</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评价区内鳤、鯮、长吻鮠被列入湖北省重点保护野生水生动物。还有达氏鲟、白鲟、中华鲟、长江江豚、胭脂鱼等国家级重点保护野生动物，其中白鲟、中华鲟是国家</w:t>
      </w:r>
      <w:r>
        <w:rPr>
          <w:rFonts w:hint="eastAsia" w:ascii="Times New Roman" w:hAnsi="Times New Roman"/>
          <w:color w:val="000000"/>
          <w:sz w:val="24"/>
          <w:szCs w:val="24"/>
        </w:rPr>
        <w:t>Ⅰ</w:t>
      </w:r>
      <w:r>
        <w:rPr>
          <w:rFonts w:ascii="Times New Roman" w:hAnsi="Times New Roman"/>
          <w:color w:val="000000"/>
          <w:sz w:val="24"/>
          <w:szCs w:val="24"/>
        </w:rPr>
        <w:t>级保护野生水生动物，长江江豚、胭脂鱼是国家</w:t>
      </w:r>
      <w:r>
        <w:rPr>
          <w:rFonts w:hint="eastAsia" w:ascii="Times New Roman" w:hAnsi="Times New Roman"/>
          <w:color w:val="000000"/>
          <w:sz w:val="24"/>
          <w:szCs w:val="24"/>
        </w:rPr>
        <w:t>Ⅱ</w:t>
      </w:r>
      <w:r>
        <w:rPr>
          <w:rFonts w:ascii="Times New Roman" w:hAnsi="Times New Roman"/>
          <w:color w:val="000000"/>
          <w:sz w:val="24"/>
          <w:szCs w:val="24"/>
        </w:rPr>
        <w:t>级保护野生水生动物。建议对保护鱼类胭脂鱼和重要经济鱼类长吻鮠、青鱼、草鱼、鲢、鳙实施人工增殖放流，此后根据监测情况作适当调整。</w:t>
      </w:r>
    </w:p>
    <w:p>
      <w:pPr>
        <w:adjustRightInd w:val="0"/>
        <w:snapToGrid w:val="0"/>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3、</w:t>
      </w:r>
      <w:r>
        <w:rPr>
          <w:rFonts w:ascii="Times New Roman" w:hAnsi="Times New Roman"/>
          <w:b/>
          <w:color w:val="000000"/>
          <w:sz w:val="24"/>
          <w:szCs w:val="24"/>
        </w:rPr>
        <w:t>放流标准</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增殖放流工作应根据《中国水生生物资源养护行动纲要》、《水生生物增殖放流管理规定》。放流种苗供应单位应选择信誉良好、管理规范、具备相应的技术力量的国家级或省级水产原良种场和良种繁育场、渔业资源增殖站、野生水生生物驯养繁殖基地或救护中心以及其他具有相关资质的种苗生产单位，必要时可通过招标形式确定。</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放流的幼鱼必须是由野生亲本人工繁殖的子一代。放流苗种必须是无伤残和病害、体格健壮，符合渔业行政主管部门制定放流苗种种质技术规范，建议参照《水产苗种管理办法》(2004年，农业部令第46号)。放流前，种苗供应单位应提供放流种苗种质鉴定和疫病检验检疫报告，以保证用于增殖放流种苗的质量，避免对增殖放流水域生态造成不良影响。鱼类放流活动应与保护区管理机构协调，并在该机构的监督与指导下进行。</w:t>
      </w:r>
    </w:p>
    <w:p>
      <w:pPr>
        <w:adjustRightInd w:val="0"/>
        <w:snapToGrid w:val="0"/>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4、</w:t>
      </w:r>
      <w:r>
        <w:rPr>
          <w:rFonts w:ascii="Times New Roman" w:hAnsi="Times New Roman"/>
          <w:b/>
          <w:color w:val="000000"/>
          <w:sz w:val="24"/>
          <w:szCs w:val="24"/>
        </w:rPr>
        <w:t>放流地点和时间</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放流地点拟在陆城镇，首次放流时间为码头运营期第一年12月。鱼类放流任务应在5年内完成。</w:t>
      </w:r>
    </w:p>
    <w:p>
      <w:pPr>
        <w:adjustRightInd w:val="0"/>
        <w:snapToGrid w:val="0"/>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5、</w:t>
      </w:r>
      <w:r>
        <w:rPr>
          <w:rFonts w:ascii="Times New Roman" w:hAnsi="Times New Roman"/>
          <w:b/>
          <w:color w:val="000000"/>
          <w:sz w:val="24"/>
          <w:szCs w:val="24"/>
        </w:rPr>
        <w:t>放流苗种数量和规格</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由于增殖放流数量的确定需要考虑的因素较为复杂，不确定的因素较多，针对开放性的天然水体合理放流数量的确定很困难，初步确定年放流苗种24万尾。以后根据监测结果，调整放流数量和比例。鱼类放流每年所需经费44万元，此外，人工增殖放流组织实施费包括放流苗种的监理费、苗种检验检疫费、放流现场组织管理费等，该项费用预计6万元。即开展人工增殖放流每年共需经费50万元。</w:t>
      </w:r>
    </w:p>
    <w:p>
      <w:pPr>
        <w:adjustRightInd w:val="0"/>
        <w:snapToGrid w:val="0"/>
        <w:spacing w:line="276" w:lineRule="auto"/>
        <w:jc w:val="center"/>
        <w:rPr>
          <w:rFonts w:ascii="Times New Roman" w:hAnsi="Times New Roman"/>
          <w:b/>
          <w:sz w:val="24"/>
          <w:szCs w:val="24"/>
        </w:rPr>
      </w:pPr>
      <w:r>
        <w:rPr>
          <w:rFonts w:ascii="Times New Roman" w:hAnsi="Times New Roman"/>
          <w:b/>
          <w:sz w:val="24"/>
          <w:szCs w:val="24"/>
        </w:rPr>
        <w:t>表7.2-1  鱼类增殖放流经费预算表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93"/>
        <w:gridCol w:w="1581"/>
        <w:gridCol w:w="1582"/>
        <w:gridCol w:w="1582"/>
        <w:gridCol w:w="1582"/>
        <w:gridCol w:w="1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vMerge w:val="restar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序号</w:t>
            </w:r>
          </w:p>
        </w:tc>
        <w:tc>
          <w:tcPr>
            <w:tcW w:w="869" w:type="pct"/>
            <w:vMerge w:val="restar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放流种类</w:t>
            </w:r>
          </w:p>
        </w:tc>
        <w:tc>
          <w:tcPr>
            <w:tcW w:w="869" w:type="pct"/>
            <w:vMerge w:val="restar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规格（cm）</w:t>
            </w:r>
          </w:p>
        </w:tc>
        <w:tc>
          <w:tcPr>
            <w:tcW w:w="869" w:type="pct"/>
            <w:vMerge w:val="restar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单价（元）</w:t>
            </w:r>
          </w:p>
        </w:tc>
        <w:tc>
          <w:tcPr>
            <w:tcW w:w="869"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数量</w:t>
            </w:r>
          </w:p>
        </w:tc>
        <w:tc>
          <w:tcPr>
            <w:tcW w:w="869"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经费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vMerge w:val="continue"/>
            <w:vAlign w:val="center"/>
          </w:tcPr>
          <w:p>
            <w:pPr>
              <w:widowControl/>
              <w:adjustRightInd w:val="0"/>
              <w:snapToGrid w:val="0"/>
              <w:jc w:val="center"/>
              <w:rPr>
                <w:rFonts w:ascii="Times New Roman" w:hAnsi="Times New Roman"/>
                <w:b/>
                <w:bCs/>
                <w:color w:val="000000"/>
                <w:kern w:val="0"/>
              </w:rPr>
            </w:pPr>
          </w:p>
        </w:tc>
        <w:tc>
          <w:tcPr>
            <w:tcW w:w="869" w:type="pct"/>
            <w:vMerge w:val="continue"/>
            <w:vAlign w:val="center"/>
          </w:tcPr>
          <w:p>
            <w:pPr>
              <w:widowControl/>
              <w:adjustRightInd w:val="0"/>
              <w:snapToGrid w:val="0"/>
              <w:jc w:val="center"/>
              <w:rPr>
                <w:rFonts w:ascii="Times New Roman" w:hAnsi="Times New Roman"/>
                <w:b/>
                <w:bCs/>
                <w:color w:val="000000"/>
                <w:kern w:val="0"/>
              </w:rPr>
            </w:pPr>
          </w:p>
        </w:tc>
        <w:tc>
          <w:tcPr>
            <w:tcW w:w="869" w:type="pct"/>
            <w:vMerge w:val="continue"/>
            <w:vAlign w:val="center"/>
          </w:tcPr>
          <w:p>
            <w:pPr>
              <w:widowControl/>
              <w:adjustRightInd w:val="0"/>
              <w:snapToGrid w:val="0"/>
              <w:jc w:val="center"/>
              <w:rPr>
                <w:rFonts w:ascii="Times New Roman" w:hAnsi="Times New Roman"/>
                <w:b/>
                <w:bCs/>
                <w:color w:val="000000"/>
                <w:kern w:val="0"/>
              </w:rPr>
            </w:pPr>
          </w:p>
        </w:tc>
        <w:tc>
          <w:tcPr>
            <w:tcW w:w="869" w:type="pct"/>
            <w:vMerge w:val="continue"/>
            <w:vAlign w:val="center"/>
          </w:tcPr>
          <w:p>
            <w:pPr>
              <w:widowControl/>
              <w:adjustRightInd w:val="0"/>
              <w:snapToGrid w:val="0"/>
              <w:jc w:val="center"/>
              <w:rPr>
                <w:rFonts w:ascii="Times New Roman" w:hAnsi="Times New Roman"/>
                <w:b/>
                <w:bCs/>
                <w:color w:val="000000"/>
                <w:kern w:val="0"/>
              </w:rPr>
            </w:pPr>
          </w:p>
        </w:tc>
        <w:tc>
          <w:tcPr>
            <w:tcW w:w="869"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（万尾）</w:t>
            </w:r>
          </w:p>
        </w:tc>
        <w:tc>
          <w:tcPr>
            <w:tcW w:w="869"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胭脂鱼</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5~8</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长吻鮠</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5~8</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青鱼</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12</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imes New Roman"/>
                <w:color w:val="000000"/>
                <w:kern w:val="0"/>
              </w:rPr>
              <w:t>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草鱼</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12~15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鲢</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12~15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6</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鳙</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12~15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合计</w:t>
            </w: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p>
        </w:tc>
        <w:tc>
          <w:tcPr>
            <w:tcW w:w="869" w:type="pct"/>
            <w:shd w:val="clear" w:color="auto" w:fill="auto"/>
            <w:noWrap/>
            <w:vAlign w:val="center"/>
          </w:tcPr>
          <w:p>
            <w:pPr>
              <w:widowControl/>
              <w:adjustRightInd w:val="0"/>
              <w:snapToGrid w:val="0"/>
              <w:jc w:val="center"/>
              <w:rPr>
                <w:rFonts w:ascii="Times New Roman" w:hAnsi="Times New Roman"/>
                <w:color w:val="000000"/>
                <w:kern w:val="0"/>
              </w:rPr>
            </w:pPr>
          </w:p>
        </w:tc>
        <w:tc>
          <w:tcPr>
            <w:tcW w:w="869"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24</w:t>
            </w:r>
          </w:p>
        </w:tc>
        <w:tc>
          <w:tcPr>
            <w:tcW w:w="869" w:type="pct"/>
            <w:shd w:val="clear" w:color="auto" w:fill="auto"/>
            <w:noWrap/>
            <w:vAlign w:val="center"/>
          </w:tcPr>
          <w:p>
            <w:pPr>
              <w:adjustRightInd w:val="0"/>
              <w:snapToGrid w:val="0"/>
              <w:jc w:val="center"/>
              <w:rPr>
                <w:rFonts w:ascii="Times New Roman" w:hAnsi="Times New Roman"/>
                <w:b/>
                <w:bCs/>
                <w:color w:val="000000"/>
              </w:rPr>
            </w:pPr>
            <w:r>
              <w:rPr>
                <w:rFonts w:ascii="Times New Roman" w:hAnsi="Times New Roman"/>
                <w:b/>
                <w:bCs/>
                <w:color w:val="000000"/>
              </w:rPr>
              <w:t>44</w:t>
            </w:r>
          </w:p>
        </w:tc>
      </w:tr>
    </w:tbl>
    <w:p>
      <w:pPr>
        <w:adjustRightInd w:val="0"/>
        <w:snapToGrid w:val="0"/>
        <w:spacing w:line="360" w:lineRule="auto"/>
        <w:ind w:firstLine="480" w:firstLineChars="200"/>
        <w:rPr>
          <w:rFonts w:ascii="Times New Roman" w:hAnsi="Times New Roman"/>
          <w:color w:val="000000"/>
          <w:sz w:val="24"/>
          <w:szCs w:val="24"/>
        </w:rPr>
      </w:pPr>
    </w:p>
    <w:p>
      <w:pPr>
        <w:pStyle w:val="4"/>
        <w:rPr>
          <w:rFonts w:eastAsiaTheme="minorEastAsia"/>
        </w:rPr>
      </w:pPr>
      <w:bookmarkStart w:id="229" w:name="_Toc18306825"/>
      <w:bookmarkStart w:id="230" w:name="_Toc5118_WPSOffice_Level2"/>
      <w:bookmarkStart w:id="231" w:name="_Toc515895920"/>
      <w:bookmarkStart w:id="232" w:name="_Toc18306882"/>
      <w:bookmarkStart w:id="233" w:name="_Toc26642_WPSOffice_Level2"/>
      <w:r>
        <w:rPr>
          <w:rFonts w:eastAsiaTheme="minorEastAsia"/>
        </w:rPr>
        <w:t>渔业资源补偿</w:t>
      </w:r>
      <w:bookmarkEnd w:id="229"/>
      <w:bookmarkEnd w:id="230"/>
      <w:bookmarkEnd w:id="231"/>
      <w:bookmarkEnd w:id="232"/>
      <w:bookmarkEnd w:id="233"/>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项目实施前，业主单位应与保护区管理部门沟通和协商，对评估的渔业资源损失进行经济补偿，并将渔业资源补偿费用纳入环保投资。渔业资源补偿内容主要包括渔政管理、水生植被恢复、增殖放流、水生生物监测等。水生态保护补偿的主要内容和费用概算见下表，总概算315.8万元。</w:t>
      </w:r>
    </w:p>
    <w:p>
      <w:pPr>
        <w:adjustRightInd w:val="0"/>
        <w:snapToGrid w:val="0"/>
        <w:spacing w:line="276" w:lineRule="auto"/>
        <w:jc w:val="center"/>
        <w:rPr>
          <w:rFonts w:ascii="Times New Roman" w:hAnsi="Times New Roman"/>
          <w:b/>
          <w:sz w:val="24"/>
          <w:szCs w:val="24"/>
        </w:rPr>
      </w:pPr>
      <w:bookmarkStart w:id="234" w:name="_Toc3078_WPSOffice_Level2"/>
      <w:r>
        <w:rPr>
          <w:rFonts w:ascii="Times New Roman" w:hAnsi="Times New Roman"/>
          <w:b/>
          <w:sz w:val="24"/>
          <w:szCs w:val="24"/>
        </w:rPr>
        <w:t>表7.2-2  水生态保护补偿费用概算表</w:t>
      </w:r>
      <w:bookmarkEnd w:id="234"/>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2169"/>
        <w:gridCol w:w="1245"/>
        <w:gridCol w:w="1245"/>
        <w:gridCol w:w="444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tblHeader/>
          <w:jc w:val="center"/>
        </w:trPr>
        <w:tc>
          <w:tcPr>
            <w:tcW w:w="1192" w:type="pct"/>
            <w:vAlign w:val="center"/>
          </w:tcPr>
          <w:p>
            <w:pPr>
              <w:adjustRightInd w:val="0"/>
              <w:snapToGrid w:val="0"/>
              <w:jc w:val="center"/>
              <w:rPr>
                <w:rFonts w:ascii="Times New Roman" w:hAnsi="Times New Roman"/>
                <w:b/>
                <w:color w:val="000000"/>
              </w:rPr>
            </w:pPr>
            <w:r>
              <w:rPr>
                <w:rFonts w:ascii="Times New Roman" w:hAnsi="Times New Roman"/>
                <w:b/>
                <w:color w:val="000000"/>
              </w:rPr>
              <w:t>项目</w:t>
            </w:r>
          </w:p>
        </w:tc>
        <w:tc>
          <w:tcPr>
            <w:tcW w:w="684" w:type="pct"/>
            <w:vAlign w:val="center"/>
          </w:tcPr>
          <w:p>
            <w:pPr>
              <w:adjustRightInd w:val="0"/>
              <w:snapToGrid w:val="0"/>
              <w:jc w:val="center"/>
              <w:rPr>
                <w:rFonts w:ascii="Times New Roman" w:hAnsi="Times New Roman"/>
                <w:b/>
                <w:color w:val="000000"/>
              </w:rPr>
            </w:pPr>
            <w:r>
              <w:rPr>
                <w:rFonts w:ascii="Times New Roman" w:hAnsi="Times New Roman"/>
                <w:b/>
                <w:color w:val="000000"/>
              </w:rPr>
              <w:t>实施年限（年）</w:t>
            </w:r>
          </w:p>
        </w:tc>
        <w:tc>
          <w:tcPr>
            <w:tcW w:w="684" w:type="pct"/>
            <w:vAlign w:val="center"/>
          </w:tcPr>
          <w:p>
            <w:pPr>
              <w:adjustRightInd w:val="0"/>
              <w:snapToGrid w:val="0"/>
              <w:jc w:val="center"/>
              <w:rPr>
                <w:rFonts w:ascii="Times New Roman" w:hAnsi="Times New Roman"/>
                <w:b/>
                <w:color w:val="000000"/>
              </w:rPr>
            </w:pPr>
            <w:r>
              <w:rPr>
                <w:rFonts w:ascii="Times New Roman" w:hAnsi="Times New Roman"/>
                <w:b/>
                <w:color w:val="000000"/>
              </w:rPr>
              <w:t>预算经费</w:t>
            </w:r>
          </w:p>
          <w:p>
            <w:pPr>
              <w:adjustRightInd w:val="0"/>
              <w:snapToGrid w:val="0"/>
              <w:jc w:val="center"/>
              <w:rPr>
                <w:rFonts w:ascii="Times New Roman" w:hAnsi="Times New Roman"/>
                <w:b/>
                <w:color w:val="000000"/>
              </w:rPr>
            </w:pPr>
            <w:r>
              <w:rPr>
                <w:rFonts w:ascii="Times New Roman" w:hAnsi="Times New Roman"/>
                <w:b/>
                <w:color w:val="000000"/>
              </w:rPr>
              <w:t>（万元）</w:t>
            </w:r>
          </w:p>
        </w:tc>
        <w:tc>
          <w:tcPr>
            <w:tcW w:w="2440" w:type="pct"/>
            <w:vAlign w:val="center"/>
          </w:tcPr>
          <w:p>
            <w:pPr>
              <w:adjustRightInd w:val="0"/>
              <w:snapToGrid w:val="0"/>
              <w:jc w:val="center"/>
              <w:rPr>
                <w:rFonts w:ascii="Times New Roman" w:hAnsi="Times New Roman"/>
                <w:b/>
                <w:color w:val="000000"/>
              </w:rPr>
            </w:pPr>
            <w:r>
              <w:rPr>
                <w:rFonts w:ascii="Times New Roman" w:hAnsi="Times New Roman"/>
                <w:b/>
                <w:color w:val="000000"/>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192" w:type="pct"/>
            <w:vAlign w:val="center"/>
          </w:tcPr>
          <w:p>
            <w:pPr>
              <w:adjustRightInd w:val="0"/>
              <w:snapToGrid w:val="0"/>
              <w:rPr>
                <w:rFonts w:ascii="Times New Roman" w:hAnsi="Times New Roman"/>
                <w:color w:val="000000"/>
              </w:rPr>
            </w:pPr>
            <w:r>
              <w:rPr>
                <w:rFonts w:ascii="Times New Roman" w:hAnsi="Times New Roman"/>
                <w:color w:val="000000"/>
              </w:rPr>
              <w:t>一、</w:t>
            </w:r>
            <w:r>
              <w:rPr>
                <w:rFonts w:ascii="Times New Roman" w:hAnsi="Times New Roman"/>
                <w:kern w:val="0"/>
              </w:rPr>
              <w:t>海豚声音记录仪</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1</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1</w:t>
            </w:r>
          </w:p>
        </w:tc>
        <w:tc>
          <w:tcPr>
            <w:tcW w:w="2440" w:type="pct"/>
            <w:vAlign w:val="center"/>
          </w:tcPr>
          <w:p>
            <w:pPr>
              <w:adjustRightInd w:val="0"/>
              <w:snapToGrid w:val="0"/>
              <w:rPr>
                <w:rFonts w:ascii="Times New Roman" w:hAnsi="Times New Roman"/>
                <w:color w:val="000000"/>
              </w:rPr>
            </w:pPr>
            <w:r>
              <w:rPr>
                <w:rFonts w:ascii="Times New Roman" w:hAnsi="Times New Roman"/>
                <w:color w:val="000000"/>
              </w:rPr>
              <w:t>施工期布设在施工区前沿靠江侧。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192" w:type="pct"/>
            <w:vAlign w:val="center"/>
          </w:tcPr>
          <w:p>
            <w:pPr>
              <w:adjustRightInd w:val="0"/>
              <w:snapToGrid w:val="0"/>
              <w:rPr>
                <w:rFonts w:ascii="Times New Roman" w:hAnsi="Times New Roman"/>
                <w:color w:val="000000"/>
              </w:rPr>
            </w:pPr>
            <w:r>
              <w:rPr>
                <w:rFonts w:ascii="Times New Roman" w:hAnsi="Times New Roman"/>
                <w:color w:val="000000"/>
              </w:rPr>
              <w:t>二、超声波驱鱼设备</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1</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1.5</w:t>
            </w:r>
          </w:p>
        </w:tc>
        <w:tc>
          <w:tcPr>
            <w:tcW w:w="2440" w:type="pct"/>
            <w:vAlign w:val="center"/>
          </w:tcPr>
          <w:p>
            <w:pPr>
              <w:adjustRightInd w:val="0"/>
              <w:snapToGrid w:val="0"/>
              <w:rPr>
                <w:rFonts w:ascii="Times New Roman" w:hAnsi="Times New Roman"/>
                <w:color w:val="000000"/>
              </w:rPr>
            </w:pPr>
            <w:r>
              <w:rPr>
                <w:rFonts w:ascii="Times New Roman" w:hAnsi="Times New Roman"/>
                <w:color w:val="000000"/>
              </w:rPr>
              <w:t>施工期在工程区上游、下游和靠近江心侧，布设3台超声波发生器。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1192" w:type="pct"/>
            <w:vAlign w:val="center"/>
          </w:tcPr>
          <w:p>
            <w:pPr>
              <w:adjustRightInd w:val="0"/>
              <w:snapToGrid w:val="0"/>
              <w:rPr>
                <w:rFonts w:ascii="Times New Roman" w:hAnsi="Times New Roman"/>
                <w:color w:val="000000"/>
              </w:rPr>
            </w:pPr>
            <w:r>
              <w:rPr>
                <w:rFonts w:ascii="Times New Roman" w:hAnsi="Times New Roman"/>
                <w:color w:val="000000"/>
              </w:rPr>
              <w:t>三、临时救护</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1</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10</w:t>
            </w:r>
          </w:p>
        </w:tc>
        <w:tc>
          <w:tcPr>
            <w:tcW w:w="2440" w:type="pct"/>
            <w:vAlign w:val="center"/>
          </w:tcPr>
          <w:p>
            <w:pPr>
              <w:adjustRightInd w:val="0"/>
              <w:snapToGrid w:val="0"/>
              <w:rPr>
                <w:rFonts w:ascii="Times New Roman" w:hAnsi="Times New Roman"/>
                <w:color w:val="000000"/>
              </w:rPr>
            </w:pPr>
            <w:r>
              <w:rPr>
                <w:rFonts w:ascii="Times New Roman" w:hAnsi="Times New Roman"/>
                <w:color w:val="000000"/>
              </w:rPr>
              <w:t>配备1名专业人员救护意外受伤鱼类。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1192" w:type="pct"/>
            <w:vAlign w:val="center"/>
          </w:tcPr>
          <w:p>
            <w:pPr>
              <w:adjustRightInd w:val="0"/>
              <w:snapToGrid w:val="0"/>
              <w:rPr>
                <w:rFonts w:ascii="Times New Roman" w:hAnsi="Times New Roman"/>
                <w:color w:val="000000"/>
              </w:rPr>
            </w:pPr>
            <w:r>
              <w:rPr>
                <w:rFonts w:ascii="Times New Roman" w:hAnsi="Times New Roman"/>
                <w:color w:val="000000"/>
              </w:rPr>
              <w:t>四、渔政管理</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10</w:t>
            </w:r>
          </w:p>
        </w:tc>
        <w:tc>
          <w:tcPr>
            <w:tcW w:w="2440" w:type="pct"/>
            <w:vAlign w:val="center"/>
          </w:tcPr>
          <w:p>
            <w:pPr>
              <w:adjustRightInd w:val="0"/>
              <w:snapToGrid w:val="0"/>
              <w:rPr>
                <w:rFonts w:ascii="Times New Roman" w:hAnsi="Times New Roman"/>
                <w:b/>
                <w:color w:val="000000"/>
              </w:rPr>
            </w:pPr>
            <w:r>
              <w:rPr>
                <w:rFonts w:ascii="Times New Roman" w:hAnsi="Times New Roman"/>
                <w:color w:val="000000"/>
              </w:rPr>
              <w:t>施工期和运行期控制和制止对水生生物和保护区环境有影响的各种水上人为活动。</w:t>
            </w:r>
          </w:p>
          <w:p>
            <w:pPr>
              <w:adjustRightInd w:val="0"/>
              <w:snapToGrid w:val="0"/>
              <w:rPr>
                <w:rFonts w:ascii="Times New Roman" w:hAnsi="Times New Roman"/>
                <w:color w:val="000000"/>
              </w:rPr>
            </w:pPr>
            <w:r>
              <w:rPr>
                <w:rFonts w:ascii="Times New Roman" w:hAnsi="Times New Roman"/>
                <w:color w:val="000000"/>
              </w:rPr>
              <w:t>设置警示和宣传标牌、印制和发放宣传手册、开展环境和动物保护教育等。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192" w:type="pct"/>
            <w:vAlign w:val="center"/>
          </w:tcPr>
          <w:p>
            <w:pPr>
              <w:adjustRightInd w:val="0"/>
              <w:snapToGrid w:val="0"/>
              <w:rPr>
                <w:rFonts w:ascii="Times New Roman" w:hAnsi="Times New Roman"/>
                <w:color w:val="000000"/>
              </w:rPr>
            </w:pPr>
            <w:r>
              <w:rPr>
                <w:rFonts w:ascii="Times New Roman" w:hAnsi="Times New Roman"/>
                <w:color w:val="000000"/>
              </w:rPr>
              <w:t>五、生态修复</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3</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3.3</w:t>
            </w:r>
          </w:p>
        </w:tc>
        <w:tc>
          <w:tcPr>
            <w:tcW w:w="2440" w:type="pct"/>
            <w:vAlign w:val="center"/>
          </w:tcPr>
          <w:p>
            <w:pPr>
              <w:adjustRightInd w:val="0"/>
              <w:snapToGrid w:val="0"/>
              <w:rPr>
                <w:rFonts w:ascii="Times New Roman" w:hAnsi="Times New Roman"/>
                <w:color w:val="000000"/>
              </w:rPr>
            </w:pPr>
            <w:r>
              <w:rPr>
                <w:rFonts w:ascii="Times New Roman" w:hAnsi="Times New Roman"/>
                <w:color w:val="000000"/>
              </w:rPr>
              <w:t>项目完工后，在码头附近恢复水生植被，进行生态修复。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1192" w:type="pct"/>
            <w:vAlign w:val="center"/>
          </w:tcPr>
          <w:p>
            <w:pPr>
              <w:adjustRightInd w:val="0"/>
              <w:snapToGrid w:val="0"/>
              <w:rPr>
                <w:rFonts w:ascii="Times New Roman" w:hAnsi="Times New Roman"/>
                <w:color w:val="000000"/>
              </w:rPr>
            </w:pPr>
            <w:r>
              <w:rPr>
                <w:rFonts w:ascii="Times New Roman" w:hAnsi="Times New Roman"/>
                <w:color w:val="000000"/>
              </w:rPr>
              <w:t>六、人工增殖放流</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5</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250</w:t>
            </w:r>
          </w:p>
        </w:tc>
        <w:tc>
          <w:tcPr>
            <w:tcW w:w="2440" w:type="pct"/>
            <w:vAlign w:val="center"/>
          </w:tcPr>
          <w:p>
            <w:pPr>
              <w:adjustRightInd w:val="0"/>
              <w:snapToGrid w:val="0"/>
              <w:rPr>
                <w:rFonts w:ascii="Times New Roman" w:hAnsi="Times New Roman"/>
                <w:color w:val="000000"/>
              </w:rPr>
            </w:pPr>
            <w:r>
              <w:rPr>
                <w:rFonts w:ascii="Times New Roman" w:hAnsi="Times New Roman"/>
                <w:color w:val="000000"/>
              </w:rPr>
              <w:t>拟在陆城镇，首次放流时间为工程运行期第一年12月。鱼类放流每年放流24万尾，共放流苗种120万尾，每年所需经费50万元，</w:t>
            </w:r>
            <w:r>
              <w:rPr>
                <w:rFonts w:hint="eastAsia" w:ascii="Times New Roman" w:hAnsi="Times New Roman"/>
                <w:color w:val="000000"/>
              </w:rPr>
              <w:t>五</w:t>
            </w:r>
            <w:r>
              <w:rPr>
                <w:rFonts w:ascii="Times New Roman" w:hAnsi="Times New Roman"/>
                <w:color w:val="000000"/>
              </w:rPr>
              <w:t>年共需经费250万元。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192" w:type="pct"/>
            <w:vAlign w:val="center"/>
          </w:tcPr>
          <w:p>
            <w:pPr>
              <w:adjustRightInd w:val="0"/>
              <w:snapToGrid w:val="0"/>
              <w:rPr>
                <w:rFonts w:ascii="Times New Roman" w:hAnsi="Times New Roman"/>
                <w:color w:val="000000"/>
              </w:rPr>
            </w:pPr>
            <w:r>
              <w:rPr>
                <w:rFonts w:ascii="Times New Roman" w:hAnsi="Times New Roman"/>
                <w:color w:val="000000"/>
              </w:rPr>
              <w:t>七、水生生物监测</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5</w:t>
            </w:r>
          </w:p>
        </w:tc>
        <w:tc>
          <w:tcPr>
            <w:tcW w:w="684" w:type="pct"/>
            <w:vAlign w:val="center"/>
          </w:tcPr>
          <w:p>
            <w:pPr>
              <w:adjustRightInd w:val="0"/>
              <w:snapToGrid w:val="0"/>
              <w:jc w:val="center"/>
              <w:rPr>
                <w:rFonts w:ascii="Times New Roman" w:hAnsi="Times New Roman"/>
                <w:color w:val="000000"/>
              </w:rPr>
            </w:pPr>
            <w:r>
              <w:rPr>
                <w:rFonts w:ascii="Times New Roman" w:hAnsi="Times New Roman"/>
                <w:color w:val="000000"/>
              </w:rPr>
              <w:t>40</w:t>
            </w:r>
          </w:p>
        </w:tc>
        <w:tc>
          <w:tcPr>
            <w:tcW w:w="2440" w:type="pct"/>
            <w:vAlign w:val="center"/>
          </w:tcPr>
          <w:p>
            <w:pPr>
              <w:adjustRightInd w:val="0"/>
              <w:snapToGrid w:val="0"/>
              <w:rPr>
                <w:rFonts w:ascii="Times New Roman" w:hAnsi="Times New Roman"/>
                <w:color w:val="000000"/>
              </w:rPr>
            </w:pPr>
            <w:r>
              <w:rPr>
                <w:rFonts w:ascii="Times New Roman" w:hAnsi="Times New Roman"/>
                <w:color w:val="000000"/>
              </w:rPr>
              <w:t>码头、码头上游、码头下游、螺山4个资源监测断面。鱼类资源及水生生物监测时间为施工期1年，运行期4年，费用为每年8万元。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192" w:type="pct"/>
            <w:vAlign w:val="center"/>
          </w:tcPr>
          <w:p>
            <w:pPr>
              <w:adjustRightInd w:val="0"/>
              <w:snapToGrid w:val="0"/>
              <w:jc w:val="center"/>
              <w:rPr>
                <w:rFonts w:ascii="Times New Roman" w:hAnsi="Times New Roman"/>
                <w:b/>
                <w:color w:val="000000"/>
              </w:rPr>
            </w:pPr>
            <w:r>
              <w:rPr>
                <w:rFonts w:ascii="Times New Roman" w:hAnsi="Times New Roman"/>
                <w:b/>
                <w:color w:val="000000"/>
              </w:rPr>
              <w:t>合计</w:t>
            </w:r>
          </w:p>
        </w:tc>
        <w:tc>
          <w:tcPr>
            <w:tcW w:w="684" w:type="pct"/>
            <w:vAlign w:val="center"/>
          </w:tcPr>
          <w:p>
            <w:pPr>
              <w:adjustRightInd w:val="0"/>
              <w:snapToGrid w:val="0"/>
              <w:rPr>
                <w:rFonts w:ascii="Times New Roman" w:hAnsi="Times New Roman"/>
                <w:b/>
                <w:color w:val="000000"/>
              </w:rPr>
            </w:pPr>
          </w:p>
        </w:tc>
        <w:tc>
          <w:tcPr>
            <w:tcW w:w="684" w:type="pct"/>
            <w:vAlign w:val="center"/>
          </w:tcPr>
          <w:p>
            <w:pPr>
              <w:adjustRightInd w:val="0"/>
              <w:snapToGrid w:val="0"/>
              <w:jc w:val="center"/>
              <w:rPr>
                <w:rFonts w:ascii="Times New Roman" w:hAnsi="Times New Roman"/>
                <w:b/>
                <w:color w:val="000000"/>
              </w:rPr>
            </w:pPr>
            <w:r>
              <w:rPr>
                <w:rFonts w:ascii="Times New Roman" w:hAnsi="Times New Roman"/>
                <w:b/>
                <w:color w:val="000000"/>
              </w:rPr>
              <w:t>315.8</w:t>
            </w:r>
          </w:p>
        </w:tc>
        <w:tc>
          <w:tcPr>
            <w:tcW w:w="2440" w:type="pct"/>
            <w:vAlign w:val="center"/>
          </w:tcPr>
          <w:p>
            <w:pPr>
              <w:adjustRightInd w:val="0"/>
              <w:snapToGrid w:val="0"/>
              <w:rPr>
                <w:rFonts w:ascii="Times New Roman" w:hAnsi="Times New Roman"/>
                <w:color w:val="000000"/>
                <w:highlight w:val="yellow"/>
              </w:rPr>
            </w:pPr>
          </w:p>
        </w:tc>
      </w:tr>
    </w:tbl>
    <w:p>
      <w:pPr>
        <w:spacing w:line="360" w:lineRule="auto"/>
        <w:ind w:firstLine="435"/>
        <w:rPr>
          <w:rFonts w:ascii="Times New Roman" w:hAnsi="Times New Roman"/>
          <w:sz w:val="24"/>
          <w:szCs w:val="24"/>
        </w:rPr>
      </w:pPr>
    </w:p>
    <w:p>
      <w:pPr>
        <w:pStyle w:val="4"/>
        <w:rPr>
          <w:rFonts w:eastAsiaTheme="minorEastAsia"/>
        </w:rPr>
      </w:pPr>
      <w:bookmarkStart w:id="235" w:name="_Toc18306826"/>
      <w:bookmarkStart w:id="236" w:name="_Toc21588_WPSOffice_Level2"/>
      <w:bookmarkStart w:id="237" w:name="_Toc12907_WPSOffice_Level2"/>
      <w:bookmarkStart w:id="238" w:name="_Toc515895921"/>
      <w:bookmarkStart w:id="239" w:name="_Toc18306883"/>
      <w:r>
        <w:rPr>
          <w:rFonts w:eastAsiaTheme="minorEastAsia"/>
        </w:rPr>
        <w:t>跟踪监测</w:t>
      </w:r>
      <w:bookmarkEnd w:id="235"/>
      <w:bookmarkEnd w:id="236"/>
      <w:bookmarkEnd w:id="237"/>
      <w:bookmarkEnd w:id="238"/>
      <w:bookmarkEnd w:id="239"/>
    </w:p>
    <w:p>
      <w:pPr>
        <w:pStyle w:val="5"/>
        <w:rPr>
          <w:rFonts w:eastAsiaTheme="minorEastAsia"/>
          <w:color w:val="auto"/>
        </w:rPr>
      </w:pPr>
      <w:bookmarkStart w:id="240" w:name="_Toc515895922"/>
      <w:bookmarkStart w:id="241" w:name="_Toc21427_WPSOffice_Level3"/>
      <w:bookmarkStart w:id="242" w:name="_Toc31390_WPSOffice_Level3"/>
      <w:r>
        <w:rPr>
          <w:rFonts w:eastAsiaTheme="minorEastAsia"/>
          <w:color w:val="auto"/>
        </w:rPr>
        <w:t>监测内容</w:t>
      </w:r>
      <w:bookmarkEnd w:id="240"/>
      <w:bookmarkEnd w:id="241"/>
      <w:bookmarkEnd w:id="242"/>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建设期和运营期在施工河段范围内进行浮游生物、底栖动物、水生维管束植物、鱼类种群动态、鱼类产卵场等进行监测，通过连续监测，统计分析该河段水生生物和鱼类种类组成、资源量变化趋势，分析其变化原因，对本工程建设的影响进行后评价。</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施工期水生态监测内容：水文、水动力学特征、SS、噪声、水体理化性质（主要为N、P、溶解氧、pH等）；浮游植物、浮游动物、底栖动物的种类、生物量和密度；水生维管束植物种类及数量；鱼类的种类组成、资源量的时空分布及累积变化效应。</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运营期水生态监测内容：水文、水动力学特征、水体理化性质（主要为N、P、溶解氧、pH等）；浮游植物、浮游动物、底栖动物的种类、生物量和密度；水生维管束植物种类及数量；鱼类的种类组成、资源量的时空分布及累积变化效应。</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监测断面和区域：设置码头、码头上游、码头下游、螺山4处资源监测断面。</w:t>
      </w:r>
    </w:p>
    <w:p>
      <w:pPr>
        <w:pStyle w:val="5"/>
        <w:rPr>
          <w:rFonts w:eastAsiaTheme="minorEastAsia"/>
          <w:color w:val="auto"/>
        </w:rPr>
      </w:pPr>
      <w:bookmarkStart w:id="243" w:name="_Toc515895923"/>
      <w:bookmarkStart w:id="244" w:name="_Toc23430_WPSOffice_Level3"/>
      <w:bookmarkStart w:id="245" w:name="_Toc23113_WPSOffice_Level3"/>
      <w:r>
        <w:rPr>
          <w:rFonts w:eastAsiaTheme="minorEastAsia"/>
          <w:color w:val="auto"/>
        </w:rPr>
        <w:t>监测时段和周期</w:t>
      </w:r>
      <w:bookmarkEnd w:id="243"/>
      <w:bookmarkEnd w:id="244"/>
      <w:bookmarkEnd w:id="245"/>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鱼类资源及水生生物监测时间为施工期1年，营运期4年，每年4月、9月各监测1次。</w:t>
      </w:r>
    </w:p>
    <w:p>
      <w:pPr>
        <w:pStyle w:val="4"/>
        <w:rPr>
          <w:rFonts w:eastAsiaTheme="minorEastAsia"/>
        </w:rPr>
      </w:pPr>
      <w:bookmarkStart w:id="246" w:name="_Toc18306884"/>
      <w:bookmarkStart w:id="247" w:name="_Toc27965_WPSOffice_Level2"/>
      <w:bookmarkStart w:id="248" w:name="_Toc794_WPSOffice_Level2"/>
      <w:bookmarkStart w:id="249" w:name="_Toc18306827"/>
      <w:bookmarkStart w:id="250" w:name="_Toc515895924"/>
      <w:r>
        <w:rPr>
          <w:rFonts w:eastAsiaTheme="minorEastAsia"/>
        </w:rPr>
        <w:t>建立协调机构</w:t>
      </w:r>
      <w:bookmarkEnd w:id="246"/>
      <w:bookmarkEnd w:id="247"/>
      <w:bookmarkEnd w:id="248"/>
      <w:bookmarkEnd w:id="249"/>
      <w:bookmarkEnd w:id="250"/>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项目建设单位应与保护区管理机构以及渔政部门组建协调小组，加强施工期和运营期对保护区以及施工区域的管理。工程施工期和营运期的保护措施由保护区管理部门及渔政部门设立专门工作小组负责开展。工程建设单位应遵照执行《水产种质资源保护区的管理暂行办法》，加强施工管理，在施工人员中开展该办法的宣传教育工作，服从保护区监管，尽量减少工程施工对水产种质资源的影响。</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针对本工程施工会对长江监利段翘嘴红鲌国家级水产种质资源保护区及其附近水域的鱼类资源带来的影响，应设置专项补偿费用于保护区的鱼类资源保护，根据保护的实际需要进行使用，经费使用接受保护区主管单位监督落实补偿方案，或由其委托保护区管理单位负责，组织有关单位实施。</w:t>
      </w:r>
    </w:p>
    <w:p>
      <w:pPr>
        <w:spacing w:line="360" w:lineRule="auto"/>
        <w:rPr>
          <w:rFonts w:ascii="Times New Roman" w:hAnsi="Times New Roman" w:eastAsiaTheme="minorEastAsia"/>
          <w:sz w:val="24"/>
          <w:szCs w:val="24"/>
        </w:rPr>
      </w:pPr>
    </w:p>
    <w:p>
      <w:pPr>
        <w:pStyle w:val="69"/>
        <w:ind w:firstLine="480"/>
        <w:rPr>
          <w:rFonts w:cs="Times New Roman" w:eastAsiaTheme="minorEastAsia"/>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color w:val="000000" w:themeColor="text1"/>
          <w:sz w:val="32"/>
          <w:szCs w:val="32"/>
          <w14:textFill>
            <w14:solidFill>
              <w14:schemeClr w14:val="tx1"/>
            </w14:solidFill>
          </w14:textFill>
        </w:rPr>
      </w:pPr>
      <w:bookmarkStart w:id="251" w:name="_Toc222106698"/>
      <w:bookmarkEnd w:id="251"/>
      <w:bookmarkStart w:id="252" w:name="_Toc66000379"/>
      <w:bookmarkEnd w:id="252"/>
      <w:bookmarkStart w:id="253" w:name="_Toc371415957"/>
      <w:bookmarkEnd w:id="253"/>
      <w:bookmarkStart w:id="254" w:name="_Toc65582345"/>
      <w:bookmarkEnd w:id="254"/>
      <w:bookmarkStart w:id="255" w:name="_Toc286754913"/>
      <w:bookmarkEnd w:id="255"/>
      <w:bookmarkStart w:id="256" w:name="_Toc298750593"/>
      <w:bookmarkEnd w:id="256"/>
      <w:bookmarkStart w:id="257" w:name="_Toc203544024"/>
      <w:bookmarkEnd w:id="257"/>
      <w:bookmarkStart w:id="258" w:name="_Toc106965890"/>
      <w:bookmarkEnd w:id="258"/>
      <w:bookmarkStart w:id="259" w:name="_Toc292191961"/>
      <w:bookmarkEnd w:id="259"/>
      <w:bookmarkStart w:id="260" w:name="_Toc198447187"/>
      <w:bookmarkEnd w:id="260"/>
      <w:bookmarkStart w:id="261" w:name="_Toc298750458"/>
      <w:bookmarkEnd w:id="261"/>
      <w:bookmarkStart w:id="262" w:name="_Toc187830071"/>
      <w:bookmarkEnd w:id="262"/>
      <w:bookmarkStart w:id="263" w:name="_Toc75346553"/>
      <w:bookmarkEnd w:id="263"/>
      <w:bookmarkStart w:id="264" w:name="_Toc237075160"/>
      <w:bookmarkEnd w:id="264"/>
      <w:bookmarkStart w:id="265" w:name="_Toc103214758"/>
      <w:bookmarkEnd w:id="265"/>
      <w:bookmarkStart w:id="266" w:name="_Toc24921"/>
      <w:r>
        <w:rPr>
          <w:rFonts w:eastAsiaTheme="minorEastAsia"/>
          <w:b/>
          <w:color w:val="000000" w:themeColor="text1"/>
          <w:sz w:val="32"/>
          <w:szCs w:val="32"/>
          <w14:textFill>
            <w14:solidFill>
              <w14:schemeClr w14:val="tx1"/>
            </w14:solidFill>
          </w14:textFill>
        </w:rPr>
        <w:t>环境影响减缓措施及技术经济论证</w:t>
      </w:r>
      <w:bookmarkEnd w:id="266"/>
    </w:p>
    <w:p>
      <w:pPr>
        <w:pStyle w:val="3"/>
        <w:rPr>
          <w:rFonts w:ascii="Times New Roman" w:hAnsi="Times New Roman" w:eastAsiaTheme="minorEastAsia"/>
          <w:b/>
        </w:rPr>
      </w:pPr>
      <w:bookmarkStart w:id="267" w:name="_Toc198447188"/>
      <w:bookmarkEnd w:id="267"/>
      <w:bookmarkStart w:id="268" w:name="_Toc298750594"/>
      <w:bookmarkEnd w:id="268"/>
      <w:bookmarkStart w:id="269" w:name="_Toc298750459"/>
      <w:bookmarkEnd w:id="269"/>
      <w:bookmarkStart w:id="270" w:name="_Toc237075161"/>
      <w:bookmarkEnd w:id="270"/>
      <w:bookmarkStart w:id="271" w:name="_Toc195379806"/>
      <w:bookmarkEnd w:id="271"/>
      <w:bookmarkStart w:id="272" w:name="_Toc286754914"/>
      <w:bookmarkEnd w:id="272"/>
      <w:bookmarkStart w:id="273" w:name="_Toc292191962"/>
      <w:bookmarkEnd w:id="273"/>
      <w:bookmarkStart w:id="274" w:name="_Toc9137"/>
      <w:r>
        <w:rPr>
          <w:rFonts w:ascii="Times New Roman" w:hAnsi="Times New Roman" w:eastAsiaTheme="minorEastAsia"/>
          <w:b/>
        </w:rPr>
        <w:t>施工期污染物防治措施</w:t>
      </w:r>
      <w:bookmarkEnd w:id="274"/>
    </w:p>
    <w:p>
      <w:pPr>
        <w:pStyle w:val="4"/>
        <w:rPr>
          <w:rFonts w:eastAsiaTheme="minorEastAsia"/>
          <w:color w:val="000000" w:themeColor="text1"/>
          <w14:textFill>
            <w14:solidFill>
              <w14:schemeClr w14:val="tx1"/>
            </w14:solidFill>
          </w14:textFill>
        </w:rPr>
      </w:pPr>
      <w:bookmarkStart w:id="275" w:name="6.1.1大气污染防治措施"/>
      <w:bookmarkEnd w:id="275"/>
      <w:r>
        <w:rPr>
          <w:rFonts w:eastAsiaTheme="minorEastAsia"/>
          <w:color w:val="000000" w:themeColor="text1"/>
          <w14:textFill>
            <w14:solidFill>
              <w14:schemeClr w14:val="tx1"/>
            </w14:solidFill>
          </w14:textFill>
        </w:rPr>
        <w:t>水环境污染防治措施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1、水下施工中SS产生量则取决于施工机械、施工方法、土石质量和粒度分布情况及长江水文条件等。本项目码头前沿水深条件好，不需要疏浚工程量，码头施工作业对底泥的搅动的范围很小。</w:t>
      </w:r>
    </w:p>
    <w:p>
      <w:pPr>
        <w:autoSpaceDE w:val="0"/>
        <w:autoSpaceDN w:val="0"/>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kern w:val="0"/>
          <w:sz w:val="24"/>
          <w:szCs w:val="24"/>
        </w:rPr>
        <w:t>2、浮码头泊位及引桥等的钻孔灌注桩施工时在内堤开挖式泥浆池四周设置土堤围堰，围堰高度约0.3m，在溢流口设置土工布，泥浆沉淀池设置雨天遮盖装置，该措施的落实可防止钻孔施工时因降雨而产生的悬浮泥沙对长江水体的污染影响。</w:t>
      </w:r>
      <w:r>
        <w:rPr>
          <w:rFonts w:ascii="Times New Roman" w:hAnsi="Times New Roman" w:eastAsiaTheme="minorEastAsia"/>
          <w:sz w:val="24"/>
          <w:szCs w:val="24"/>
        </w:rPr>
        <w:t>溢流泥浆水经堆场溢流堰流出，在堆场设置的沉淀池内沉淀后部分回用于施工现场抑尘用水等，其余部分排入长炼第二污水处理</w:t>
      </w:r>
      <w:r>
        <w:rPr>
          <w:rFonts w:hint="eastAsia" w:ascii="Times New Roman" w:hAnsi="Times New Roman" w:eastAsiaTheme="minorEastAsia"/>
          <w:sz w:val="24"/>
          <w:szCs w:val="24"/>
        </w:rPr>
        <w:t>厂</w:t>
      </w:r>
      <w:r>
        <w:rPr>
          <w:rFonts w:ascii="Times New Roman" w:hAnsi="Times New Roman" w:eastAsiaTheme="minorEastAsia"/>
          <w:sz w:val="24"/>
          <w:szCs w:val="24"/>
        </w:rPr>
        <w:t>。</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施工船舶舱底油污水应遵守交通部2015年25号令《中华人民共和国防治船舶污染内河水域环境管理规定》“第十三条：在内河水域航行、停泊和作业的船舶，不得违反法律、行政法规、规范、标准和交通运输部的规定向内河水域排放污染物。不符合排放规定的船舶污染物应当交由港口、码头、装卸站或者有资质的单位接收处理。”本码头所在水域属于</w:t>
      </w:r>
      <w:r>
        <w:rPr>
          <w:rFonts w:hint="eastAsia" w:ascii="宋体" w:hAnsi="宋体" w:cs="宋体"/>
          <w:kern w:val="0"/>
          <w:sz w:val="24"/>
          <w:szCs w:val="24"/>
          <w:lang w:eastAsia="ja-JP"/>
        </w:rPr>
        <w:t>Ⅲ</w:t>
      </w:r>
      <w:r>
        <w:rPr>
          <w:rFonts w:ascii="Times New Roman" w:hAnsi="Times New Roman" w:eastAsiaTheme="minorEastAsia"/>
          <w:kern w:val="0"/>
          <w:sz w:val="24"/>
          <w:szCs w:val="24"/>
        </w:rPr>
        <w:t>类水域，不允许排放任何废水，因此项目施工船舶舱底油污水不得在码头所在江段排放，确需排放的由当地海事部门认可的有资质的船舶接收处理。施工期船舶上施工人员生活污水不得在本河段水域排放，生活污水经化粪池收集，再通过后方港口部污水处理站进入长岭分公司第二污水处理厂。</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4、按照航运部门的有关规定，办理水上作业公告，施工船舶悬挂信号标志，保证航运船舶安全及施工船舶作业安全，避免碰撞等交通安全事故发生。</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5、为减少施工船舶及设备施工过程中泄漏油污对长江水体造成污染，施工单位在施工过程中需要在施工水域四周设置围油栏收集泄漏油污，再通过吸油毡清除油污，废油毡交有资质单位处理。</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6、管线工程施工过程中，沿线沟渠大开挖施工时应注意合理安排施工时段，选择在枯水季节施工，减少需开挖渠道导流的次数，将其对水环境造成的影响降至最低。</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大气污染防治措施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项目码头及管线施工期产生的大气污染物主要为开挖平整、材料运输，砂石料装卸等过程产生的扬尘，以及施工船舶、施工机械设备、运输车辆排放的尾气等。为最大限度降低施工期对大气环境的影响，建设单位拟采取如下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1、施工前先修筑厂界围墙或简易围屏，如用瓦楞板或聚丙烯布等在施工区四周建高2.5~3.0m的围幛，减少扬尘的逸散。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建设过程中使用的建筑材料，在装卸、堆放、拌合过程中将会产生大量的粉尘外逸，施工单位必须加强施工区的规划管理。建筑材料（主要是砂子、石子）尽量不大量的堆存，少量堆存将其置于较为空旷的位置，并进行遮挡，减少物料起尘对周边环境的影响。</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3、在施工现场和施工车辆运输道路每天应多次撒水，保持工地有一定的湿度。</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4、对港区道路、码头路面及时清扫并洒水，防止货物转运过程中的二次起尘。</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5、施工车辆运输砂土、水泥、碎石等易起尘的物料要加盖蓬布、控制车速，防止物料洒落和产生扬尘；卸车时应尽量减小落差，减少扬尘；进出施工现场车辆将导致地面扬尘，对陆域施工现场及运输道路应定期清扫洒水，保持车辆出入口路面清洁、润湿，以减少施工车辆引起的地面扬尘污染，并尽量要求运输车辆减缓行车速度。施工现场还应铺设临时的施工便道，铺设碎石或细沙，并尽量进行夯实硬化处理，以减少运输车辆轮胎带泥上路和造成二次扬尘。</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6、加强对施工机械、车辆的维修保养，禁止以柴油为燃料的施工机械超负荷工作，减少尾气排放。</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因此，以上施工期防治施工扬尘、施工机械设备、车辆燃油废气的措施可以起到防治污染物对拟建项目周边环境空气质量状况的不良影响，在经济、技术上均具有较高的可行性和可操作性。</w:t>
      </w:r>
    </w:p>
    <w:p>
      <w:pPr>
        <w:pStyle w:val="4"/>
        <w:rPr>
          <w:rFonts w:eastAsiaTheme="minorEastAsia"/>
          <w:color w:val="000000" w:themeColor="text1"/>
          <w14:textFill>
            <w14:solidFill>
              <w14:schemeClr w14:val="tx1"/>
            </w14:solidFill>
          </w14:textFill>
        </w:rPr>
      </w:pPr>
      <w:bookmarkStart w:id="276" w:name="6.1.3噪声污染防治措施"/>
      <w:bookmarkEnd w:id="276"/>
      <w:r>
        <w:rPr>
          <w:rFonts w:eastAsiaTheme="minorEastAsia"/>
          <w:color w:val="000000" w:themeColor="text1"/>
          <w14:textFill>
            <w14:solidFill>
              <w14:schemeClr w14:val="tx1"/>
            </w14:solidFill>
          </w14:textFill>
        </w:rPr>
        <w:t>噪声污染防治措施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施工噪声控制措施主要是对施工设备、施工时间和施工人员的控制和管理。</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1、降低声源的噪声强度</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采用低噪声施工机械设备和先进的施工技术是控制施工期噪声有效手段之一，淘汰落后的施工设备；</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对有固定基座的设备应作单独地基处理，以减少地面振动与结构噪声的传递；</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⑶</w:t>
      </w:r>
      <w:r>
        <w:rPr>
          <w:rFonts w:ascii="Times New Roman" w:hAnsi="Times New Roman" w:eastAsiaTheme="minorEastAsia"/>
          <w:kern w:val="0"/>
          <w:sz w:val="24"/>
          <w:szCs w:val="24"/>
        </w:rPr>
        <w:t xml:space="preserve"> 模板、脚手架支拆时，应做到轻拿轻放，严禁抛掷；</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⑷</w:t>
      </w:r>
      <w:r>
        <w:rPr>
          <w:rFonts w:ascii="Times New Roman" w:hAnsi="Times New Roman" w:eastAsiaTheme="minorEastAsia"/>
          <w:kern w:val="0"/>
          <w:sz w:val="24"/>
          <w:szCs w:val="24"/>
        </w:rPr>
        <w:t xml:space="preserve"> 对机械设备进行定期维修，使其保持良好的运行工况，严禁带故障工作造成噪声排放超标。</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2、传播途径降噪措施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项目施工现场四周应当设置高度不低于2m的围挡，围挡可以当作声屏障，从而降低施工噪声对厂界外敏感点的影响；</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对各施工环节中噪声较为突出且又难以对声源进行降噪可能的设备装置，应采取临时围障措施，围障最好敷以吸声材料，以此达到降噪效果。</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3、其他措施和建议</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设立项目施工环境影响监督公告牌，在建筑围墙的醒目处明确标明：施工环境影响的投诉方式及联系电话（包括建设单位责任人及施工监查责任人等），让公众随时监督项目施工过程；</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对交通车辆及施工船舶造成的噪声影响要加强管理，运输车辆及船舶尽量采用低声级的喇叭，合理制定运输路线，车辆在场区外的行进路线应尽量对周边的敏感点采取避让措施，若无法避让而必须要经过环境敏感点的，应采取减速慢行、禁止鸣笛等措施降低运输车辆的噪声对周边环境的影响。</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通过采取以上噪声污染防控措施，建设单位可将噪声污染对周边声环境质量的影响控制在最低水平，噪声污染防治措施从经济、技术方面来说具有可行性。</w:t>
      </w:r>
    </w:p>
    <w:p>
      <w:pPr>
        <w:pStyle w:val="4"/>
        <w:rPr>
          <w:rFonts w:eastAsiaTheme="minorEastAsia"/>
          <w:color w:val="000000" w:themeColor="text1"/>
          <w14:textFill>
            <w14:solidFill>
              <w14:schemeClr w14:val="tx1"/>
            </w14:solidFill>
          </w14:textFill>
        </w:rPr>
      </w:pPr>
      <w:bookmarkStart w:id="277" w:name="6.1.4固体废物污染防治措施"/>
      <w:bookmarkEnd w:id="277"/>
      <w:r>
        <w:rPr>
          <w:rFonts w:eastAsiaTheme="minorEastAsia"/>
          <w:color w:val="000000" w:themeColor="text1"/>
          <w14:textFill>
            <w14:solidFill>
              <w14:schemeClr w14:val="tx1"/>
            </w14:solidFill>
          </w14:textFill>
        </w:rPr>
        <w:t>固体废物污染防治措施</w:t>
      </w:r>
    </w:p>
    <w:p>
      <w:pPr>
        <w:autoSpaceDE w:val="0"/>
        <w:autoSpaceDN w:val="0"/>
        <w:adjustRightInd w:val="0"/>
        <w:snapToGrid w:val="0"/>
        <w:spacing w:line="360" w:lineRule="auto"/>
        <w:ind w:firstLine="480" w:firstLineChars="200"/>
        <w:rPr>
          <w:rFonts w:hint="default" w:ascii="Times New Roman" w:hAnsi="Times New Roman" w:eastAsiaTheme="minorEastAsia"/>
          <w:kern w:val="0"/>
          <w:sz w:val="24"/>
          <w:szCs w:val="24"/>
          <w:lang w:val="en-US" w:eastAsia="zh-CN"/>
        </w:rPr>
      </w:pPr>
      <w:r>
        <w:rPr>
          <w:rFonts w:ascii="Times New Roman" w:hAnsi="Times New Roman" w:eastAsiaTheme="minorEastAsia"/>
          <w:kern w:val="0"/>
          <w:sz w:val="24"/>
          <w:szCs w:val="24"/>
        </w:rPr>
        <w:t>施工过程中产生的固体废弃物主要为施工人员生活垃圾和施工垃圾。生活垃圾在厂区设有垃圾桶，定期有环卫部门清运统一处理；施工垃圾主要为施工建筑垃圾、桩基工程开挖产生的钻渣等，建筑垃圾应及时清理，能回收利用的部分进行回收利用，不能回收的部分应运至指定地方清理。工程产生的弃渣可就近用作公路、河流的岸坡防护或作业带迹地恢复。</w:t>
      </w:r>
      <w:r>
        <w:rPr>
          <w:rFonts w:hint="eastAsia" w:ascii="Times New Roman" w:hAnsi="Times New Roman" w:eastAsiaTheme="minorEastAsia"/>
          <w:color w:val="FF0000"/>
          <w:kern w:val="0"/>
          <w:sz w:val="24"/>
          <w:szCs w:val="24"/>
          <w:u w:val="single"/>
          <w:lang w:val="en-US" w:eastAsia="zh-CN"/>
        </w:rPr>
        <w:t>废管线拆除前已经吹扫、蒸汽、晾干处置后，废管线托运至长炼总厂区与其他废旧机械设备一同</w:t>
      </w:r>
      <w:r>
        <w:rPr>
          <w:rFonts w:hint="default" w:ascii="Times New Roman" w:hAnsi="Times New Roman" w:eastAsiaTheme="minorEastAsia"/>
          <w:color w:val="FF0000"/>
          <w:kern w:val="0"/>
          <w:sz w:val="24"/>
          <w:szCs w:val="24"/>
          <w:u w:val="single"/>
          <w:lang w:val="en-US" w:eastAsia="zh-CN"/>
        </w:rPr>
        <w:t>交由环卫部门处置</w:t>
      </w:r>
      <w:r>
        <w:rPr>
          <w:rFonts w:hint="eastAsia" w:ascii="Times New Roman" w:hAnsi="Times New Roman" w:eastAsiaTheme="minorEastAsia"/>
          <w:color w:val="FF0000"/>
          <w:kern w:val="0"/>
          <w:sz w:val="24"/>
          <w:szCs w:val="24"/>
          <w:u w:val="single"/>
          <w:lang w:val="en-US" w:eastAsia="zh-CN"/>
        </w:rPr>
        <w:t>，严禁随意在施工区域随意放置。</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施工结束后，施工场地应及时平整，清场要彻底。</w:t>
      </w:r>
    </w:p>
    <w:p>
      <w:pPr>
        <w:pStyle w:val="4"/>
        <w:rPr>
          <w:rFonts w:eastAsiaTheme="minorEastAsia"/>
          <w:color w:val="000000" w:themeColor="text1"/>
          <w14:textFill>
            <w14:solidFill>
              <w14:schemeClr w14:val="tx1"/>
            </w14:solidFill>
          </w14:textFill>
        </w:rPr>
      </w:pPr>
      <w:bookmarkStart w:id="278" w:name="6.1.5生态保护措施"/>
      <w:bookmarkEnd w:id="278"/>
      <w:r>
        <w:rPr>
          <w:rFonts w:eastAsiaTheme="minorEastAsia"/>
          <w:color w:val="000000" w:themeColor="text1"/>
          <w14:textFill>
            <w14:solidFill>
              <w14:schemeClr w14:val="tx1"/>
            </w14:solidFill>
          </w14:textFill>
        </w:rPr>
        <w:t>生态保护措施</w:t>
      </w:r>
    </w:p>
    <w:p>
      <w:pPr>
        <w:pStyle w:val="5"/>
        <w:rPr>
          <w:rFonts w:eastAsiaTheme="minorEastAsia"/>
          <w:bCs w:val="0"/>
        </w:rPr>
      </w:pPr>
      <w:bookmarkStart w:id="279" w:name="6.1.5.1水生生态保护措施"/>
      <w:bookmarkEnd w:id="279"/>
      <w:r>
        <w:rPr>
          <w:rFonts w:eastAsiaTheme="minorEastAsia"/>
          <w:bCs w:val="0"/>
        </w:rPr>
        <w:t>水生生态保护措施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详见“7 水产种质资源保护区环境影响评价”章节</w:t>
      </w:r>
      <w:r>
        <w:rPr>
          <w:rFonts w:hint="eastAsia" w:ascii="Times New Roman" w:hAnsi="Times New Roman" w:eastAsiaTheme="minorEastAsia"/>
          <w:color w:val="000000" w:themeColor="text1"/>
          <w:kern w:val="0"/>
          <w:sz w:val="24"/>
          <w:szCs w:val="24"/>
          <w14:textFill>
            <w14:solidFill>
              <w14:schemeClr w14:val="tx1"/>
            </w14:solidFill>
          </w14:textFill>
        </w:rPr>
        <w:t>。</w:t>
      </w:r>
    </w:p>
    <w:p>
      <w:pPr>
        <w:pStyle w:val="5"/>
        <w:ind w:left="862" w:hanging="862"/>
        <w:jc w:val="left"/>
        <w:rPr>
          <w:rFonts w:eastAsiaTheme="minorEastAsia"/>
        </w:rPr>
      </w:pPr>
      <w:bookmarkStart w:id="280" w:name="6.1.5.2陆生生态保护措施"/>
      <w:bookmarkEnd w:id="280"/>
      <w:r>
        <w:rPr>
          <w:rFonts w:eastAsiaTheme="minorEastAsia"/>
        </w:rPr>
        <w:t>陆生生态保护措施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陆域生态包括码头区及管线区，在对生态环境的防护和恢复上，工程已考虑采取多种措施。</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1、码头区生态保护</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根据《港口环保设计规范》，绿化面积不应小于可绿化面积的85%。在生产区及辅助生产生活区的卫生防护距离内设防护林，防护林带的宽度宜为5~10m，主要树种为梧桐、意杨等；绿化配合种植乔、灌木和矮林，形成高、中、低相结合的常绿防护林带，以减小港区风速，并起到吸尘、降噪和美化环境的作业。</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2、管线区生态保护</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为了减轻对生态环境的影响，本项目沿线无动植物自然保护区、尽可能避开林区，尽可能不占或少占良田、多 年种植经济作物区。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合理规划设计，尽量利用已有道路，少建和不建施工便道。</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为防止对水生生态环境的影响，在穿越河流时，采用大开挖方式进行施工时，选择枯水期进行，且河床底面应砌干砌片石，两岸陡坡设浆砌块石护岸，以防止水土流失。</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施工中产生的土石方用于修路垫路基使用和用于水土保持工程使用上述措施只要严格执行，就可以从总体上减轻工程建设对沿线生态环境的影响。</w:t>
      </w:r>
    </w:p>
    <w:p>
      <w:pPr>
        <w:pStyle w:val="4"/>
        <w:rPr>
          <w:rFonts w:eastAsiaTheme="minorEastAsia"/>
          <w:color w:val="000000" w:themeColor="text1"/>
          <w14:textFill>
            <w14:solidFill>
              <w14:schemeClr w14:val="tx1"/>
            </w14:solidFill>
          </w14:textFill>
        </w:rPr>
      </w:pPr>
      <w:bookmarkStart w:id="281" w:name="6.1.6水土流失防治措施"/>
      <w:bookmarkEnd w:id="281"/>
      <w:r>
        <w:rPr>
          <w:rFonts w:eastAsiaTheme="minorEastAsia"/>
          <w:color w:val="000000" w:themeColor="text1"/>
          <w14:textFill>
            <w14:solidFill>
              <w14:schemeClr w14:val="tx1"/>
            </w14:solidFill>
          </w14:textFill>
        </w:rPr>
        <w:t>水土流失防治措施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尽量避开雨季、汛期施工，以减少洪水的侵蚀，做到随挖、随运、随铺、随压，尽量不留疏松地面，减少风蚀导致的水土流失。划定施工作业带范围和路线，不随意扩大。并严格控制机械和车辆的作业范围，尽可能减少对土壤和农作物的破坏以及由此引发的水土流失。</w:t>
      </w:r>
    </w:p>
    <w:p>
      <w:pPr>
        <w:pStyle w:val="3"/>
        <w:rPr>
          <w:rFonts w:ascii="Times New Roman" w:hAnsi="Times New Roman" w:eastAsiaTheme="minorEastAsia"/>
          <w:b/>
        </w:rPr>
      </w:pPr>
      <w:bookmarkStart w:id="282" w:name="6.2营运期污染防治措施"/>
      <w:bookmarkEnd w:id="282"/>
      <w:bookmarkStart w:id="283" w:name="6.1.7耕地与基本农田保护方案"/>
      <w:bookmarkEnd w:id="283"/>
      <w:bookmarkStart w:id="284" w:name="_bookmark55"/>
      <w:bookmarkEnd w:id="284"/>
      <w:bookmarkStart w:id="285" w:name="_Toc28228"/>
      <w:r>
        <w:rPr>
          <w:rFonts w:ascii="Times New Roman" w:hAnsi="Times New Roman" w:eastAsiaTheme="minorEastAsia"/>
          <w:b/>
        </w:rPr>
        <w:t>营运期污染防治措施</w:t>
      </w:r>
      <w:bookmarkEnd w:id="285"/>
    </w:p>
    <w:p>
      <w:pPr>
        <w:pStyle w:val="4"/>
        <w:rPr>
          <w:rFonts w:eastAsiaTheme="minorEastAsia"/>
          <w:color w:val="000000" w:themeColor="text1"/>
          <w14:textFill>
            <w14:solidFill>
              <w14:schemeClr w14:val="tx1"/>
            </w14:solidFill>
          </w14:textFill>
        </w:rPr>
      </w:pPr>
      <w:bookmarkStart w:id="286" w:name="6.2.1废气污染防治措施"/>
      <w:bookmarkEnd w:id="286"/>
      <w:r>
        <w:rPr>
          <w:rFonts w:eastAsiaTheme="minorEastAsia"/>
          <w:color w:val="000000" w:themeColor="text1"/>
          <w14:textFill>
            <w14:solidFill>
              <w14:schemeClr w14:val="tx1"/>
            </w14:solidFill>
          </w14:textFill>
        </w:rPr>
        <w:t>废水污染防治措施</w:t>
      </w:r>
    </w:p>
    <w:p>
      <w:pPr>
        <w:pStyle w:val="5"/>
        <w:ind w:left="862" w:hanging="862"/>
        <w:jc w:val="left"/>
        <w:rPr>
          <w:rFonts w:eastAsiaTheme="minorEastAsia"/>
        </w:rPr>
      </w:pPr>
      <w:bookmarkStart w:id="287" w:name="6.2.2.1到港船舶废水"/>
      <w:bookmarkEnd w:id="287"/>
      <w:r>
        <w:rPr>
          <w:rFonts w:eastAsiaTheme="minorEastAsia"/>
        </w:rPr>
        <w:t>到港船舶废水</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1、舱底油污水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营运期到港船舶的舱底油污水主要污染物为石油类。根据《中华人民共和国防止船舶污染内河水域环境管理规定》和《船舶水污染物排放标准》（GB3552-83）的规定，船舶不仅要设置油污储存舱和装设油水分离设备，还应装有排油监控装置和标准排放接头。根据国际海事组织有关公约规定船舶的污水不能在码头区域排放。根据《船舶与港口污染防治专项行动实施方案（2015-2020年）》：内河港口、码头、装卸站（以下简称港口）、船舶修造厂分别于2017年底前和2020年底前具备船舶含油污水、化学品洗舱水、生活污水和垃圾等接收能力，并做好与城市市政公共处理设施的衔接，全面实现船舶污染物按规定处置。到港船舶本身应配有处理机舱油污水的船用油水分离器，经处理后含油量应小于15mg/L，不得在码头所在江段排放舱底油污水，确需排放的由海事部门环保船进行回收，交由海事部门指定有资质单位进行处理。</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2、船舶生活污水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船舶生活污水禁止直接向水域排放生活污水，生活污水由船舶交给港口海事部门环保船接收处理。此外，项目建设单位应加强与港监部门的配合，积极做好到港船舶的环保监管工作，严禁向长江水域排放各类污水、倾倒各类固体废物；对没有配备防污设施的船舶按规定进行处理，同时采取相应的补救措施，如提供活动厕所或污水接收容器等；船舶靠港装卸、补给期间，应通过宣传教育，提高船员的节水意识，可显著减少船舶生活污水的排放量；加强船舶靠港装卸、补给期间冲洗设备的定期检査，杜绝“跑、冒、滴、漏”现象，也有利于污水量的最少化。为保证到港船舶污染物不污染码头水域，建议在码头前沿醒目处设置严禁排污的警示牌和标明污染物回收站点的指示牌，并加强与</w:t>
      </w:r>
      <w:r>
        <w:rPr>
          <w:rFonts w:hint="eastAsia" w:ascii="Times New Roman" w:hAnsi="Times New Roman" w:eastAsiaTheme="minorEastAsia"/>
          <w:color w:val="000000" w:themeColor="text1"/>
          <w:kern w:val="0"/>
          <w:sz w:val="24"/>
          <w:szCs w:val="24"/>
          <w14:textFill>
            <w14:solidFill>
              <w14:schemeClr w14:val="tx1"/>
            </w14:solidFill>
          </w14:textFill>
        </w:rPr>
        <w:t>岳阳</w:t>
      </w:r>
      <w:r>
        <w:rPr>
          <w:rFonts w:ascii="Times New Roman" w:hAnsi="Times New Roman" w:eastAsiaTheme="minorEastAsia"/>
          <w:color w:val="000000" w:themeColor="text1"/>
          <w:kern w:val="0"/>
          <w:sz w:val="24"/>
          <w:szCs w:val="24"/>
          <w14:textFill>
            <w14:solidFill>
              <w14:schemeClr w14:val="tx1"/>
            </w14:solidFill>
          </w14:textFill>
        </w:rPr>
        <w:t>地方海事部门的沟通与协调，加强本码头水域的监管和巡査。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水污染防治行动计划》（2015）指出：加强船舶港口污染控制，积极治理船舶污染，依法强制报废超过使用年限的船舶。分类分级修订船舶及其设施、设备的相关环保标准。2018年起投入使用的沿海船舶、2021年起投入使用的内河船舶执行新的标准；其他船舶于2020年底前完成改造，经改造仍不能达到要求的，限期予以淘汰。航行于我国水域的国际航线船舶，要实施压载水交换或安装压载水灭活处理系统。规范拆船行为，禁止冲滩拆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增强港口码头污染防治能力。编制实施全国港口、码头、装卸站污染防治方案。加快垃圾接收、转运及处理处置设施建设，提高含油污水接收处置能力及污染事故应急能力。位于沿海和内河的港口、码头、装卸站及船舶修造厂，分别于2017年底前和2020年底前达到建设要求。港口、码头、装卸站的经营人应制定防治船舶及其有关活动污染水环境的应急计划。</w:t>
      </w:r>
    </w:p>
    <w:p>
      <w:pPr>
        <w:pStyle w:val="5"/>
        <w:ind w:left="862" w:hanging="862"/>
        <w:jc w:val="left"/>
        <w:rPr>
          <w:rFonts w:eastAsiaTheme="minorEastAsia"/>
        </w:rPr>
      </w:pPr>
      <w:bookmarkStart w:id="288" w:name="6.2.2.2港区废水"/>
      <w:bookmarkEnd w:id="288"/>
      <w:r>
        <w:rPr>
          <w:rFonts w:eastAsiaTheme="minorEastAsia"/>
        </w:rPr>
        <w:t>港区废水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码头面初期雨水、趸船冲洗废水采用排水盖板明沟收集，趸船装卸区四周设收集坎，每趸船内设1座容积为25m</w:t>
      </w:r>
      <w:r>
        <w:rPr>
          <w:rFonts w:ascii="Times New Roman" w:hAnsi="Times New Roman" w:eastAsiaTheme="minorEastAsia"/>
          <w:color w:val="000000" w:themeColor="text1"/>
          <w:kern w:val="0"/>
          <w:sz w:val="24"/>
          <w:szCs w:val="24"/>
          <w:vertAlign w:val="superscript"/>
          <w14:textFill>
            <w14:solidFill>
              <w14:schemeClr w14:val="tx1"/>
            </w14:solidFill>
          </w14:textFill>
        </w:rPr>
        <w:t>3</w:t>
      </w:r>
      <w:r>
        <w:rPr>
          <w:rFonts w:ascii="Times New Roman" w:hAnsi="Times New Roman" w:eastAsiaTheme="minorEastAsia"/>
          <w:color w:val="000000" w:themeColor="text1"/>
          <w:kern w:val="0"/>
          <w:sz w:val="24"/>
          <w:szCs w:val="24"/>
          <w14:textFill>
            <w14:solidFill>
              <w14:schemeClr w14:val="tx1"/>
            </w14:solidFill>
          </w14:textFill>
        </w:rPr>
        <w:t>（5×2.5×2）污水收集箱，收集箱污水由防爆污水泵和管道抽送至后方港口部污水处理站，经港口部污水处理站通过调节、隔油池、除油、气浮处理达到《污水综合排放标准》（GB8978-1996）三级标准水质要求后通过污水管网进入长岭分公司第二污水处理厂，长岭分公司第二污水处理厂污水处理达到《石油炼制工业污染物排放标准》（GB31570-2015）表1中直接排放限值后排入长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项目生活污水</w:t>
      </w:r>
      <w:r>
        <w:rPr>
          <w:rFonts w:hint="eastAsia" w:ascii="Times New Roman" w:hAnsi="Times New Roman" w:eastAsiaTheme="minorEastAsia"/>
          <w:color w:val="000000" w:themeColor="text1"/>
          <w:kern w:val="0"/>
          <w:sz w:val="24"/>
          <w:szCs w:val="24"/>
          <w14:textFill>
            <w14:solidFill>
              <w14:schemeClr w14:val="tx1"/>
            </w14:solidFill>
          </w14:textFill>
        </w:rPr>
        <w:t>收集后</w:t>
      </w:r>
      <w:r>
        <w:rPr>
          <w:rFonts w:ascii="Times New Roman" w:hAnsi="Times New Roman" w:eastAsiaTheme="minorEastAsia"/>
          <w:color w:val="000000" w:themeColor="text1"/>
          <w:kern w:val="0"/>
          <w:sz w:val="24"/>
          <w:szCs w:val="24"/>
          <w14:textFill>
            <w14:solidFill>
              <w14:schemeClr w14:val="tx1"/>
            </w14:solidFill>
          </w14:textFill>
        </w:rPr>
        <w:t>进入港口部一体化模压式净化槽处理</w:t>
      </w:r>
      <w:r>
        <w:rPr>
          <w:rFonts w:hint="eastAsia" w:ascii="Times New Roman" w:hAnsi="Times New Roman" w:eastAsiaTheme="minorEastAsia"/>
          <w:color w:val="000000" w:themeColor="text1"/>
          <w:kern w:val="0"/>
          <w:sz w:val="24"/>
          <w:szCs w:val="24"/>
          <w14:textFill>
            <w14:solidFill>
              <w14:schemeClr w14:val="tx1"/>
            </w14:solidFill>
          </w14:textFill>
        </w:rPr>
        <w:t>后，</w:t>
      </w:r>
      <w:r>
        <w:rPr>
          <w:rFonts w:ascii="Times New Roman" w:hAnsi="Times New Roman" w:eastAsiaTheme="minorEastAsia"/>
          <w:color w:val="000000" w:themeColor="text1"/>
          <w:kern w:val="0"/>
          <w:sz w:val="24"/>
          <w:szCs w:val="24"/>
          <w14:textFill>
            <w14:solidFill>
              <w14:schemeClr w14:val="tx1"/>
            </w14:solidFill>
          </w14:textFill>
        </w:rPr>
        <w:t>送至港口部污水处理站，经港口部污水处理站通过调节、隔油池、除油、气浮处理达到《污水综合排放标准》（GB8978-1996）三级标准水质要求后通过污水管网进入长岭分公司第二污水处理厂，长岭分公司第二污水处理厂污水处理达到《石油炼制工业污染物排放标准》（GB31570-2015）表1中直接排放限值后排入长江。</w:t>
      </w:r>
    </w:p>
    <w:p>
      <w:pPr>
        <w:pStyle w:val="5"/>
        <w:ind w:left="862" w:hanging="862"/>
        <w:jc w:val="left"/>
        <w:rPr>
          <w:rFonts w:eastAsiaTheme="minorEastAsia"/>
        </w:rPr>
      </w:pPr>
      <w:bookmarkStart w:id="289" w:name="6.2.2.3废水依托可行性分析"/>
      <w:bookmarkEnd w:id="289"/>
      <w:r>
        <w:rPr>
          <w:rFonts w:eastAsiaTheme="minorEastAsia"/>
        </w:rPr>
        <w:t>废水依托可行性分析</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码头产生的污水主要为冲洗废水和初期雨水，与后方陆域产生的生活废水性质一致，废水性质简单。</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根据《中国石化集团资产经营管理有限公司长岭分公司港口部新增污水管线及配套设施项目环境影响报告表》，长岭分公司港口部拟将新增污水管线及配套设施，将码头部产生的生产生活污水预处理后，接入污水管网，再排至长岭分公司第二污水处理厂</w:t>
      </w:r>
      <w:r>
        <w:rPr>
          <w:rFonts w:hint="eastAsia" w:ascii="Times New Roman" w:hAnsi="Times New Roman" w:eastAsiaTheme="minorEastAsia"/>
          <w:color w:val="FF0000"/>
          <w:kern w:val="0"/>
          <w:sz w:val="24"/>
          <w:szCs w:val="24"/>
          <w:u w:val="single"/>
          <w:lang w:eastAsia="zh-CN"/>
        </w:rPr>
        <w:t>。</w:t>
      </w:r>
      <w:r>
        <w:rPr>
          <w:rFonts w:hint="eastAsia" w:ascii="Times New Roman" w:hAnsi="Times New Roman" w:eastAsiaTheme="minorEastAsia"/>
          <w:color w:val="FF0000"/>
          <w:kern w:val="0"/>
          <w:sz w:val="24"/>
          <w:szCs w:val="24"/>
          <w:u w:val="single"/>
          <w:lang w:val="en-US" w:eastAsia="zh-CN"/>
        </w:rPr>
        <w:t>管线铺设长度约5.4km，管径DN100，见附图8</w:t>
      </w:r>
      <w:r>
        <w:rPr>
          <w:rFonts w:ascii="Times New Roman" w:hAnsi="Times New Roman" w:eastAsiaTheme="minorEastAsia"/>
          <w:color w:val="FF0000"/>
          <w:kern w:val="0"/>
          <w:sz w:val="24"/>
          <w:szCs w:val="24"/>
          <w:u w:val="single"/>
        </w:rPr>
        <w:t>。根据项目施工前后，码头提质改造可在“中国石化集团资产经营管理有限公司长岭分公司港口部新增污水管线及配套设施项目”运行后竣工。因此，本项目港口部废水处理设施的建设运行在时间上完全可以衔接。</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项目冲洗废水17.93m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/d，进入港口部污水处理站处理（30m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/d）；项目生活污水产生量为2.28m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/d，进入港口部一体化模压式净化槽处理（20m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/d）。项目产生的生产生活污水量在污水处理设备的处置能力范围内。</w:t>
      </w:r>
    </w:p>
    <w:p>
      <w:pPr>
        <w:pStyle w:val="5"/>
        <w:ind w:left="862" w:hanging="862"/>
        <w:jc w:val="left"/>
        <w:rPr>
          <w:rFonts w:eastAsiaTheme="minorEastAsia"/>
        </w:rPr>
      </w:pPr>
      <w:bookmarkStart w:id="290" w:name="6.2.2.4废水处理措施可行性分析"/>
      <w:bookmarkEnd w:id="290"/>
      <w:bookmarkStart w:id="291" w:name="6.2.2.5废水排放去向可行性分析"/>
      <w:bookmarkEnd w:id="291"/>
      <w:r>
        <w:rPr>
          <w:rFonts w:eastAsiaTheme="minorEastAsia"/>
        </w:rPr>
        <w:t>废水排放去向可行性分析</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本项目营运期，生产生活废水经后方港口部污水处理设备处理达到《污水综合排放标准》（GB8978-1996）三级标准水质标准要求后，进入长岭分公司第二污水处理厂的污水管网，经污水管网纳入长岭分公司第二污水处理厂进一步处理，尾水排入长江（岳阳段）。污水处理厂接纳项目废水可行性主要体现在，时间进度衔接性、废水处理容量可行性和处理水质可行性三个方面。</w:t>
      </w:r>
    </w:p>
    <w:p>
      <w:pPr>
        <w:autoSpaceDE w:val="0"/>
        <w:autoSpaceDN w:val="0"/>
        <w:adjustRightInd w:val="0"/>
        <w:snapToGrid w:val="0"/>
        <w:spacing w:line="360" w:lineRule="auto"/>
        <w:ind w:firstLine="482" w:firstLineChars="200"/>
        <w:rPr>
          <w:rFonts w:ascii="Times New Roman" w:hAnsi="Times New Roman" w:eastAsiaTheme="minorEastAsia"/>
          <w:b/>
          <w:color w:val="FF0000"/>
          <w:kern w:val="0"/>
          <w:sz w:val="24"/>
          <w:szCs w:val="24"/>
          <w:u w:val="single"/>
        </w:rPr>
      </w:pPr>
      <w:r>
        <w:rPr>
          <w:rFonts w:ascii="Times New Roman" w:hAnsi="Times New Roman" w:eastAsiaTheme="minorEastAsia"/>
          <w:b/>
          <w:color w:val="FF0000"/>
          <w:kern w:val="0"/>
          <w:sz w:val="24"/>
          <w:szCs w:val="24"/>
          <w:u w:val="single"/>
        </w:rPr>
        <w:t>1、时间进度衔接性</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中石化长岭分公司第二污水处理厂设计能力为600m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h，投用时间为上世纪90年代中期，处理对象为厂区内经过预处理的炼油、化工废水，采用的工艺为：原水→二级浮选→均质→水解池→奥贝尔氧化沟→二沉池→排放。出水水质满足《石油炼制工业污染物排放标准》（GB31570-2015）表1中直接排放限值。因此，从时间上分析本项目废水能够排入中石化长岭分公司第二污水处理厂。</w:t>
      </w:r>
    </w:p>
    <w:p>
      <w:pPr>
        <w:autoSpaceDE w:val="0"/>
        <w:autoSpaceDN w:val="0"/>
        <w:adjustRightInd w:val="0"/>
        <w:snapToGrid w:val="0"/>
        <w:spacing w:line="360" w:lineRule="auto"/>
        <w:ind w:firstLine="482" w:firstLineChars="200"/>
        <w:rPr>
          <w:rFonts w:ascii="Times New Roman" w:hAnsi="Times New Roman" w:eastAsiaTheme="minorEastAsia"/>
          <w:b/>
          <w:color w:val="FF0000"/>
          <w:kern w:val="0"/>
          <w:sz w:val="24"/>
          <w:szCs w:val="24"/>
          <w:u w:val="single"/>
        </w:rPr>
      </w:pPr>
      <w:r>
        <w:rPr>
          <w:rFonts w:ascii="Times New Roman" w:hAnsi="Times New Roman" w:eastAsiaTheme="minorEastAsia"/>
          <w:b/>
          <w:color w:val="FF0000"/>
          <w:kern w:val="0"/>
          <w:sz w:val="24"/>
          <w:szCs w:val="24"/>
          <w:u w:val="single"/>
        </w:rPr>
        <w:t>2、废水处理容量可行性</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中石化长岭分公司第二污水处理厂设计能力为600m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/h，本项目生产生活废水排放量约为20.21m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/d，占污水处理厂工程设计处理水量的0.14%。因此，中石化长岭分公司第二污水处理厂接纳项目废水从容量上讲具有可行性。</w:t>
      </w:r>
    </w:p>
    <w:p>
      <w:pPr>
        <w:autoSpaceDE w:val="0"/>
        <w:autoSpaceDN w:val="0"/>
        <w:adjustRightInd w:val="0"/>
        <w:snapToGrid w:val="0"/>
        <w:spacing w:line="360" w:lineRule="auto"/>
        <w:ind w:firstLine="482" w:firstLineChars="200"/>
        <w:rPr>
          <w:rFonts w:ascii="Times New Roman" w:hAnsi="Times New Roman" w:eastAsiaTheme="minorEastAsia"/>
          <w:b/>
          <w:color w:val="FF0000"/>
          <w:kern w:val="0"/>
          <w:sz w:val="24"/>
          <w:szCs w:val="24"/>
          <w:u w:val="single"/>
        </w:rPr>
      </w:pPr>
      <w:r>
        <w:rPr>
          <w:rFonts w:ascii="Times New Roman" w:hAnsi="Times New Roman" w:eastAsiaTheme="minorEastAsia"/>
          <w:b/>
          <w:color w:val="FF0000"/>
          <w:kern w:val="0"/>
          <w:sz w:val="24"/>
          <w:szCs w:val="24"/>
          <w:u w:val="single"/>
        </w:rPr>
        <w:t>3、处理水质可行性</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项目排水采用雨污分流制，雨水排入雨水管网及收集池；冲洗废水经后方港口部污水处理设备处理与经一体化模压式净化槽处理的生活污水达到《污水综合排放标准》（GB8978-1996）三级标准后，由港口部厂区总排口接入污水管网，经污水管网纳入中石化长岭分公司第二污水处理厂进一步处理。项目港口部厂区油污水处理设备的设计处理规模为30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/h，本项目含油废水排放量为17.93m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/d。因此，污水处理系统设计处理能力能够满足项目生产废水的处理需求，油污水主要主污染物为石油类、SS等，水质简单，能够满足中石化长岭分公司第二污水处理厂水质入厂要求；生活污水排放量约2.28m</w:t>
      </w:r>
      <w:r>
        <w:rPr>
          <w:rFonts w:ascii="Times New Roman" w:hAnsi="Times New Roman" w:eastAsiaTheme="minorEastAsia"/>
          <w:color w:val="FF0000"/>
          <w:kern w:val="0"/>
          <w:sz w:val="24"/>
          <w:szCs w:val="24"/>
          <w:u w:val="single"/>
          <w:vertAlign w:val="superscript"/>
        </w:rPr>
        <w:t>3</w:t>
      </w:r>
      <w:r>
        <w:rPr>
          <w:rFonts w:ascii="Times New Roman" w:hAnsi="Times New Roman" w:eastAsiaTheme="minorEastAsia"/>
          <w:color w:val="FF0000"/>
          <w:kern w:val="0"/>
          <w:sz w:val="24"/>
          <w:szCs w:val="24"/>
          <w:u w:val="single"/>
        </w:rPr>
        <w:t>/d，经一体化模压式净化槽处理后，可保证港口部总排口水质达到《污水综合排放标准》（GB8978-1996）表 4 中三级标准及称此污水处理厂接管标准。因此，中石化长岭分公司第二污水处理厂能够接纳、处理拟建项目废水。</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综上所述，从时间进度衔接性、污水处理厂容纳性及污水水质处理可行性等方面综合考虑，项目废水接入中石化长岭分公司第二污水处理厂具有可行性。</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地下水污染防治措施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地下水污染防治措施按照“源头控制、末端控制、分区防控、污染监控、应急响应”原则进行设计，从污染物的产生、入渗、扩散、应急响应全阶段进行控制。</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1、加强源头控制</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在工艺、管道、设备及处理构筑物采取相应措施，防止和降低污染物跑、冒、滴、漏，将污染物泄漏的环境风险事故降到最低程度；管线敷设尽量采用“可视化”原则，即管道尽可能地上或架空敷设，做到污染物“早发现、早处理”，减少由于埋地管道泄漏而造成的地下水污染。</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2、实施分区防治措施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主要包括管线污染区地面的防渗措施和泄漏、渗漏污染物收集措施，即在污染区地面进行防渗处理，防止洒落地面的污染物渗入地下，并把滞留在地面的污染物收集起来，集中处理；末端控制采取分区防渗，重点污染防治区、一般污染防治区和非污染防治区防渗措施有区别的防渗原则。项目防渗分区的划分如下：</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重点污染防治区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指对地下水环境有污染的物料或污染物泄漏后，不能发现和处理的区域或部位。主要包括输油管线、污水收集装置、危废暂存间等。</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一般污染防治区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指对地下水环境有污染的物料或污染物泄漏后，容易发现和可及时处理的区域或部位。主要包括泵组、管道等。</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非污染防治区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指没有污染物泄漏或泄漏物不会对地下水环境造成污染的区域或部位。主要包括综合用房、绿化区等。根据各功能分区特点及产排污特征，确定本项目地下水环境污染防治分为：重点污染防治区、一般污染防治区及非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防渗标准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重点污染防渗区的防渗性能不应低于6.0m厚渗透系数为1.0×10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cm/s的黏土层的防渗性能，一般污染防渗区的防渗性能不应低于1.5m厚渗透系数为1.0×10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cm/s的黏土层的防渗性能，防渗层由单一或多种防渗材料组成，污染防治区地面坡向排水口或排水沟。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防渗措施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重点污染防渗区：参照《危险废物贮存污染控制标准》（GB18597-2001）执行地面防渗设计。采用50cm厚粘土层加2mm的HDPE土工膜进行人工防渗，保证防渗层的渗透系数应小于1.0×10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一般污染防渗区：参照《一般工业固体废物贮存、处置场污染控标准》（GB18599-2001）</w:t>
      </w:r>
      <w:r>
        <w:rPr>
          <w:rFonts w:hint="eastAsia" w:ascii="宋体" w:hAnsi="宋体" w:cs="宋体"/>
          <w:color w:val="000000" w:themeColor="text1"/>
          <w:kern w:val="0"/>
          <w:sz w:val="24"/>
          <w:szCs w:val="24"/>
          <w14:textFill>
            <w14:solidFill>
              <w14:schemeClr w14:val="tx1"/>
            </w14:solidFill>
          </w14:textFill>
        </w:rPr>
        <w:t>Ⅱ</w:t>
      </w:r>
      <w:r>
        <w:rPr>
          <w:rFonts w:ascii="Times New Roman" w:hAnsi="Times New Roman" w:eastAsiaTheme="minorEastAsia"/>
          <w:color w:val="000000" w:themeColor="text1"/>
          <w:kern w:val="0"/>
          <w:sz w:val="24"/>
          <w:szCs w:val="24"/>
          <w14:textFill>
            <w14:solidFill>
              <w14:schemeClr w14:val="tx1"/>
            </w14:solidFill>
          </w14:textFill>
        </w:rPr>
        <w:t>类场进行设计。当天然基础层的渗透系数大于1.0×10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cm/s时，应采用天然或人工材料建筑防渗层，防渗层的厚度相当于渗透系数1.0×10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cm/s和1.5m的粘土层的防渗性能。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非污染防治区：不采取专门针对地下水污染的防治措施。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3、地下水污染监控。定期对管道周边地下水上下游地区进行水质监测，一旦发现有污染地下水现象应立即排查污染源，对污染源头进行治理，对已污染地下水应进行抽水净化，对受到污染的包气带土壤应进行换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4、风险事故应急响应。一旦通过监测等手段确定区域地下水受到污染，特别是检出和本项目相关的特征污染因子，建设单位应立即停止运输并向环境保护行政主管部门报告，检查排查管道是否存在渗漏点导致地下水污染。</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废气污染防治措施</w:t>
      </w:r>
    </w:p>
    <w:p>
      <w:pPr>
        <w:pStyle w:val="5"/>
        <w:ind w:left="862" w:hanging="862"/>
        <w:jc w:val="left"/>
        <w:rPr>
          <w:rFonts w:hint="default" w:eastAsiaTheme="minorEastAsia"/>
          <w:color w:val="auto"/>
          <w:lang w:val="en-US" w:eastAsia="zh-CN"/>
        </w:rPr>
      </w:pPr>
      <w:r>
        <w:rPr>
          <w:rFonts w:hint="eastAsia" w:eastAsiaTheme="minorEastAsia"/>
          <w:color w:val="auto"/>
          <w:lang w:val="en-US" w:eastAsia="zh-CN"/>
        </w:rPr>
        <w:t>废气防治措施</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对于装卸过程因物料挥发或物料滴漏而散发的无组织排放的废气，建设方采取的主要措施包括：</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⑴ 收货时尽量加大泵的流量，使油品来不及大量蒸发从而减少损耗；</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⑵ 采用先进的装卸设备设施与材料，确保阀门、法兰片、管道之间的密封性，并加强装卸设备设施的使用、管理和维护，使之经常处于良好状态，真正起到降低蒸发损失的作用。</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⑶ 装卸采用浸没式作业方式，把输液管伸入到船舱底部，使成品油液面缓慢下降，以减少液体的飞溅；同时控制装卸的温度和流速，介质温度高，易挥发；流速快，压力高，喷溅；搅动大，造成的损耗也大。</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color w:val="FF0000"/>
          <w:sz w:val="24"/>
          <w:szCs w:val="24"/>
          <w:u w:val="single"/>
          <w:lang w:val="zh-CN"/>
        </w:rPr>
        <w:t>⑷ 本项目新建油气回收装置1套，油气回收装置处理量为1×1500Nm</w:t>
      </w:r>
      <w:r>
        <w:rPr>
          <w:rFonts w:hint="default" w:ascii="Times New Roman" w:hAnsi="Times New Roman" w:eastAsia="Times New Roman" w:cs="Times New Roman"/>
          <w:color w:val="FF0000"/>
          <w:sz w:val="24"/>
          <w:szCs w:val="24"/>
          <w:u w:val="single"/>
          <w:vertAlign w:val="superscript"/>
          <w:lang w:val="zh-CN"/>
        </w:rPr>
        <w:t>3</w:t>
      </w:r>
      <w:r>
        <w:rPr>
          <w:rFonts w:hint="default" w:ascii="Times New Roman" w:hAnsi="Times New Roman" w:eastAsia="Times New Roman" w:cs="Times New Roman"/>
          <w:color w:val="FF0000"/>
          <w:sz w:val="24"/>
          <w:szCs w:val="24"/>
          <w:u w:val="single"/>
          <w:lang w:val="zh-CN"/>
        </w:rPr>
        <w:t>/h</w:t>
      </w:r>
      <w:r>
        <w:rPr>
          <w:rFonts w:hint="default" w:ascii="Times New Roman" w:hAnsi="Times New Roman" w:cs="Times New Roman"/>
          <w:color w:val="FF0000"/>
          <w:sz w:val="24"/>
          <w:szCs w:val="24"/>
          <w:u w:val="single"/>
          <w:lang w:val="zh-CN"/>
        </w:rPr>
        <w:t>，采用“压缩+冷凝吸收+膜分离+吸附”工艺技术路线，液环式压缩机液环液及吸收部分吸收液采用成品柴油及回收液浅冷循环使用。</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⑸ 为了防止成品油在输送过程中泄漏对大气的污染，选用性能、材料良好的输液设备、管道、阀门。运营中必须重视设备管线的日常维护、管理，提高设备运行的完好率，杜绝管线、阀门的跑、冒、滴、漏。</w:t>
      </w:r>
    </w:p>
    <w:p>
      <w:pPr>
        <w:pStyle w:val="5"/>
        <w:ind w:left="862" w:hanging="862"/>
        <w:jc w:val="left"/>
        <w:rPr>
          <w:rFonts w:hint="eastAsia"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油气回收装置可行性分析</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lang w:val="en-US" w:eastAsia="zh-CN"/>
        </w:rPr>
      </w:pPr>
      <w:r>
        <w:rPr>
          <w:rFonts w:hint="default" w:ascii="Times New Roman" w:hAnsi="Times New Roman" w:cs="Times New Roman"/>
          <w:color w:val="FF0000"/>
          <w:sz w:val="24"/>
          <w:szCs w:val="24"/>
          <w:u w:val="single"/>
          <w:lang w:val="en-US" w:eastAsia="zh-CN"/>
        </w:rPr>
        <w:t>项目设置油气回收装置1套，</w:t>
      </w:r>
      <w:r>
        <w:rPr>
          <w:rFonts w:hint="default" w:ascii="Times New Roman" w:hAnsi="Times New Roman" w:cs="Times New Roman"/>
          <w:color w:val="FF0000"/>
          <w:sz w:val="24"/>
          <w:szCs w:val="24"/>
          <w:u w:val="single"/>
          <w:lang w:val="zh-CN"/>
        </w:rPr>
        <w:t>油气回收装置处理量为1×1500Nm</w:t>
      </w:r>
      <w:r>
        <w:rPr>
          <w:rFonts w:hint="default" w:ascii="Times New Roman" w:hAnsi="Times New Roman" w:eastAsia="Times New Roman" w:cs="Times New Roman"/>
          <w:color w:val="FF0000"/>
          <w:sz w:val="24"/>
          <w:szCs w:val="24"/>
          <w:u w:val="single"/>
          <w:vertAlign w:val="superscript"/>
          <w:lang w:val="zh-CN"/>
        </w:rPr>
        <w:t>3</w:t>
      </w:r>
      <w:r>
        <w:rPr>
          <w:rFonts w:hint="default" w:ascii="Times New Roman" w:hAnsi="Times New Roman" w:eastAsia="Times New Roman" w:cs="Times New Roman"/>
          <w:color w:val="FF0000"/>
          <w:sz w:val="24"/>
          <w:szCs w:val="24"/>
          <w:u w:val="single"/>
          <w:lang w:val="zh-CN"/>
        </w:rPr>
        <w:t>/h</w:t>
      </w:r>
      <w:r>
        <w:rPr>
          <w:rFonts w:hint="default" w:ascii="Times New Roman" w:hAnsi="Times New Roman" w:cs="Times New Roman"/>
          <w:color w:val="FF0000"/>
          <w:sz w:val="24"/>
          <w:szCs w:val="24"/>
          <w:u w:val="single"/>
          <w:lang w:val="zh-CN"/>
        </w:rPr>
        <w:t>，采用“压缩+冷凝吸收+膜分离+吸附”工艺技术路线，液环式压缩机液环液及吸收部分吸收液采用成品柴油及回收液浅冷循环使用。</w:t>
      </w:r>
    </w:p>
    <w:p>
      <w:pPr>
        <w:autoSpaceDE w:val="0"/>
        <w:autoSpaceDN w:val="0"/>
        <w:adjustRightInd w:val="0"/>
        <w:snapToGrid w:val="0"/>
        <w:spacing w:line="360" w:lineRule="auto"/>
        <w:ind w:firstLine="482" w:firstLineChars="200"/>
        <w:rPr>
          <w:rFonts w:hint="default" w:ascii="Times New Roman" w:hAnsi="Times New Roman" w:cs="Times New Roman"/>
          <w:b/>
          <w:bCs/>
          <w:color w:val="FF0000"/>
          <w:sz w:val="24"/>
          <w:szCs w:val="24"/>
          <w:u w:val="single"/>
          <w:lang w:val="en-US" w:eastAsia="zh-CN"/>
        </w:rPr>
      </w:pPr>
      <w:r>
        <w:rPr>
          <w:rFonts w:hint="default" w:ascii="Times New Roman" w:hAnsi="Times New Roman" w:cs="Times New Roman"/>
          <w:b/>
          <w:bCs/>
          <w:color w:val="FF0000"/>
          <w:sz w:val="24"/>
          <w:szCs w:val="24"/>
          <w:u w:val="single"/>
          <w:lang w:val="en-US" w:eastAsia="zh-CN"/>
        </w:rPr>
        <w:t>1、油气回收装置主要工作原理和优缺点</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eastAsia"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en-US" w:eastAsia="zh-CN"/>
        </w:rPr>
        <w:t>冷凝法</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冷凝工作原理：冷凝法是利用物质在不同温度下具有不同饱和蒸汽压这一物理性质， 采用降低系统温度或提高系统压力的方法，使处于蒸汽状态的污染物冷凝并从废气中分离出来的过程。冷凝法宜用于高浓度的挥发性有机化合物废气回收和处理属高效处理工艺，宜作为降低废气有机负荷的前处理方法，与吸附法、燃烧法等其他方法联合使用，回收有价值的产品。</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优点：所需设备和操作条件比较简单，回收的物质比较纯净:并且大量水蒸气或者溶剂凝结，大大减少气体流量，对于下一步的燃烧、吸附等净化措施十分有利。</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缺点：冷凝法需要较高的压力和较低的温度才能保证较高的回收效率，因此运行费用较高。</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eastAsia"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en-US" w:eastAsia="zh-CN"/>
        </w:rPr>
        <w:t>吸收法</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吸收工作原理：吸收法处理是利用液态吸收剂处理气体混合物以除去其中某一种或几种气体的过程。吸收法宜用于废气流量较大、浓度较高、温度较低和压力较高的挥发性有机化合废气的处理。</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优点：工艺成熟、设备简单、一次性投资低等特点，而且只要选择到适宜的吸收剂，对所需净化组分可以具有很高的捕集效率。此外，对于含尘、含湿、含點污物的废气也可同时处理，因而应用范围广泛。</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缺点：由于吸收是将气体中的有害物质转移到液体中，这些物质中有些还具有回收价值，因此对吸收液必须进行处理，否则将导致资源的浪费或引起二次污染。</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eastAsia" w:ascii="Times New Roman" w:hAnsi="Times New Roman" w:cs="Times New Roman"/>
          <w:color w:val="FF0000"/>
          <w:sz w:val="24"/>
          <w:szCs w:val="24"/>
          <w:u w:val="single"/>
          <w:lang w:val="en-US" w:eastAsia="zh-CN"/>
        </w:rPr>
        <w:t xml:space="preserve">⑶ </w:t>
      </w:r>
      <w:r>
        <w:rPr>
          <w:rFonts w:hint="default" w:ascii="Times New Roman" w:hAnsi="Times New Roman" w:cs="Times New Roman"/>
          <w:color w:val="FF0000"/>
          <w:sz w:val="24"/>
          <w:szCs w:val="24"/>
          <w:u w:val="single"/>
          <w:lang w:val="en-US" w:eastAsia="zh-CN"/>
        </w:rPr>
        <w:t>膜分离法</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膜分离工作原理：利用膜的选择透过性能将离子或分子或某些微粒从水中分离出来的过程。用膜分离溶液时，使溶质通过膜的方法称为渗析，使溶剂通过膜的方法称为渗</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透。膜分离法宜用于较高浓度挥发性有机化合物废气的分离与回收，属高效处理工艺，选择时，应考虑预处理成本、膜元件造价、寿命、堵塞等因素。</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优点：在常温下进行，有效成分损失极少，特别适用于热敏性物质，如抗生素等医药、果汁、酶、蛋白的分离与浓缩；无相态变化，保持原有的风味，典型的物理分离过程，不用化学试剂和添加剂，产品不受污染；选择性好，可在分子级内进行物质分离，具有普遍滤材无法取代的卓越性能:适应性强，处理规模可大可小，可以连续也可以间隙进行，工艺简单，操作方便，易于自动化；能耗低，只需电能驱动，能耗极低，其费用约为蒸发浓缩或冷冻浓缩的1/3-1/8。</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缺点：所需设备和操作条件复杂，膜需要定期更换，成本及能耗较高。</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eastAsia" w:ascii="Times New Roman" w:hAnsi="Times New Roman" w:cs="Times New Roman"/>
          <w:color w:val="FF0000"/>
          <w:sz w:val="24"/>
          <w:szCs w:val="24"/>
          <w:u w:val="single"/>
          <w:lang w:val="en-US" w:eastAsia="zh-CN"/>
        </w:rPr>
        <w:t xml:space="preserve">⑷ </w:t>
      </w:r>
      <w:r>
        <w:rPr>
          <w:rFonts w:hint="default" w:ascii="Times New Roman" w:hAnsi="Times New Roman" w:cs="Times New Roman"/>
          <w:color w:val="FF0000"/>
          <w:sz w:val="24"/>
          <w:szCs w:val="24"/>
          <w:u w:val="single"/>
          <w:lang w:val="en-US" w:eastAsia="zh-CN"/>
        </w:rPr>
        <w:t>吸附法</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吸附工作原理：吸附是一种固体表面现象。它是利用多孔性固体吸附剂处理气态污染物，使其中的一种或几种组分，在固体吸附剂表面，在分子引力或化学键力的作用下，被吸附在固体表面，从而达到分离的目的。吸附法适用于低浓度挥发性有机化合物处理，有效分离和去除，于每单元吸附容量有限，宜与其他方法联合使用。</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优点：吸附净化法的净化效率高，特别是对低浓度气体仍具有很强的净化能力，若单纯就净化程度而言，只要吸附剂有足够的用量，那么可以达到任何要求的净化程度。</w:t>
      </w:r>
    </w:p>
    <w:p>
      <w:pPr>
        <w:autoSpaceDE w:val="0"/>
        <w:autoSpaceDN w:val="0"/>
        <w:adjustRightInd w:val="0"/>
        <w:snapToGrid w:val="0"/>
        <w:spacing w:line="360" w:lineRule="auto"/>
        <w:ind w:firstLine="480" w:firstLineChars="200"/>
        <w:rPr>
          <w:rFonts w:hint="default" w:ascii="Times New Roman" w:hAnsi="Times New Roman" w:cs="Times New Roman"/>
          <w:color w:val="FF0000"/>
          <w:sz w:val="24"/>
          <w:szCs w:val="24"/>
          <w:u w:val="single"/>
          <w:lang w:val="en-US" w:eastAsia="zh-CN"/>
        </w:rPr>
      </w:pPr>
      <w:r>
        <w:rPr>
          <w:rFonts w:hint="default" w:ascii="Times New Roman" w:hAnsi="Times New Roman" w:cs="Times New Roman"/>
          <w:color w:val="FF0000"/>
          <w:sz w:val="24"/>
          <w:szCs w:val="24"/>
          <w:u w:val="single"/>
          <w:lang w:val="en-US" w:eastAsia="zh-CN"/>
        </w:rPr>
        <w:t>缺点：吸附剂在使用一段时间后，吸附能力会明显下降乃至丧失，因此要不断地对失效吸附剂进行再生。通过再生，可以使吸附剂重复使用，降低吸附费用；还可以回收有用物质。但再生需要有专门的设备和系统供应蒸汽、热空气等再生介质，使设备费用和操作费用大幅度增加，并且使整个吸附操作繁杂，因此大多采用一次使用后废弃，一 般不考虑再生，作为危废处置，所以处理费用较贵。</w:t>
      </w:r>
    </w:p>
    <w:p>
      <w:pPr>
        <w:autoSpaceDE w:val="0"/>
        <w:autoSpaceDN w:val="0"/>
        <w:adjustRightInd w:val="0"/>
        <w:snapToGrid w:val="0"/>
        <w:spacing w:line="360" w:lineRule="auto"/>
        <w:ind w:firstLine="482" w:firstLineChars="200"/>
        <w:rPr>
          <w:rFonts w:hint="default" w:ascii="Times New Roman" w:hAnsi="Times New Roman" w:cs="Times New Roman"/>
          <w:b/>
          <w:bCs/>
          <w:color w:val="FF0000"/>
          <w:sz w:val="24"/>
          <w:szCs w:val="24"/>
          <w:u w:val="single"/>
          <w:lang w:val="en-US" w:eastAsia="zh-CN"/>
        </w:rPr>
      </w:pPr>
      <w:r>
        <w:rPr>
          <w:rFonts w:hint="default" w:ascii="Times New Roman" w:hAnsi="Times New Roman" w:cs="Times New Roman"/>
          <w:b/>
          <w:bCs/>
          <w:color w:val="FF0000"/>
          <w:sz w:val="24"/>
          <w:szCs w:val="24"/>
          <w:u w:val="single"/>
          <w:lang w:val="en-US" w:eastAsia="zh-CN"/>
        </w:rPr>
        <w:t>2、油气回收装置处理效果分析</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color w:val="FF0000"/>
          <w:sz w:val="24"/>
          <w:szCs w:val="24"/>
          <w:u w:val="single"/>
          <w:lang w:val="en-US" w:eastAsia="zh-CN"/>
        </w:rPr>
        <w:t>本项目根据工程废气性质选用</w:t>
      </w:r>
      <w:r>
        <w:rPr>
          <w:rFonts w:hint="default" w:ascii="Times New Roman" w:hAnsi="Times New Roman" w:cs="Times New Roman"/>
          <w:color w:val="FF0000"/>
          <w:sz w:val="24"/>
          <w:szCs w:val="24"/>
          <w:u w:val="single"/>
          <w:lang w:val="zh-CN"/>
        </w:rPr>
        <w:t>“压缩+冷凝吸收+膜分离+吸附”工艺，</w:t>
      </w:r>
      <w:r>
        <w:rPr>
          <w:rFonts w:hint="default" w:ascii="Times New Roman" w:hAnsi="Times New Roman" w:cs="Times New Roman"/>
          <w:color w:val="FF0000"/>
          <w:sz w:val="24"/>
          <w:szCs w:val="24"/>
          <w:u w:val="single"/>
          <w:lang w:val="en-US" w:eastAsia="zh-CN"/>
        </w:rPr>
        <w:t>冷凝吸收去除效率为60%，膜分离去除效率为70%，吸附去除效率为80%，综合去除效率为97%。类比同类型化工码头有机废气处理验收资料，工程废气经冷凝回收，吸收液吸收处理，膜分离进一步降解，吸附处理后进一步提高处理效率，故评价认为工程有机废气采取上述治理措施，产生的污染物能达标排放，措施技术合理可行。</w:t>
      </w:r>
    </w:p>
    <w:p>
      <w:pPr>
        <w:pStyle w:val="4"/>
        <w:rPr>
          <w:rFonts w:eastAsiaTheme="minorEastAsia"/>
          <w:color w:val="000000" w:themeColor="text1"/>
          <w14:textFill>
            <w14:solidFill>
              <w14:schemeClr w14:val="tx1"/>
            </w14:solidFill>
          </w14:textFill>
        </w:rPr>
      </w:pPr>
      <w:bookmarkStart w:id="292" w:name="6.2.2废水污染防治措施"/>
      <w:bookmarkEnd w:id="292"/>
      <w:bookmarkStart w:id="293" w:name="6.2.3噪声污染防治措施"/>
      <w:bookmarkEnd w:id="293"/>
      <w:r>
        <w:rPr>
          <w:rFonts w:eastAsiaTheme="minorEastAsia"/>
          <w:color w:val="000000" w:themeColor="text1"/>
          <w14:textFill>
            <w14:solidFill>
              <w14:schemeClr w14:val="tx1"/>
            </w14:solidFill>
          </w14:textFill>
        </w:rPr>
        <w:t>噪声污染防治措施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项目营运期间的噪声主要来源于卸油泵、船舶发动机和船舶鸣号产生的交通噪声等。船舶发动机噪声源强可达80~90分贝，一般停靠港后不开动发动机，所以影响不大。船舶鸣笛为突发性噪声，主要采取船舶按照规定进行鸣笛的措施来减轻船舶鸣笛噪声影响。</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1、噪声源控制</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选用低噪声机械设备；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设专人对机械设备进行定期保养和维护，并负责对工作人员进行培训，严格按操作规范使用各类机械；</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船舶进入港区禁止鸣笛，并安排专人通过通信设施或其他设施方法引导，确保船舶航行安全；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流动性设备尽可能远离厂界运行，以增大其噪声衰减距离；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加强港区附近交通管理，避免交通阻塞而增加车辆噪声。</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2、装卸产生的瞬时突发噪声</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可以通过绿化带、建筑物隔声减噪8~10dB</w:t>
      </w:r>
      <w:r>
        <w:rPr>
          <w:rFonts w:ascii="Times New Roman" w:hAnsi="Times New Roman"/>
          <w:sz w:val="24"/>
          <w:szCs w:val="24"/>
        </w:rPr>
        <w:t>(A)</w:t>
      </w:r>
      <w:r>
        <w:rPr>
          <w:rFonts w:ascii="Times New Roman" w:hAnsi="Times New Roman" w:eastAsiaTheme="minorEastAsia"/>
          <w:color w:val="000000" w:themeColor="text1"/>
          <w:kern w:val="0"/>
          <w:sz w:val="24"/>
          <w:szCs w:val="24"/>
          <w14:textFill>
            <w14:solidFill>
              <w14:schemeClr w14:val="tx1"/>
            </w14:solidFill>
          </w14:textFill>
        </w:rPr>
        <w:t>，且建议采取以下管理控制措施：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严格遵守设备及装卸操作规范，防止因误操作而产生异常噪音，做到轻拿轻放。</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定期对设备的主要部件进行维修和保养，保持其技术性能良好，使其排放的噪声符合有关技术标准。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检查设备的状态时，注重对其噪声的监测，对超过噪声排放标准的设备及时采取控制措施。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加强设备的检查工作，遇到突发情况时，及时修理产生异常噪音的车辆、机械设备，缩短异常噪音的排放时间。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船舶噪声主要有船舶发动机的移动噪声和船舶的汽笛声，均为间歇性噪声源，其中汽笛声为突发性噪声。主要采取的措施有：船舶发动机噪声主要采用停港即停机，减少停靠时间等方法减少发声时间，船舶汽笛按照规定进行鸣笛。</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通过采取上述治理措施后，可确保所有厂界噪声排放均达到《工业企业厂界环境噪声排放标准》（GB12348-2008）相应的2、4类标准要求。噪声治理措施容易实施，所需费用较少，在经济上是可行的，其防治措施可行。</w:t>
      </w:r>
    </w:p>
    <w:p>
      <w:pPr>
        <w:pStyle w:val="4"/>
        <w:rPr>
          <w:rFonts w:eastAsiaTheme="minorEastAsia"/>
          <w:color w:val="000000" w:themeColor="text1"/>
          <w14:textFill>
            <w14:solidFill>
              <w14:schemeClr w14:val="tx1"/>
            </w14:solidFill>
          </w14:textFill>
        </w:rPr>
      </w:pPr>
      <w:bookmarkStart w:id="294" w:name="6.2.4固体废物污染防治措施"/>
      <w:bookmarkEnd w:id="294"/>
      <w:r>
        <w:rPr>
          <w:rFonts w:eastAsiaTheme="minorEastAsia"/>
          <w:color w:val="000000" w:themeColor="text1"/>
          <w14:textFill>
            <w14:solidFill>
              <w14:schemeClr w14:val="tx1"/>
            </w14:solidFill>
          </w14:textFill>
        </w:rPr>
        <w:t>固体废物污染防治措施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港区设置垃圾桶、垃圾集中堆放场地，码头平台设置垃圾桶，码头作业区少量生活垃圾分别收集后委托环卫部门定期清运；废含油抹布等机修废物约为3t/a，对照《国家危险废物名录》（2016版），“废弃的含油抹布、劳保”用品可全部混入生活垃圾，全过程不按危险废物管理，因此本项目含油抹布纳入到生活垃圾处理系统，收集上岸后委托环卫部门统一清运。</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营运期到港船舶垃圾主要为船舶生活垃圾，其产生量为5.94t/a，到港船舶不得在本码头水域内排放船舶垃圾，船舶垃圾确需上岸接收的，由海事部门指定的船舶接收统一处理或专门船舶污染物接收单位有偿接收处理。来自疫情港口的船舶，其船舶垃圾需经卫生检疫部门检疫并进行卫生处理后，由海事部门认定的船舶污染物接收船有偿接收并焚烧处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机械设备维修产生的机修废油以及装卸作业包括扫线过程产生的废油属于HW08废矿物油类危险废物，分别收集后暂存于危废暂存间，定期交由有资质的危废处置单位统一处理。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本项目在配套设施平台处设置一处6m</w:t>
      </w:r>
      <w:r>
        <w:rPr>
          <w:rFonts w:ascii="Times New Roman" w:hAnsi="Times New Roman" w:eastAsiaTheme="minorEastAsia"/>
          <w:color w:val="000000" w:themeColor="text1"/>
          <w:kern w:val="0"/>
          <w:sz w:val="24"/>
          <w:szCs w:val="24"/>
          <w:vertAlign w:val="superscript"/>
          <w14:textFill>
            <w14:solidFill>
              <w14:schemeClr w14:val="tx1"/>
            </w14:solidFill>
          </w14:textFill>
        </w:rPr>
        <w:t>2</w:t>
      </w:r>
      <w:r>
        <w:rPr>
          <w:rFonts w:ascii="Times New Roman" w:hAnsi="Times New Roman" w:eastAsiaTheme="minorEastAsia"/>
          <w:color w:val="000000" w:themeColor="text1"/>
          <w:kern w:val="0"/>
          <w:sz w:val="24"/>
          <w:szCs w:val="24"/>
          <w14:textFill>
            <w14:solidFill>
              <w14:schemeClr w14:val="tx1"/>
            </w14:solidFill>
          </w14:textFill>
        </w:rPr>
        <w:t>危废暂存间，可以满足危废贮存的要求，同时应保证及时委托处置。危险废物在收集、贮存、运输和处置过程中要符合以下要求：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1、危险废物的收集防治要求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危险废物要根据其成分，用符合国家标准的专门容器分类收集。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装有危险废物的容器和场所必须设有标签，在标签上详细标明危险废物的名称、重量、成分、特性以及发生泄漏、扩散污染事故时的应急措施和补救方法。</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危险废物收集时应根据危险废物的种类、数量、危险特性、物理形态、运输要求等因素确定包装形式，具体包装应符合如下要求：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包装材质要与危险废物相容，可根据废物特性选择钢、铝、塑料等材质。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性质类似的废物可收集到同一容器中，性质不相容的危险废物不应混合包装。</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危险废物包装应能有效隔断危险废物迁移扩散途径，并达到防渗、防漏要求。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包装好的危险废物应设置相应的标签，标签信息应填写完整详实。</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盛装过危险废物的包装袋或包装容器破损后应按危险废物进行管理和处置。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rFonts w:ascii="Times New Roman" w:hAnsi="Times New Roman" w:eastAsiaTheme="minorEastAsia"/>
          <w:color w:val="000000" w:themeColor="text1"/>
          <w:kern w:val="0"/>
          <w:sz w:val="24"/>
          <w:szCs w:val="24"/>
          <w14:textFill>
            <w14:solidFill>
              <w14:schemeClr w14:val="tx1"/>
            </w14:solidFill>
          </w14:textFill>
        </w:rPr>
        <w:t xml:space="preserve"> 危险废物还应根据《危险货物运输包装通用技术条件》（GB12463-2009）的有关要求进行运输包装。</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危险废物的收集作业应满足如下要求：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应根据收集设备、转运车辆以及现场人员等实际情况确定相应作业区域，同时要设置作业界限标志和警示牌。</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作业区域内应设置危险废物收集专用通道和人员避险通道。</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收集时应配备必要的收集工具和包装物，以及必要的应急监测设备及应急装备。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危险废物收集应参照《危险废物收集贮存运输技术规范》（HJ2025-2012）附录A填写记录表，并将记录表作为危险废物管理的重要档案妥善保存。</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收集结束后应清理和恢复收集作业区域，确保作业区域环境整洁安全。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rFonts w:ascii="Times New Roman" w:hAnsi="Times New Roman" w:eastAsiaTheme="minorEastAsia"/>
          <w:color w:val="000000" w:themeColor="text1"/>
          <w:kern w:val="0"/>
          <w:sz w:val="24"/>
          <w:szCs w:val="24"/>
          <w14:textFill>
            <w14:solidFill>
              <w14:schemeClr w14:val="tx1"/>
            </w14:solidFill>
          </w14:textFill>
        </w:rPr>
        <w:t xml:space="preserve"> 收集过危险废物的容器、设备、设施、场所及其它物品转作它用时，应消除污染，确保其使用安全。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危险废物内部转运作业应满足如下要求：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危险废物内部转运作业应采用专用的工具，危险废物内部转运应参照《危险废物收集贮存运输技术规范》（HJ2025-2012）附录B填写《危险废物厂内转运记录表》。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危险废物内部转运结束后，应对转运路线进行检查和清理，确保无危险废物遗失在转运路线上，并对转运工具进行清洗。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2、危险废物的贮存防治要求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对已产生的危险废物，若暂时不能回收利用或进行处理处置的，其产生单位须建设专门的危险废物贮存设施进行贮存，并设立危险废物标志，或委托具有专门危险废物贮存设施的单位进行贮存，贮存期限不得超过国家规定。</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贮存危险废物的单位需拥有相应的许可证。禁止将危险废物以任何形式转移给无许可证的单位，或转移到非危险废物贮存设施中。危险废物贮存设施应有相应的配套设施并按有关规定进行管理。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危险废物的贮存设施应满足以下要求：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应建有堵截泄漏的裙脚，地面与裙脚要用坚固防渗的材料建造。应有隔离设施、报警装置和防风、防晒、防雨设施；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基础防渗层为粘土层的，其厚度应在1</w:t>
      </w:r>
      <w:r>
        <w:rPr>
          <w:rFonts w:hint="eastAsia" w:ascii="Times New Roman" w:hAnsi="Times New Roman" w:eastAsiaTheme="minorEastAsia"/>
          <w:color w:val="000000" w:themeColor="text1"/>
          <w:kern w:val="0"/>
          <w:sz w:val="24"/>
          <w:szCs w:val="24"/>
          <w14:textFill>
            <w14:solidFill>
              <w14:schemeClr w14:val="tx1"/>
            </w14:solidFill>
          </w14:textFill>
        </w:rPr>
        <w:t>m</w:t>
      </w:r>
      <w:r>
        <w:rPr>
          <w:rFonts w:ascii="Times New Roman" w:hAnsi="Times New Roman" w:eastAsiaTheme="minorEastAsia"/>
          <w:color w:val="000000" w:themeColor="text1"/>
          <w:kern w:val="0"/>
          <w:sz w:val="24"/>
          <w:szCs w:val="24"/>
          <w14:textFill>
            <w14:solidFill>
              <w14:schemeClr w14:val="tx1"/>
            </w14:solidFill>
          </w14:textFill>
        </w:rPr>
        <w:t>以上，渗透系数应小于1.0×10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hint="eastAsia" w:ascii="Times New Roman" w:hAnsi="Times New Roman" w:eastAsiaTheme="minorEastAsia"/>
          <w:color w:val="000000" w:themeColor="text1"/>
          <w:kern w:val="0"/>
          <w:sz w:val="24"/>
          <w:szCs w:val="24"/>
          <w14:textFill>
            <w14:solidFill>
              <w14:schemeClr w14:val="tx1"/>
            </w14:solidFill>
          </w14:textFill>
        </w:rPr>
        <w:t>c</w:t>
      </w:r>
      <w:r>
        <w:rPr>
          <w:rFonts w:ascii="Times New Roman" w:hAnsi="Times New Roman" w:eastAsiaTheme="minorEastAsia"/>
          <w:color w:val="000000" w:themeColor="text1"/>
          <w:kern w:val="0"/>
          <w:sz w:val="24"/>
          <w:szCs w:val="24"/>
          <w14:textFill>
            <w14:solidFill>
              <w14:schemeClr w14:val="tx1"/>
            </w14:solidFill>
          </w14:textFill>
        </w:rPr>
        <w:t>m/</w:t>
      </w:r>
      <w:r>
        <w:rPr>
          <w:rFonts w:hint="eastAsia" w:ascii="Times New Roman" w:hAnsi="Times New Roman" w:eastAsiaTheme="minorEastAsia"/>
          <w:color w:val="000000" w:themeColor="text1"/>
          <w:kern w:val="0"/>
          <w:sz w:val="24"/>
          <w:szCs w:val="24"/>
          <w14:textFill>
            <w14:solidFill>
              <w14:schemeClr w14:val="tx1"/>
            </w14:solidFill>
          </w14:textFill>
        </w:rPr>
        <w:t>s</w:t>
      </w:r>
      <w:r>
        <w:rPr>
          <w:rFonts w:ascii="Times New Roman" w:hAnsi="Times New Roman" w:eastAsiaTheme="minorEastAsia"/>
          <w:color w:val="000000" w:themeColor="text1"/>
          <w:kern w:val="0"/>
          <w:sz w:val="24"/>
          <w:szCs w:val="24"/>
          <w14:textFill>
            <w14:solidFill>
              <w14:schemeClr w14:val="tx1"/>
            </w14:solidFill>
          </w14:textFill>
        </w:rPr>
        <w:t>；基础防渗层也可用厚度在2</w:t>
      </w:r>
      <w:r>
        <w:rPr>
          <w:rFonts w:hint="eastAsia" w:ascii="Times New Roman" w:hAnsi="Times New Roman" w:eastAsiaTheme="minorEastAsia"/>
          <w:color w:val="000000" w:themeColor="text1"/>
          <w:kern w:val="0"/>
          <w:sz w:val="24"/>
          <w:szCs w:val="24"/>
          <w14:textFill>
            <w14:solidFill>
              <w14:schemeClr w14:val="tx1"/>
            </w14:solidFill>
          </w14:textFill>
        </w:rPr>
        <w:t>m</w:t>
      </w:r>
      <w:r>
        <w:rPr>
          <w:rFonts w:ascii="Times New Roman" w:hAnsi="Times New Roman" w:eastAsiaTheme="minorEastAsia"/>
          <w:color w:val="000000" w:themeColor="text1"/>
          <w:kern w:val="0"/>
          <w:sz w:val="24"/>
          <w:szCs w:val="24"/>
          <w14:textFill>
            <w14:solidFill>
              <w14:schemeClr w14:val="tx1"/>
            </w14:solidFill>
          </w14:textFill>
        </w:rPr>
        <w:t>m以上的高密度聚乙烯或其他人工防渗材料组成，渗透系数应小于1.0×10</w:t>
      </w:r>
      <w:r>
        <w:rPr>
          <w:rFonts w:ascii="Times New Roman" w:hAnsi="Times New Roman" w:eastAsiaTheme="minorEastAsia"/>
          <w:color w:val="000000" w:themeColor="text1"/>
          <w:kern w:val="0"/>
          <w:sz w:val="24"/>
          <w:szCs w:val="24"/>
          <w:vertAlign w:val="superscript"/>
          <w14:textFill>
            <w14:solidFill>
              <w14:schemeClr w14:val="tx1"/>
            </w14:solidFill>
          </w14:textFill>
        </w:rPr>
        <w:t>-10</w:t>
      </w:r>
      <w:r>
        <w:rPr>
          <w:rFonts w:hint="eastAsia" w:ascii="Times New Roman" w:hAnsi="Times New Roman" w:eastAsiaTheme="minorEastAsia"/>
          <w:color w:val="000000" w:themeColor="text1"/>
          <w:kern w:val="0"/>
          <w:sz w:val="24"/>
          <w:szCs w:val="24"/>
          <w14:textFill>
            <w14:solidFill>
              <w14:schemeClr w14:val="tx1"/>
            </w14:solidFill>
          </w14:textFill>
        </w:rPr>
        <w:t>c</w:t>
      </w:r>
      <w:r>
        <w:rPr>
          <w:rFonts w:ascii="Times New Roman" w:hAnsi="Times New Roman" w:eastAsiaTheme="minorEastAsia"/>
          <w:color w:val="000000" w:themeColor="text1"/>
          <w:kern w:val="0"/>
          <w:sz w:val="24"/>
          <w:szCs w:val="24"/>
          <w14:textFill>
            <w14:solidFill>
              <w14:schemeClr w14:val="tx1"/>
            </w14:solidFill>
          </w14:textFill>
        </w:rPr>
        <w:t>m/</w:t>
      </w:r>
      <w:r>
        <w:rPr>
          <w:rFonts w:hint="eastAsia" w:ascii="Times New Roman" w:hAnsi="Times New Roman" w:eastAsiaTheme="minorEastAsia"/>
          <w:color w:val="000000" w:themeColor="text1"/>
          <w:kern w:val="0"/>
          <w:sz w:val="24"/>
          <w:szCs w:val="24"/>
          <w14:textFill>
            <w14:solidFill>
              <w14:schemeClr w14:val="tx1"/>
            </w14:solidFill>
          </w14:textFill>
        </w:rPr>
        <w:t>s</w:t>
      </w:r>
      <w:r>
        <w:rPr>
          <w:rFonts w:ascii="Times New Roman" w:hAnsi="Times New Roman" w:eastAsiaTheme="minorEastAsia"/>
          <w:color w:val="000000" w:themeColor="text1"/>
          <w:kern w:val="0"/>
          <w:sz w:val="24"/>
          <w:szCs w:val="24"/>
          <w14:textFill>
            <w14:solidFill>
              <w14:schemeClr w14:val="tx1"/>
            </w14:solidFill>
          </w14:textFill>
        </w:rPr>
        <w:t>；</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须有泄漏液体收集装置及气体导出口和气体净化装置；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用于存放液体、半固体危险废物的地方，还须有耐腐蚀的硬化地面，地面无裂隙；</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贮存危险废物时应按危险废物的种类和特性进行分区贮存，每个贮存区域之间宜设置挡墙间隔，并应设置防雨、防火、防雷、防扬尘装置；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rFonts w:ascii="Times New Roman" w:hAnsi="Times New Roman" w:eastAsiaTheme="minorEastAsia"/>
          <w:color w:val="000000" w:themeColor="text1"/>
          <w:kern w:val="0"/>
          <w:sz w:val="24"/>
          <w:szCs w:val="24"/>
          <w14:textFill>
            <w14:solidFill>
              <w14:schemeClr w14:val="tx1"/>
            </w14:solidFill>
          </w14:textFill>
        </w:rPr>
        <w:t xml:space="preserve"> 衬层上需建有渗滤液收集清除系统、径流疏导系统、雨水收集池；</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⑦</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危险废物贮存设施应配备通讯设备、照明设施和消防设施；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⑧</w:t>
      </w:r>
      <w:r>
        <w:rPr>
          <w:rFonts w:ascii="Times New Roman" w:hAnsi="Times New Roman" w:eastAsiaTheme="minorEastAsia"/>
          <w:color w:val="000000" w:themeColor="text1"/>
          <w:kern w:val="0"/>
          <w:sz w:val="24"/>
          <w:szCs w:val="24"/>
          <w14:textFill>
            <w14:solidFill>
              <w14:schemeClr w14:val="tx1"/>
            </w14:solidFill>
          </w14:textFill>
        </w:rPr>
        <w:t xml:space="preserve"> 废弃危险化学品贮存应满足GB15603、《危险化学品安全管理条例》、《废弃危险化学品污染环境防治办法》的要求。贮存废弃剧毒化学品还应充分考虑防盗要求，采用双钥匙封闭式管理，且有专人24小时看管。</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⑨</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危险废物贮存设施应根据贮存的废物种类和特性按照GB18597 附录A设置标志。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危险废物的贮存设施的选址与设计、运行与管理、安全防护、环境监测及应急措施、以及关闭等须遵循《危险废物贮存污染控制标准》的规定。</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贮存易燃易爆危险废物应配置有机气体报警、火灾报警装置和导出静电的接地装置。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危险废物贮存期限应符合《中华人民共和国固体废物污染环境防治法》中的规定，不得超过一年。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危险废物贮存单位应建立危险废物贮存的台账制度，危险废物出入库交接记录内容应参照《危险废物收集贮存运输技术规范》（HJ2025-2012）附录C执行。</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3、危险废物运输过程污染防治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危险废物运输应由持有危险废物经营许可证的单位按照其许可证的经营范围组织实施，承担危险废物运输的单位应获得交通运输部门颁发的危险货物运输资质。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危险废物公路运输应按照《道路危险货物运输管理规定》（交通部令</w:t>
      </w:r>
      <w:r>
        <w:rPr>
          <w:rFonts w:hint="eastAsia" w:ascii="Times New Roman" w:hAnsi="Times New Roman" w:eastAsiaTheme="minorEastAsia"/>
          <w:color w:val="000000" w:themeColor="text1"/>
          <w:kern w:val="0"/>
          <w:sz w:val="24"/>
          <w:szCs w:val="24"/>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2005年</w:t>
      </w:r>
      <w:r>
        <w:rPr>
          <w:rFonts w:hint="eastAsia" w:ascii="Times New Roman" w:hAnsi="Times New Roman" w:eastAsiaTheme="minorEastAsia"/>
          <w:color w:val="000000" w:themeColor="text1"/>
          <w:kern w:val="0"/>
          <w:sz w:val="24"/>
          <w:szCs w:val="24"/>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第9号）、JT617以及JT618执行。</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运输单位承运危险废物时，应在危险废物包装上按照 GB18597 附录A设置标志。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危险废物公路运输时，运输车辆应按GB13392设置车辆标志。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危险废物运输时的中转、装卸过程应遵守如下技术要求：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卸载区的工作人员应熟悉废物的危险特性，并配备适当的个人防护装备，装卸剧 毒废物应配备特殊的防护装备。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卸载区应配备必要的消防设备和设施，并设置明显的指示标志。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危险废物装卸区应设置隔离设施，液态废物卸载区应设置收集槽和缓冲罐。</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4、危险废物处置过程污染防治 项目产生的危险废物委托有资质的单位安全处置，由处置单位负责运输。危险废物转移过程应按《危险废物转移联单管理办法》执行。</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只要建设单位认真按《中华人民共和国固体废物污染环境防治法》、《危险废物贮存污染控制标准》（GB18579-2001）和《危险废物收集贮存运输技术规范》（HJ2025-2012）的要求，进行危险废物贮存场所及贮存设施的建设、运行管理，本项目所产生的危险废物对环境的影响可得到有效地控制。</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5、危险废物的申报和转移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根据国务院令第591号《危险化学品安全管理条例》和</w:t>
      </w:r>
      <w:r>
        <w:rPr>
          <w:rFonts w:hint="eastAsia" w:ascii="Times New Roman" w:hAnsi="Times New Roman" w:eastAsiaTheme="minorEastAsia"/>
          <w:color w:val="000000" w:themeColor="text1"/>
          <w:kern w:val="0"/>
          <w:sz w:val="24"/>
          <w:szCs w:val="24"/>
          <w14:textFill>
            <w14:solidFill>
              <w14:schemeClr w14:val="tx1"/>
            </w14:solidFill>
          </w14:textFill>
        </w:rPr>
        <w:t>湖南相关</w:t>
      </w:r>
      <w:r>
        <w:rPr>
          <w:rFonts w:ascii="Times New Roman" w:hAnsi="Times New Roman" w:eastAsiaTheme="minorEastAsia"/>
          <w:color w:val="000000" w:themeColor="text1"/>
          <w:kern w:val="0"/>
          <w:sz w:val="24"/>
          <w:szCs w:val="24"/>
          <w14:textFill>
            <w14:solidFill>
              <w14:schemeClr w14:val="tx1"/>
            </w14:solidFill>
          </w14:textFill>
        </w:rPr>
        <w:t>规定，在危险废物外运至处置单位时必须严格遵守以下要求：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做好每次外运处置废物的运输登记，按照湖北省开展危废申报登记要求，进行网上申报。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处置单位在运输危险废物时必须配备押运人员，并随时处于押运人员的监管之下，不得超装、超载，严格按照所在城市规定的行车时间和行车路线行驶，不得进入危险化学品运输车辆禁止通行的区域。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危险废物在运输途中若发生被盗、丢失、流散、泄漏等情况时，公司及押运人员必须立即向当地公安部门报告，并采取一切可能的警示措施。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一事故造成的危害进行监测、处置，直至符合国家环境保护标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只要建设单位认真按《危险废物贮存污染控制标准》（GB18579-2001）的要求，进行危险废物贮存场所及贮存设施的建设、运行管理，本项目危险废物的贮存对环境的影响可得到有效的控制。</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综上所述，项目营运期固体废物污染防治措施经济技术可行，可以实现固体废物的100%无害化处理。</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土壤防治措施</w:t>
      </w:r>
    </w:p>
    <w:p>
      <w:pPr>
        <w:adjustRightIn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⑴ 源头控制，配备一套油气回收治理设备，采用先进的装卸设备设施与材料，确保阀门、法兰片、管道之间的密封性，并加强装卸设备设施的使用、管理和维护等，减少挥发性有机物的产生。</w:t>
      </w:r>
    </w:p>
    <w:p>
      <w:pPr>
        <w:adjustRightIn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⑵ 过程防控，建议在项目区域内适量栽植植物，可有效阻挡污染物向周边逸散。</w:t>
      </w:r>
    </w:p>
    <w:p>
      <w:pPr>
        <w:adjustRightInd w:val="0"/>
        <w:spacing w:line="360" w:lineRule="auto"/>
        <w:ind w:firstLine="480" w:firstLineChars="200"/>
        <w:rPr>
          <w:rFonts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⑶ 跟踪监测，在项目区域下风向居民点处布置监测点，每5年内开展1次跟踪监测。</w:t>
      </w:r>
    </w:p>
    <w:p>
      <w:pPr>
        <w:pStyle w:val="3"/>
        <w:rPr>
          <w:rFonts w:ascii="Times New Roman" w:hAnsi="Times New Roman" w:eastAsiaTheme="minorEastAsia"/>
          <w:b/>
        </w:rPr>
      </w:pPr>
      <w:bookmarkStart w:id="295" w:name="6.3项目环保投资及“三同时”验收"/>
      <w:bookmarkEnd w:id="295"/>
      <w:bookmarkStart w:id="296" w:name="_bookmark56"/>
      <w:bookmarkEnd w:id="296"/>
      <w:bookmarkStart w:id="297" w:name="6.2.5地下水污染防治措施"/>
      <w:bookmarkEnd w:id="297"/>
      <w:bookmarkStart w:id="298" w:name="_Toc32234"/>
      <w:r>
        <w:rPr>
          <w:rFonts w:ascii="Times New Roman" w:hAnsi="Times New Roman" w:eastAsiaTheme="minorEastAsia"/>
          <w:b/>
        </w:rPr>
        <w:t>项目环保投资及“三同时”验收</w:t>
      </w:r>
      <w:bookmarkEnd w:id="298"/>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highlight w:val="yellow"/>
          <w14:textFill>
            <w14:solidFill>
              <w14:schemeClr w14:val="tx1"/>
            </w14:solidFill>
          </w14:textFill>
        </w:rPr>
      </w:pPr>
      <w:r>
        <w:rPr>
          <w:rFonts w:ascii="Times New Roman" w:hAnsi="Times New Roman" w:eastAsiaTheme="minorEastAsia"/>
          <w:color w:val="000000" w:themeColor="text1"/>
          <w:kern w:val="0"/>
          <w:sz w:val="24"/>
          <w:szCs w:val="24"/>
          <w:highlight w:val="yellow"/>
          <w14:textFill>
            <w14:solidFill>
              <w14:schemeClr w14:val="tx1"/>
            </w14:solidFill>
          </w14:textFill>
        </w:rPr>
        <w:t>本项目环境保护投资约2205.8万元，占总投资</w:t>
      </w:r>
      <w:r>
        <w:rPr>
          <w:rFonts w:ascii="Times New Roman" w:hAnsi="Times New Roman" w:eastAsiaTheme="minorEastAsia"/>
          <w:color w:val="000000"/>
          <w:kern w:val="0"/>
          <w:sz w:val="24"/>
          <w:szCs w:val="24"/>
          <w:highlight w:val="yellow"/>
          <w:lang w:bidi="ar"/>
        </w:rPr>
        <w:t>29398.67</w:t>
      </w:r>
      <w:r>
        <w:rPr>
          <w:rFonts w:ascii="Times New Roman" w:hAnsi="Times New Roman" w:eastAsiaTheme="minorEastAsia"/>
          <w:color w:val="000000" w:themeColor="text1"/>
          <w:kern w:val="0"/>
          <w:sz w:val="24"/>
          <w:szCs w:val="24"/>
          <w:highlight w:val="yellow"/>
          <w14:textFill>
            <w14:solidFill>
              <w14:schemeClr w14:val="tx1"/>
            </w14:solidFill>
          </w14:textFill>
        </w:rPr>
        <w:t>万元的7.5%，项目项目环境保护“三同时”措施汇总及投资估算见表8.3-1。</w:t>
      </w:r>
    </w:p>
    <w:p>
      <w:pPr>
        <w:autoSpaceDE w:val="0"/>
        <w:autoSpaceDN w:val="0"/>
        <w:adjustRightInd w:val="0"/>
        <w:snapToGrid w:val="0"/>
        <w:spacing w:line="360" w:lineRule="auto"/>
        <w:rPr>
          <w:rFonts w:ascii="Times New Roman" w:hAnsi="Times New Roman" w:eastAsiaTheme="minorEastAsia"/>
          <w:kern w:val="0"/>
          <w:sz w:val="24"/>
          <w:szCs w:val="24"/>
        </w:rPr>
      </w:pP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sectPr>
          <w:headerReference r:id="rId16"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w:t>
      </w:r>
      <w:r>
        <w:rPr>
          <w:rFonts w:hint="eastAsia" w:ascii="Times New Roman" w:hAnsi="Times New Roman" w:eastAsiaTheme="minorEastAsia"/>
          <w:b/>
          <w:color w:val="FF0000"/>
          <w:sz w:val="24"/>
          <w:szCs w:val="24"/>
          <w:u w:val="single"/>
        </w:rPr>
        <w:t>8</w:t>
      </w:r>
      <w:r>
        <w:rPr>
          <w:rFonts w:ascii="Times New Roman" w:hAnsi="Times New Roman" w:eastAsiaTheme="minorEastAsia"/>
          <w:b/>
          <w:color w:val="FF0000"/>
          <w:sz w:val="24"/>
          <w:szCs w:val="24"/>
          <w:u w:val="single"/>
        </w:rPr>
        <w:t>.3-1  本项目环境保护“三同时”措施汇总及投资估算表</w:t>
      </w:r>
    </w:p>
    <w:tbl>
      <w:tblPr>
        <w:tblStyle w:val="71"/>
        <w:tblW w:w="5000" w:type="pct"/>
        <w:jc w:val="center"/>
        <w:tblLayout w:type="autofit"/>
        <w:tblCellMar>
          <w:top w:w="0" w:type="dxa"/>
          <w:left w:w="0" w:type="dxa"/>
          <w:bottom w:w="0" w:type="dxa"/>
          <w:right w:w="0" w:type="dxa"/>
        </w:tblCellMar>
      </w:tblPr>
      <w:tblGrid>
        <w:gridCol w:w="898"/>
        <w:gridCol w:w="564"/>
        <w:gridCol w:w="1384"/>
        <w:gridCol w:w="1496"/>
        <w:gridCol w:w="5764"/>
        <w:gridCol w:w="3053"/>
        <w:gridCol w:w="873"/>
      </w:tblGrid>
      <w:tr>
        <w:tblPrEx>
          <w:tblCellMar>
            <w:top w:w="0" w:type="dxa"/>
            <w:left w:w="0" w:type="dxa"/>
            <w:bottom w:w="0" w:type="dxa"/>
            <w:right w:w="0" w:type="dxa"/>
          </w:tblCellMar>
        </w:tblPrEx>
        <w:trPr>
          <w:trHeight w:val="340" w:hRule="atLeast"/>
          <w:tblHeader/>
          <w:jc w:val="center"/>
        </w:trPr>
        <w:tc>
          <w:tcPr>
            <w:tcW w:w="520" w:type="pct"/>
            <w:gridSpan w:val="2"/>
            <w:tcBorders>
              <w:top w:val="single" w:color="000000" w:sz="12" w:space="0"/>
              <w:left w:val="single" w:color="000000" w:sz="12"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类别</w:t>
            </w:r>
          </w:p>
        </w:tc>
        <w:tc>
          <w:tcPr>
            <w:tcW w:w="493" w:type="pct"/>
            <w:tcBorders>
              <w:top w:val="single" w:color="000000" w:sz="12"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污染源</w:t>
            </w:r>
          </w:p>
        </w:tc>
        <w:tc>
          <w:tcPr>
            <w:tcW w:w="533" w:type="pct"/>
            <w:tcBorders>
              <w:top w:val="single" w:color="000000" w:sz="12"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污染物</w:t>
            </w:r>
          </w:p>
        </w:tc>
        <w:tc>
          <w:tcPr>
            <w:tcW w:w="2053" w:type="pct"/>
            <w:tcBorders>
              <w:top w:val="single" w:color="000000" w:sz="12"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治理措施（设施数量、规模、处理能力等）</w:t>
            </w:r>
          </w:p>
        </w:tc>
        <w:tc>
          <w:tcPr>
            <w:tcW w:w="1088" w:type="pct"/>
            <w:tcBorders>
              <w:top w:val="single" w:color="000000" w:sz="12"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处理效果、执行标准或拟达要求</w:t>
            </w:r>
          </w:p>
        </w:tc>
        <w:tc>
          <w:tcPr>
            <w:tcW w:w="312" w:type="pct"/>
            <w:tcBorders>
              <w:top w:val="single" w:color="000000" w:sz="12"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投资</w:t>
            </w:r>
          </w:p>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（万元）</w:t>
            </w:r>
          </w:p>
        </w:tc>
      </w:tr>
      <w:tr>
        <w:tblPrEx>
          <w:tblCellMar>
            <w:top w:w="0" w:type="dxa"/>
            <w:left w:w="0" w:type="dxa"/>
            <w:bottom w:w="0" w:type="dxa"/>
            <w:right w:w="0" w:type="dxa"/>
          </w:tblCellMar>
        </w:tblPrEx>
        <w:trPr>
          <w:trHeight w:val="340" w:hRule="atLeast"/>
          <w:jc w:val="center"/>
        </w:trPr>
        <w:tc>
          <w:tcPr>
            <w:tcW w:w="320" w:type="pct"/>
            <w:vMerge w:val="restart"/>
            <w:tcBorders>
              <w:top w:val="single" w:color="000000" w:sz="4" w:space="0"/>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营运期</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废气</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装卸废气</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hint="eastAsia" w:ascii="Times New Roman" w:hAnsi="Times New Roman" w:eastAsiaTheme="minorEastAsia"/>
                <w:color w:val="FF0000"/>
                <w:u w:val="single"/>
                <w:lang w:val="en-US" w:eastAsia="zh-CN"/>
              </w:rPr>
              <w:t>VOC、</w:t>
            </w:r>
            <w:r>
              <w:rPr>
                <w:rFonts w:ascii="Times New Roman" w:hAnsi="Times New Roman" w:eastAsiaTheme="minorEastAsia"/>
                <w:color w:val="FF0000"/>
                <w:u w:val="single"/>
              </w:rPr>
              <w:t>非甲烷总烃</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配备一套油气回收治理设备，采用先进的装卸设备设施与材料，确保阀门、法兰片、管道之间的密封性，并加强装卸设备设施的使用、管理和维护</w:t>
            </w:r>
          </w:p>
        </w:tc>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达到《挥发性有机物无组织排放</w:t>
            </w:r>
          </w:p>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控制标准》（GB37822-2019）中 的无组织排放限值要求</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1680</w:t>
            </w: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废水</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船舶油污水</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COD、石油类</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船舶自带的油水分离器处理达标后，按海事部门的要求进行收集，由海事部门环保船进行回收</w:t>
            </w:r>
          </w:p>
        </w:tc>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《船舶水污染物排放标准》</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vMerge w:val="continue"/>
            <w:tcBorders>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船舶生活污水</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COD、SS、NH</w:t>
            </w:r>
            <w:r>
              <w:rPr>
                <w:rFonts w:ascii="Times New Roman" w:hAnsi="Times New Roman" w:eastAsiaTheme="minorEastAsia"/>
                <w:color w:val="FF0000"/>
                <w:u w:val="single"/>
                <w:vertAlign w:val="subscript"/>
              </w:rPr>
              <w:t>3</w:t>
            </w:r>
            <w:r>
              <w:rPr>
                <w:rFonts w:ascii="Times New Roman" w:hAnsi="Times New Roman" w:eastAsiaTheme="minorEastAsia"/>
                <w:color w:val="FF0000"/>
                <w:u w:val="single"/>
              </w:rPr>
              <w:t>-N、总磷</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由船舶交给港口海事部门环保船有偿接收处理，设置简易环保型厕所</w:t>
            </w:r>
          </w:p>
        </w:tc>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《船舶水污染物排放标准》</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20</w:t>
            </w: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vMerge w:val="continue"/>
            <w:tcBorders>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初期雨水、趸船冲洗水</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COD、SS、石油类等</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集中收集由港口部污水处理站处置达标后与生活污水一并进入中石化长岭分公司第二污水处理厂</w:t>
            </w:r>
          </w:p>
        </w:tc>
        <w:tc>
          <w:tcPr>
            <w:tcW w:w="1088" w:type="pct"/>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《污水综合排放标准》（GB8978-1996）三级标准要求</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依托现有</w:t>
            </w: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陆域生活污水</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COD、SS、氨氮等</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集中收集由港口部一体化模压式净化槽处理达标后与生产废水一并进入中石化长岭分公司第二污水处理厂</w:t>
            </w:r>
          </w:p>
        </w:tc>
        <w:tc>
          <w:tcPr>
            <w:tcW w:w="1088" w:type="pct"/>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75</w:t>
            </w: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噪声</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各类风机、船舶、油泵</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高噪声设备</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采用低噪声设备、减震隔声、消音等</w:t>
            </w:r>
          </w:p>
        </w:tc>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厂界达《工业企业厂界环境噪声排放标准》（GB12348-2008）中</w:t>
            </w:r>
          </w:p>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2、4类标准</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13</w:t>
            </w: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固废</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船舶</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船舶生活垃圾、固体废弃物</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由海事部门专用船只运走</w:t>
            </w:r>
          </w:p>
        </w:tc>
        <w:tc>
          <w:tcPr>
            <w:tcW w:w="1088" w:type="pct"/>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满足环保要求</w:t>
            </w:r>
          </w:p>
        </w:tc>
        <w:tc>
          <w:tcPr>
            <w:tcW w:w="312" w:type="pct"/>
            <w:vMerge w:val="restart"/>
            <w:tcBorders>
              <w:top w:val="single" w:color="000000" w:sz="4" w:space="0"/>
              <w:left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10</w:t>
            </w: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vMerge w:val="continue"/>
            <w:tcBorders>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493" w:type="pct"/>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装卸作业、设备维修</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陆域生活垃圾</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由环卫部门及时清运</w:t>
            </w:r>
          </w:p>
        </w:tc>
        <w:tc>
          <w:tcPr>
            <w:tcW w:w="1088" w:type="pct"/>
            <w:vMerge w:val="continue"/>
            <w:tcBorders>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312" w:type="pct"/>
            <w:vMerge w:val="continue"/>
            <w:tcBorders>
              <w:left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r>
      <w:tr>
        <w:tblPrEx>
          <w:tblCellMar>
            <w:top w:w="0" w:type="dxa"/>
            <w:left w:w="0" w:type="dxa"/>
            <w:bottom w:w="0" w:type="dxa"/>
            <w:right w:w="0" w:type="dxa"/>
          </w:tblCellMar>
        </w:tblPrEx>
        <w:trPr>
          <w:trHeight w:val="340" w:hRule="atLeast"/>
          <w:jc w:val="center"/>
        </w:trPr>
        <w:tc>
          <w:tcPr>
            <w:tcW w:w="320" w:type="pct"/>
            <w:vMerge w:val="continue"/>
            <w:tcBorders>
              <w:left w:val="single" w:color="000000" w:sz="12"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201" w:type="pct"/>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493" w:type="pct"/>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废油</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暂存于危险废物暂存间，委托有资质的单位处理</w:t>
            </w:r>
          </w:p>
        </w:tc>
        <w:tc>
          <w:tcPr>
            <w:tcW w:w="1088" w:type="pct"/>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312" w:type="pct"/>
            <w:vMerge w:val="continue"/>
            <w:tcBorders>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r>
      <w:tr>
        <w:tblPrEx>
          <w:tblCellMar>
            <w:top w:w="0" w:type="dxa"/>
            <w:left w:w="0" w:type="dxa"/>
            <w:bottom w:w="0" w:type="dxa"/>
            <w:right w:w="0" w:type="dxa"/>
          </w:tblCellMar>
        </w:tblPrEx>
        <w:trPr>
          <w:trHeight w:val="340" w:hRule="atLeast"/>
          <w:jc w:val="center"/>
        </w:trPr>
        <w:tc>
          <w:tcPr>
            <w:tcW w:w="520" w:type="pct"/>
            <w:gridSpan w:val="2"/>
            <w:vMerge w:val="restart"/>
            <w:tcBorders>
              <w:top w:val="single" w:color="000000" w:sz="4" w:space="0"/>
              <w:left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生态</w:t>
            </w:r>
          </w:p>
        </w:tc>
        <w:tc>
          <w:tcPr>
            <w:tcW w:w="493" w:type="pct"/>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水生生态</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生态修复，人工增殖放流，水生生物监测等生态补偿</w:t>
            </w:r>
          </w:p>
        </w:tc>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315.8</w:t>
            </w:r>
          </w:p>
        </w:tc>
      </w:tr>
      <w:tr>
        <w:tblPrEx>
          <w:tblCellMar>
            <w:top w:w="0" w:type="dxa"/>
            <w:left w:w="0" w:type="dxa"/>
            <w:bottom w:w="0" w:type="dxa"/>
            <w:right w:w="0" w:type="dxa"/>
          </w:tblCellMar>
        </w:tblPrEx>
        <w:trPr>
          <w:trHeight w:val="340" w:hRule="atLeast"/>
          <w:jc w:val="center"/>
        </w:trPr>
        <w:tc>
          <w:tcPr>
            <w:tcW w:w="520" w:type="pct"/>
            <w:gridSpan w:val="2"/>
            <w:vMerge w:val="continue"/>
            <w:tcBorders>
              <w:left w:val="single" w:color="000000" w:sz="12"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493" w:type="pct"/>
            <w:vMerge w:val="continue"/>
            <w:tcBorders>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陆域生态</w:t>
            </w:r>
          </w:p>
        </w:tc>
        <w:tc>
          <w:tcPr>
            <w:tcW w:w="205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生态恢复，生态补偿</w:t>
            </w:r>
          </w:p>
        </w:tc>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12</w:t>
            </w:r>
          </w:p>
        </w:tc>
      </w:tr>
      <w:tr>
        <w:tblPrEx>
          <w:tblCellMar>
            <w:top w:w="0" w:type="dxa"/>
            <w:left w:w="0" w:type="dxa"/>
            <w:bottom w:w="0" w:type="dxa"/>
            <w:right w:w="0" w:type="dxa"/>
          </w:tblCellMar>
        </w:tblPrEx>
        <w:trPr>
          <w:trHeight w:val="340" w:hRule="atLeast"/>
          <w:jc w:val="center"/>
        </w:trPr>
        <w:tc>
          <w:tcPr>
            <w:tcW w:w="520" w:type="pct"/>
            <w:gridSpan w:val="2"/>
            <w:tcBorders>
              <w:top w:val="single" w:color="000000" w:sz="4" w:space="0"/>
              <w:left w:val="single" w:color="000000" w:sz="12"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绿化</w:t>
            </w:r>
          </w:p>
        </w:tc>
        <w:tc>
          <w:tcPr>
            <w:tcW w:w="308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选择适宜当地气候生长的常绿乔木和灌木如：刺槐、槐树、女贞、夹竹桃等进行绿化</w:t>
            </w:r>
          </w:p>
        </w:tc>
        <w:tc>
          <w:tcPr>
            <w:tcW w:w="108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312" w:type="pct"/>
            <w:tcBorders>
              <w:top w:val="single" w:color="000000" w:sz="4" w:space="0"/>
              <w:left w:val="single" w:color="000000" w:sz="4" w:space="0"/>
              <w:bottom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20</w:t>
            </w:r>
          </w:p>
        </w:tc>
      </w:tr>
      <w:tr>
        <w:tblPrEx>
          <w:tblCellMar>
            <w:top w:w="0" w:type="dxa"/>
            <w:left w:w="0" w:type="dxa"/>
            <w:bottom w:w="0" w:type="dxa"/>
            <w:right w:w="0" w:type="dxa"/>
          </w:tblCellMar>
        </w:tblPrEx>
        <w:trPr>
          <w:trHeight w:val="340" w:hRule="atLeast"/>
          <w:jc w:val="center"/>
        </w:trPr>
        <w:tc>
          <w:tcPr>
            <w:tcW w:w="520" w:type="pct"/>
            <w:gridSpan w:val="2"/>
            <w:tcBorders>
              <w:top w:val="single" w:color="000000" w:sz="4" w:space="0"/>
              <w:left w:val="single" w:color="000000" w:sz="12"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事故应急措施</w:t>
            </w:r>
          </w:p>
        </w:tc>
        <w:tc>
          <w:tcPr>
            <w:tcW w:w="3080" w:type="pct"/>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adjustRightInd w:val="0"/>
              <w:snapToGrid w:val="0"/>
              <w:ind w:firstLine="420" w:firstLineChars="200"/>
              <w:rPr>
                <w:rFonts w:ascii="Times New Roman" w:hAnsi="Times New Roman" w:eastAsiaTheme="minorEastAsia"/>
                <w:color w:val="FF0000"/>
                <w:u w:val="single"/>
              </w:rPr>
            </w:pPr>
            <w:r>
              <w:rPr>
                <w:rFonts w:ascii="Times New Roman" w:hAnsi="Times New Roman" w:eastAsiaTheme="minorEastAsia"/>
                <w:color w:val="FF0000"/>
                <w:u w:val="single"/>
              </w:rPr>
              <w:t>事故应急人员培训，围油设备、收油设备及其他防护设备，制定污染应急计划，预留事故水质监测，通讯报警设备、设施</w:t>
            </w:r>
          </w:p>
        </w:tc>
        <w:tc>
          <w:tcPr>
            <w:tcW w:w="1088" w:type="pct"/>
            <w:tcBorders>
              <w:top w:val="single" w:color="000000" w:sz="4" w:space="0"/>
              <w:left w:val="single" w:color="000000" w:sz="4"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312" w:type="pct"/>
            <w:tcBorders>
              <w:top w:val="single" w:color="000000" w:sz="4" w:space="0"/>
              <w:left w:val="single" w:color="000000" w:sz="4" w:space="0"/>
              <w:bottom w:val="single" w:color="auto"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38</w:t>
            </w:r>
          </w:p>
        </w:tc>
      </w:tr>
      <w:tr>
        <w:tblPrEx>
          <w:tblCellMar>
            <w:top w:w="0" w:type="dxa"/>
            <w:left w:w="0" w:type="dxa"/>
            <w:bottom w:w="0" w:type="dxa"/>
            <w:right w:w="0" w:type="dxa"/>
          </w:tblCellMar>
        </w:tblPrEx>
        <w:trPr>
          <w:trHeight w:val="340" w:hRule="atLeast"/>
          <w:jc w:val="center"/>
        </w:trPr>
        <w:tc>
          <w:tcPr>
            <w:tcW w:w="520" w:type="pct"/>
            <w:gridSpan w:val="2"/>
            <w:tcBorders>
              <w:top w:val="single" w:color="auto" w:sz="4" w:space="0"/>
              <w:left w:val="single" w:color="000000" w:sz="12"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环境管理（机构、监测能力等）</w:t>
            </w:r>
          </w:p>
        </w:tc>
        <w:tc>
          <w:tcPr>
            <w:tcW w:w="3080" w:type="pct"/>
            <w:gridSpan w:val="3"/>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ind w:firstLine="420" w:firstLineChars="200"/>
              <w:rPr>
                <w:rFonts w:ascii="Times New Roman" w:hAnsi="Times New Roman" w:eastAsiaTheme="minorEastAsia"/>
                <w:color w:val="FF0000"/>
                <w:u w:val="single"/>
              </w:rPr>
            </w:pPr>
            <w:r>
              <w:rPr>
                <w:rFonts w:ascii="Times New Roman" w:hAnsi="Times New Roman" w:eastAsiaTheme="minorEastAsia"/>
                <w:color w:val="FF0000"/>
                <w:u w:val="single"/>
              </w:rPr>
              <w:t>本项目建成后，应设立专门的环境管理机构和专职或兼职环保人员1~2名，负责环境保护监督管理工作。本项目施工期和运营期的环境保护和防治污染设施由建设单位实施，政府监督部门为岳阳市生态环境局云溪分局</w:t>
            </w:r>
          </w:p>
        </w:tc>
        <w:tc>
          <w:tcPr>
            <w:tcW w:w="1088" w:type="pct"/>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312" w:type="pct"/>
            <w:vMerge w:val="restart"/>
            <w:tcBorders>
              <w:top w:val="single" w:color="auto" w:sz="4" w:space="0"/>
              <w:left w:val="single" w:color="000000"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22</w:t>
            </w:r>
          </w:p>
        </w:tc>
      </w:tr>
      <w:tr>
        <w:tblPrEx>
          <w:tblCellMar>
            <w:top w:w="0" w:type="dxa"/>
            <w:left w:w="0" w:type="dxa"/>
            <w:bottom w:w="0" w:type="dxa"/>
            <w:right w:w="0" w:type="dxa"/>
          </w:tblCellMar>
        </w:tblPrEx>
        <w:trPr>
          <w:trHeight w:val="340" w:hRule="atLeast"/>
          <w:jc w:val="center"/>
        </w:trPr>
        <w:tc>
          <w:tcPr>
            <w:tcW w:w="520" w:type="pct"/>
            <w:gridSpan w:val="2"/>
            <w:tcBorders>
              <w:top w:val="single" w:color="auto" w:sz="4" w:space="0"/>
              <w:left w:val="single" w:color="000000" w:sz="12"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污分流、排污口规范化设置</w:t>
            </w:r>
          </w:p>
        </w:tc>
        <w:tc>
          <w:tcPr>
            <w:tcW w:w="3080" w:type="pct"/>
            <w:gridSpan w:val="3"/>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清污分流，雨污分流管网铺设</w:t>
            </w:r>
          </w:p>
        </w:tc>
        <w:tc>
          <w:tcPr>
            <w:tcW w:w="1088" w:type="pct"/>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符合相关规范</w:t>
            </w:r>
          </w:p>
        </w:tc>
        <w:tc>
          <w:tcPr>
            <w:tcW w:w="312" w:type="pct"/>
            <w:vMerge w:val="continue"/>
            <w:tcBorders>
              <w:left w:val="single" w:color="000000" w:sz="4" w:space="0"/>
              <w:bottom w:val="single" w:color="auto"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p>
        </w:tc>
      </w:tr>
      <w:tr>
        <w:tblPrEx>
          <w:tblCellMar>
            <w:top w:w="0" w:type="dxa"/>
            <w:left w:w="0" w:type="dxa"/>
            <w:bottom w:w="0" w:type="dxa"/>
            <w:right w:w="0" w:type="dxa"/>
          </w:tblCellMar>
        </w:tblPrEx>
        <w:trPr>
          <w:trHeight w:val="340" w:hRule="atLeast"/>
          <w:jc w:val="center"/>
        </w:trPr>
        <w:tc>
          <w:tcPr>
            <w:tcW w:w="520" w:type="pct"/>
            <w:gridSpan w:val="2"/>
            <w:tcBorders>
              <w:top w:val="single" w:color="auto" w:sz="4" w:space="0"/>
              <w:left w:val="single" w:color="000000" w:sz="12"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总量平衡具体</w:t>
            </w:r>
          </w:p>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方案</w:t>
            </w:r>
          </w:p>
        </w:tc>
        <w:tc>
          <w:tcPr>
            <w:tcW w:w="4168" w:type="pct"/>
            <w:gridSpan w:val="4"/>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本项目废气均为无组织废气，无需申请总量。本项目废水依托中石化长岭分公司第二污水处理厂集中处理</w:t>
            </w:r>
          </w:p>
        </w:tc>
        <w:tc>
          <w:tcPr>
            <w:tcW w:w="312" w:type="pct"/>
            <w:tcBorders>
              <w:top w:val="single" w:color="auto" w:sz="4" w:space="0"/>
              <w:left w:val="single" w:color="000000" w:sz="4" w:space="0"/>
              <w:bottom w:val="single" w:color="auto" w:sz="4"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r>
      <w:tr>
        <w:tblPrEx>
          <w:tblCellMar>
            <w:top w:w="0" w:type="dxa"/>
            <w:left w:w="0" w:type="dxa"/>
            <w:bottom w:w="0" w:type="dxa"/>
            <w:right w:w="0" w:type="dxa"/>
          </w:tblCellMar>
        </w:tblPrEx>
        <w:trPr>
          <w:trHeight w:val="340" w:hRule="atLeast"/>
          <w:jc w:val="center"/>
        </w:trPr>
        <w:tc>
          <w:tcPr>
            <w:tcW w:w="4688" w:type="pct"/>
            <w:gridSpan w:val="6"/>
            <w:tcBorders>
              <w:top w:val="single" w:color="auto" w:sz="4" w:space="0"/>
              <w:left w:val="single" w:color="000000" w:sz="12" w:space="0"/>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共计</w:t>
            </w:r>
          </w:p>
        </w:tc>
        <w:tc>
          <w:tcPr>
            <w:tcW w:w="312" w:type="pct"/>
            <w:tcBorders>
              <w:top w:val="single" w:color="auto" w:sz="4" w:space="0"/>
              <w:left w:val="single" w:color="000000" w:sz="4" w:space="0"/>
              <w:bottom w:val="single" w:color="000000" w:sz="12" w:space="0"/>
              <w:right w:val="single" w:color="000000" w:sz="12" w:space="0"/>
            </w:tcBorders>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2205.8</w:t>
            </w:r>
          </w:p>
        </w:tc>
      </w:tr>
    </w:tbl>
    <w:p>
      <w:pPr>
        <w:autoSpaceDE w:val="0"/>
        <w:autoSpaceDN w:val="0"/>
        <w:adjustRightInd w:val="0"/>
        <w:snapToGrid w:val="0"/>
        <w:spacing w:line="360" w:lineRule="auto"/>
        <w:rPr>
          <w:rFonts w:ascii="Times New Roman" w:hAnsi="Times New Roman" w:eastAsiaTheme="minorEastAsia"/>
          <w:kern w:val="0"/>
          <w:sz w:val="24"/>
          <w:szCs w:val="24"/>
        </w:rPr>
      </w:pP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numPr>
          <w:ilvl w:val="0"/>
          <w:numId w:val="1"/>
        </w:numPr>
        <w:adjustRightInd w:val="0"/>
        <w:snapToGrid w:val="0"/>
        <w:spacing w:line="480" w:lineRule="auto"/>
        <w:ind w:left="431" w:hanging="431"/>
        <w:jc w:val="center"/>
        <w:outlineLvl w:val="0"/>
        <w:rPr>
          <w:rFonts w:ascii="Times New Roman" w:hAnsi="Times New Roman" w:eastAsiaTheme="minorEastAsia"/>
          <w:b/>
          <w:bCs/>
          <w:kern w:val="44"/>
          <w:sz w:val="32"/>
          <w:szCs w:val="32"/>
        </w:rPr>
      </w:pPr>
      <w:bookmarkStart w:id="299" w:name="_Toc21581"/>
      <w:r>
        <w:rPr>
          <w:rFonts w:ascii="Times New Roman" w:hAnsi="Times New Roman" w:eastAsiaTheme="minorEastAsia"/>
          <w:b/>
          <w:bCs/>
          <w:kern w:val="44"/>
          <w:sz w:val="32"/>
          <w:szCs w:val="32"/>
        </w:rPr>
        <w:t>环境经济损益分析</w:t>
      </w:r>
      <w:bookmarkEnd w:id="299"/>
    </w:p>
    <w:p>
      <w:pPr>
        <w:keepNext/>
        <w:keepLines/>
        <w:numPr>
          <w:ilvl w:val="1"/>
          <w:numId w:val="1"/>
        </w:numPr>
        <w:adjustRightInd w:val="0"/>
        <w:snapToGrid w:val="0"/>
        <w:spacing w:line="360" w:lineRule="auto"/>
        <w:outlineLvl w:val="1"/>
        <w:rPr>
          <w:rFonts w:ascii="Times New Roman" w:hAnsi="Times New Roman" w:eastAsiaTheme="minorEastAsia"/>
          <w:b/>
          <w:bCs/>
          <w:color w:val="000000" w:themeColor="text1"/>
          <w:kern w:val="0"/>
          <w:sz w:val="24"/>
          <w:szCs w:val="32"/>
          <w14:textFill>
            <w14:solidFill>
              <w14:schemeClr w14:val="tx1"/>
            </w14:solidFill>
          </w14:textFill>
        </w:rPr>
      </w:pPr>
      <w:bookmarkStart w:id="300" w:name="_Toc1746"/>
      <w:r>
        <w:rPr>
          <w:rFonts w:ascii="Times New Roman" w:hAnsi="Times New Roman" w:eastAsiaTheme="minorEastAsia"/>
          <w:b/>
          <w:bCs/>
          <w:color w:val="000000" w:themeColor="text1"/>
          <w:kern w:val="0"/>
          <w:sz w:val="24"/>
          <w:szCs w:val="32"/>
          <w14:textFill>
            <w14:solidFill>
              <w14:schemeClr w14:val="tx1"/>
            </w14:solidFill>
          </w14:textFill>
        </w:rPr>
        <w:t>项目带来的环境损失</w:t>
      </w:r>
      <w:bookmarkEnd w:id="300"/>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本项目带来的环境损失主要表现在施工期码头、引桥基础施工对区域水环境的影响，管线工程施工对区域生态的影响；营运期装卸作业过程中产生的废气、生产废水和生活污水、事故风险溢油。</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1、水工建筑物施工作业对水环境的影响</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本项目水域施工将造成局部水域悬浮物浓度增加，对局部水环境、生态环境有一定的污染影响，但影响是暂时的、有限的，随着施工期的结束，这种影响也随之结束。</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2、管线施工对生态的影响</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管道埋地敷设的方式使原有水域及水利设施用地等遭到破坏，但随着工程施工的结束，在评价区的可绿化区域进行绿化，使绿地面积逐步达到项目设计的要求，这种影响也随之结束。</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3、装卸作业废气</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油品装卸船作业时，在风力作用下会造成局部区域非甲烷总烃超标影响。</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4、生产生活污水</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营运期发生的污水主要包括初期雨污水、冲洗水、港区工作人员生活污水等，污水排放会增加受纳水体污染负荷。</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5、事故溢油</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到港船舶如在码头水域发生碰撞等事故，造成柴油泄漏，将对区域水、空气和生态环境和居民产生污染影响，造成环境损失。</w:t>
      </w:r>
    </w:p>
    <w:p>
      <w:pPr>
        <w:keepNext/>
        <w:keepLines/>
        <w:numPr>
          <w:ilvl w:val="1"/>
          <w:numId w:val="1"/>
        </w:numPr>
        <w:adjustRightInd w:val="0"/>
        <w:snapToGrid w:val="0"/>
        <w:spacing w:line="360" w:lineRule="auto"/>
        <w:outlineLvl w:val="1"/>
        <w:rPr>
          <w:rFonts w:ascii="Times New Roman" w:hAnsi="Times New Roman" w:eastAsiaTheme="minorEastAsia"/>
          <w:b/>
          <w:bCs/>
          <w:color w:val="000000" w:themeColor="text1"/>
          <w:kern w:val="0"/>
          <w:sz w:val="24"/>
          <w:szCs w:val="32"/>
          <w14:textFill>
            <w14:solidFill>
              <w14:schemeClr w14:val="tx1"/>
            </w14:solidFill>
          </w14:textFill>
        </w:rPr>
      </w:pPr>
      <w:bookmarkStart w:id="301" w:name="_Toc15654"/>
      <w:r>
        <w:rPr>
          <w:rFonts w:ascii="Times New Roman" w:hAnsi="Times New Roman" w:eastAsiaTheme="minorEastAsia"/>
          <w:b/>
          <w:bCs/>
          <w:color w:val="000000" w:themeColor="text1"/>
          <w:kern w:val="0"/>
          <w:sz w:val="24"/>
          <w:szCs w:val="32"/>
          <w14:textFill>
            <w14:solidFill>
              <w14:schemeClr w14:val="tx1"/>
            </w14:solidFill>
          </w14:textFill>
        </w:rPr>
        <w:t>工程产生的效益分析</w:t>
      </w:r>
      <w:bookmarkEnd w:id="301"/>
    </w:p>
    <w:p>
      <w:pPr>
        <w:keepNext/>
        <w:keepLines/>
        <w:numPr>
          <w:ilvl w:val="2"/>
          <w:numId w:val="1"/>
        </w:numPr>
        <w:adjustRightInd w:val="0"/>
        <w:snapToGrid w:val="0"/>
        <w:spacing w:line="360" w:lineRule="auto"/>
        <w:outlineLvl w:val="2"/>
        <w:rPr>
          <w:rFonts w:ascii="Times New Roman" w:hAnsi="Times New Roman" w:eastAsiaTheme="minorEastAsia"/>
          <w:b/>
          <w:bCs/>
          <w:kern w:val="0"/>
          <w:sz w:val="24"/>
          <w:szCs w:val="32"/>
        </w:rPr>
      </w:pPr>
      <w:r>
        <w:rPr>
          <w:rFonts w:ascii="Times New Roman" w:hAnsi="Times New Roman" w:eastAsiaTheme="minorEastAsia"/>
          <w:b/>
          <w:bCs/>
          <w:kern w:val="0"/>
          <w:sz w:val="24"/>
          <w:szCs w:val="32"/>
        </w:rPr>
        <w:t>社会经济效益</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的建设符合国家产业政策，项目建成投产后，将为当地带来新的就业机会，会使部分外出务工人员返乡而留在当地参与项目的建设，随着现代化港口的建成及运营，为当地居民提供新的经济收入来源，丰富了当地居民的生活，提高了当地教育、文化和卫生水平，使当地居民的生活水平和生活质量得到提高和改善。</w:t>
      </w:r>
    </w:p>
    <w:p>
      <w:pPr>
        <w:keepNext/>
        <w:keepLines/>
        <w:numPr>
          <w:ilvl w:val="2"/>
          <w:numId w:val="1"/>
        </w:numPr>
        <w:adjustRightInd w:val="0"/>
        <w:snapToGrid w:val="0"/>
        <w:spacing w:line="360" w:lineRule="auto"/>
        <w:outlineLvl w:val="2"/>
        <w:rPr>
          <w:rFonts w:ascii="Times New Roman" w:hAnsi="Times New Roman" w:eastAsiaTheme="minorEastAsia"/>
          <w:b/>
          <w:bCs/>
          <w:kern w:val="0"/>
          <w:sz w:val="24"/>
          <w:szCs w:val="32"/>
        </w:rPr>
      </w:pPr>
      <w:r>
        <w:rPr>
          <w:rFonts w:ascii="Times New Roman" w:hAnsi="Times New Roman" w:eastAsiaTheme="minorEastAsia"/>
          <w:b/>
          <w:bCs/>
          <w:kern w:val="0"/>
          <w:sz w:val="24"/>
          <w:szCs w:val="32"/>
        </w:rPr>
        <w:t>环境经济效益</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工程施工对区域环境会带来短暂的影响，通过控制采取适当的方法、文明施工，加强施工监理等措施减缓影响。各种废水经港口部污水处理站和一体化模压式净化槽生活污水处理设施处理后排入中石化长岭分公司第二污水处理厂，对周围地表水环境影响不明显；采取的各种降噪、隔声措施可降低噪声设备的声级，减少噪声对港界的影响，同时改善工作环境，保护了劳动者的身心健康；固体废物在采取合理的处理处置措施后，不产生二次污染，基本不对周边环境产生危害。</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本项目在采取切实可行的环保措施后，可以大幅度减少污染物的排放量。项目环境经济效益估算见表9.3-1。</w:t>
      </w:r>
    </w:p>
    <w:p>
      <w:pPr>
        <w:adjustRightInd w:val="0"/>
        <w:snapToGrid w:val="0"/>
        <w:spacing w:line="276" w:lineRule="auto"/>
        <w:ind w:firstLine="498" w:firstLineChars="200"/>
        <w:jc w:val="center"/>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表9.3-1  本项目环境经济效益估算</w:t>
      </w:r>
    </w:p>
    <w:tbl>
      <w:tblPr>
        <w:tblStyle w:val="7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3817"/>
        <w:gridCol w:w="2477"/>
        <w:gridCol w:w="2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vAlign w:val="center"/>
          </w:tcPr>
          <w:p>
            <w:pPr>
              <w:adjustRightInd w:val="0"/>
              <w:snapToGrid w:val="0"/>
              <w:jc w:val="center"/>
              <w:rPr>
                <w:rFonts w:ascii="Times New Roman" w:hAnsi="Times New Roman" w:eastAsiaTheme="minorEastAsia"/>
                <w:b/>
                <w:color w:val="000000" w:themeColor="text1"/>
                <w:spacing w:val="4"/>
                <w14:textFill>
                  <w14:solidFill>
                    <w14:schemeClr w14:val="tx1"/>
                  </w14:solidFill>
                </w14:textFill>
              </w:rPr>
            </w:pPr>
            <w:r>
              <w:rPr>
                <w:rFonts w:ascii="Times New Roman" w:hAnsi="Times New Roman" w:eastAsiaTheme="minorEastAsia"/>
                <w:b/>
                <w:color w:val="000000" w:themeColor="text1"/>
                <w:spacing w:val="4"/>
                <w14:textFill>
                  <w14:solidFill>
                    <w14:schemeClr w14:val="tx1"/>
                  </w14:solidFill>
                </w14:textFill>
              </w:rPr>
              <w:t>序号</w:t>
            </w:r>
          </w:p>
        </w:tc>
        <w:tc>
          <w:tcPr>
            <w:tcW w:w="3716" w:type="dxa"/>
            <w:vAlign w:val="center"/>
          </w:tcPr>
          <w:p>
            <w:pPr>
              <w:adjustRightInd w:val="0"/>
              <w:snapToGrid w:val="0"/>
              <w:jc w:val="center"/>
              <w:rPr>
                <w:rFonts w:ascii="Times New Roman" w:hAnsi="Times New Roman" w:eastAsiaTheme="minorEastAsia"/>
                <w:b/>
                <w:color w:val="000000" w:themeColor="text1"/>
                <w:spacing w:val="4"/>
                <w14:textFill>
                  <w14:solidFill>
                    <w14:schemeClr w14:val="tx1"/>
                  </w14:solidFill>
                </w14:textFill>
              </w:rPr>
            </w:pPr>
            <w:r>
              <w:rPr>
                <w:rFonts w:ascii="Times New Roman" w:hAnsi="Times New Roman" w:eastAsiaTheme="minorEastAsia"/>
                <w:b/>
                <w:color w:val="000000" w:themeColor="text1"/>
                <w:spacing w:val="4"/>
                <w14:textFill>
                  <w14:solidFill>
                    <w14:schemeClr w14:val="tx1"/>
                  </w14:solidFill>
                </w14:textFill>
              </w:rPr>
              <w:t>投资目的</w:t>
            </w:r>
          </w:p>
        </w:tc>
        <w:tc>
          <w:tcPr>
            <w:tcW w:w="2411" w:type="dxa"/>
            <w:vAlign w:val="center"/>
          </w:tcPr>
          <w:p>
            <w:pPr>
              <w:adjustRightInd w:val="0"/>
              <w:snapToGrid w:val="0"/>
              <w:jc w:val="center"/>
              <w:rPr>
                <w:rFonts w:ascii="Times New Roman" w:hAnsi="Times New Roman" w:eastAsiaTheme="minorEastAsia"/>
                <w:b/>
                <w:color w:val="000000" w:themeColor="text1"/>
                <w:spacing w:val="4"/>
                <w14:textFill>
                  <w14:solidFill>
                    <w14:schemeClr w14:val="tx1"/>
                  </w14:solidFill>
                </w14:textFill>
              </w:rPr>
            </w:pPr>
            <w:r>
              <w:rPr>
                <w:rFonts w:ascii="Times New Roman" w:hAnsi="Times New Roman" w:eastAsiaTheme="minorEastAsia"/>
                <w:b/>
                <w:color w:val="000000" w:themeColor="text1"/>
                <w:spacing w:val="4"/>
                <w14:textFill>
                  <w14:solidFill>
                    <w14:schemeClr w14:val="tx1"/>
                  </w14:solidFill>
                </w14:textFill>
              </w:rPr>
              <w:t>估算换回费用（万元）</w:t>
            </w:r>
          </w:p>
        </w:tc>
        <w:tc>
          <w:tcPr>
            <w:tcW w:w="2110" w:type="dxa"/>
            <w:vAlign w:val="center"/>
          </w:tcPr>
          <w:p>
            <w:pPr>
              <w:adjustRightInd w:val="0"/>
              <w:snapToGrid w:val="0"/>
              <w:jc w:val="center"/>
              <w:rPr>
                <w:rFonts w:ascii="Times New Roman" w:hAnsi="Times New Roman" w:eastAsiaTheme="minorEastAsia"/>
                <w:b/>
                <w:color w:val="000000" w:themeColor="text1"/>
                <w:spacing w:val="4"/>
                <w14:textFill>
                  <w14:solidFill>
                    <w14:schemeClr w14:val="tx1"/>
                  </w14:solidFill>
                </w14:textFill>
              </w:rPr>
            </w:pPr>
            <w:r>
              <w:rPr>
                <w:rFonts w:ascii="Times New Roman" w:hAnsi="Times New Roman" w:eastAsiaTheme="minorEastAsia"/>
                <w:b/>
                <w:color w:val="000000" w:themeColor="text1"/>
                <w:spacing w:val="4"/>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1</w:t>
            </w:r>
          </w:p>
        </w:tc>
        <w:tc>
          <w:tcPr>
            <w:tcW w:w="3716"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杜绝风险事故发生，避免事故溢油造成经济损失，减少水域污染</w:t>
            </w:r>
          </w:p>
        </w:tc>
        <w:tc>
          <w:tcPr>
            <w:tcW w:w="2411"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30</w:t>
            </w:r>
          </w:p>
        </w:tc>
        <w:tc>
          <w:tcPr>
            <w:tcW w:w="2110"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按发生一次事故溢油损失计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2</w:t>
            </w:r>
          </w:p>
        </w:tc>
        <w:tc>
          <w:tcPr>
            <w:tcW w:w="3716"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控制油品装船、卸船环节的废气污染</w:t>
            </w:r>
          </w:p>
        </w:tc>
        <w:tc>
          <w:tcPr>
            <w:tcW w:w="2411"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10</w:t>
            </w:r>
          </w:p>
        </w:tc>
        <w:tc>
          <w:tcPr>
            <w:tcW w:w="2110"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按周边人群收到的长期影响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3</w:t>
            </w:r>
          </w:p>
        </w:tc>
        <w:tc>
          <w:tcPr>
            <w:tcW w:w="3716"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防止污水排放和其它污染物对水体影响</w:t>
            </w:r>
          </w:p>
        </w:tc>
        <w:tc>
          <w:tcPr>
            <w:tcW w:w="2411"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20</w:t>
            </w:r>
          </w:p>
        </w:tc>
        <w:tc>
          <w:tcPr>
            <w:tcW w:w="2110"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按污染物排入江中造成的损失计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0" w:type="dxa"/>
            <w:gridSpan w:val="2"/>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合计</w:t>
            </w:r>
          </w:p>
        </w:tc>
        <w:tc>
          <w:tcPr>
            <w:tcW w:w="2411"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60</w:t>
            </w:r>
          </w:p>
        </w:tc>
        <w:tc>
          <w:tcPr>
            <w:tcW w:w="2110" w:type="dxa"/>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w:t>
            </w:r>
          </w:p>
        </w:tc>
      </w:tr>
    </w:tbl>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结合本项目带来的环境损失、产生的经济效益和社会效益，以及工程环保投入和产生的环境效益进行综合分析，本项目的建设在创造良好经济效益和社会效益的同时，对环境的影响有限，经采取措施后，能够将工程带来的环境损失得到最大限度的控制。</w:t>
      </w:r>
    </w:p>
    <w:p>
      <w:pPr>
        <w:keepNext/>
        <w:keepLines/>
        <w:numPr>
          <w:ilvl w:val="1"/>
          <w:numId w:val="1"/>
        </w:numPr>
        <w:adjustRightInd w:val="0"/>
        <w:snapToGrid w:val="0"/>
        <w:spacing w:line="360" w:lineRule="auto"/>
        <w:outlineLvl w:val="1"/>
        <w:rPr>
          <w:rFonts w:ascii="Times New Roman" w:hAnsi="Times New Roman" w:eastAsiaTheme="minorEastAsia"/>
          <w:b/>
          <w:bCs/>
          <w:color w:val="000000" w:themeColor="text1"/>
          <w:kern w:val="0"/>
          <w:sz w:val="24"/>
          <w:szCs w:val="32"/>
          <w14:textFill>
            <w14:solidFill>
              <w14:schemeClr w14:val="tx1"/>
            </w14:solidFill>
          </w14:textFill>
        </w:rPr>
      </w:pPr>
      <w:bookmarkStart w:id="302" w:name="_Toc9138"/>
      <w:r>
        <w:rPr>
          <w:rFonts w:ascii="Times New Roman" w:hAnsi="Times New Roman" w:eastAsiaTheme="minorEastAsia"/>
          <w:b/>
          <w:bCs/>
          <w:color w:val="000000" w:themeColor="text1"/>
          <w:kern w:val="0"/>
          <w:sz w:val="24"/>
          <w:szCs w:val="32"/>
          <w14:textFill>
            <w14:solidFill>
              <w14:schemeClr w14:val="tx1"/>
            </w14:solidFill>
          </w14:textFill>
        </w:rPr>
        <w:t>环境影响经济损益分析</w:t>
      </w:r>
      <w:bookmarkEnd w:id="302"/>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环保措施的经济损益分析可由年环保费用的经济效益来表示，计算公式如下：</w:t>
      </w:r>
    </w:p>
    <w:p>
      <w:pPr>
        <w:adjustRightInd w:val="0"/>
        <w:snapToGrid w:val="0"/>
        <w:spacing w:line="360" w:lineRule="auto"/>
        <w:jc w:val="center"/>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E=S/H</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式中：E—环保费用的经济效益；</w:t>
      </w:r>
    </w:p>
    <w:p>
      <w:pPr>
        <w:adjustRightInd w:val="0"/>
        <w:snapToGrid w:val="0"/>
        <w:spacing w:line="360" w:lineRule="auto"/>
        <w:ind w:firstLine="1240" w:firstLineChars="5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S—采取环保措施后每年可挽回的经济损失；</w:t>
      </w:r>
    </w:p>
    <w:p>
      <w:pPr>
        <w:adjustRightInd w:val="0"/>
        <w:snapToGrid w:val="0"/>
        <w:spacing w:line="360" w:lineRule="auto"/>
        <w:ind w:firstLine="1240" w:firstLineChars="5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H—年均环保投资费用。</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本项目每年可挽回经济损失60万元，每年（折算营运期20年）用于环保的直接费用为8万元，环保费用的经济效益E=60/8=7.5，较为合理。</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结合本项目带来的环境损失、产生的经济效益、社会效益以及工程环保投入和产生的环境效益进行综合分析和比较，本项目的建设在创造良好经济效益和社会效益的同时，经采取污染防治措施后，能够将工程带来的环境损失降到很低程度，对环境的影响有限。</w:t>
      </w:r>
    </w:p>
    <w:p>
      <w:pPr>
        <w:autoSpaceDE w:val="0"/>
        <w:autoSpaceDN w:val="0"/>
        <w:adjustRightInd w:val="0"/>
        <w:snapToGrid w:val="0"/>
        <w:spacing w:line="360" w:lineRule="auto"/>
        <w:ind w:firstLine="496" w:firstLineChars="200"/>
        <w:rPr>
          <w:rFonts w:ascii="Times New Roman" w:hAnsi="Times New Roman" w:eastAsiaTheme="minorEastAsia"/>
        </w:rPr>
      </w:pPr>
      <w:r>
        <w:rPr>
          <w:rFonts w:ascii="Times New Roman" w:hAnsi="Times New Roman" w:eastAsiaTheme="minorEastAsia"/>
          <w:color w:val="000000" w:themeColor="text1"/>
          <w:spacing w:val="4"/>
          <w:sz w:val="24"/>
          <w:szCs w:val="24"/>
          <w14:textFill>
            <w14:solidFill>
              <w14:schemeClr w14:val="tx1"/>
            </w14:solidFill>
          </w14:textFill>
        </w:rPr>
        <w:t>综上所述，本项目的建设能够做到经济效益、社会效益和环境效益的统一。</w:t>
      </w:r>
    </w:p>
    <w:p>
      <w:pPr>
        <w:pStyle w:val="69"/>
        <w:ind w:firstLine="0" w:firstLineChars="0"/>
        <w:rPr>
          <w:rFonts w:cs="Times New Roman" w:eastAsiaTheme="minorEastAsia"/>
        </w:rPr>
      </w:pPr>
    </w:p>
    <w:p>
      <w:pPr>
        <w:pStyle w:val="69"/>
        <w:ind w:firstLine="480"/>
        <w:rPr>
          <w:rFonts w:cs="Times New Roman" w:eastAsiaTheme="minorEastAsia"/>
        </w:rPr>
        <w:sectPr>
          <w:headerReference r:id="rId17" w:type="default"/>
          <w:pgSz w:w="11907" w:h="16839"/>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303" w:name="_Toc14825"/>
      <w:r>
        <w:rPr>
          <w:rFonts w:eastAsiaTheme="minorEastAsia"/>
          <w:b/>
          <w:sz w:val="32"/>
          <w:szCs w:val="32"/>
        </w:rPr>
        <w:t>环境保护管理及监测计划</w:t>
      </w:r>
      <w:bookmarkEnd w:id="303"/>
    </w:p>
    <w:p>
      <w:pPr>
        <w:pStyle w:val="3"/>
        <w:rPr>
          <w:rFonts w:ascii="Times New Roman" w:hAnsi="Times New Roman" w:eastAsiaTheme="minorEastAsia"/>
          <w:b/>
        </w:rPr>
      </w:pPr>
      <w:bookmarkStart w:id="304" w:name="_Toc9825"/>
      <w:r>
        <w:rPr>
          <w:rFonts w:ascii="Times New Roman" w:hAnsi="Times New Roman" w:eastAsiaTheme="minorEastAsia"/>
          <w:b/>
        </w:rPr>
        <w:t>环境管理</w:t>
      </w:r>
      <w:bookmarkEnd w:id="304"/>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环境管理是以环境科学理论为基础，运用经济、法律、技术、行政、教育等手段对经济、社会发展过程中施加给环境的污染和破坏影响进行调节控制、实现经济、社会和环境效益的和谐统一。本环境管理计划依据环评报告书提出的主要环境问题、环保工程措施及省、地市环保部门对企业环境管理的要求，提出该项目的环境管理和监测计划，供各级环保部门对该项目进行环境管理时参考，并作为企业项目设计、建设及运营阶段环境保护管理工作的依据。</w:t>
      </w:r>
    </w:p>
    <w:p>
      <w:pPr>
        <w:pStyle w:val="4"/>
        <w:rPr>
          <w:rFonts w:eastAsiaTheme="minorEastAsia"/>
        </w:rPr>
      </w:pPr>
      <w:r>
        <w:rPr>
          <w:rFonts w:eastAsiaTheme="minorEastAsia"/>
        </w:rPr>
        <w:t>环境保护管理目的</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1、贯彻执行国家有关环境保护方针、政策及法规条例；</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2、制定年度项目环境保护工作计划，整编相关资料，建立环境信息系统，编制年度环境质量报告，并呈报上级主管部门；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3、加强项目环境监测管理，审定监测计划，委托具有相应资质的环境、卫生监测等专业部门实施环境监测计划；</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4、组织实施项目的环境保护规划，并监督、检查环境保护措施的执行情况和环保经费的使用情况；</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5、协调处理项目引起的环境污染事故和环境纠纷；</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6、加强环境保护的宣传教育和技术培训，提高工程建设、管理人员的环境保护意识与环境保护技术水平。</w:t>
      </w:r>
    </w:p>
    <w:p>
      <w:pPr>
        <w:pStyle w:val="4"/>
        <w:rPr>
          <w:rFonts w:eastAsiaTheme="minorEastAsia"/>
        </w:rPr>
      </w:pPr>
      <w:r>
        <w:rPr>
          <w:rFonts w:eastAsiaTheme="minorEastAsia"/>
        </w:rPr>
        <w:t>环境保护管理机构</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建设、营运各个时段环境保护管理机构的与监督机构的组成见表10.1-1。</w:t>
      </w:r>
    </w:p>
    <w:p>
      <w:pPr>
        <w:autoSpaceDE w:val="0"/>
        <w:autoSpaceDN w:val="0"/>
        <w:adjustRightInd w:val="0"/>
        <w:snapToGrid w:val="0"/>
        <w:spacing w:line="276" w:lineRule="auto"/>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表10.1-1  环境保护管理机构主要工作职能</w:t>
      </w:r>
    </w:p>
    <w:tbl>
      <w:tblPr>
        <w:tblStyle w:val="7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28"/>
        <w:gridCol w:w="2835"/>
        <w:gridCol w:w="43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8"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管理内容项目阶段</w:t>
            </w:r>
          </w:p>
        </w:tc>
        <w:tc>
          <w:tcPr>
            <w:tcW w:w="2835"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工程建设内容</w:t>
            </w:r>
          </w:p>
        </w:tc>
        <w:tc>
          <w:tcPr>
            <w:tcW w:w="4377"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环境管理内容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项目前期工作</w:t>
            </w:r>
          </w:p>
        </w:tc>
        <w:tc>
          <w:tcPr>
            <w:tcW w:w="2835" w:type="dxa"/>
            <w:vAlign w:val="center"/>
          </w:tcPr>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⑴ </w:t>
            </w:r>
            <w:r>
              <w:rPr>
                <w:rFonts w:ascii="Times New Roman" w:hAnsi="Times New Roman" w:eastAsiaTheme="minorEastAsia"/>
                <w:color w:val="000000" w:themeColor="text1"/>
                <w:kern w:val="0"/>
                <w14:textFill>
                  <w14:solidFill>
                    <w14:schemeClr w14:val="tx1"/>
                  </w14:solidFill>
                </w14:textFill>
              </w:rPr>
              <w:t>编制项目建议书</w:t>
            </w:r>
            <w:r>
              <w:rPr>
                <w:rFonts w:hint="eastAsia" w:ascii="Times New Roman" w:hAnsi="Times New Roman" w:eastAsiaTheme="minorEastAsia"/>
                <w:color w:val="000000" w:themeColor="text1"/>
                <w:kern w:val="0"/>
                <w14:textFill>
                  <w14:solidFill>
                    <w14:schemeClr w14:val="tx1"/>
                  </w14:solidFill>
                </w14:textFill>
              </w:rPr>
              <w:t>；</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⑵ </w:t>
            </w:r>
            <w:r>
              <w:rPr>
                <w:rFonts w:ascii="Times New Roman" w:hAnsi="Times New Roman" w:eastAsiaTheme="minorEastAsia"/>
                <w:color w:val="000000" w:themeColor="text1"/>
                <w:kern w:val="0"/>
                <w14:textFill>
                  <w14:solidFill>
                    <w14:schemeClr w14:val="tx1"/>
                  </w14:solidFill>
                </w14:textFill>
              </w:rPr>
              <w:t>编制可行性研究报告</w:t>
            </w:r>
            <w:r>
              <w:rPr>
                <w:rFonts w:hint="eastAsia" w:ascii="Times New Roman" w:hAnsi="Times New Roman" w:eastAsiaTheme="minorEastAsia"/>
                <w:color w:val="000000" w:themeColor="text1"/>
                <w:kern w:val="0"/>
                <w14:textFill>
                  <w14:solidFill>
                    <w14:schemeClr w14:val="tx1"/>
                  </w14:solidFill>
                </w14:textFill>
              </w:rPr>
              <w:t>；</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⑶ </w:t>
            </w:r>
            <w:r>
              <w:rPr>
                <w:rFonts w:ascii="Times New Roman" w:hAnsi="Times New Roman" w:eastAsiaTheme="minorEastAsia"/>
                <w:color w:val="000000" w:themeColor="text1"/>
                <w:kern w:val="0"/>
                <w14:textFill>
                  <w14:solidFill>
                    <w14:schemeClr w14:val="tx1"/>
                  </w14:solidFill>
                </w14:textFill>
              </w:rPr>
              <w:t>编制设计任务书</w:t>
            </w:r>
            <w:r>
              <w:rPr>
                <w:rFonts w:hint="eastAsia" w:ascii="Times New Roman" w:hAnsi="Times New Roman" w:eastAsiaTheme="minorEastAsia"/>
                <w:color w:val="000000" w:themeColor="text1"/>
                <w:kern w:val="0"/>
                <w14:textFill>
                  <w14:solidFill>
                    <w14:schemeClr w14:val="tx1"/>
                  </w14:solidFill>
                </w14:textFill>
              </w:rPr>
              <w:t>；</w:t>
            </w:r>
          </w:p>
        </w:tc>
        <w:tc>
          <w:tcPr>
            <w:tcW w:w="4377" w:type="dxa"/>
            <w:vAlign w:val="center"/>
          </w:tcPr>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⑴ </w:t>
            </w:r>
            <w:r>
              <w:rPr>
                <w:rFonts w:ascii="Times New Roman" w:hAnsi="Times New Roman" w:eastAsiaTheme="minorEastAsia"/>
                <w:color w:val="000000" w:themeColor="text1"/>
                <w:kern w:val="0"/>
                <w14:textFill>
                  <w14:solidFill>
                    <w14:schemeClr w14:val="tx1"/>
                  </w14:solidFill>
                </w14:textFill>
              </w:rPr>
              <w:t>填写《建设项目环境影响申报（登记）表》</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⑵ </w:t>
            </w:r>
            <w:r>
              <w:rPr>
                <w:rFonts w:ascii="Times New Roman" w:hAnsi="Times New Roman" w:eastAsiaTheme="minorEastAsia"/>
                <w:color w:val="000000" w:themeColor="text1"/>
                <w:kern w:val="0"/>
                <w14:textFill>
                  <w14:solidFill>
                    <w14:schemeClr w14:val="tx1"/>
                  </w14:solidFill>
                </w14:textFill>
              </w:rPr>
              <w:t>委托环评单位编制环境影响报告书</w:t>
            </w:r>
            <w:r>
              <w:rPr>
                <w:rFonts w:hint="eastAsia" w:ascii="Times New Roman" w:hAnsi="Times New Roman" w:eastAsiaTheme="minorEastAsia"/>
                <w:color w:val="000000" w:themeColor="text1"/>
                <w:kern w:val="0"/>
                <w14:textFill>
                  <w14:solidFill>
                    <w14:schemeClr w14:val="tx1"/>
                  </w14:solidFill>
                </w14:textFill>
              </w:rPr>
              <w:t>；</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⑶ </w:t>
            </w:r>
            <w:r>
              <w:rPr>
                <w:rFonts w:ascii="Times New Roman" w:hAnsi="Times New Roman" w:eastAsiaTheme="minorEastAsia"/>
                <w:color w:val="000000" w:themeColor="text1"/>
                <w:kern w:val="0"/>
                <w14:textFill>
                  <w14:solidFill>
                    <w14:schemeClr w14:val="tx1"/>
                  </w14:solidFill>
                </w14:textFill>
              </w:rPr>
              <w:t>报告书送审、报批</w:t>
            </w:r>
            <w:r>
              <w:rPr>
                <w:rFonts w:hint="eastAsia" w:ascii="Times New Roman" w:hAnsi="Times New Roman" w:eastAsiaTheme="minorEastAsia"/>
                <w:color w:val="000000" w:themeColor="text1"/>
                <w:kern w:val="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设计阶段</w:t>
            </w:r>
          </w:p>
        </w:tc>
        <w:tc>
          <w:tcPr>
            <w:tcW w:w="2835" w:type="dxa"/>
            <w:vAlign w:val="center"/>
          </w:tcPr>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⑴ </w:t>
            </w:r>
            <w:r>
              <w:rPr>
                <w:rFonts w:ascii="Times New Roman" w:hAnsi="Times New Roman" w:eastAsiaTheme="minorEastAsia"/>
                <w:color w:val="000000" w:themeColor="text1"/>
                <w:kern w:val="0"/>
                <w14:textFill>
                  <w14:solidFill>
                    <w14:schemeClr w14:val="tx1"/>
                  </w14:solidFill>
                </w14:textFill>
              </w:rPr>
              <w:t>工程初步设计</w:t>
            </w:r>
            <w:r>
              <w:rPr>
                <w:rFonts w:hint="eastAsia" w:ascii="Times New Roman" w:hAnsi="Times New Roman" w:eastAsiaTheme="minorEastAsia"/>
                <w:color w:val="000000" w:themeColor="text1"/>
                <w:kern w:val="0"/>
                <w14:textFill>
                  <w14:solidFill>
                    <w14:schemeClr w14:val="tx1"/>
                  </w14:solidFill>
                </w14:textFill>
              </w:rPr>
              <w:t>；</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⑵ </w:t>
            </w:r>
            <w:r>
              <w:rPr>
                <w:rFonts w:ascii="Times New Roman" w:hAnsi="Times New Roman" w:eastAsiaTheme="minorEastAsia"/>
                <w:color w:val="000000" w:themeColor="text1"/>
                <w:kern w:val="0"/>
                <w14:textFill>
                  <w14:solidFill>
                    <w14:schemeClr w14:val="tx1"/>
                  </w14:solidFill>
                </w14:textFill>
              </w:rPr>
              <w:t>工程施工图设计</w:t>
            </w:r>
            <w:r>
              <w:rPr>
                <w:rFonts w:hint="eastAsia" w:ascii="Times New Roman" w:hAnsi="Times New Roman" w:eastAsiaTheme="minorEastAsia"/>
                <w:color w:val="000000" w:themeColor="text1"/>
                <w:kern w:val="0"/>
                <w14:textFill>
                  <w14:solidFill>
                    <w14:schemeClr w14:val="tx1"/>
                  </w14:solidFill>
                </w14:textFill>
              </w:rPr>
              <w:t>；</w:t>
            </w:r>
          </w:p>
        </w:tc>
        <w:tc>
          <w:tcPr>
            <w:tcW w:w="4377" w:type="dxa"/>
            <w:vAlign w:val="center"/>
          </w:tcPr>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协助设计单位落实环评报告书中提出的各项环境保护措施</w:t>
            </w:r>
            <w:r>
              <w:rPr>
                <w:rFonts w:hint="eastAsia" w:ascii="Times New Roman" w:hAnsi="Times New Roman" w:eastAsiaTheme="minorEastAsia"/>
                <w:color w:val="000000" w:themeColor="text1"/>
                <w:kern w:val="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施工阶段</w:t>
            </w:r>
          </w:p>
        </w:tc>
        <w:tc>
          <w:tcPr>
            <w:tcW w:w="2835" w:type="dxa"/>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⑴ </w:t>
            </w:r>
            <w:r>
              <w:rPr>
                <w:rFonts w:ascii="Times New Roman" w:hAnsi="Times New Roman" w:eastAsiaTheme="minorEastAsia"/>
                <w:color w:val="000000" w:themeColor="text1"/>
                <w:kern w:val="0"/>
                <w14:textFill>
                  <w14:solidFill>
                    <w14:schemeClr w14:val="tx1"/>
                  </w14:solidFill>
                </w14:textFill>
              </w:rPr>
              <w:t>编制施工文件及施工报告</w:t>
            </w:r>
            <w:r>
              <w:rPr>
                <w:rFonts w:hint="eastAsia" w:ascii="Times New Roman" w:hAnsi="Times New Roman" w:eastAsiaTheme="minorEastAsia"/>
                <w:color w:val="000000" w:themeColor="text1"/>
                <w:kern w:val="0"/>
                <w14:textFill>
                  <w14:solidFill>
                    <w14:schemeClr w14:val="tx1"/>
                  </w14:solidFill>
                </w14:textFill>
              </w:rPr>
              <w:t>；</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⑵ </w:t>
            </w:r>
            <w:r>
              <w:rPr>
                <w:rFonts w:ascii="Times New Roman" w:hAnsi="Times New Roman" w:eastAsiaTheme="minorEastAsia"/>
                <w:color w:val="000000" w:themeColor="text1"/>
                <w:kern w:val="0"/>
                <w14:textFill>
                  <w14:solidFill>
                    <w14:schemeClr w14:val="tx1"/>
                  </w14:solidFill>
                </w14:textFill>
              </w:rPr>
              <w:t>施工安装、提出竣工报告</w:t>
            </w:r>
          </w:p>
        </w:tc>
        <w:tc>
          <w:tcPr>
            <w:tcW w:w="4377" w:type="dxa"/>
            <w:vAlign w:val="center"/>
          </w:tcPr>
          <w:p>
            <w:pPr>
              <w:autoSpaceDE w:val="0"/>
              <w:autoSpaceDN w:val="0"/>
              <w:adjustRightInd w:val="0"/>
              <w:jc w:val="left"/>
              <w:rPr>
                <w:rFonts w:ascii="Times New Roman" w:hAnsi="Times New Roman" w:eastAsiaTheme="minorEastAsia"/>
                <w:kern w:val="0"/>
              </w:rPr>
            </w:pPr>
            <w:r>
              <w:rPr>
                <w:rFonts w:hint="eastAsia" w:ascii="宋体" w:hAnsi="宋体" w:cs="宋体"/>
                <w:color w:val="000000" w:themeColor="text1"/>
                <w:kern w:val="0"/>
                <w14:textFill>
                  <w14:solidFill>
                    <w14:schemeClr w14:val="tx1"/>
                  </w14:solidFill>
                </w14:textFill>
              </w:rPr>
              <w:t xml:space="preserve">⑴ </w:t>
            </w:r>
            <w:r>
              <w:rPr>
                <w:rFonts w:ascii="Times New Roman" w:hAnsi="Times New Roman" w:eastAsiaTheme="minorEastAsia"/>
                <w:kern w:val="0"/>
              </w:rPr>
              <w:t>监督施工单位落实环境保护措施</w:t>
            </w:r>
            <w:r>
              <w:rPr>
                <w:rFonts w:hint="eastAsia" w:ascii="Times New Roman" w:hAnsi="Times New Roman" w:eastAsiaTheme="minorEastAsia"/>
                <w:kern w:val="0"/>
              </w:rPr>
              <w:t>；</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⑵ </w:t>
            </w:r>
            <w:r>
              <w:rPr>
                <w:rFonts w:ascii="Times New Roman" w:hAnsi="Times New Roman" w:eastAsiaTheme="minorEastAsia"/>
                <w:kern w:val="0"/>
              </w:rPr>
              <w:t>环保设备施工及竣工验收</w:t>
            </w:r>
            <w:r>
              <w:rPr>
                <w:rFonts w:hint="eastAsia" w:ascii="Times New Roman" w:hAnsi="Times New Roman" w:eastAsiaTheme="minorEastAsia"/>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运营阶段</w:t>
            </w:r>
          </w:p>
        </w:tc>
        <w:tc>
          <w:tcPr>
            <w:tcW w:w="2835" w:type="dxa"/>
            <w:vAlign w:val="center"/>
          </w:tcPr>
          <w:p>
            <w:pPr>
              <w:autoSpaceDE w:val="0"/>
              <w:autoSpaceDN w:val="0"/>
              <w:adjustRightInd w:val="0"/>
              <w:jc w:val="left"/>
              <w:rPr>
                <w:rFonts w:ascii="Times New Roman" w:hAnsi="Times New Roman" w:eastAsiaTheme="minorEastAsia"/>
                <w:kern w:val="0"/>
              </w:rPr>
            </w:pPr>
            <w:r>
              <w:rPr>
                <w:rFonts w:hint="eastAsia" w:ascii="宋体" w:hAnsi="宋体" w:cs="宋体"/>
                <w:color w:val="000000" w:themeColor="text1"/>
                <w:kern w:val="0"/>
                <w14:textFill>
                  <w14:solidFill>
                    <w14:schemeClr w14:val="tx1"/>
                  </w14:solidFill>
                </w14:textFill>
              </w:rPr>
              <w:t xml:space="preserve">⑴ </w:t>
            </w:r>
            <w:r>
              <w:rPr>
                <w:rFonts w:ascii="Times New Roman" w:hAnsi="Times New Roman" w:eastAsiaTheme="minorEastAsia"/>
                <w:kern w:val="0"/>
              </w:rPr>
              <w:t>生产装卸作业</w:t>
            </w:r>
            <w:r>
              <w:rPr>
                <w:rFonts w:hint="eastAsia" w:ascii="Times New Roman" w:hAnsi="Times New Roman" w:eastAsiaTheme="minorEastAsia"/>
                <w:kern w:val="0"/>
              </w:rPr>
              <w:t>；</w:t>
            </w:r>
          </w:p>
          <w:p>
            <w:pPr>
              <w:autoSpaceDE w:val="0"/>
              <w:autoSpaceDN w:val="0"/>
              <w:adjustRightInd w:val="0"/>
              <w:jc w:val="left"/>
              <w:rPr>
                <w:rFonts w:ascii="Times New Roman" w:hAnsi="Times New Roman" w:eastAsiaTheme="minorEastAsia"/>
                <w:kern w:val="0"/>
              </w:rPr>
            </w:pPr>
            <w:r>
              <w:rPr>
                <w:rFonts w:hint="eastAsia" w:ascii="宋体" w:hAnsi="宋体" w:cs="宋体"/>
                <w:color w:val="000000" w:themeColor="text1"/>
                <w:kern w:val="0"/>
                <w14:textFill>
                  <w14:solidFill>
                    <w14:schemeClr w14:val="tx1"/>
                  </w14:solidFill>
                </w14:textFill>
              </w:rPr>
              <w:t xml:space="preserve">⑵ </w:t>
            </w:r>
            <w:r>
              <w:rPr>
                <w:rFonts w:ascii="Times New Roman" w:hAnsi="Times New Roman" w:eastAsiaTheme="minorEastAsia"/>
                <w:kern w:val="0"/>
              </w:rPr>
              <w:t>管线输送</w:t>
            </w:r>
            <w:r>
              <w:rPr>
                <w:rFonts w:hint="eastAsia" w:ascii="Times New Roman" w:hAnsi="Times New Roman" w:eastAsiaTheme="minorEastAsia"/>
                <w:kern w:val="0"/>
              </w:rPr>
              <w:t>；</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kern w:val="0"/>
              </w:rPr>
              <w:t xml:space="preserve">⑶ </w:t>
            </w:r>
            <w:r>
              <w:rPr>
                <w:rFonts w:ascii="Times New Roman" w:hAnsi="Times New Roman" w:eastAsiaTheme="minorEastAsia"/>
                <w:kern w:val="0"/>
              </w:rPr>
              <w:t>环保设施运行</w:t>
            </w:r>
            <w:r>
              <w:rPr>
                <w:rFonts w:hint="eastAsia" w:ascii="Times New Roman" w:hAnsi="Times New Roman" w:eastAsiaTheme="minorEastAsia"/>
                <w:kern w:val="0"/>
              </w:rPr>
              <w:t>；</w:t>
            </w:r>
          </w:p>
        </w:tc>
        <w:tc>
          <w:tcPr>
            <w:tcW w:w="4377" w:type="dxa"/>
            <w:vAlign w:val="center"/>
          </w:tcPr>
          <w:p>
            <w:pPr>
              <w:autoSpaceDE w:val="0"/>
              <w:autoSpaceDN w:val="0"/>
              <w:adjustRightInd w:val="0"/>
              <w:jc w:val="left"/>
              <w:rPr>
                <w:rFonts w:ascii="Times New Roman" w:hAnsi="Times New Roman" w:eastAsiaTheme="minorEastAsia"/>
                <w:kern w:val="0"/>
              </w:rPr>
            </w:pPr>
            <w:r>
              <w:rPr>
                <w:rFonts w:hint="eastAsia" w:ascii="宋体" w:hAnsi="宋体" w:cs="宋体"/>
                <w:color w:val="000000" w:themeColor="text1"/>
                <w:kern w:val="0"/>
                <w14:textFill>
                  <w14:solidFill>
                    <w14:schemeClr w14:val="tx1"/>
                  </w14:solidFill>
                </w14:textFill>
              </w:rPr>
              <w:t xml:space="preserve">⑴ </w:t>
            </w:r>
            <w:r>
              <w:rPr>
                <w:rFonts w:ascii="Times New Roman" w:hAnsi="Times New Roman" w:eastAsiaTheme="minorEastAsia"/>
                <w:kern w:val="0"/>
              </w:rPr>
              <w:t>检查环保设施运行情况</w:t>
            </w:r>
            <w:r>
              <w:rPr>
                <w:rFonts w:hint="eastAsia" w:ascii="Times New Roman" w:hAnsi="Times New Roman" w:eastAsiaTheme="minorEastAsia"/>
                <w:kern w:val="0"/>
              </w:rPr>
              <w:t>；</w:t>
            </w:r>
          </w:p>
          <w:p>
            <w:pPr>
              <w:autoSpaceDE w:val="0"/>
              <w:autoSpaceDN w:val="0"/>
              <w:adjustRightIn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⑵ </w:t>
            </w:r>
            <w:r>
              <w:rPr>
                <w:rFonts w:ascii="Times New Roman" w:hAnsi="Times New Roman" w:eastAsiaTheme="minorEastAsia"/>
                <w:kern w:val="0"/>
              </w:rPr>
              <w:t>做好内部环境监测和管理工作，并定期与当地环境保护管理部门汇报</w:t>
            </w:r>
          </w:p>
        </w:tc>
      </w:tr>
    </w:tbl>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生态环境局负责项目环境设施的竣工验收，负责对项目保护工作实施监督管理，组织协调有关机构为项目环境保护工作服务，监督项目环境管理计划的实施，项目环保设施的竣工验收、运行情况的检查和监督管理。工程施工实行监理制度，按工程质量和环保要求对项目进行全面质量管理。</w:t>
      </w:r>
    </w:p>
    <w:p>
      <w:pPr>
        <w:pStyle w:val="4"/>
        <w:rPr>
          <w:rFonts w:eastAsiaTheme="minorEastAsia"/>
        </w:rPr>
      </w:pPr>
      <w:r>
        <w:rPr>
          <w:rFonts w:eastAsiaTheme="minorEastAsia"/>
        </w:rPr>
        <w:t>施工前环境管理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在施工前，施工单位应详细编制施工组织计划并建立环境管理制度，要有专人负责施工期间的环境保护工作，对施工中产生的“三废”应作出相应的防治措施及处置方法。环境管理要做到贯彻国家的环保法规标准，建立各项环保管理制度，做到有章可循，科学管理。工程建设时应保证环保投资落实到位，使各项环保设施达到设计规定的效率和要求。</w:t>
      </w:r>
    </w:p>
    <w:p>
      <w:pPr>
        <w:pStyle w:val="4"/>
        <w:rPr>
          <w:rFonts w:eastAsiaTheme="minorEastAsia"/>
        </w:rPr>
      </w:pPr>
      <w:r>
        <w:rPr>
          <w:rFonts w:eastAsiaTheme="minorEastAsia"/>
        </w:rPr>
        <w:t>施工期环境管理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为预防和治理施工中的环境污染问题，除采取必要的污染治理措施外，还必须加强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施工期的环境监测和管理。对此，提出以下建议：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建设单位在签订施工承包合同时，应将有关环境保护的条款列入合同，其中应包括施工中在环境污染预防和治理方面对承包方的具体要求，如施工噪声污染、废水、扬尘和废气等排放治理，施工垃圾处理处置等内容，见表10.1-2。</w:t>
      </w:r>
    </w:p>
    <w:p>
      <w:pPr>
        <w:autoSpaceDE w:val="0"/>
        <w:autoSpaceDN w:val="0"/>
        <w:adjustRightInd w:val="0"/>
        <w:snapToGrid w:val="0"/>
        <w:spacing w:line="276" w:lineRule="auto"/>
        <w:ind w:firstLine="482" w:firstLineChars="200"/>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表10.1-2  施工期环境影响监督表</w:t>
      </w:r>
    </w:p>
    <w:tbl>
      <w:tblPr>
        <w:tblStyle w:val="7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4871"/>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kern w:val="0"/>
              </w:rPr>
              <w:t>序号</w:t>
            </w:r>
          </w:p>
        </w:tc>
        <w:tc>
          <w:tcPr>
            <w:tcW w:w="1418"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项目</w:t>
            </w:r>
          </w:p>
        </w:tc>
        <w:tc>
          <w:tcPr>
            <w:tcW w:w="4871"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监督内容</w:t>
            </w:r>
          </w:p>
        </w:tc>
        <w:tc>
          <w:tcPr>
            <w:tcW w:w="2322"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监督单位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w:t>
            </w:r>
          </w:p>
        </w:tc>
        <w:tc>
          <w:tcPr>
            <w:tcW w:w="141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施工废水</w:t>
            </w:r>
          </w:p>
        </w:tc>
        <w:tc>
          <w:tcPr>
            <w:tcW w:w="4871" w:type="dxa"/>
            <w:vAlign w:val="center"/>
          </w:tcPr>
          <w:p>
            <w:pPr>
              <w:autoSpaceDE w:val="0"/>
              <w:autoSpaceDN w:val="0"/>
              <w:adjustRightIn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临时处理措施，含油污水和生活污水是否落实处理；码头水域施工是否在枯水季节</w:t>
            </w:r>
          </w:p>
        </w:tc>
        <w:tc>
          <w:tcPr>
            <w:tcW w:w="2322"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地方生态环境主管部门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w:t>
            </w:r>
          </w:p>
        </w:tc>
        <w:tc>
          <w:tcPr>
            <w:tcW w:w="141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扬尘等废气</w:t>
            </w:r>
          </w:p>
        </w:tc>
        <w:tc>
          <w:tcPr>
            <w:tcW w:w="4871" w:type="dxa"/>
            <w:vAlign w:val="center"/>
          </w:tcPr>
          <w:p>
            <w:pPr>
              <w:autoSpaceDE w:val="0"/>
              <w:autoSpaceDN w:val="0"/>
              <w:adjustRightIn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扬尘抑制措施，是否修筑厂界围墙或简约围屏，是否对散料堆场采取水喷淋防尘措施，是否对陆域施工现场及运输道路定期洒水清扫，保持车辆出入口路面清洁和湿润</w:t>
            </w:r>
          </w:p>
        </w:tc>
        <w:tc>
          <w:tcPr>
            <w:tcW w:w="2322"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地方生态环境主管部门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w:t>
            </w:r>
          </w:p>
        </w:tc>
        <w:tc>
          <w:tcPr>
            <w:tcW w:w="141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噪声</w:t>
            </w:r>
          </w:p>
        </w:tc>
        <w:tc>
          <w:tcPr>
            <w:tcW w:w="4871" w:type="dxa"/>
            <w:vAlign w:val="center"/>
          </w:tcPr>
          <w:p>
            <w:pPr>
              <w:autoSpaceDE w:val="0"/>
              <w:autoSpaceDN w:val="0"/>
              <w:adjustRightIn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夜间施工和场界噪声，高噪声设备附近是否加设可移动简易声屏障，是否夜间不进行打桩、开挖等高噪声施工作业，在夜间超标施工是否向环境主管部门提出申请，获准后在指定日期内进行施工</w:t>
            </w:r>
          </w:p>
        </w:tc>
        <w:tc>
          <w:tcPr>
            <w:tcW w:w="2322"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地方生态环境主管部门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4</w:t>
            </w:r>
          </w:p>
        </w:tc>
        <w:tc>
          <w:tcPr>
            <w:tcW w:w="1418"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临时设施</w:t>
            </w:r>
          </w:p>
        </w:tc>
        <w:tc>
          <w:tcPr>
            <w:tcW w:w="4871"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拆除</w:t>
            </w:r>
          </w:p>
        </w:tc>
        <w:tc>
          <w:tcPr>
            <w:tcW w:w="2322"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地方政府</w:t>
            </w:r>
          </w:p>
        </w:tc>
      </w:tr>
    </w:tbl>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建设期间业主单位应指派一名环保专职或兼职人员，负责施工的环境管理工作，并参与制定和落实施工中的污染防治措施和应急计划，向施工人员讲明施工应采取的环保措施及注意事项。</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环保奖惩制度。对在施工中遵守环保措施的施工人员给予表扬和奖励，对违反环保条款，造成重大污染事故，按照有关法律、法规，追究其应当承担的法律责任。</w:t>
      </w:r>
    </w:p>
    <w:p>
      <w:pPr>
        <w:pStyle w:val="4"/>
        <w:rPr>
          <w:rFonts w:eastAsiaTheme="minorEastAsia"/>
        </w:rPr>
      </w:pPr>
      <w:r>
        <w:rPr>
          <w:rFonts w:eastAsiaTheme="minorEastAsia"/>
        </w:rPr>
        <w:t>运营期环境管理</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1、环境管理机构设置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企业应配置专职环保管理部门，负责全厂的环境保护管理工作。配备环境监测人员1~2人，在接受市级环保监测站以上机构培训后上岗，实施或配合当地环保部门完成本项目的环境管理和监测计划。负责企业的环境管理、环境监测和事故应急处理，具体的职责有：</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依据环境保护、安全生产等方面的法律、法规、标准以及其他要求，制定企业环境管理、安全生产的规章制度，如污染源核实、环境监测、污染治理设施使用维护等有关管理制度和规定。</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开展日常环境监测工作，负责整理和统计企业污染源资料、日常监测资料，并及时上报地方环保部门。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落实企业污染物排放许可。加强对污染治理设施、治理效果以及治理后的污染物排放状况的监督检查。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检查监督环保设备、污染治理装置、安全消防措施的运行管理情况，负责处理各类污染事故以及相应的应急方案。</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负责企业环保安全管理教育和培训。</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2、环境管理计划</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环境管理计划要从项目建设全过程进行，从设计阶段污染防范、施工阶段污染防治、运营后环保设施环境管理、信息反馈和群众监督各方面形成网络管理，使环境管理工作贯穿于生产的全过程中。</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本项目环境管理工作计划见表10.1-3。在表10.1-3所列环境管理大方案下，本项目环境管理工作重点应从减少污染物排放，降低对环境影响等方面进行分项控制。</w:t>
      </w:r>
    </w:p>
    <w:p>
      <w:pPr>
        <w:autoSpaceDE w:val="0"/>
        <w:autoSpaceDN w:val="0"/>
        <w:adjustRightInd w:val="0"/>
        <w:snapToGrid w:val="0"/>
        <w:spacing w:line="276" w:lineRule="auto"/>
        <w:ind w:firstLine="482" w:firstLineChars="200"/>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表10.1-3  环境管理工作计划表</w:t>
      </w:r>
    </w:p>
    <w:tbl>
      <w:tblPr>
        <w:tblStyle w:val="7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76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403"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情况</w:t>
            </w:r>
          </w:p>
        </w:tc>
        <w:tc>
          <w:tcPr>
            <w:tcW w:w="7637"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kern w:val="0"/>
              </w:rPr>
              <w:t>环境管理工作内容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企业环境管理总要求</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根据国家建设项目环境保护管理规定，认真落实各项环保手续</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⑴ </w:t>
            </w:r>
            <w:r>
              <w:rPr>
                <w:rFonts w:ascii="Times New Roman" w:hAnsi="Times New Roman" w:eastAsiaTheme="minorEastAsia"/>
                <w:kern w:val="0"/>
              </w:rPr>
              <w:t>可研阶段，委托评价单位进行环境影响评价工作。</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⑵ </w:t>
            </w:r>
            <w:r>
              <w:rPr>
                <w:rFonts w:ascii="Times New Roman" w:hAnsi="Times New Roman" w:eastAsiaTheme="minorEastAsia"/>
                <w:kern w:val="0"/>
              </w:rPr>
              <w:t>开工前，履行”三同时”手续。</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⑶ </w:t>
            </w:r>
            <w:r>
              <w:rPr>
                <w:rFonts w:ascii="Times New Roman" w:hAnsi="Times New Roman" w:eastAsiaTheme="minorEastAsia"/>
                <w:kern w:val="0"/>
              </w:rPr>
              <w:t>生产装置投产后试生产三个月内，进行环保设施竣工验收。</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kern w:val="0"/>
              </w:rPr>
              <w:t xml:space="preserve">⑷ </w:t>
            </w:r>
            <w:r>
              <w:rPr>
                <w:rFonts w:ascii="Times New Roman" w:hAnsi="Times New Roman" w:eastAsiaTheme="minorEastAsia"/>
                <w:kern w:val="0"/>
              </w:rPr>
              <w:t>生产中，定期请当地环保部门监督、检查，协助主管部门做好环境管理工作，对不达标装置及时整改。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设计阶段</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设计中充分考虑批复后环评报告书中提出的环保设施和措施</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⑴ </w:t>
            </w:r>
            <w:r>
              <w:rPr>
                <w:rFonts w:ascii="Times New Roman" w:hAnsi="Times New Roman" w:eastAsiaTheme="minorEastAsia"/>
                <w:kern w:val="0"/>
              </w:rPr>
              <w:t>设计委托合同中标明环保设施设计。</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kern w:val="0"/>
              </w:rPr>
              <w:t xml:space="preserve">⑵ </w:t>
            </w:r>
            <w:r>
              <w:rPr>
                <w:rFonts w:ascii="Times New Roman" w:hAnsi="Times New Roman" w:eastAsiaTheme="minorEastAsia"/>
                <w:kern w:val="0"/>
              </w:rPr>
              <w:t>设计部门充分调研，比较提出先进、合理的环保设备和设施。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施工阶段</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⑴ </w:t>
            </w:r>
            <w:r>
              <w:rPr>
                <w:rFonts w:ascii="Times New Roman" w:hAnsi="Times New Roman" w:eastAsiaTheme="minorEastAsia"/>
                <w:kern w:val="0"/>
              </w:rPr>
              <w:t>工程合同中明确要求及时清理施工垃圾、废水。</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⑵ </w:t>
            </w:r>
            <w:r>
              <w:rPr>
                <w:rFonts w:ascii="Times New Roman" w:hAnsi="Times New Roman" w:eastAsiaTheme="minorEastAsia"/>
                <w:kern w:val="0"/>
              </w:rPr>
              <w:t>保证施工期噪声不扰民。</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kern w:val="0"/>
              </w:rPr>
              <w:t xml:space="preserve">⑶ </w:t>
            </w:r>
            <w:r>
              <w:rPr>
                <w:rFonts w:ascii="Times New Roman" w:hAnsi="Times New Roman" w:eastAsiaTheme="minorEastAsia"/>
                <w:kern w:val="0"/>
              </w:rPr>
              <w:t>施工期运输车辆需加盖蓬布。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生产运营阶段</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保证环保设施正常运行，主动接受环保部门监督，备有事故应急措施</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⑴ </w:t>
            </w:r>
            <w:r>
              <w:rPr>
                <w:rFonts w:ascii="Times New Roman" w:hAnsi="Times New Roman" w:eastAsiaTheme="minorEastAsia"/>
                <w:kern w:val="0"/>
              </w:rPr>
              <w:t>主管副经理全面负责环保工作。</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⑵ </w:t>
            </w:r>
            <w:r>
              <w:rPr>
                <w:rFonts w:ascii="Times New Roman" w:hAnsi="Times New Roman" w:eastAsiaTheme="minorEastAsia"/>
                <w:kern w:val="0"/>
              </w:rPr>
              <w:t>环保科负责厂内环保设施的管理和维护。</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⑶ </w:t>
            </w:r>
            <w:r>
              <w:rPr>
                <w:rFonts w:ascii="Times New Roman" w:hAnsi="Times New Roman" w:eastAsiaTheme="minorEastAsia"/>
                <w:kern w:val="0"/>
              </w:rPr>
              <w:t>对废气的治理、废水的治理及减振降噪设施，建立环保设施档案。</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⑷ </w:t>
            </w:r>
            <w:r>
              <w:rPr>
                <w:rFonts w:ascii="Times New Roman" w:hAnsi="Times New Roman" w:eastAsiaTheme="minorEastAsia"/>
                <w:kern w:val="0"/>
              </w:rPr>
              <w:t>定期组织污染源和厂区环境监测。</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kern w:val="0"/>
              </w:rPr>
              <w:t xml:space="preserve">⑸ </w:t>
            </w:r>
            <w:r>
              <w:rPr>
                <w:rFonts w:ascii="Times New Roman" w:hAnsi="Times New Roman" w:eastAsiaTheme="minorEastAsia"/>
                <w:kern w:val="0"/>
              </w:rPr>
              <w:t>事故应急方案合理，应急设备设施齐备、完好。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信息反馈和群众监督</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反馈监测数据，加强群众监督，改进污染治理工作。</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⑴ </w:t>
            </w:r>
            <w:r>
              <w:rPr>
                <w:rFonts w:ascii="Times New Roman" w:hAnsi="Times New Roman" w:eastAsiaTheme="minorEastAsia"/>
                <w:kern w:val="0"/>
              </w:rPr>
              <w:t>建立奖惩制度，保证环保设施正常运转。</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⑵ </w:t>
            </w:r>
            <w:r>
              <w:rPr>
                <w:rFonts w:ascii="Times New Roman" w:hAnsi="Times New Roman" w:eastAsiaTheme="minorEastAsia"/>
                <w:kern w:val="0"/>
              </w:rPr>
              <w:t>归纳整理监测数据，技术部门配合进行工艺改进。</w:t>
            </w:r>
          </w:p>
          <w:p>
            <w:pPr>
              <w:autoSpaceDE w:val="0"/>
              <w:autoSpaceDN w:val="0"/>
              <w:adjustRightInd w:val="0"/>
              <w:snapToGrid w:val="0"/>
              <w:jc w:val="left"/>
              <w:rPr>
                <w:rFonts w:ascii="Times New Roman" w:hAnsi="Times New Roman" w:eastAsiaTheme="minorEastAsia"/>
                <w:kern w:val="0"/>
              </w:rPr>
            </w:pPr>
            <w:r>
              <w:rPr>
                <w:rFonts w:hint="eastAsia" w:ascii="Times New Roman" w:hAnsi="Times New Roman" w:eastAsiaTheme="minorEastAsia"/>
                <w:kern w:val="0"/>
              </w:rPr>
              <w:t xml:space="preserve">⑶ </w:t>
            </w:r>
            <w:r>
              <w:rPr>
                <w:rFonts w:ascii="Times New Roman" w:hAnsi="Times New Roman" w:eastAsiaTheme="minorEastAsia"/>
                <w:kern w:val="0"/>
              </w:rPr>
              <w:t>聘请附近村民为监督员，收集附近村民意见。</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Times New Roman" w:hAnsi="Times New Roman" w:eastAsiaTheme="minorEastAsia"/>
                <w:kern w:val="0"/>
              </w:rPr>
              <w:t xml:space="preserve">⑷ </w:t>
            </w:r>
            <w:r>
              <w:rPr>
                <w:rFonts w:ascii="Times New Roman" w:hAnsi="Times New Roman" w:eastAsiaTheme="minorEastAsia"/>
                <w:kern w:val="0"/>
              </w:rPr>
              <w:t>配合环保部门的检查验收。</w:t>
            </w:r>
          </w:p>
        </w:tc>
      </w:tr>
    </w:tbl>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3、环保奖惩制度</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各级管理人员都应树立保护环境的思想，企业也应设置环境保护奖惩条例。对爱护环保治理设施、节省原料、改善工作环境者实行奖励；对于环保观念淡薄，不按环保要求管理，造成环保设施损坏、环境污染及原材料浪费者一律予以重罚。</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4、建立ISO14000体系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建议将ISO14000标准纳入公司日常管理工作中，争取早日通过ISO14000认证。</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5、定期向社会公开本项目以下信息内容</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基础信息，包括单位名称、组织机构代码、法定代表人、生产地址、联系方式，以及生产经营和管理服务的主要内容、产品及规模；</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排污信息，包括主要污染物及特征污染物的名称、排放方式、排放口数量和分布情况、排放浓度和总量、执行的污染物排放标准、核定的排放总量；</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防治污染设施的建设和运行情况；</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建设项目环境影响评价及其他环境保护行政许可情况；</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突发环境事件应急预案；</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eastAsiaTheme="minorEastAsia"/>
          <w:color w:val="000000" w:themeColor="text1"/>
          <w:kern w:val="0"/>
          <w:sz w:val="24"/>
          <w:szCs w:val="24"/>
          <w14:textFill>
            <w14:solidFill>
              <w14:schemeClr w14:val="tx1"/>
            </w14:solidFill>
          </w14:textFill>
        </w:rPr>
        <w:t xml:space="preserve"> 其他应当公开的环境信息。</w:t>
      </w:r>
    </w:p>
    <w:p>
      <w:pPr>
        <w:pStyle w:val="3"/>
        <w:rPr>
          <w:rFonts w:ascii="Times New Roman" w:hAnsi="Times New Roman" w:eastAsiaTheme="minorEastAsia"/>
          <w:b/>
          <w:color w:val="000000" w:themeColor="text1"/>
          <w14:textFill>
            <w14:solidFill>
              <w14:schemeClr w14:val="tx1"/>
            </w14:solidFill>
          </w14:textFill>
        </w:rPr>
      </w:pPr>
      <w:bookmarkStart w:id="305" w:name="_Toc28048"/>
      <w:r>
        <w:rPr>
          <w:rFonts w:ascii="Times New Roman" w:hAnsi="Times New Roman" w:eastAsiaTheme="minorEastAsia"/>
          <w:b/>
          <w:color w:val="000000" w:themeColor="text1"/>
          <w14:textFill>
            <w14:solidFill>
              <w14:schemeClr w14:val="tx1"/>
            </w14:solidFill>
          </w14:textFill>
        </w:rPr>
        <w:t>环境监测</w:t>
      </w:r>
      <w:bookmarkEnd w:id="305"/>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环境监测除依赖于陆域码头的配备外，不能监测的应依靠地方环境监测部门进行监测，监测数据应报地方环境监测部门审核和备案。</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施工期环境监测</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⑴ </w:t>
      </w:r>
      <w:r>
        <w:rPr>
          <w:rFonts w:ascii="Times New Roman" w:hAnsi="Times New Roman" w:eastAsiaTheme="minorEastAsia"/>
          <w:color w:val="000000" w:themeColor="text1"/>
          <w:sz w:val="24"/>
          <w:szCs w:val="24"/>
          <w14:textFill>
            <w14:solidFill>
              <w14:schemeClr w14:val="tx1"/>
            </w14:solidFill>
          </w14:textFill>
        </w:rPr>
        <w:t>噪声：在码头施工场界及管线沿线布设2~3个监测点，每月监测一天，昼夜各监测一次，监测因子为等效A 声级。</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⑵ </w:t>
      </w:r>
      <w:r>
        <w:rPr>
          <w:rFonts w:ascii="Times New Roman" w:hAnsi="Times New Roman" w:eastAsiaTheme="minorEastAsia"/>
          <w:color w:val="000000" w:themeColor="text1"/>
          <w:sz w:val="24"/>
          <w:szCs w:val="24"/>
          <w14:textFill>
            <w14:solidFill>
              <w14:schemeClr w14:val="tx1"/>
            </w14:solidFill>
          </w14:textFill>
        </w:rPr>
        <w:t>大气：在施工区及其周围布设1个大气监测点，每季度监测一次，每次连续三天，监测因子为TSP。</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 xml:space="preserve">⑶ </w:t>
      </w:r>
      <w:r>
        <w:rPr>
          <w:rFonts w:ascii="Times New Roman" w:hAnsi="Times New Roman" w:eastAsiaTheme="minorEastAsia"/>
          <w:color w:val="000000" w:themeColor="text1"/>
          <w:sz w:val="24"/>
          <w:szCs w:val="24"/>
          <w14:textFill>
            <w14:solidFill>
              <w14:schemeClr w14:val="tx1"/>
            </w14:solidFill>
          </w14:textFill>
        </w:rPr>
        <w:t>废水：在项目码头上下游两端0.5km处各布设1个水质监测点，每季度监测一次，每次连续两天，监测因子为COD、SS和石油类。</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营运期环境监测</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1、污染源监测</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项目废水依托港口部污水处理设施处理，港口部进行废水监测事宜。项目主要是检查装卸臂运转是否正常，是否对环境造成了污染以及产生的噪声是否对周围产生较大影响。监测项目包括废气、噪声等。工程投产后，应配备专业技术人员和相应的仪器设备或委托有资质的单位，按照完善的监测程序，进行监测。</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根据《排污单位自行监测技术指南总纲》（HJ819-2017）中相关规范，制定环境监测计划。</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废气：每半年监测一次，项目码头区厂界上风向布设1个参照点，在其厂界下风向10</w:t>
      </w:r>
      <w:r>
        <w:rPr>
          <w:rFonts w:hint="eastAsia" w:ascii="Times New Roman" w:hAnsi="Times New Roman" w:eastAsiaTheme="minorEastAsia"/>
          <w:color w:val="000000" w:themeColor="text1"/>
          <w:sz w:val="24"/>
          <w:szCs w:val="24"/>
          <w14:textFill>
            <w14:solidFill>
              <w14:schemeClr w14:val="tx1"/>
            </w14:solidFill>
          </w14:textFill>
        </w:rPr>
        <w:t>m</w:t>
      </w:r>
      <w:r>
        <w:rPr>
          <w:rFonts w:ascii="Times New Roman" w:hAnsi="Times New Roman" w:eastAsiaTheme="minorEastAsia"/>
          <w:color w:val="000000" w:themeColor="text1"/>
          <w:sz w:val="24"/>
          <w:szCs w:val="24"/>
          <w14:textFill>
            <w14:solidFill>
              <w14:schemeClr w14:val="tx1"/>
            </w14:solidFill>
          </w14:textFill>
        </w:rPr>
        <w:t>内布设3个监控点，监测项目：非甲烷总烃</w:t>
      </w:r>
      <w:r>
        <w:rPr>
          <w:rFonts w:hint="eastAsia" w:ascii="Times New Roman" w:hAnsi="Times New Roman" w:eastAsiaTheme="minorEastAsia"/>
          <w:color w:val="000000" w:themeColor="text1"/>
          <w:sz w:val="24"/>
          <w:szCs w:val="24"/>
          <w14:textFill>
            <w14:solidFill>
              <w14:schemeClr w14:val="tx1"/>
            </w14:solidFill>
          </w14:textFill>
        </w:rPr>
        <w:t>、TVOC</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噪声：对码头区厂界及管线沿线设置2~3个噪声监测点位，每季度监测一次，每次分昼间、夜间进行。</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2、环境监测</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地表水：枯水期、平水期和丰水期各监测一期，一期两，监测因子为COD、石油类，在项目码头上下游两端0.5km各布设一个点。</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3、跟踪监测</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土壤：在项目区域下风向居民点处布置监测点，每5年内开展1次跟踪监测。</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4</w:t>
      </w:r>
      <w:r>
        <w:rPr>
          <w:rFonts w:ascii="Times New Roman" w:hAnsi="Times New Roman" w:eastAsiaTheme="minorEastAsia"/>
          <w:b/>
          <w:color w:val="000000" w:themeColor="text1"/>
          <w:sz w:val="24"/>
          <w:szCs w:val="24"/>
          <w14:textFill>
            <w14:solidFill>
              <w14:schemeClr w14:val="tx1"/>
            </w14:solidFill>
          </w14:textFill>
        </w:rPr>
        <w:t>、事故应急监测</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船舶事故溢油事件监测：事故情况下溢油泄漏时，应急监测组应对事故水域进行污染跟踪监测，直到污染消除为止。</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排污口规范化</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1、排污口规范设置要求</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根据国家环保总局《关于开展排放口规范化整治工作的通知》</w:t>
      </w:r>
      <w:r>
        <w:rPr>
          <w:rFonts w:hint="eastAsia" w:ascii="Times New Roman" w:hAnsi="Times New Roman" w:eastAsiaTheme="minorEastAsia"/>
          <w:color w:val="000000" w:themeColor="text1"/>
          <w:sz w:val="24"/>
          <w:szCs w:val="24"/>
          <w14:textFill>
            <w14:solidFill>
              <w14:schemeClr w14:val="tx1"/>
            </w14:solidFill>
          </w14:textFill>
        </w:rPr>
        <w:t>（2006年</w:t>
      </w:r>
      <w:r>
        <w:rPr>
          <w:rFonts w:ascii="Times New Roman" w:hAnsi="Times New Roman" w:eastAsiaTheme="minorEastAsia"/>
          <w:color w:val="000000" w:themeColor="text1"/>
          <w:sz w:val="24"/>
          <w:szCs w:val="24"/>
          <w14:textFill>
            <w14:solidFill>
              <w14:schemeClr w14:val="tx1"/>
            </w14:solidFill>
          </w14:textFill>
        </w:rPr>
        <w:t>修正版）的要求，为进一步强化对污染源的现场监督管理及更好地落实国务院提出的实施污染物排放总量控制和“一控双达标”的要求，规定一切新建、扩建、改造和限期治理的排污单位必须在建设污染治理设施的同时建设规范化排放口，并作为落实环境保护“三同时”制度的必要组成部分和项目验收内容之一。</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2、排污口图形标志</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在依托库区的废水排放口、码头废气排放源、码头固体废物贮存处置场应设置环境保护图形标志，图形符号分为提示图形和警告图形符号两种。</w:t>
      </w:r>
    </w:p>
    <w:p>
      <w:pPr>
        <w:pStyle w:val="3"/>
        <w:rPr>
          <w:rFonts w:ascii="Times New Roman" w:hAnsi="Times New Roman" w:eastAsiaTheme="minorEastAsia"/>
          <w:b/>
          <w:color w:val="000000" w:themeColor="text1"/>
          <w14:textFill>
            <w14:solidFill>
              <w14:schemeClr w14:val="tx1"/>
            </w14:solidFill>
          </w14:textFill>
        </w:rPr>
      </w:pPr>
      <w:bookmarkStart w:id="306" w:name="_Toc25709"/>
      <w:r>
        <w:rPr>
          <w:rFonts w:ascii="Times New Roman" w:hAnsi="Times New Roman" w:eastAsiaTheme="minorEastAsia"/>
          <w:b/>
          <w:color w:val="000000" w:themeColor="text1"/>
          <w14:textFill>
            <w14:solidFill>
              <w14:schemeClr w14:val="tx1"/>
            </w14:solidFill>
          </w14:textFill>
        </w:rPr>
        <w:t>环境监理</w:t>
      </w:r>
      <w:bookmarkEnd w:id="306"/>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工程监理单位应根据与本项目有关的环保规范和标准、工程设计图纸、设计说明及其它设计文件、工程施工合同及招投标文件、工程环境监理合同及招标文件等编制环境监理方案，并严格按照制定的环境监理方案执行监理工作。</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实施环境监理的原则</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1、环境监理应成为工程监理的重要组成部分，工程监理单位应有专门的从事环境监理的分支机构及环境保护技术人员。</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2、工程监理单位应根据与本项目有关的环保规范和标准、工程设计图纸、设计说明及其它设计文件、工程施工合同及招投标文件、环境影响报告书（含提出的环保措施、环境监测）、工程环境监理合同及招标文件等编制环境监理方案，并严格按照制定的环境监理方案执行监理工作。</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3、环境监理的对象是所有由于施工活动可能产生的环境污染行为、环境监理应以施工期的环境保护、施工后期的污染防治措施的落实情况为重点。</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环境监理工作管理要求</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近几年来，随着地区经济的快速发展，环境污染和生态破坏日趋严重，环境保护压力日趋沉重，认真落实”预防为主”的环境方针，避免重走”先污染后治理”的老路，也是科学发展观的基本思想。最近几年来相关环保审批部门为了落实建设单位是否执行”三同时”制度，而为建设单位提供了一个技术平台——环境监理，环境监理主要是监督建设单位对”三同时”制度的落实情况。</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根据环保管理监管要求，港口码头等生态类项目应开展环境监理，委托有资质单位进行环境监理。</w:t>
      </w:r>
    </w:p>
    <w:p>
      <w:pPr>
        <w:pStyle w:val="5"/>
        <w:rPr>
          <w:rFonts w:eastAsiaTheme="minorEastAsia"/>
        </w:rPr>
      </w:pPr>
      <w:r>
        <w:rPr>
          <w:rFonts w:eastAsiaTheme="minorEastAsia"/>
        </w:rPr>
        <w:t>施工前期环境监理</w:t>
      </w:r>
    </w:p>
    <w:p>
      <w:pPr>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1、污染防治方案的审核</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环境监理根据具体项目的工艺设计，审核施工工艺中的“三废”排放环节，排放的主要污染物及设计中采用的治理技术是否先进，治理措施是否可行。污染物的最终处置方法和去向，应在工程前期按有关文件规定和处理要求，做好计划，审核整个工艺是否具有清洁生产的特点，并提出合理建议。</w:t>
      </w:r>
    </w:p>
    <w:p>
      <w:pPr>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2、审核施工承包合同中的环境保护专项条款</w:t>
      </w:r>
    </w:p>
    <w:p>
      <w:pPr>
        <w:adjustRightInd w:val="0"/>
        <w:snapToGrid w:val="0"/>
        <w:spacing w:line="360" w:lineRule="auto"/>
        <w:ind w:firstLine="480"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kern w:val="0"/>
          <w:sz w:val="24"/>
          <w:szCs w:val="24"/>
        </w:rPr>
        <w:t>施工期承包单位必须遵循的环境保护有关要求应以专项条款的方式在施工承包合同中体现，并在施工过程中据此加强监督管理、检查、监测、减少施工期对环境的污染影响，同时应对施工单位的文明施工素质及施工环境管理水平进行审核，对施工组织人员进行环境保护培训。</w:t>
      </w:r>
    </w:p>
    <w:p>
      <w:pPr>
        <w:pStyle w:val="5"/>
        <w:rPr>
          <w:rFonts w:eastAsiaTheme="minorEastAsia"/>
        </w:rPr>
      </w:pPr>
      <w:r>
        <w:rPr>
          <w:rFonts w:eastAsiaTheme="minorEastAsia"/>
        </w:rPr>
        <w:t>施工期环境监理</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1、环境空气污染源的监理</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施工区域大气污染主要来源于施工和生产过程中机械、船舶、车辆产生的废气和粉尘。对污染源要求达标排放，对施工区域及其影响区域应达到规定的环境质量标准。环境监理工程师应明确施工期施工船舶、施工机械、运输车辆施工作业过程中大气污染源的排放情况，检查施工过程中各类机械设备是否依据有关法规控制粉尘及其它大气污染物污染，对施工现场进行环境空气质量监测结果评定，如超标，环保监理工程师应通知承包方采取防范措施，保证环境空气质量达到标准限制以内。</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2、水污染源的监理</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环境监理工程师应重点对水环境质量进行监理。对生产和生活污水的来源、排放量、水质指标，处理设施的建设过程和处理效果等进行监理，检查和监测是否达到批准的排放标准。监督检查施工现场道路是否畅通，排水系统是否处于良好的使用状态，施工现场是否积水，是否设置了临时沉淀池，施工船舶是否有与其生活污水产生量相适应的处理装置或存储器、大型施工船舶是否安装油水分离器，机舱油污水处理情况、其它小型船舶运转中产生的油污水及其它生活垃圾交接收船收集的情况。对水上施工进行监理，对施工场地生产废水排放处理情况进行监测结果评定，如超标，环境监理工程师要及时通知承包方，采取必要的措施，保证上述污水的排放不对长江水质造成污染影响。</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3、噪声污染源的监理</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为防止噪声危害，对产生强烈噪声污染源，应按设计要求进行防治，要求施工区域及其影响区域的噪声环境质量达到相应的标准。环境监理工程师应熟悉施工活动中施工机械作业场所、施工时间、交通噪声源</w:t>
      </w:r>
      <w:r>
        <w:rPr>
          <w:rFonts w:hint="eastAsia" w:ascii="Times New Roman" w:hAnsi="Times New Roman" w:eastAsiaTheme="minorEastAsia"/>
          <w:color w:val="000000" w:themeColor="text1"/>
          <w:spacing w:val="4"/>
          <w:sz w:val="24"/>
          <w:szCs w:val="24"/>
          <w14:textFill>
            <w14:solidFill>
              <w14:schemeClr w14:val="tx1"/>
            </w14:solidFill>
          </w14:textFill>
        </w:rPr>
        <w:t>（</w:t>
      </w:r>
      <w:r>
        <w:rPr>
          <w:rFonts w:ascii="Times New Roman" w:hAnsi="Times New Roman" w:eastAsiaTheme="minorEastAsia"/>
          <w:color w:val="000000" w:themeColor="text1"/>
          <w:spacing w:val="4"/>
          <w:sz w:val="24"/>
          <w:szCs w:val="24"/>
          <w14:textFill>
            <w14:solidFill>
              <w14:schemeClr w14:val="tx1"/>
            </w14:solidFill>
          </w14:textFill>
        </w:rPr>
        <w:t>运输车辆、船舶噪声</w:t>
      </w:r>
      <w:r>
        <w:rPr>
          <w:rFonts w:hint="eastAsia" w:ascii="Times New Roman" w:hAnsi="Times New Roman" w:eastAsiaTheme="minorEastAsia"/>
          <w:color w:val="000000" w:themeColor="text1"/>
          <w:spacing w:val="4"/>
          <w:sz w:val="24"/>
          <w:szCs w:val="24"/>
          <w14:textFill>
            <w14:solidFill>
              <w14:schemeClr w14:val="tx1"/>
            </w14:solidFill>
          </w14:textFill>
        </w:rPr>
        <w:t>）</w:t>
      </w:r>
      <w:r>
        <w:rPr>
          <w:rFonts w:ascii="Times New Roman" w:hAnsi="Times New Roman" w:eastAsiaTheme="minorEastAsia"/>
          <w:color w:val="000000" w:themeColor="text1"/>
          <w:spacing w:val="4"/>
          <w:sz w:val="24"/>
          <w:szCs w:val="24"/>
          <w14:textFill>
            <w14:solidFill>
              <w14:schemeClr w14:val="tx1"/>
            </w14:solidFill>
          </w14:textFill>
        </w:rPr>
        <w:t>、工作人员生活噪声等各类噪声污染源，监督检查施工过程中各类机械设备是否依据有关法规控制噪声污染。对施工场界进行噪声监测结果评定，如超标，环境监理工程师应通知承包方采取必要的减噪措施，或调整施工机械作业的时间。</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4、固体废物监理</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监督检查建筑工地生活垃圾是否按规定进行妥善处理处置、施工船上生活垃圾的日常收集、分类存储和处理工作。固体废物处理包括生产、生活垃圾和生产废渣的处理要保证工程所在现场清洁整齐的要求。</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5、其它方面</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施工期间对施工人员做好环境保护方面的培训工作，培养大家爱护环境、防止污染的意识，参与调查处理施工期的环境污染事故和环境污染纠纷。</w:t>
      </w:r>
    </w:p>
    <w:p>
      <w:pPr>
        <w:pStyle w:val="5"/>
        <w:rPr>
          <w:rFonts w:eastAsiaTheme="minorEastAsia"/>
        </w:rPr>
      </w:pPr>
      <w:r>
        <w:rPr>
          <w:rFonts w:eastAsiaTheme="minorEastAsia"/>
        </w:rPr>
        <w:t>施工后期环境监理</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监督管理环境恢复监测和环境恢复计划的落实情况及环保处理设施运行情况。检查生态恢复和污染防治措施的落实情况。参与环境工程验收活动，协助建设单位组织人员进行环境保护培训，负责工程环境监理工作计划和总结。</w:t>
      </w:r>
    </w:p>
    <w:p>
      <w:pPr>
        <w:pStyle w:val="3"/>
        <w:rPr>
          <w:rFonts w:ascii="Times New Roman" w:hAnsi="Times New Roman" w:eastAsiaTheme="minorEastAsia"/>
          <w:b/>
          <w:color w:val="000000" w:themeColor="text1"/>
          <w14:textFill>
            <w14:solidFill>
              <w14:schemeClr w14:val="tx1"/>
            </w14:solidFill>
          </w14:textFill>
        </w:rPr>
      </w:pPr>
      <w:bookmarkStart w:id="307" w:name="_Toc1028"/>
      <w:r>
        <w:rPr>
          <w:rFonts w:ascii="Times New Roman" w:hAnsi="Times New Roman" w:eastAsiaTheme="minorEastAsia"/>
          <w:b/>
          <w:color w:val="000000" w:themeColor="text1"/>
          <w14:textFill>
            <w14:solidFill>
              <w14:schemeClr w14:val="tx1"/>
            </w14:solidFill>
          </w14:textFill>
        </w:rPr>
        <w:t>污染物排放总量控制</w:t>
      </w:r>
      <w:bookmarkEnd w:id="307"/>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总量控制因子</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根据《国家环境保护标准“十三五”发展规划》和《国务院关于印发水污染防治行动计划的通知》中对主要污染物排放总量控制的要求，并结合本工程污染排放特点，本项目总量控制因子具体见表10.4-1。</w:t>
      </w:r>
    </w:p>
    <w:p>
      <w:pPr>
        <w:adjustRightInd w:val="0"/>
        <w:snapToGrid w:val="0"/>
        <w:spacing w:line="276" w:lineRule="auto"/>
        <w:ind w:firstLine="498" w:firstLineChars="200"/>
        <w:jc w:val="center"/>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表10.4-1  本项目总量控制因子一览表</w:t>
      </w:r>
    </w:p>
    <w:tbl>
      <w:tblPr>
        <w:tblStyle w:val="7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795"/>
        <w:gridCol w:w="5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5" w:type="pct"/>
            <w:vAlign w:val="center"/>
          </w:tcPr>
          <w:p>
            <w:pPr>
              <w:adjustRightInd w:val="0"/>
              <w:snapToGrid w:val="0"/>
              <w:jc w:val="center"/>
              <w:rPr>
                <w:rFonts w:ascii="Times New Roman" w:hAnsi="Times New Roman" w:eastAsiaTheme="minorEastAsia"/>
                <w:b/>
                <w:color w:val="000000" w:themeColor="text1"/>
                <w:spacing w:val="4"/>
                <w14:textFill>
                  <w14:solidFill>
                    <w14:schemeClr w14:val="tx1"/>
                  </w14:solidFill>
                </w14:textFill>
              </w:rPr>
            </w:pPr>
            <w:r>
              <w:rPr>
                <w:rFonts w:ascii="Times New Roman" w:hAnsi="Times New Roman" w:eastAsiaTheme="minorEastAsia"/>
                <w:b/>
                <w:kern w:val="0"/>
              </w:rPr>
              <w:t>污染源项</w:t>
            </w:r>
          </w:p>
        </w:tc>
        <w:tc>
          <w:tcPr>
            <w:tcW w:w="2915" w:type="pct"/>
            <w:vAlign w:val="center"/>
          </w:tcPr>
          <w:p>
            <w:pPr>
              <w:adjustRightInd w:val="0"/>
              <w:snapToGrid w:val="0"/>
              <w:jc w:val="center"/>
              <w:rPr>
                <w:rFonts w:ascii="Times New Roman" w:hAnsi="Times New Roman" w:eastAsiaTheme="minorEastAsia"/>
                <w:b/>
                <w:color w:val="000000" w:themeColor="text1"/>
                <w:spacing w:val="4"/>
                <w14:textFill>
                  <w14:solidFill>
                    <w14:schemeClr w14:val="tx1"/>
                  </w14:solidFill>
                </w14:textFill>
              </w:rPr>
            </w:pPr>
            <w:r>
              <w:rPr>
                <w:rFonts w:ascii="Times New Roman" w:hAnsi="Times New Roman" w:eastAsiaTheme="minorEastAsia"/>
                <w:b/>
                <w:kern w:val="0"/>
              </w:rPr>
              <w:t>总量控制指标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5" w:type="pct"/>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废水</w:t>
            </w:r>
          </w:p>
        </w:tc>
        <w:tc>
          <w:tcPr>
            <w:tcW w:w="2915" w:type="pct"/>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kern w:val="0"/>
              </w:rPr>
              <w:t>COD、NH</w:t>
            </w:r>
            <w:r>
              <w:rPr>
                <w:rFonts w:ascii="Times New Roman" w:hAnsi="Times New Roman" w:eastAsiaTheme="minorEastAsia"/>
                <w:kern w:val="0"/>
                <w:vertAlign w:val="subscript"/>
              </w:rPr>
              <w:t>3</w:t>
            </w:r>
            <w:r>
              <w:rPr>
                <w:rFonts w:ascii="Times New Roman" w:hAnsi="Times New Roman" w:eastAsiaTheme="minorEastAsia"/>
                <w:kern w:val="0"/>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85" w:type="pct"/>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color w:val="000000" w:themeColor="text1"/>
                <w:spacing w:val="4"/>
                <w14:textFill>
                  <w14:solidFill>
                    <w14:schemeClr w14:val="tx1"/>
                  </w14:solidFill>
                </w14:textFill>
              </w:rPr>
              <w:t>废气</w:t>
            </w:r>
          </w:p>
        </w:tc>
        <w:tc>
          <w:tcPr>
            <w:tcW w:w="2915" w:type="pct"/>
            <w:vAlign w:val="center"/>
          </w:tcPr>
          <w:p>
            <w:pPr>
              <w:adjustRightInd w:val="0"/>
              <w:snapToGrid w:val="0"/>
              <w:jc w:val="center"/>
              <w:rPr>
                <w:rFonts w:ascii="Times New Roman" w:hAnsi="Times New Roman" w:eastAsiaTheme="minorEastAsia"/>
                <w:color w:val="000000" w:themeColor="text1"/>
                <w:spacing w:val="4"/>
                <w14:textFill>
                  <w14:solidFill>
                    <w14:schemeClr w14:val="tx1"/>
                  </w14:solidFill>
                </w14:textFill>
              </w:rPr>
            </w:pPr>
            <w:r>
              <w:rPr>
                <w:rFonts w:ascii="Times New Roman" w:hAnsi="Times New Roman" w:eastAsiaTheme="minorEastAsia"/>
                <w:kern w:val="0"/>
              </w:rPr>
              <w:t>非甲烷总烃</w:t>
            </w:r>
          </w:p>
        </w:tc>
      </w:tr>
    </w:tbl>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总量控制指标建议值</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本项目总量控制情况具体如下：</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1、COD、NH</w:t>
      </w:r>
      <w:r>
        <w:rPr>
          <w:rFonts w:ascii="Times New Roman" w:hAnsi="Times New Roman" w:eastAsiaTheme="minorEastAsia"/>
          <w:b/>
          <w:color w:val="000000" w:themeColor="text1"/>
          <w:spacing w:val="4"/>
          <w:sz w:val="24"/>
          <w:szCs w:val="24"/>
          <w:vertAlign w:val="subscript"/>
          <w14:textFill>
            <w14:solidFill>
              <w14:schemeClr w14:val="tx1"/>
            </w14:solidFill>
          </w14:textFill>
        </w:rPr>
        <w:t>3</w:t>
      </w:r>
      <w:r>
        <w:rPr>
          <w:rFonts w:ascii="Times New Roman" w:hAnsi="Times New Roman" w:eastAsiaTheme="minorEastAsia"/>
          <w:b/>
          <w:color w:val="000000" w:themeColor="text1"/>
          <w:spacing w:val="4"/>
          <w:sz w:val="24"/>
          <w:szCs w:val="24"/>
          <w14:textFill>
            <w14:solidFill>
              <w14:schemeClr w14:val="tx1"/>
            </w14:solidFill>
          </w14:textFill>
        </w:rPr>
        <w:t>-N</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废水主要为趸船冲洗废水、初期雨水、码头员工生活污水，生产废水经港口部污水处理站预处理后与经一体化模压式净化槽处置后的生活污水需达到《污水综合排放标准》（GB8978-1996）三级标准后，由总排口接入污水管网，经污水管网纳入中石化长岭分公司第二污水处理厂进一步处理。本项目废水均由中石化长岭分公司第二污水处理厂集中处理。因此，新增COD、NH</w:t>
      </w:r>
      <w:r>
        <w:rPr>
          <w:rFonts w:ascii="Times New Roman" w:hAnsi="Times New Roman" w:eastAsiaTheme="minorEastAsia"/>
          <w:color w:val="000000" w:themeColor="text1"/>
          <w:spacing w:val="4"/>
          <w:sz w:val="24"/>
          <w:szCs w:val="24"/>
          <w:vertAlign w:val="subscript"/>
          <w14:textFill>
            <w14:solidFill>
              <w14:schemeClr w14:val="tx1"/>
            </w14:solidFill>
          </w14:textFill>
        </w:rPr>
        <w:t>3</w:t>
      </w:r>
      <w:r>
        <w:rPr>
          <w:rFonts w:ascii="Times New Roman" w:hAnsi="Times New Roman" w:eastAsiaTheme="minorEastAsia"/>
          <w:color w:val="000000" w:themeColor="text1"/>
          <w:spacing w:val="4"/>
          <w:sz w:val="24"/>
          <w:szCs w:val="24"/>
          <w14:textFill>
            <w14:solidFill>
              <w14:schemeClr w14:val="tx1"/>
            </w14:solidFill>
          </w14:textFill>
        </w:rPr>
        <w:t>-N排放总量指标纳入中石化长岭分公司第二污水处理厂内。</w:t>
      </w:r>
    </w:p>
    <w:p>
      <w:pPr>
        <w:adjustRightInd w:val="0"/>
        <w:snapToGrid w:val="0"/>
        <w:spacing w:line="360" w:lineRule="auto"/>
        <w:ind w:firstLine="498" w:firstLineChars="200"/>
        <w:rPr>
          <w:rFonts w:hint="eastAsia" w:ascii="Times New Roman" w:hAnsi="Times New Roman" w:eastAsiaTheme="minorEastAsia"/>
          <w:b/>
          <w:color w:val="000000" w:themeColor="text1"/>
          <w:spacing w:val="4"/>
          <w:sz w:val="24"/>
          <w:szCs w:val="24"/>
          <w14:textFill>
            <w14:solidFill>
              <w14:schemeClr w14:val="tx1"/>
            </w14:solidFill>
          </w14:textFill>
        </w:rPr>
      </w:pPr>
      <w:r>
        <w:rPr>
          <w:rFonts w:hint="eastAsia" w:ascii="Times New Roman" w:hAnsi="Times New Roman" w:eastAsiaTheme="minorEastAsia"/>
          <w:b/>
          <w:color w:val="000000" w:themeColor="text1"/>
          <w:spacing w:val="4"/>
          <w:sz w:val="24"/>
          <w:szCs w:val="24"/>
          <w14:textFill>
            <w14:solidFill>
              <w14:schemeClr w14:val="tx1"/>
            </w14:solidFill>
          </w14:textFill>
        </w:rPr>
        <w:t>2、VOCs</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hint="eastAsia" w:ascii="Times New Roman" w:hAnsi="Times New Roman" w:eastAsiaTheme="minorEastAsia"/>
          <w:color w:val="000000" w:themeColor="text1"/>
          <w:spacing w:val="4"/>
          <w:sz w:val="24"/>
          <w:szCs w:val="24"/>
          <w14:textFill>
            <w14:solidFill>
              <w14:schemeClr w14:val="tx1"/>
            </w14:solidFill>
          </w14:textFill>
        </w:rPr>
        <w:t>本项目大气污染物VOCs有组织排放量为0.266t/a，无组织排放量为0.181t/a；设置大气总量控制指标：VOCs：0.447t/a。</w:t>
      </w:r>
    </w:p>
    <w:p>
      <w:pPr>
        <w:rPr>
          <w:rFonts w:ascii="Times New Roman" w:hAnsi="Times New Roman" w:eastAsiaTheme="minorEastAsia"/>
        </w:rPr>
      </w:pPr>
    </w:p>
    <w:p>
      <w:pPr>
        <w:pStyle w:val="69"/>
        <w:ind w:firstLine="480"/>
        <w:rPr>
          <w:rFonts w:cs="Times New Roman" w:eastAsiaTheme="minorEastAsia"/>
        </w:rPr>
        <w:sectPr>
          <w:headerReference r:id="rId18"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308" w:name="_Toc7273"/>
      <w:r>
        <w:rPr>
          <w:rFonts w:eastAsiaTheme="minorEastAsia"/>
          <w:b/>
          <w:sz w:val="32"/>
          <w:szCs w:val="32"/>
        </w:rPr>
        <w:t>评价结论与建议</w:t>
      </w:r>
      <w:bookmarkEnd w:id="308"/>
    </w:p>
    <w:p>
      <w:pPr>
        <w:pStyle w:val="3"/>
        <w:rPr>
          <w:rFonts w:ascii="Times New Roman" w:hAnsi="Times New Roman" w:eastAsiaTheme="minorEastAsia"/>
          <w:b/>
        </w:rPr>
      </w:pPr>
      <w:bookmarkStart w:id="309" w:name="_Toc8879"/>
      <w:r>
        <w:rPr>
          <w:rFonts w:ascii="Times New Roman" w:hAnsi="Times New Roman" w:eastAsiaTheme="minorEastAsia"/>
          <w:b/>
        </w:rPr>
        <w:t>项目概况</w:t>
      </w:r>
      <w:bookmarkEnd w:id="309"/>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⑴</w:t>
      </w:r>
      <w:r>
        <w:rPr>
          <w:rFonts w:ascii="Times New Roman" w:hAnsi="Times New Roman" w:eastAsiaTheme="minorEastAsia"/>
          <w:color w:val="000000"/>
          <w:kern w:val="0"/>
          <w:sz w:val="24"/>
          <w:szCs w:val="24"/>
          <w:lang w:bidi="ar"/>
        </w:rPr>
        <w:t xml:space="preserve"> 项目性质：改扩建项目。</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⑵</w:t>
      </w:r>
      <w:r>
        <w:rPr>
          <w:rFonts w:ascii="Times New Roman" w:hAnsi="Times New Roman" w:eastAsiaTheme="minorEastAsia"/>
          <w:color w:val="000000"/>
          <w:kern w:val="0"/>
          <w:sz w:val="24"/>
          <w:szCs w:val="24"/>
          <w:lang w:bidi="ar"/>
        </w:rPr>
        <w:t xml:space="preserve"> 建设地点：本项目位于岳阳港云溪港区陆城作业区、长江中游杨林岩水道与螺山水道衔接段右岸。工程码头岸线位于长岭分公司港口部现有码头使用岸线内，码头占用岸线长度768m。</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⑶</w:t>
      </w:r>
      <w:r>
        <w:rPr>
          <w:rFonts w:ascii="Times New Roman" w:hAnsi="Times New Roman" w:eastAsiaTheme="minorEastAsia"/>
          <w:color w:val="000000"/>
          <w:kern w:val="0"/>
          <w:sz w:val="24"/>
          <w:szCs w:val="24"/>
          <w:lang w:bidi="ar"/>
        </w:rPr>
        <w:t xml:space="preserve"> 建设内容及建设规模：本项目分为水域和陆域两个部分。水域工程：拟对2#~4#码头（6个危化品泊位）拆除重建，从上游到下游建设3个5000吨级液体化工泊位和2个3000吨级油品化工泊位，</w:t>
      </w:r>
      <w:r>
        <w:rPr>
          <w:rFonts w:hint="eastAsia" w:ascii="Times New Roman" w:hAnsi="Times New Roman" w:eastAsiaTheme="minorEastAsia"/>
          <w:color w:val="000000"/>
          <w:kern w:val="0"/>
          <w:sz w:val="24"/>
          <w:szCs w:val="24"/>
          <w:lang w:bidi="ar"/>
        </w:rPr>
        <w:t>泊位编号自上至下依次为2#泊位~6#泊位。2#泊位、3#泊位趸船新建，4#泊位、5#泊位、6#泊位趸船利旧，</w:t>
      </w:r>
      <w:r>
        <w:rPr>
          <w:rFonts w:ascii="Times New Roman" w:hAnsi="Times New Roman" w:eastAsiaTheme="minorEastAsia"/>
          <w:color w:val="000000"/>
          <w:kern w:val="0"/>
          <w:sz w:val="24"/>
          <w:szCs w:val="24"/>
          <w:lang w:bidi="ar"/>
        </w:rPr>
        <w:t>原5#码头（2个危化品泊位）</w:t>
      </w:r>
      <w:r>
        <w:rPr>
          <w:rFonts w:hint="eastAsia" w:ascii="Times New Roman" w:hAnsi="Times New Roman" w:eastAsiaTheme="minorEastAsia"/>
          <w:color w:val="000000"/>
          <w:kern w:val="0"/>
          <w:sz w:val="24"/>
          <w:szCs w:val="24"/>
          <w:lang w:bidi="ar"/>
        </w:rPr>
        <w:t>岸线将改建为岳阳LNG储配基地项目配套LNG码头，另行立项建设，不属于本次工程范围。本项目</w:t>
      </w:r>
      <w:r>
        <w:rPr>
          <w:rFonts w:ascii="Times New Roman" w:hAnsi="Times New Roman" w:eastAsiaTheme="minorEastAsia"/>
          <w:color w:val="000000"/>
          <w:kern w:val="0"/>
          <w:sz w:val="24"/>
          <w:szCs w:val="24"/>
          <w:lang w:bidi="ar"/>
        </w:rPr>
        <w:t>主要施工项目有水工建筑物、工艺设备及土建工程、水、电、信配套设施安装等；陆域工程：依托现有设施，不涉及储罐区，增加安全环保设施（主要为油气回收及氮气系统）、增加部分转输泵、系统管线、生活污水处理设施及其配套电气、自控、电信设施，罐区至码头管廊利旧，厂际管线不在本项目范围内，厂外增加1根管线，拆除原有老化不利用5根管线。</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⑷</w:t>
      </w:r>
      <w:r>
        <w:rPr>
          <w:rFonts w:ascii="Times New Roman" w:hAnsi="Times New Roman" w:eastAsiaTheme="minorEastAsia"/>
          <w:color w:val="000000"/>
          <w:kern w:val="0"/>
          <w:sz w:val="24"/>
          <w:szCs w:val="24"/>
          <w:lang w:bidi="ar"/>
        </w:rPr>
        <w:t xml:space="preserve"> 服务对象：本项目建成后服务对象主要为长岭炼化，业务范围还大量覆盖湖南省及岳阳市、中国石化、湖南绿色化工产业园、长江航道运行管理等诸多方面，功能齐全、作用突出。</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⑸</w:t>
      </w:r>
      <w:r>
        <w:rPr>
          <w:rFonts w:ascii="Times New Roman" w:hAnsi="Times New Roman" w:eastAsiaTheme="minorEastAsia"/>
          <w:color w:val="000000"/>
          <w:kern w:val="0"/>
          <w:sz w:val="24"/>
          <w:szCs w:val="24"/>
          <w:lang w:bidi="ar"/>
        </w:rPr>
        <w:t xml:space="preserve"> 主要货种及预测吞吐量：货种主要为：绥中油、0#柴油、汽油、乙烯石脑油、二甲苯、丁酮、乙酸仲丁酯、沥青、重整石脑油、乙酸甲酯、醋酸和蜡油/渣油等。本项目的2025年设计吞吐量为402万t，其中进口231万t，出口171万t。</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⑹</w:t>
      </w:r>
      <w:r>
        <w:rPr>
          <w:rFonts w:ascii="Times New Roman" w:hAnsi="Times New Roman" w:eastAsiaTheme="minorEastAsia"/>
          <w:color w:val="000000"/>
          <w:kern w:val="0"/>
          <w:sz w:val="24"/>
          <w:szCs w:val="24"/>
          <w:lang w:bidi="ar"/>
        </w:rPr>
        <w:t xml:space="preserve"> 工程投资：本项目总投资约29398.67万元，</w:t>
      </w:r>
      <w:r>
        <w:rPr>
          <w:rFonts w:hint="eastAsia" w:ascii="Times New Roman" w:hAnsi="Times New Roman" w:eastAsiaTheme="minorEastAsia"/>
          <w:color w:val="000000"/>
          <w:kern w:val="0"/>
          <w:sz w:val="24"/>
          <w:szCs w:val="24"/>
          <w:lang w:bidi="ar"/>
        </w:rPr>
        <w:t>其中</w:t>
      </w:r>
      <w:r>
        <w:rPr>
          <w:rFonts w:ascii="Times New Roman" w:hAnsi="Times New Roman" w:eastAsiaTheme="minorEastAsia"/>
          <w:color w:val="000000"/>
          <w:kern w:val="0"/>
          <w:sz w:val="24"/>
          <w:szCs w:val="24"/>
          <w:lang w:bidi="ar"/>
        </w:rPr>
        <w:t>水域工程建设投资26274.58万元，陆域工程建设投资3124.09万元。</w:t>
      </w:r>
      <w:r>
        <w:rPr>
          <w:rFonts w:ascii="Times New Roman" w:hAnsi="Times New Roman" w:eastAsiaTheme="minorEastAsia"/>
          <w:color w:val="000000" w:themeColor="text1"/>
          <w:kern w:val="0"/>
          <w:sz w:val="24"/>
          <w:szCs w:val="24"/>
          <w14:textFill>
            <w14:solidFill>
              <w14:schemeClr w14:val="tx1"/>
            </w14:solidFill>
          </w14:textFill>
        </w:rPr>
        <w:t>本项目环境保护投资约2205.8万元，占总投资的7.5%</w:t>
      </w:r>
      <w:r>
        <w:rPr>
          <w:rFonts w:hint="eastAsia" w:ascii="Times New Roman" w:hAnsi="Times New Roman" w:eastAsiaTheme="minorEastAsia"/>
          <w:color w:val="000000" w:themeColor="text1"/>
          <w:kern w:val="0"/>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color w:val="000000"/>
          <w:kern w:val="0"/>
          <w:sz w:val="24"/>
          <w:szCs w:val="24"/>
          <w:lang w:bidi="ar"/>
        </w:rPr>
        <w:t>⑺</w:t>
      </w:r>
      <w:r>
        <w:rPr>
          <w:rFonts w:ascii="Times New Roman" w:hAnsi="Times New Roman" w:eastAsiaTheme="minorEastAsia"/>
          <w:color w:val="000000"/>
          <w:kern w:val="0"/>
          <w:sz w:val="24"/>
          <w:szCs w:val="24"/>
          <w:lang w:bidi="ar"/>
        </w:rPr>
        <w:t xml:space="preserve"> 建设期限：建设工期12个月，工程施工拟于202</w:t>
      </w:r>
      <w:r>
        <w:rPr>
          <w:rFonts w:hint="eastAsia" w:ascii="Times New Roman" w:hAnsi="Times New Roman" w:eastAsiaTheme="minorEastAsia"/>
          <w:color w:val="000000"/>
          <w:kern w:val="0"/>
          <w:sz w:val="24"/>
          <w:szCs w:val="24"/>
          <w:lang w:val="en-US" w:eastAsia="zh-CN" w:bidi="ar"/>
        </w:rPr>
        <w:t>1</w:t>
      </w:r>
      <w:r>
        <w:rPr>
          <w:rFonts w:ascii="Times New Roman" w:hAnsi="Times New Roman" w:eastAsiaTheme="minorEastAsia"/>
          <w:color w:val="000000"/>
          <w:kern w:val="0"/>
          <w:sz w:val="24"/>
          <w:szCs w:val="24"/>
          <w:lang w:bidi="ar"/>
        </w:rPr>
        <w:t>年</w:t>
      </w:r>
      <w:r>
        <w:rPr>
          <w:rFonts w:hint="eastAsia" w:ascii="Times New Roman" w:hAnsi="Times New Roman" w:eastAsiaTheme="minorEastAsia"/>
          <w:color w:val="000000"/>
          <w:kern w:val="0"/>
          <w:sz w:val="24"/>
          <w:szCs w:val="24"/>
          <w:lang w:val="en-US" w:eastAsia="zh-CN" w:bidi="ar"/>
        </w:rPr>
        <w:t>5</w:t>
      </w:r>
      <w:r>
        <w:rPr>
          <w:rFonts w:ascii="Times New Roman" w:hAnsi="Times New Roman" w:eastAsiaTheme="minorEastAsia"/>
          <w:color w:val="000000"/>
          <w:kern w:val="0"/>
          <w:sz w:val="24"/>
          <w:szCs w:val="24"/>
          <w:lang w:bidi="ar"/>
        </w:rPr>
        <w:t>月</w:t>
      </w:r>
      <w:r>
        <w:rPr>
          <w:rFonts w:hint="eastAsia" w:ascii="Times New Roman" w:hAnsi="Times New Roman" w:eastAsiaTheme="minorEastAsia"/>
          <w:color w:val="000000"/>
          <w:kern w:val="0"/>
          <w:sz w:val="24"/>
          <w:szCs w:val="24"/>
          <w:lang w:bidi="ar"/>
        </w:rPr>
        <w:t>底</w:t>
      </w:r>
      <w:r>
        <w:rPr>
          <w:rFonts w:ascii="Times New Roman" w:hAnsi="Times New Roman" w:eastAsiaTheme="minorEastAsia"/>
          <w:color w:val="000000"/>
          <w:kern w:val="0"/>
          <w:sz w:val="24"/>
          <w:szCs w:val="24"/>
          <w:lang w:bidi="ar"/>
        </w:rPr>
        <w:t>开工，202</w:t>
      </w:r>
      <w:r>
        <w:rPr>
          <w:rFonts w:hint="eastAsia" w:ascii="Times New Roman" w:hAnsi="Times New Roman" w:eastAsiaTheme="minorEastAsia"/>
          <w:color w:val="000000"/>
          <w:kern w:val="0"/>
          <w:sz w:val="24"/>
          <w:szCs w:val="24"/>
          <w:lang w:val="en-US" w:eastAsia="zh-CN" w:bidi="ar"/>
        </w:rPr>
        <w:t>2</w:t>
      </w:r>
      <w:r>
        <w:rPr>
          <w:rFonts w:ascii="Times New Roman" w:hAnsi="Times New Roman" w:eastAsiaTheme="minorEastAsia"/>
          <w:color w:val="000000"/>
          <w:kern w:val="0"/>
          <w:sz w:val="24"/>
          <w:szCs w:val="24"/>
          <w:lang w:bidi="ar"/>
        </w:rPr>
        <w:t>年</w:t>
      </w:r>
      <w:r>
        <w:rPr>
          <w:rFonts w:hint="eastAsia" w:ascii="Times New Roman" w:hAnsi="Times New Roman" w:eastAsiaTheme="minorEastAsia"/>
          <w:color w:val="000000"/>
          <w:kern w:val="0"/>
          <w:sz w:val="24"/>
          <w:szCs w:val="24"/>
          <w:lang w:val="en-US" w:eastAsia="zh-CN" w:bidi="ar"/>
        </w:rPr>
        <w:t>6</w:t>
      </w:r>
      <w:r>
        <w:rPr>
          <w:rFonts w:ascii="Times New Roman" w:hAnsi="Times New Roman" w:eastAsiaTheme="minorEastAsia"/>
          <w:color w:val="000000"/>
          <w:kern w:val="0"/>
          <w:sz w:val="24"/>
          <w:szCs w:val="24"/>
          <w:lang w:bidi="ar"/>
        </w:rPr>
        <w:t>月</w:t>
      </w:r>
      <w:r>
        <w:rPr>
          <w:rFonts w:hint="eastAsia" w:ascii="Times New Roman" w:hAnsi="Times New Roman" w:eastAsiaTheme="minorEastAsia"/>
          <w:color w:val="000000"/>
          <w:kern w:val="0"/>
          <w:sz w:val="24"/>
          <w:szCs w:val="24"/>
          <w:lang w:bidi="ar"/>
        </w:rPr>
        <w:t>初</w:t>
      </w:r>
      <w:r>
        <w:rPr>
          <w:rFonts w:ascii="Times New Roman" w:hAnsi="Times New Roman" w:eastAsiaTheme="minorEastAsia"/>
          <w:color w:val="000000"/>
          <w:kern w:val="0"/>
          <w:sz w:val="24"/>
          <w:szCs w:val="24"/>
          <w:lang w:bidi="ar"/>
        </w:rPr>
        <w:t>竣工投产</w:t>
      </w:r>
      <w:r>
        <w:rPr>
          <w:rFonts w:hint="eastAsia" w:ascii="Times New Roman" w:hAnsi="Times New Roman" w:eastAsiaTheme="minorEastAsia"/>
          <w:sz w:val="24"/>
          <w:szCs w:val="24"/>
        </w:rPr>
        <w:t>。</w:t>
      </w:r>
    </w:p>
    <w:p>
      <w:pPr>
        <w:pStyle w:val="3"/>
        <w:rPr>
          <w:rFonts w:ascii="Times New Roman" w:hAnsi="Times New Roman" w:eastAsiaTheme="minorEastAsia"/>
          <w:b/>
        </w:rPr>
      </w:pPr>
      <w:bookmarkStart w:id="310" w:name="_Toc17065"/>
      <w:r>
        <w:rPr>
          <w:rFonts w:hint="eastAsia" w:ascii="Times New Roman" w:hAnsi="Times New Roman" w:eastAsiaTheme="minorEastAsia"/>
          <w:b/>
        </w:rPr>
        <w:t>环境质量现状</w:t>
      </w:r>
      <w:bookmarkEnd w:id="310"/>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水环境</w:t>
      </w:r>
      <w:r>
        <w:rPr>
          <w:rFonts w:eastAsiaTheme="minorEastAsia"/>
          <w:color w:val="000000" w:themeColor="text1"/>
          <w14:textFill>
            <w14:solidFill>
              <w14:schemeClr w14:val="tx1"/>
            </w14:solidFill>
          </w14:textFill>
        </w:rPr>
        <w:t>质量现状</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根据环境质量现状监测结果，本评价收集了2018年岳阳市水环境质量年报数据。根据2018年月岳阳市水环境质量年报显示，2018年“陆城监测断面”和“城陵矶监测断面”水质均达到地表水Ⅲ类水质要求。</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通过</w:t>
      </w:r>
      <w:r>
        <w:rPr>
          <w:rFonts w:ascii="Times New Roman" w:hAnsi="Times New Roman" w:eastAsiaTheme="minorEastAsia"/>
          <w:sz w:val="24"/>
          <w:szCs w:val="24"/>
        </w:rPr>
        <w:t>补充监测可知，</w:t>
      </w:r>
      <w:r>
        <w:rPr>
          <w:rFonts w:ascii="Times New Roman" w:hAnsi="Times New Roman" w:eastAsiaTheme="minorEastAsia"/>
          <w:kern w:val="0"/>
          <w:sz w:val="24"/>
          <w:szCs w:val="24"/>
        </w:rPr>
        <w:t>长江各监测断面中各监测因子指标均能满足</w:t>
      </w:r>
      <w:r>
        <w:rPr>
          <w:rFonts w:ascii="Times New Roman" w:hAnsi="Times New Roman" w:eastAsiaTheme="minorEastAsia"/>
          <w:sz w:val="24"/>
          <w:szCs w:val="24"/>
        </w:rPr>
        <w:t>满足《地表水环境质量标准》（GB3838-2002）</w:t>
      </w:r>
      <w:r>
        <w:rPr>
          <w:rFonts w:hint="eastAsia" w:ascii="宋体" w:hAnsi="宋体" w:cs="宋体"/>
          <w:sz w:val="24"/>
          <w:szCs w:val="24"/>
        </w:rPr>
        <w:t>Ⅲ</w:t>
      </w:r>
      <w:r>
        <w:rPr>
          <w:rFonts w:ascii="Times New Roman" w:hAnsi="Times New Roman" w:eastAsiaTheme="minorEastAsia"/>
          <w:sz w:val="24"/>
          <w:szCs w:val="24"/>
        </w:rPr>
        <w:t>类水质及《地表水资源质量标准》（SL63-94）的三级标准水质的控制要求，</w:t>
      </w:r>
      <w:r>
        <w:rPr>
          <w:rFonts w:ascii="Times New Roman" w:hAnsi="Times New Roman" w:eastAsiaTheme="minorEastAsia"/>
          <w:kern w:val="0"/>
          <w:sz w:val="24"/>
          <w:szCs w:val="24"/>
        </w:rPr>
        <w:t>说明项目所在区域地表水环境较好。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通过</w:t>
      </w:r>
      <w:r>
        <w:rPr>
          <w:rFonts w:ascii="Times New Roman" w:hAnsi="Times New Roman" w:eastAsiaTheme="minorEastAsia"/>
          <w:sz w:val="24"/>
          <w:szCs w:val="24"/>
        </w:rPr>
        <w:t>现状监测，</w:t>
      </w:r>
      <w:r>
        <w:rPr>
          <w:rFonts w:hint="eastAsia" w:ascii="Times New Roman" w:hAnsi="Times New Roman" w:eastAsiaTheme="minorEastAsia"/>
          <w:sz w:val="24"/>
          <w:szCs w:val="24"/>
        </w:rPr>
        <w:t>地下水各监测指标均可达到《地下水质量标准》（GB/T 14848-2017）的Ⅲ类标准。</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大气</w:t>
      </w:r>
      <w:r>
        <w:rPr>
          <w:rFonts w:eastAsiaTheme="minorEastAsia"/>
          <w:color w:val="000000" w:themeColor="text1"/>
          <w14:textFill>
            <w14:solidFill>
              <w14:schemeClr w14:val="tx1"/>
            </w14:solidFill>
          </w14:textFill>
        </w:rPr>
        <w:t>环境质量现状</w:t>
      </w:r>
    </w:p>
    <w:p>
      <w:pPr>
        <w:adjustRightInd w:val="0"/>
        <w:snapToGrid w:val="0"/>
        <w:spacing w:line="360" w:lineRule="auto"/>
        <w:ind w:firstLine="480" w:firstLineChars="200"/>
        <w:rPr>
          <w:rFonts w:ascii="Times New Roman" w:hAnsi="Times New Roman"/>
          <w:color w:val="FF0000"/>
          <w:sz w:val="24"/>
          <w:szCs w:val="24"/>
          <w:u w:val="single"/>
        </w:rPr>
      </w:pPr>
      <w:r>
        <w:rPr>
          <w:rFonts w:ascii="Times New Roman" w:hAnsi="Times New Roman"/>
          <w:color w:val="FF0000"/>
          <w:sz w:val="24"/>
          <w:szCs w:val="24"/>
          <w:u w:val="single"/>
        </w:rPr>
        <w:t>根据岳阳市生态环境局收集的《岳阳市201</w:t>
      </w:r>
      <w:r>
        <w:rPr>
          <w:rFonts w:hint="eastAsia" w:ascii="Times New Roman" w:hAnsi="Times New Roman"/>
          <w:color w:val="FF0000"/>
          <w:sz w:val="24"/>
          <w:szCs w:val="24"/>
          <w:u w:val="single"/>
          <w:lang w:val="en-US" w:eastAsia="zh-CN"/>
        </w:rPr>
        <w:t>9</w:t>
      </w:r>
      <w:r>
        <w:rPr>
          <w:rFonts w:ascii="Times New Roman" w:hAnsi="Times New Roman"/>
          <w:color w:val="FF0000"/>
          <w:sz w:val="24"/>
          <w:szCs w:val="24"/>
          <w:u w:val="single"/>
        </w:rPr>
        <w:t>年度环境质量公报》，</w:t>
      </w:r>
      <w:r>
        <w:rPr>
          <w:rFonts w:hint="default" w:ascii="Times New Roman" w:hAnsi="Times New Roman" w:cs="Times New Roman"/>
          <w:color w:val="FF0000"/>
          <w:sz w:val="24"/>
          <w:szCs w:val="24"/>
          <w:u w:val="single"/>
        </w:rPr>
        <w:t>2019年岳阳市大气环境质量主要指标中SO</w:t>
      </w:r>
      <w:r>
        <w:rPr>
          <w:rFonts w:hint="default" w:ascii="Times New Roman" w:hAnsi="Times New Roman" w:cs="Times New Roman"/>
          <w:color w:val="FF0000"/>
          <w:sz w:val="24"/>
          <w:szCs w:val="24"/>
          <w:u w:val="single"/>
          <w:vertAlign w:val="subscript"/>
        </w:rPr>
        <w:t>2</w:t>
      </w:r>
      <w:r>
        <w:rPr>
          <w:rFonts w:hint="default" w:ascii="Times New Roman" w:hAnsi="Times New Roman" w:cs="Times New Roman"/>
          <w:color w:val="FF0000"/>
          <w:sz w:val="24"/>
          <w:szCs w:val="24"/>
          <w:u w:val="single"/>
        </w:rPr>
        <w:t>年均浓度、NO</w:t>
      </w:r>
      <w:r>
        <w:rPr>
          <w:rFonts w:hint="default" w:ascii="Times New Roman" w:hAnsi="Times New Roman" w:cs="Times New Roman"/>
          <w:color w:val="FF0000"/>
          <w:sz w:val="24"/>
          <w:szCs w:val="24"/>
          <w:u w:val="single"/>
          <w:vertAlign w:val="subscript"/>
        </w:rPr>
        <w:t>2</w:t>
      </w:r>
      <w:r>
        <w:rPr>
          <w:rFonts w:hint="default" w:ascii="Times New Roman" w:hAnsi="Times New Roman" w:cs="Times New Roman"/>
          <w:color w:val="FF0000"/>
          <w:sz w:val="24"/>
          <w:szCs w:val="24"/>
          <w:u w:val="single"/>
        </w:rPr>
        <w:t>年均浓度、PM</w:t>
      </w:r>
      <w:r>
        <w:rPr>
          <w:rFonts w:hint="default" w:ascii="Times New Roman" w:hAnsi="Times New Roman" w:cs="Times New Roman"/>
          <w:color w:val="FF0000"/>
          <w:sz w:val="24"/>
          <w:szCs w:val="24"/>
          <w:u w:val="single"/>
          <w:vertAlign w:val="subscript"/>
        </w:rPr>
        <w:t>10</w:t>
      </w:r>
      <w:r>
        <w:rPr>
          <w:rFonts w:hint="default" w:ascii="Times New Roman" w:hAnsi="Times New Roman" w:cs="Times New Roman"/>
          <w:color w:val="FF0000"/>
          <w:sz w:val="24"/>
          <w:szCs w:val="24"/>
          <w:u w:val="single"/>
        </w:rPr>
        <w:t>年平均浓度和CO 24小时平均第95百分位数浓度均能满足《环境空气质量标准》（GB3095-2012）中的二级标准限值，PM</w:t>
      </w:r>
      <w:r>
        <w:rPr>
          <w:rFonts w:hint="default" w:ascii="Times New Roman" w:hAnsi="Times New Roman" w:cs="Times New Roman"/>
          <w:color w:val="FF0000"/>
          <w:sz w:val="24"/>
          <w:szCs w:val="24"/>
          <w:u w:val="single"/>
          <w:vertAlign w:val="subscript"/>
        </w:rPr>
        <w:t>2.5</w:t>
      </w:r>
      <w:r>
        <w:rPr>
          <w:rFonts w:hint="default" w:ascii="Times New Roman" w:hAnsi="Times New Roman" w:cs="Times New Roman"/>
          <w:color w:val="FF0000"/>
          <w:sz w:val="24"/>
          <w:szCs w:val="24"/>
          <w:u w:val="single"/>
        </w:rPr>
        <w:t>年平均浓度和O</w:t>
      </w:r>
      <w:r>
        <w:rPr>
          <w:rFonts w:hint="default" w:ascii="Times New Roman" w:hAnsi="Times New Roman" w:cs="Times New Roman"/>
          <w:color w:val="FF0000"/>
          <w:sz w:val="24"/>
          <w:szCs w:val="24"/>
          <w:u w:val="single"/>
          <w:vertAlign w:val="subscript"/>
        </w:rPr>
        <w:t xml:space="preserve">3 </w:t>
      </w:r>
      <w:r>
        <w:rPr>
          <w:rFonts w:hint="default" w:ascii="Times New Roman" w:hAnsi="Times New Roman" w:cs="Times New Roman"/>
          <w:color w:val="FF0000"/>
          <w:sz w:val="24"/>
          <w:szCs w:val="24"/>
          <w:u w:val="single"/>
        </w:rPr>
        <w:t>8小时平均第90百分位数浓度均不能满足《环境空气质量标准》（GB3095-2012）中的二级标准限值，故本项目所在区域2019年为环境空气质量不达标区，</w:t>
      </w:r>
      <w:r>
        <w:rPr>
          <w:rFonts w:hint="default" w:ascii="Times New Roman" w:hAnsi="Times New Roman" w:cs="Times New Roman"/>
          <w:color w:val="FF0000"/>
          <w:sz w:val="24"/>
          <w:szCs w:val="22"/>
          <w:u w:val="single"/>
        </w:rPr>
        <w:t>超标因子为PM</w:t>
      </w:r>
      <w:r>
        <w:rPr>
          <w:rFonts w:hint="default" w:ascii="Times New Roman" w:hAnsi="Times New Roman" w:cs="Times New Roman"/>
          <w:color w:val="FF0000"/>
          <w:sz w:val="24"/>
          <w:szCs w:val="22"/>
          <w:u w:val="single"/>
          <w:vertAlign w:val="subscript"/>
        </w:rPr>
        <w:t>2.5</w:t>
      </w:r>
      <w:r>
        <w:rPr>
          <w:rFonts w:hint="default" w:ascii="Times New Roman" w:hAnsi="Times New Roman" w:cs="Times New Roman"/>
          <w:color w:val="FF0000"/>
          <w:sz w:val="24"/>
          <w:szCs w:val="22"/>
          <w:u w:val="single"/>
        </w:rPr>
        <w:t>和O</w:t>
      </w:r>
      <w:r>
        <w:rPr>
          <w:rFonts w:hint="default" w:ascii="Times New Roman" w:hAnsi="Times New Roman" w:cs="Times New Roman"/>
          <w:color w:val="FF0000"/>
          <w:sz w:val="24"/>
          <w:szCs w:val="22"/>
          <w:u w:val="single"/>
          <w:vertAlign w:val="subscript"/>
        </w:rPr>
        <w:t xml:space="preserve">3 </w:t>
      </w:r>
      <w:r>
        <w:rPr>
          <w:rFonts w:hint="default" w:ascii="Times New Roman" w:hAnsi="Times New Roman" w:cs="Times New Roman"/>
          <w:color w:val="FF0000"/>
          <w:sz w:val="24"/>
          <w:szCs w:val="24"/>
          <w:u w:val="single"/>
        </w:rPr>
        <w:t>。</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根据补充监测可知，项目所在区域各监测点位的非甲烷总烃满足《大气污染物综合排放标准详解》中的相关要求，TVOC满足《环境影响评价技术导则  大气环境》（HJ 2.2-2018）附录D中的限值要求；评价区域内环境空气质量现状良好。</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声</w:t>
      </w:r>
      <w:r>
        <w:rPr>
          <w:rFonts w:eastAsiaTheme="minorEastAsia"/>
          <w:color w:val="000000" w:themeColor="text1"/>
          <w14:textFill>
            <w14:solidFill>
              <w14:schemeClr w14:val="tx1"/>
            </w14:solidFill>
          </w14:textFill>
        </w:rPr>
        <w:t>环境质量现状</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项目所在地声环境质量满足《声环境质量标准》（GB3096-2008）中4a类区标准和2类标准，表明项目周边声环境质量现状良好。</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土壤</w:t>
      </w:r>
      <w:r>
        <w:rPr>
          <w:rFonts w:eastAsiaTheme="minorEastAsia"/>
          <w:color w:val="000000" w:themeColor="text1"/>
          <w14:textFill>
            <w14:solidFill>
              <w14:schemeClr w14:val="tx1"/>
            </w14:solidFill>
          </w14:textFill>
        </w:rPr>
        <w:t>环境质量现状</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所在地底泥监测数据能满足《土壤环境质量建设用地土壤污染风险管控标准》 （GB36600-2018）中二类用地风险筛选值要求。</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项目所在</w:t>
      </w:r>
      <w:r>
        <w:rPr>
          <w:rFonts w:ascii="Times New Roman" w:hAnsi="Times New Roman" w:eastAsiaTheme="minorEastAsia"/>
          <w:sz w:val="24"/>
          <w:szCs w:val="24"/>
        </w:rPr>
        <w:t>地土壤监测数据能满足《土壤环境质量建设用地土壤污染风险管控标准》 （GB36600-2018）中二类用地风险筛选值要求和《土壤环境质量农用地土壤污染风险管控标准》（GB15618-2018）中表1“其他”筛选值要求。</w:t>
      </w:r>
    </w:p>
    <w:p>
      <w:pPr>
        <w:pStyle w:val="3"/>
        <w:rPr>
          <w:rFonts w:ascii="Times New Roman" w:hAnsi="Times New Roman" w:eastAsiaTheme="minorEastAsia"/>
          <w:b/>
        </w:rPr>
      </w:pPr>
      <w:bookmarkStart w:id="311" w:name="_Toc9927"/>
      <w:r>
        <w:rPr>
          <w:rFonts w:hint="eastAsia" w:ascii="Times New Roman" w:hAnsi="Times New Roman" w:eastAsiaTheme="minorEastAsia"/>
          <w:b/>
        </w:rPr>
        <w:t>环境影响评价</w:t>
      </w:r>
      <w:bookmarkEnd w:id="311"/>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生态影响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项目对生态的影响主要来自码头。施工期水下施工将造成局部水域悬浮物浓度增加，对局部水生生态环境有一定的污染影响，导致施工期间航道内水生生物数量的减少。</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工程建设对水生生态环境影响是局部的、暂时的，随着施工期的结束影响也随之结束。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码头采用浮码头结构，不阻挡鱼类的洄游通道。工期影响主要是桩基施工作业对水生生物的驱赶效应，采取施工期避开鱼类产卵季节等措施后，施工对鱼类影响不大。</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工程所在江段现状为航道，工程运营后，码头水工结构对水生生物的分布区域和活动空间影响不大。在正常运营情况下，本工程不会对区域生态功能产生显著影响。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评价区的陆生植物、陆生动物均为常见种，征地范围内不涉及需要保护的珍稀古树，工程建设不会对珍稀野生保护动物、植物资源产生不利影响。</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地表水环境影响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码头施工对水环境的影响主要是水工建筑物施工作业引起局部水体悬浮物浓度升高，施工造成悬浮物浓度增加值超过10mg/L的范围为沿水流方向长约100~250m，垂直岸边宽约50~100m，影响范围有限，污染时间较短，随着施工结束污染影响也随之结束。施工船舶不得向施工水域排放舱底油污水或生活污水。施工船舶如需排放舱底油污水，应经船主收集后送海事部门指定单位处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管线施工对水环境的影响主要是管道穿越和试压对地表水产生影响，根据管道铺设的有关规定，试压用水不允许具有腐蚀性，不含无机或有机脏物，水的pH为5~8，水中有害盐类（尤其是氯化物）的浓度应低于1000g。当试压用水在试压管段内存放时间超过8d时，允许pH为6</w:t>
      </w:r>
      <w:r>
        <w:rPr>
          <w:rFonts w:ascii="Times New Roman" w:hAnsi="Times New Roman" w:eastAsiaTheme="minorEastAsia"/>
          <w:sz w:val="24"/>
          <w:szCs w:val="24"/>
        </w:rPr>
        <w:t>~</w:t>
      </w:r>
      <w:r>
        <w:rPr>
          <w:rFonts w:hint="eastAsia" w:ascii="Times New Roman" w:hAnsi="Times New Roman" w:eastAsiaTheme="minorEastAsia"/>
          <w:sz w:val="24"/>
          <w:szCs w:val="24"/>
        </w:rPr>
        <w:t>6.7，盐含量不得超过500mg/L。本项目试压水打回至中长燃油库进行储存，试压水不排放。河道开挖所产生的淤泥、沙砾、硬土、石碴以及钻孔作业产生的携带钻屑的泥浆等，均应及时清运，来不及清运的应设置带挡雨设施的专门地点堆置，避免其因受雨水冲刷流入水体，造成二次污染。</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sz w:val="24"/>
          <w:szCs w:val="24"/>
        </w:rPr>
        <w:t>营运期废水主要为码头工作人员生活污水、趸船冲洗废水和初期雨水及到港船舶污水。</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码头面初期雨水、趸船冲洗废水采用排水盖板明沟收集，趸船装卸区四周设收集坎，每趸船内设1座容积为25m</w:t>
      </w:r>
      <w:r>
        <w:rPr>
          <w:rFonts w:hint="eastAsia" w:ascii="Times New Roman" w:hAnsi="Times New Roman" w:eastAsiaTheme="minorEastAsia"/>
          <w:color w:val="000000" w:themeColor="text1"/>
          <w:sz w:val="24"/>
          <w:szCs w:val="24"/>
          <w:vertAlign w:val="superscript"/>
          <w14:textFill>
            <w14:solidFill>
              <w14:schemeClr w14:val="tx1"/>
            </w14:solidFill>
          </w14:textFill>
        </w:rPr>
        <w:t>3</w:t>
      </w:r>
      <w:r>
        <w:rPr>
          <w:rFonts w:hint="eastAsia" w:ascii="Times New Roman" w:hAnsi="Times New Roman" w:eastAsiaTheme="minorEastAsia"/>
          <w:color w:val="000000" w:themeColor="text1"/>
          <w:sz w:val="24"/>
          <w:szCs w:val="24"/>
          <w14:textFill>
            <w14:solidFill>
              <w14:schemeClr w14:val="tx1"/>
            </w14:solidFill>
          </w14:textFill>
        </w:rPr>
        <w:t>（5×2.5×2）污水收集箱，收集箱污水由防爆污水泵和管道抽送至后方港口部污水处理站，经港口部污水处理站通过调节、隔油池、除油、气浮处理达到《污水综合排放标准》（GB8978-1996）三级标准水质要求后通过污水管网进入长岭分公司第二污水处理厂，长岭分公司第二污水处理厂污水处理达到《石油炼制工业污染物排放标准》（GB31570-2015）表1中直接排放限值后排入长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color w:val="000000" w:themeColor="text1"/>
          <w:sz w:val="24"/>
          <w:szCs w:val="24"/>
          <w14:textFill>
            <w14:solidFill>
              <w14:schemeClr w14:val="tx1"/>
            </w14:solidFill>
          </w14:textFill>
        </w:rPr>
        <w:t>到港船舶污水不得在本码头水</w:t>
      </w:r>
      <w:r>
        <w:rPr>
          <w:rFonts w:hint="eastAsia" w:ascii="Times New Roman" w:hAnsi="Times New Roman" w:eastAsiaTheme="minorEastAsia"/>
          <w:sz w:val="24"/>
          <w:szCs w:val="24"/>
        </w:rPr>
        <w:t>域排放，船底油污水经船舶自配的油水分离器处理后和船舶生活污水交给海事部门的环保船接收处理。</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地下水影响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本项目已经根据相关防渗设计规范采取严格的防渗、防溢流、防泄漏、防腐蚀等措施，一般情况下污水不会渗漏和进入地下，对地下水不会造成污染，因此本项目运营期正常情况下对地下水影响较小。</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环境空气影响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施工过程中产生的主要大气污染物是粉尘，包括沙石料堆存、卡车卸料、场地扬尘以及水泥拆包等起尘环节，施工场地及道路扬尘：施工船舶、运输车辆及载重车、挖掘机、装载机、推土机等施工机械排放少量燃油废气，均属无组织排放。</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本次评价采用类比调查的方法进行分析。类比长江同类码头施工现场环境空气质量监测结果进行分析，通常在距污染源100m处，各总悬浮微粒值在0.12~0.79mg/m</w:t>
      </w:r>
      <w:r>
        <w:rPr>
          <w:rFonts w:hint="eastAsia" w:ascii="Times New Roman" w:hAnsi="Times New Roman" w:eastAsiaTheme="minorEastAsia"/>
          <w:sz w:val="24"/>
          <w:szCs w:val="24"/>
          <w:vertAlign w:val="superscript"/>
        </w:rPr>
        <w:t>3</w:t>
      </w:r>
      <w:r>
        <w:rPr>
          <w:rFonts w:hint="eastAsia" w:ascii="Times New Roman" w:hAnsi="Times New Roman" w:eastAsiaTheme="minorEastAsia"/>
          <w:sz w:val="24"/>
          <w:szCs w:val="24"/>
        </w:rPr>
        <w:t>之间；浓度影响随风速的变化而变化，总的趋势是小风、静风天气作业时，影响范围较小。</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废气</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经预测，项目无组织排放的VOCs最大落地浓度为0.6165μg/m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，对应的最大占标率为0.05%，不超过1%，满足《环境影响评价技术导则  大气环境》（HJ2.2-2018）附录D中相应限值要求。有组织排放的VOCs最大落地浓度为75.125μg/m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，对应的最大占标率为6.26%，满足《环境影响评价技术导则大气环境》（HJ2.2-2018）附录D中相应限值要求。</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大气防护距离</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项目营运期装卸作业无组织排放废气大气防护距离计算结果均为无超标点，不需要设置大气环境防护距离。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因此，营运期港区码头装卸作业对环境空气将产生局部污染影响，仅局限在港区范围内，不会对周围环境及环境空气保护目标产生污染影响。</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声环境影响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码头施工过程，单机噪声中打桩机昼间在300m外可满足《建筑施工场界环境噪声排放标准》中昼间70dB(A)的要求，夜间禁止打桩；挖掘机、起重机和卡车等昼间在60m，夜间在300m以外可满足《建筑施工场界环境噪声排放标准》中昼间70dB(A)，夜间55dB(A)的要求。</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管线施工过程在不采取任何措施多台机械设备同时运转时，昼间距离噪声源40m外才能达到建筑施工场界环境噪声排放限值，在场地外围约40m范围内的人员将受到不同程度的影响，假若在夜间施工，则需在200m外方能达到建筑施工场界环境噪声排放限值。项目夜间不施工，施工噪声经距离衰减后对其声环境质量产生影响较小。</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营运期噪声源主要来源于码头机械噪声、船舶鸣笛产生的交通噪声等。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根据预测结果，码头作业噪声在预测点昼间、夜间噪声均符合《工业企业厂界环境噪声排放标准》（GB12348-2008）2、4类，叠加本底值后满足《声环境质量标准》（GB3096-2008）2、4类标准。</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固体废物环境影响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施工过程中产生的固体废弃物主要为施工人员生活垃圾和施工垃圾。</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生活垃圾在厂区设有垃圾桶，定期有环卫部门清运统一处理: 施工垃圾主要为施工建筑垃圾、管线工程挖沟围堰敷设后的弃土、弃渣等，建筑垃圾应及时清理，能回收利用的部分进行回收利用，不能回收的部分应运至指定地方清理。管线工程产生的弃渣可就近用作公路、河流的岸坡防护或作业带迹地恢复。各类废物均合理处置，不会对环境造成二次污染。</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项目营运期间产生的固体废物主要有生活垃圾、设备维修废油等。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营运期港区工作人员生活垃圾发生量为</w:t>
      </w:r>
      <w:r>
        <w:rPr>
          <w:rFonts w:ascii="Times New Roman" w:hAnsi="Times New Roman" w:eastAsiaTheme="minorEastAsia"/>
          <w:sz w:val="24"/>
          <w:szCs w:val="24"/>
        </w:rPr>
        <w:t>11.55</w:t>
      </w:r>
      <w:r>
        <w:rPr>
          <w:rFonts w:hint="eastAsia" w:ascii="Times New Roman" w:hAnsi="Times New Roman" w:eastAsiaTheme="minorEastAsia"/>
          <w:sz w:val="24"/>
          <w:szCs w:val="24"/>
        </w:rPr>
        <w:t>t/a，港区设置垃圾桶、垃圾集中堆放场地，码头平台设置垃圾桶，码头作业区少量生活垃圾分别收集后委托环卫部门定期清运；到港船舶生活垃圾产生约为</w:t>
      </w:r>
      <w:r>
        <w:rPr>
          <w:rFonts w:ascii="Times New Roman" w:hAnsi="Times New Roman" w:eastAsiaTheme="minorEastAsia"/>
          <w:sz w:val="24"/>
          <w:szCs w:val="24"/>
        </w:rPr>
        <w:t>5.94</w:t>
      </w:r>
      <w:r>
        <w:rPr>
          <w:rFonts w:hint="eastAsia" w:ascii="Times New Roman" w:hAnsi="Times New Roman" w:eastAsiaTheme="minorEastAsia"/>
          <w:sz w:val="24"/>
          <w:szCs w:val="24"/>
        </w:rPr>
        <w:t>t/a，由岳阳海事部门指定的船舶接收统一处理或专门的船舶污染物接收单位有偿接收处理；机修废油产生量</w:t>
      </w:r>
      <w:r>
        <w:rPr>
          <w:rFonts w:ascii="Times New Roman" w:hAnsi="Times New Roman" w:eastAsiaTheme="minorEastAsia"/>
          <w:sz w:val="24"/>
          <w:szCs w:val="24"/>
        </w:rPr>
        <w:t>200</w:t>
      </w:r>
      <w:r>
        <w:rPr>
          <w:rFonts w:hint="eastAsia" w:ascii="Times New Roman" w:hAnsi="Times New Roman" w:eastAsiaTheme="minorEastAsia"/>
          <w:sz w:val="24"/>
          <w:szCs w:val="24"/>
        </w:rPr>
        <w:t>kg/a，装卸过程包括扫线过程产生废油15t/a，收集后交由有资质的危废处置单位统一处理。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工程固体废物经过上述措施处置后，不会对环境造成二次污染。</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土壤影响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根据预测结果，项目运营</w:t>
      </w:r>
      <w:r>
        <w:rPr>
          <w:rFonts w:ascii="Times New Roman" w:hAnsi="Times New Roman" w:eastAsiaTheme="minorEastAsia"/>
          <w:sz w:val="24"/>
          <w:szCs w:val="24"/>
        </w:rPr>
        <w:t>10</w:t>
      </w:r>
      <w:r>
        <w:rPr>
          <w:rFonts w:hint="eastAsia" w:ascii="Times New Roman" w:hAnsi="Times New Roman" w:eastAsiaTheme="minorEastAsia"/>
          <w:sz w:val="24"/>
          <w:szCs w:val="24"/>
        </w:rPr>
        <w:t>~</w:t>
      </w:r>
      <w:r>
        <w:rPr>
          <w:rFonts w:ascii="Times New Roman" w:hAnsi="Times New Roman" w:eastAsiaTheme="minorEastAsia"/>
          <w:sz w:val="24"/>
          <w:szCs w:val="24"/>
        </w:rPr>
        <w:t>3</w:t>
      </w:r>
      <w:r>
        <w:rPr>
          <w:rFonts w:hint="eastAsia" w:ascii="Times New Roman" w:hAnsi="Times New Roman" w:eastAsiaTheme="minorEastAsia"/>
          <w:sz w:val="24"/>
          <w:szCs w:val="24"/>
        </w:rPr>
        <w:t>0年后周围影响区域土壤中石油烃累积量远小于《土壤环境质量建设用地土壤污染风险管控标准（试行）》（GB15618-2018）。项目在运营期采取分区防渗等措施后，对占地范围内及占地范围外</w:t>
      </w:r>
      <w:r>
        <w:rPr>
          <w:rFonts w:ascii="Times New Roman" w:hAnsi="Times New Roman" w:eastAsiaTheme="minorEastAsia"/>
          <w:sz w:val="24"/>
          <w:szCs w:val="24"/>
        </w:rPr>
        <w:t>,</w:t>
      </w:r>
      <w:r>
        <w:rPr>
          <w:rFonts w:hint="eastAsia" w:ascii="Times New Roman" w:hAnsi="Times New Roman" w:eastAsiaTheme="minorEastAsia"/>
          <w:sz w:val="24"/>
          <w:szCs w:val="24"/>
        </w:rPr>
        <w:t>土壤环境影响较小。</w:t>
      </w:r>
    </w:p>
    <w:p>
      <w:pPr>
        <w:pStyle w:val="3"/>
        <w:rPr>
          <w:rFonts w:ascii="Times New Roman" w:hAnsi="Times New Roman" w:eastAsiaTheme="minorEastAsia"/>
          <w:b/>
        </w:rPr>
      </w:pPr>
      <w:bookmarkStart w:id="312" w:name="_Toc22781"/>
      <w:r>
        <w:rPr>
          <w:rFonts w:hint="eastAsia" w:ascii="Times New Roman" w:hAnsi="Times New Roman" w:eastAsiaTheme="minorEastAsia"/>
          <w:b/>
        </w:rPr>
        <w:t>主要环境保护措施</w:t>
      </w:r>
      <w:bookmarkEnd w:id="312"/>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生态环境污染防治措施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加强对承包商、施工人员的宣传教育工作。</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建设单位与施工单位所签定的承包合同中应有环境保护方面的条款，并附有环保要求的具体内容。</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⑶ 合理进行施工组织，工程水域施工应避开鱼类产卵繁殖期及鱼苗摄食育肥期，避开水生动物的活动高峰期。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⑷ 应优化施工工艺方案，控制施工作业、施工船舶污染物排放。抓紧施工进度，尽量缩短水上作业时间。加强施工区域通航管理工作，严防危险品运输船舶溢油事故。</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⑸ 施工期间尽可能减少噪音，采取低噪音设备施工，减少噪声对鱼类影响。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⑹ 施工期的各种固体废物均进行收集处理，不得随意抛弃。</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⑺ 陆域施工区在施工结束后播撒草种以恢复植被。</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⑻ 码头岸线陆域施工结束后，立即对植被破环区域进行植被恢复。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⑼ 渔政管理部门应加强项目施工期和运行期水生生物监测工作。</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水环境污染防治措施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施工现场因地制宜，建造旱厕等污水临时处理设施。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砂浆和石灰浆废液宜集中处理，干化后与固体废物一起进行处置。</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⑶ 水泥、黄沙、石灰类的建筑材料需集中堆放，并建造简易挡雨棚、挡土墙，及时清扫场内运输线上抛洒的上述粉料。</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⑷ 施工期船舶含油污水应当严格管理并禁止随意排放。船舶油污水应申报后送具有相应资质且在海事部门备案的接收单位。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⑸ 施工船舶在水域内定点作业、船舶停泊，以保证不发生船舶污染水域的事故。</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⑴ 严禁到港船舶在港区江段排放舱底油污水和生活污水。</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⑵ 码头初期雨水、趸船冲洗废水经收集池收集后由防爆污水泵和管道抽送至后方港口部污水处理站处理。项目生活污水收集后进入港口部一体化模压式净化槽处理后，送至港口部污水处理站处理。</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环境空气污染防治措施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施工前先修筑厂界围墙或简易围屏，减少扬尘的逸散。</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加强施工区的规划管理；建筑材料尽量不大量的堆存，少量堆存将其置于较为空旷的位置，并进行遮挡。</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⑶ 在施工现场和施工车辆运输道路每天应多次撒水。</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⑷ 对港区道路、码头面及时清扫并洒水。</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⑸ 运输易起尘物料车辆要加盖篷布、控制车速。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⑹ 加强对施工机械、车辆的维修保养。</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收货时尽量加大泵的流量，使油品来不及大量蒸发从而减少损耗。</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配备一套油气回收治理设备，采用先进的装卸设备设施与材料，确保阀门、法兰片、管道之间的密封性，并加强装卸设备设施的使用、管理和维护，使之经常处于良好状态，真正起到降低蒸发损失的作用。</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声环境污染防治措施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hint="eastAsia"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施工机械采用低噪声设备，加强设备的日常维修保养；对高噪声设备，应在其附近加设可移动的简单围障，以降低其噪音辐射。</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合理安排高噪声施工作业的时间。</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⑶ 认真执行《建筑施工场界环境噪声排放标准》（GB12523-2011）对施工阶段噪声的要求。</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选购低噪声高效的装卸机械和场内车辆。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个别高噪声源强设备安装消声器。</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⑶ 加强机械、车辆和设备的保养维修。</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⑷ 合理布置港区道路，各交通路口设置标志信号，使港内交通行使有序，减少鸣笛。</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⑸ 船舶发动机噪声主要采用停港即停机，减少停靠时间等方法减少发声时间。</w:t>
      </w:r>
    </w:p>
    <w:p>
      <w:pPr>
        <w:pStyle w:val="4"/>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固体废物污染防治措施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w:t>
      </w:r>
      <w:r>
        <w:rPr>
          <w:rFonts w:hint="eastAsia" w:ascii="Times New Roman" w:hAnsi="Times New Roman" w:eastAsiaTheme="minorEastAsia"/>
          <w:b/>
          <w:sz w:val="24"/>
          <w:szCs w:val="24"/>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生活垃圾在厂区设有垃圾桶，定期有环卫部门清运统一处理。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建筑垃圾应及时清理，能回收利用的部分进行回收利用，不能回收的部分应运至指定地方清理。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⑶ 弃土、弃渣可就近用作公路、河流的岸坡防护或作业带迹地恢复。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w:t>
      </w:r>
      <w:r>
        <w:rPr>
          <w:rFonts w:hint="eastAsia" w:ascii="Times New Roman" w:hAnsi="Times New Roman" w:eastAsiaTheme="minorEastAsia"/>
          <w:b/>
          <w:sz w:val="24"/>
          <w:szCs w:val="24"/>
        </w:rPr>
        <w:t>、营运期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⑴ 港区设置垃圾桶、垃圾集中堆放场地，码头平台设置垃圾桶，码头作业区少量生活垃圾分别收集后委托环卫部门定期清运。</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⑵ 机械设备简单维修产生的机修废油以及装卸作业包括扫线过程产生的废油收集后交由有资质的危废处置单位统一处理。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⑶ 到港船舶不得在本码头水域内排放船舶垃圾，船舶垃圾确需上岸接收的，由岳阳海事部门指定的船舶接收统一处理。</w:t>
      </w:r>
    </w:p>
    <w:p>
      <w:pPr>
        <w:pStyle w:val="3"/>
        <w:rPr>
          <w:rFonts w:ascii="Times New Roman" w:hAnsi="Times New Roman" w:eastAsiaTheme="minorEastAsia"/>
          <w:b/>
        </w:rPr>
      </w:pPr>
      <w:bookmarkStart w:id="313" w:name="_Toc26268"/>
      <w:r>
        <w:rPr>
          <w:rFonts w:hint="eastAsia" w:ascii="Times New Roman" w:hAnsi="Times New Roman" w:eastAsiaTheme="minorEastAsia"/>
          <w:b/>
        </w:rPr>
        <w:t>环境风险达到可控水平</w:t>
      </w:r>
      <w:bookmarkEnd w:id="313"/>
    </w:p>
    <w:p>
      <w:pPr>
        <w:adjustRightInd w:val="0"/>
        <w:snapToGrid w:val="0"/>
        <w:spacing w:line="360" w:lineRule="auto"/>
        <w:ind w:firstLine="482"/>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环境风险事故主要为船舶溢油事故、液体化学品泄漏事故，此类风险事故发生的概率较低，但一旦发生将对长江的水质和水生生态环境产生影响。因此，必须采取必要的风险防范措施，加强码头和船舶进出港的管理，制定严格的码头巡护检查制度，进一步降低事故发生的概率</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制定应急预案，并准备必要的防护物资，减少事故发生时的环境危害。因此，采取必要的保护措施后，本项目船舶溢油事故和液体化学品泄漏事故的环境风险处于可接受的水平。</w:t>
      </w:r>
    </w:p>
    <w:p>
      <w:pPr>
        <w:pStyle w:val="3"/>
        <w:rPr>
          <w:rFonts w:ascii="Times New Roman" w:hAnsi="Times New Roman" w:eastAsiaTheme="minorEastAsia"/>
          <w:b/>
        </w:rPr>
      </w:pPr>
      <w:bookmarkStart w:id="314" w:name="_Toc20778"/>
      <w:r>
        <w:rPr>
          <w:rFonts w:hint="eastAsia" w:ascii="Times New Roman" w:hAnsi="Times New Roman" w:eastAsiaTheme="minorEastAsia"/>
          <w:b/>
        </w:rPr>
        <w:t>总量控制</w:t>
      </w:r>
      <w:bookmarkEnd w:id="314"/>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本项目总量控制情况具体如下：</w:t>
      </w:r>
    </w:p>
    <w:p>
      <w:pPr>
        <w:adjustRightInd w:val="0"/>
        <w:snapToGrid w:val="0"/>
        <w:spacing w:line="360" w:lineRule="auto"/>
        <w:ind w:firstLine="498" w:firstLineChars="200"/>
        <w:rPr>
          <w:rFonts w:ascii="Times New Roman" w:hAnsi="Times New Roman" w:eastAsiaTheme="minorEastAsia"/>
          <w:b/>
          <w:color w:val="000000" w:themeColor="text1"/>
          <w:spacing w:val="4"/>
          <w:sz w:val="24"/>
          <w:szCs w:val="24"/>
          <w14:textFill>
            <w14:solidFill>
              <w14:schemeClr w14:val="tx1"/>
            </w14:solidFill>
          </w14:textFill>
        </w:rPr>
      </w:pPr>
      <w:r>
        <w:rPr>
          <w:rFonts w:ascii="Times New Roman" w:hAnsi="Times New Roman" w:eastAsiaTheme="minorEastAsia"/>
          <w:b/>
          <w:color w:val="000000" w:themeColor="text1"/>
          <w:spacing w:val="4"/>
          <w:sz w:val="24"/>
          <w:szCs w:val="24"/>
          <w14:textFill>
            <w14:solidFill>
              <w14:schemeClr w14:val="tx1"/>
            </w14:solidFill>
          </w14:textFill>
        </w:rPr>
        <w:t>1、COD、NH</w:t>
      </w:r>
      <w:r>
        <w:rPr>
          <w:rFonts w:ascii="Times New Roman" w:hAnsi="Times New Roman" w:eastAsiaTheme="minorEastAsia"/>
          <w:b/>
          <w:color w:val="000000" w:themeColor="text1"/>
          <w:spacing w:val="4"/>
          <w:sz w:val="24"/>
          <w:szCs w:val="24"/>
          <w:vertAlign w:val="subscript"/>
          <w14:textFill>
            <w14:solidFill>
              <w14:schemeClr w14:val="tx1"/>
            </w14:solidFill>
          </w14:textFill>
        </w:rPr>
        <w:t>3</w:t>
      </w:r>
      <w:r>
        <w:rPr>
          <w:rFonts w:ascii="Times New Roman" w:hAnsi="Times New Roman" w:eastAsiaTheme="minorEastAsia"/>
          <w:b/>
          <w:color w:val="000000" w:themeColor="text1"/>
          <w:spacing w:val="4"/>
          <w:sz w:val="24"/>
          <w:szCs w:val="24"/>
          <w14:textFill>
            <w14:solidFill>
              <w14:schemeClr w14:val="tx1"/>
            </w14:solidFill>
          </w14:textFill>
        </w:rPr>
        <w:t>-N</w:t>
      </w:r>
    </w:p>
    <w:p>
      <w:pPr>
        <w:adjustRightInd w:val="0"/>
        <w:snapToGrid w:val="0"/>
        <w:spacing w:line="360" w:lineRule="auto"/>
        <w:ind w:firstLine="496" w:firstLineChars="200"/>
        <w:rPr>
          <w:rFonts w:ascii="Times New Roman" w:hAnsi="Times New Roman" w:eastAsiaTheme="minorEastAsia"/>
          <w:color w:val="000000" w:themeColor="text1"/>
          <w:spacing w:val="4"/>
          <w:sz w:val="24"/>
          <w:szCs w:val="24"/>
          <w14:textFill>
            <w14:solidFill>
              <w14:schemeClr w14:val="tx1"/>
            </w14:solidFill>
          </w14:textFill>
        </w:rPr>
      </w:pPr>
      <w:r>
        <w:rPr>
          <w:rFonts w:ascii="Times New Roman" w:hAnsi="Times New Roman" w:eastAsiaTheme="minorEastAsia"/>
          <w:color w:val="000000" w:themeColor="text1"/>
          <w:spacing w:val="4"/>
          <w:sz w:val="24"/>
          <w:szCs w:val="24"/>
          <w14:textFill>
            <w14:solidFill>
              <w14:schemeClr w14:val="tx1"/>
            </w14:solidFill>
          </w14:textFill>
        </w:rPr>
        <w:t>本项目废水主要为趸船冲洗废水、初期雨水、码头员工生活污水，生产废水经港口部污水处理站预处理后与经一体化模压式净化槽处置后的生活污水需达到《污水综合排放标准》（GB8978-1996）三级标准后，由总排口接入污水管网，经污水管网纳入中石化长岭分公司第二污水处理厂进一步处理。本项目废水均由中石化长岭分公司第二污水处理厂集中处理。因此，新增COD、NH</w:t>
      </w:r>
      <w:r>
        <w:rPr>
          <w:rFonts w:ascii="Times New Roman" w:hAnsi="Times New Roman" w:eastAsiaTheme="minorEastAsia"/>
          <w:color w:val="000000" w:themeColor="text1"/>
          <w:spacing w:val="4"/>
          <w:sz w:val="24"/>
          <w:szCs w:val="24"/>
          <w:vertAlign w:val="subscript"/>
          <w14:textFill>
            <w14:solidFill>
              <w14:schemeClr w14:val="tx1"/>
            </w14:solidFill>
          </w14:textFill>
        </w:rPr>
        <w:t>3</w:t>
      </w:r>
      <w:r>
        <w:rPr>
          <w:rFonts w:ascii="Times New Roman" w:hAnsi="Times New Roman" w:eastAsiaTheme="minorEastAsia"/>
          <w:color w:val="000000" w:themeColor="text1"/>
          <w:spacing w:val="4"/>
          <w:sz w:val="24"/>
          <w:szCs w:val="24"/>
          <w14:textFill>
            <w14:solidFill>
              <w14:schemeClr w14:val="tx1"/>
            </w14:solidFill>
          </w14:textFill>
        </w:rPr>
        <w:t>-N排放总量指标纳入中石化长岭分公司第二污水处理厂内。</w:t>
      </w:r>
    </w:p>
    <w:p>
      <w:pPr>
        <w:adjustRightInd w:val="0"/>
        <w:snapToGrid w:val="0"/>
        <w:spacing w:line="360" w:lineRule="auto"/>
        <w:ind w:firstLine="498" w:firstLineChars="200"/>
        <w:rPr>
          <w:rFonts w:hint="eastAsia" w:ascii="Times New Roman" w:hAnsi="Times New Roman" w:eastAsiaTheme="minorEastAsia"/>
          <w:b/>
          <w:color w:val="000000" w:themeColor="text1"/>
          <w:spacing w:val="4"/>
          <w:sz w:val="24"/>
          <w:szCs w:val="24"/>
          <w14:textFill>
            <w14:solidFill>
              <w14:schemeClr w14:val="tx1"/>
            </w14:solidFill>
          </w14:textFill>
        </w:rPr>
      </w:pPr>
      <w:r>
        <w:rPr>
          <w:rFonts w:hint="eastAsia" w:ascii="Times New Roman" w:hAnsi="Times New Roman" w:eastAsiaTheme="minorEastAsia"/>
          <w:b/>
          <w:color w:val="000000" w:themeColor="text1"/>
          <w:spacing w:val="4"/>
          <w:sz w:val="24"/>
          <w:szCs w:val="24"/>
          <w14:textFill>
            <w14:solidFill>
              <w14:schemeClr w14:val="tx1"/>
            </w14:solidFill>
          </w14:textFill>
        </w:rPr>
        <w:t>2、VOCs</w:t>
      </w:r>
    </w:p>
    <w:p>
      <w:pPr>
        <w:adjustRightInd w:val="0"/>
        <w:snapToGrid w:val="0"/>
        <w:spacing w:line="360" w:lineRule="auto"/>
        <w:ind w:firstLine="496" w:firstLineChars="200"/>
        <w:rPr>
          <w:rFonts w:hint="eastAsia" w:ascii="Times New Roman" w:hAnsi="Times New Roman" w:eastAsiaTheme="minorEastAsia"/>
          <w:sz w:val="24"/>
          <w:szCs w:val="24"/>
        </w:rPr>
      </w:pPr>
      <w:r>
        <w:rPr>
          <w:rFonts w:hint="eastAsia" w:ascii="Times New Roman" w:hAnsi="Times New Roman" w:eastAsiaTheme="minorEastAsia"/>
          <w:color w:val="000000" w:themeColor="text1"/>
          <w:spacing w:val="4"/>
          <w:sz w:val="24"/>
          <w:szCs w:val="24"/>
          <w14:textFill>
            <w14:solidFill>
              <w14:schemeClr w14:val="tx1"/>
            </w14:solidFill>
          </w14:textFill>
        </w:rPr>
        <w:t>本项目大气污染物VOCs有组织排放量为0.266t/a，无组织排放量为0.181t/a；设置大气总量控制指标：VOCs：0.447t/a。</w:t>
      </w:r>
    </w:p>
    <w:p>
      <w:pPr>
        <w:pStyle w:val="3"/>
        <w:rPr>
          <w:rFonts w:ascii="Times New Roman" w:hAnsi="Times New Roman" w:eastAsiaTheme="minorEastAsia"/>
          <w:b/>
        </w:rPr>
      </w:pPr>
      <w:bookmarkStart w:id="315" w:name="_Toc5811"/>
      <w:r>
        <w:rPr>
          <w:rFonts w:hint="eastAsia" w:ascii="Times New Roman" w:hAnsi="Times New Roman" w:eastAsiaTheme="minorEastAsia"/>
          <w:b/>
        </w:rPr>
        <w:t>公众参与</w:t>
      </w:r>
      <w:bookmarkEnd w:id="315"/>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根据公众参与调查结果，绝大多数人全面了解该项目的建设，本项目得到公众全部支持该项目的建设，该项目可以带动当地经济的发展，增加就业机会。被调查者希望本项目认真落实各项环境保护措施制度，尽可能减少对环境的污染。建设单位建设时应严格执行环保“三同时”制度，项目建成后加强管理，尽量减少污染物的排放对周围居民的影响。</w:t>
      </w:r>
    </w:p>
    <w:p>
      <w:pPr>
        <w:pStyle w:val="3"/>
        <w:rPr>
          <w:rFonts w:ascii="Times New Roman" w:hAnsi="Times New Roman" w:eastAsiaTheme="minorEastAsia"/>
          <w:b/>
        </w:rPr>
      </w:pPr>
      <w:bookmarkStart w:id="316" w:name="_Toc14378"/>
      <w:r>
        <w:rPr>
          <w:rFonts w:hint="eastAsia" w:ascii="Times New Roman" w:hAnsi="Times New Roman" w:eastAsiaTheme="minorEastAsia"/>
          <w:b/>
        </w:rPr>
        <w:t>总结论</w:t>
      </w:r>
      <w:bookmarkEnd w:id="316"/>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中国石化集团资产经营管理有限公司长岭分公司</w:t>
      </w:r>
      <w:r>
        <w:rPr>
          <w:rFonts w:hint="eastAsia" w:ascii="Times New Roman" w:hAnsi="Times New Roman" w:eastAsiaTheme="minorEastAsia"/>
          <w:kern w:val="0"/>
          <w:sz w:val="24"/>
          <w:szCs w:val="24"/>
        </w:rPr>
        <w:t>港口部码头提质改造工程的建设具有明显的经济效益、社会效益和环境效益。本项目</w:t>
      </w:r>
      <w:r>
        <w:rPr>
          <w:rFonts w:ascii="Times New Roman" w:hAnsi="Times New Roman" w:eastAsiaTheme="minorEastAsia"/>
          <w:kern w:val="0"/>
          <w:sz w:val="24"/>
          <w:szCs w:val="24"/>
        </w:rPr>
        <w:t>与《长江干线航道总体规划纲要》、《长江干线航道建设规划》</w:t>
      </w:r>
      <w:r>
        <w:rPr>
          <w:rFonts w:hint="eastAsia" w:ascii="Times New Roman" w:hAnsi="Times New Roman" w:eastAsiaTheme="minorEastAsia"/>
          <w:kern w:val="0"/>
          <w:sz w:val="24"/>
          <w:szCs w:val="24"/>
        </w:rPr>
        <w:t>及</w:t>
      </w:r>
      <w:r>
        <w:rPr>
          <w:rFonts w:ascii="Times New Roman" w:hAnsi="Times New Roman" w:eastAsiaTheme="minorEastAsia"/>
          <w:kern w:val="0"/>
          <w:sz w:val="24"/>
          <w:szCs w:val="24"/>
        </w:rPr>
        <w:t>《长江岸线保护和开发利用总体规划》</w:t>
      </w:r>
      <w:r>
        <w:rPr>
          <w:rFonts w:hint="eastAsia" w:ascii="Times New Roman" w:hAnsi="Times New Roman" w:eastAsiaTheme="minorEastAsia"/>
          <w:kern w:val="0"/>
          <w:sz w:val="24"/>
          <w:szCs w:val="24"/>
        </w:rPr>
        <w:t>是</w:t>
      </w:r>
      <w:r>
        <w:rPr>
          <w:rFonts w:ascii="Times New Roman" w:hAnsi="Times New Roman" w:eastAsiaTheme="minorEastAsia"/>
          <w:kern w:val="0"/>
          <w:sz w:val="24"/>
          <w:szCs w:val="24"/>
        </w:rPr>
        <w:t>相协调的，</w:t>
      </w:r>
      <w:r>
        <w:rPr>
          <w:rFonts w:hint="eastAsia" w:ascii="Times New Roman" w:hAnsi="Times New Roman" w:eastAsiaTheme="minorEastAsia"/>
          <w:kern w:val="0"/>
          <w:sz w:val="24"/>
          <w:szCs w:val="24"/>
        </w:rPr>
        <w:t>其建设与</w:t>
      </w:r>
      <w:r>
        <w:rPr>
          <w:rFonts w:ascii="Times New Roman" w:hAnsi="Times New Roman" w:eastAsiaTheme="minorEastAsia"/>
          <w:kern w:val="0"/>
          <w:sz w:val="24"/>
          <w:szCs w:val="24"/>
        </w:rPr>
        <w:t>《湖南省交通运输“十三五”发展规划》</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《湖南省港口布局规划》</w:t>
      </w:r>
      <w:r>
        <w:rPr>
          <w:rFonts w:hint="eastAsia" w:ascii="Times New Roman" w:hAnsi="Times New Roman" w:eastAsiaTheme="minorEastAsia"/>
          <w:kern w:val="0"/>
          <w:sz w:val="24"/>
          <w:szCs w:val="24"/>
        </w:rPr>
        <w:t>及新修编的</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岳阳港</w:t>
      </w:r>
      <w:r>
        <w:rPr>
          <w:rFonts w:ascii="Times New Roman" w:hAnsi="Times New Roman" w:eastAsiaTheme="minorEastAsia"/>
          <w:kern w:val="0"/>
          <w:sz w:val="24"/>
          <w:szCs w:val="24"/>
        </w:rPr>
        <w:t>总体规划</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及规划环评</w:t>
      </w:r>
      <w:r>
        <w:rPr>
          <w:rFonts w:hint="eastAsia" w:ascii="Times New Roman" w:hAnsi="Times New Roman" w:eastAsiaTheme="minorEastAsia"/>
          <w:kern w:val="0"/>
          <w:sz w:val="24"/>
          <w:szCs w:val="24"/>
        </w:rPr>
        <w:t>相符合，项目选址可行</w:t>
      </w:r>
      <w:r>
        <w:rPr>
          <w:rFonts w:ascii="Times New Roman" w:hAnsi="Times New Roman" w:eastAsiaTheme="minorEastAsia"/>
          <w:kern w:val="0"/>
          <w:sz w:val="24"/>
          <w:szCs w:val="24"/>
        </w:rPr>
        <w:t>，工程布置</w:t>
      </w:r>
      <w:r>
        <w:rPr>
          <w:rFonts w:hint="eastAsia" w:ascii="Times New Roman" w:hAnsi="Times New Roman" w:eastAsiaTheme="minorEastAsia"/>
          <w:kern w:val="0"/>
          <w:sz w:val="24"/>
          <w:szCs w:val="24"/>
        </w:rPr>
        <w:t>合理。拟采取的污染防治措施可将工程对环境的污染影响控制在最低程度。此外，项目属于《产业结构调整指导目录（201</w:t>
      </w:r>
      <w:r>
        <w:rPr>
          <w:rFonts w:ascii="Times New Roman" w:hAnsi="Times New Roman" w:eastAsiaTheme="minorEastAsia"/>
          <w:kern w:val="0"/>
          <w:sz w:val="24"/>
          <w:szCs w:val="24"/>
        </w:rPr>
        <w:t>9</w:t>
      </w:r>
      <w:r>
        <w:rPr>
          <w:rFonts w:hint="eastAsia" w:ascii="Times New Roman" w:hAnsi="Times New Roman" w:eastAsiaTheme="minorEastAsia"/>
          <w:kern w:val="0"/>
          <w:sz w:val="24"/>
          <w:szCs w:val="24"/>
        </w:rPr>
        <w:t>年本）》中鼓励类项目，符合国家有关法律、法规和政策规定。</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kern w:val="0"/>
          <w:sz w:val="24"/>
          <w:szCs w:val="24"/>
        </w:rPr>
        <w:t>工程建设单位应加强施工</w:t>
      </w:r>
      <w:r>
        <w:rPr>
          <w:rFonts w:hint="eastAsia" w:ascii="Times New Roman" w:hAnsi="Times New Roman" w:eastAsiaTheme="minorEastAsia"/>
          <w:sz w:val="24"/>
          <w:szCs w:val="24"/>
        </w:rPr>
        <w:t>期的环境管理，工程承包商在签定工程承接合同中应有明确的条款，对施工期的污染防治措施予以承诺，并制定严格的违约处罚程序。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监理单位应根据环评报告、设计图纸、招标文件等编制环境监理方案，严格按照环境监理方案执行监理工作。</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rPr>
        <w:t>营运期做好清洁生产和工程环境保护管理，严格控制污染物达标排放。评价认为工程设计已考虑了环境保护的要求，环境工程设计方案在技术上、经济上是可行的，具有较强的可操作性。在下一步的设计中应进一步落实报告书中提出的环境保护对策措施，可使工程建设对环境的不利影响得到较好的控制。</w:t>
      </w:r>
    </w:p>
    <w:sectPr>
      <w:headerReference r:id="rId19"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G Times (WN)">
    <w:altName w:val="Times New Roman"/>
    <w:panose1 w:val="00000000000000000000"/>
    <w:charset w:val="00"/>
    <w:family w:val="auto"/>
    <w:pitch w:val="default"/>
    <w:sig w:usb0="00000000" w:usb1="00000000" w:usb2="00000000" w:usb3="00000000" w:csb0="00000001" w:csb1="00000000"/>
  </w:font>
  <w:font w:name="Plotter">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83" w:usb1="288F0000" w:usb2="0000000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lang w:val="zh-CN"/>
      </w:rPr>
      <w:id w:val="132377291"/>
    </w:sdtPr>
    <w:sdtEndPr>
      <w:rPr>
        <w:rFonts w:ascii="Times New Roman" w:hAnsi="Times New Roman" w:cs="Times New Roman"/>
        <w:lang w:val="zh-CN"/>
      </w:rPr>
    </w:sdtEndPr>
    <w:sdtContent>
      <w:p>
        <w:pPr>
          <w:pStyle w:val="41"/>
          <w:jc w:val="center"/>
          <w:rPr>
            <w:rFonts w:ascii="Times New Roman" w:hAnsi="Times New Roman" w:cs="Times New Roman"/>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adjustRightInd w:val="0"/>
      <w:spacing w:before="120" w:beforeLines="5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236</w:t>
    </w:r>
    <w:r>
      <w:rPr>
        <w:rFonts w:ascii="Times New Roman" w:hAnsi="Times New Roman" w:cs="Times New Roman"/>
      </w:rPr>
      <w:fldChar w:fldCharType="end"/>
    </w:r>
  </w:p>
  <w:p>
    <w:pPr>
      <w:pStyle w:val="41"/>
      <w:jc w:val="right"/>
      <w:rPr>
        <w:rFonts w:ascii="Times New Roman" w:hAnsi="Times New Roman" w:cs="Times New Roman"/>
      </w:rPr>
    </w:pPr>
    <w:r>
      <w:rPr>
        <w:rFonts w:hint="eastAsia"/>
      </w:rPr>
      <w:t>湖南葆华环保有限公司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中国石化集团资产经营管理有限公司长岭分公司港口部码头提质改造工程环境影响报告书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8"/>
      <w:lvlText w:val=""/>
      <w:lvlJc w:val="left"/>
      <w:pPr>
        <w:tabs>
          <w:tab w:val="left" w:pos="360"/>
        </w:tabs>
        <w:ind w:left="360" w:hanging="360"/>
      </w:pPr>
      <w:rPr>
        <w:rFonts w:hint="default" w:ascii="Wingdings" w:hAnsi="Wingdings"/>
      </w:rPr>
    </w:lvl>
  </w:abstractNum>
  <w:abstractNum w:abstractNumId="1">
    <w:nsid w:val="4F302902"/>
    <w:multiLevelType w:val="multilevel"/>
    <w:tmpl w:val="4F302902"/>
    <w:lvl w:ilvl="0" w:tentative="0">
      <w:start w:val="1"/>
      <w:numFmt w:val="none"/>
      <w:pStyle w:val="357"/>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2FF3823"/>
    <w:multiLevelType w:val="multilevel"/>
    <w:tmpl w:val="52FF3823"/>
    <w:lvl w:ilvl="0" w:tentative="0">
      <w:start w:val="1"/>
      <w:numFmt w:val="decimal"/>
      <w:pStyle w:val="305"/>
      <w:lvlText w:val="%1"/>
      <w:lvlJc w:val="left"/>
      <w:pPr>
        <w:tabs>
          <w:tab w:val="left" w:pos="851"/>
        </w:tabs>
        <w:ind w:left="851"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304"/>
      <w:lvlText w:val="%3."/>
      <w:lvlJc w:val="right"/>
      <w:pPr>
        <w:tabs>
          <w:tab w:val="left" w:pos="1260"/>
        </w:tabs>
        <w:ind w:left="1260" w:hanging="420"/>
      </w:pPr>
    </w:lvl>
    <w:lvl w:ilvl="3" w:tentative="0">
      <w:start w:val="1"/>
      <w:numFmt w:val="decimal"/>
      <w:pStyle w:val="30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CE87392"/>
    <w:multiLevelType w:val="singleLevel"/>
    <w:tmpl w:val="5CE87392"/>
    <w:lvl w:ilvl="0" w:tentative="0">
      <w:start w:val="1"/>
      <w:numFmt w:val="decimal"/>
      <w:pStyle w:val="307"/>
      <w:lvlText w:val="(%1)"/>
      <w:lvlJc w:val="left"/>
      <w:pPr>
        <w:tabs>
          <w:tab w:val="left" w:pos="851"/>
        </w:tabs>
        <w:ind w:left="851" w:hanging="454"/>
      </w:pPr>
      <w:rPr>
        <w:rFonts w:hint="eastAsia"/>
        <w:sz w:val="24"/>
        <w:szCs w:val="24"/>
      </w:rPr>
    </w:lvl>
  </w:abstractNum>
  <w:abstractNum w:abstractNumId="4">
    <w:nsid w:val="794D532E"/>
    <w:multiLevelType w:val="multilevel"/>
    <w:tmpl w:val="794D532E"/>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ascii="Times New Roman" w:hAnsi="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5"/>
      <w:lvlText w:val="%1.%2.%3.%4"/>
      <w:lvlJc w:val="left"/>
      <w:pPr>
        <w:ind w:left="864" w:hanging="864"/>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2005"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1EA"/>
    <w:rsid w:val="0000238B"/>
    <w:rsid w:val="00002818"/>
    <w:rsid w:val="0000427C"/>
    <w:rsid w:val="00005873"/>
    <w:rsid w:val="00005914"/>
    <w:rsid w:val="00007365"/>
    <w:rsid w:val="0000741E"/>
    <w:rsid w:val="00010FAB"/>
    <w:rsid w:val="00011E94"/>
    <w:rsid w:val="000124E4"/>
    <w:rsid w:val="00012C63"/>
    <w:rsid w:val="000133AA"/>
    <w:rsid w:val="000134C6"/>
    <w:rsid w:val="00013D13"/>
    <w:rsid w:val="000146B7"/>
    <w:rsid w:val="00014EE2"/>
    <w:rsid w:val="0001679D"/>
    <w:rsid w:val="00017FAB"/>
    <w:rsid w:val="00022929"/>
    <w:rsid w:val="0002520F"/>
    <w:rsid w:val="00025AE4"/>
    <w:rsid w:val="000269B1"/>
    <w:rsid w:val="00026BC7"/>
    <w:rsid w:val="0003066E"/>
    <w:rsid w:val="00030799"/>
    <w:rsid w:val="000334CE"/>
    <w:rsid w:val="00033DD6"/>
    <w:rsid w:val="00034989"/>
    <w:rsid w:val="00034FBC"/>
    <w:rsid w:val="00037E7D"/>
    <w:rsid w:val="00041173"/>
    <w:rsid w:val="0004502B"/>
    <w:rsid w:val="00045AC1"/>
    <w:rsid w:val="0004637A"/>
    <w:rsid w:val="000501F9"/>
    <w:rsid w:val="00051622"/>
    <w:rsid w:val="00053AC7"/>
    <w:rsid w:val="00055818"/>
    <w:rsid w:val="00055F61"/>
    <w:rsid w:val="00057865"/>
    <w:rsid w:val="00057BFF"/>
    <w:rsid w:val="00057F31"/>
    <w:rsid w:val="00060621"/>
    <w:rsid w:val="000608DC"/>
    <w:rsid w:val="0006192F"/>
    <w:rsid w:val="000654DD"/>
    <w:rsid w:val="000656F8"/>
    <w:rsid w:val="00067934"/>
    <w:rsid w:val="000728AF"/>
    <w:rsid w:val="00073473"/>
    <w:rsid w:val="00075285"/>
    <w:rsid w:val="00076086"/>
    <w:rsid w:val="000768E5"/>
    <w:rsid w:val="0008020F"/>
    <w:rsid w:val="00081F6D"/>
    <w:rsid w:val="00082134"/>
    <w:rsid w:val="00082474"/>
    <w:rsid w:val="0008387C"/>
    <w:rsid w:val="00084069"/>
    <w:rsid w:val="00084315"/>
    <w:rsid w:val="00090250"/>
    <w:rsid w:val="00090DB1"/>
    <w:rsid w:val="000922A3"/>
    <w:rsid w:val="00092562"/>
    <w:rsid w:val="00093879"/>
    <w:rsid w:val="00093DFE"/>
    <w:rsid w:val="0009456E"/>
    <w:rsid w:val="000965FD"/>
    <w:rsid w:val="000A2542"/>
    <w:rsid w:val="000A2592"/>
    <w:rsid w:val="000A2C0C"/>
    <w:rsid w:val="000A4609"/>
    <w:rsid w:val="000A4C37"/>
    <w:rsid w:val="000A506F"/>
    <w:rsid w:val="000A5861"/>
    <w:rsid w:val="000A7766"/>
    <w:rsid w:val="000B04AA"/>
    <w:rsid w:val="000B06E7"/>
    <w:rsid w:val="000B1F82"/>
    <w:rsid w:val="000B23B8"/>
    <w:rsid w:val="000B452D"/>
    <w:rsid w:val="000B4ACB"/>
    <w:rsid w:val="000B54B0"/>
    <w:rsid w:val="000B5F31"/>
    <w:rsid w:val="000B76EB"/>
    <w:rsid w:val="000B7FC4"/>
    <w:rsid w:val="000C1684"/>
    <w:rsid w:val="000C1887"/>
    <w:rsid w:val="000C1AE7"/>
    <w:rsid w:val="000C47C9"/>
    <w:rsid w:val="000C5554"/>
    <w:rsid w:val="000C61EF"/>
    <w:rsid w:val="000C6BD5"/>
    <w:rsid w:val="000C77AC"/>
    <w:rsid w:val="000D1D10"/>
    <w:rsid w:val="000D222C"/>
    <w:rsid w:val="000D2962"/>
    <w:rsid w:val="000D2EF7"/>
    <w:rsid w:val="000D657F"/>
    <w:rsid w:val="000E191E"/>
    <w:rsid w:val="000E25FB"/>
    <w:rsid w:val="000E436D"/>
    <w:rsid w:val="000E43E8"/>
    <w:rsid w:val="000E548C"/>
    <w:rsid w:val="000E5890"/>
    <w:rsid w:val="000E6B9D"/>
    <w:rsid w:val="000F312C"/>
    <w:rsid w:val="000F314C"/>
    <w:rsid w:val="000F74E8"/>
    <w:rsid w:val="00102BF2"/>
    <w:rsid w:val="00103FA6"/>
    <w:rsid w:val="0010420A"/>
    <w:rsid w:val="0010452D"/>
    <w:rsid w:val="00104E7E"/>
    <w:rsid w:val="00105131"/>
    <w:rsid w:val="00105CDE"/>
    <w:rsid w:val="0010718C"/>
    <w:rsid w:val="001111C2"/>
    <w:rsid w:val="00111476"/>
    <w:rsid w:val="001147D4"/>
    <w:rsid w:val="00114B89"/>
    <w:rsid w:val="001160A9"/>
    <w:rsid w:val="001162B3"/>
    <w:rsid w:val="0011635A"/>
    <w:rsid w:val="001170F3"/>
    <w:rsid w:val="0012007B"/>
    <w:rsid w:val="0012138E"/>
    <w:rsid w:val="0012285E"/>
    <w:rsid w:val="00122A92"/>
    <w:rsid w:val="001239C5"/>
    <w:rsid w:val="0012665B"/>
    <w:rsid w:val="00126B72"/>
    <w:rsid w:val="00130E7C"/>
    <w:rsid w:val="00131558"/>
    <w:rsid w:val="001322CD"/>
    <w:rsid w:val="00132EF5"/>
    <w:rsid w:val="00133394"/>
    <w:rsid w:val="00134332"/>
    <w:rsid w:val="00136650"/>
    <w:rsid w:val="0013694D"/>
    <w:rsid w:val="00136F80"/>
    <w:rsid w:val="001371BB"/>
    <w:rsid w:val="001373D2"/>
    <w:rsid w:val="00137F4F"/>
    <w:rsid w:val="00140AFA"/>
    <w:rsid w:val="00141286"/>
    <w:rsid w:val="00141F40"/>
    <w:rsid w:val="00143DBF"/>
    <w:rsid w:val="00144A25"/>
    <w:rsid w:val="00145769"/>
    <w:rsid w:val="0014591C"/>
    <w:rsid w:val="001459A3"/>
    <w:rsid w:val="00146855"/>
    <w:rsid w:val="001478ED"/>
    <w:rsid w:val="00151EE4"/>
    <w:rsid w:val="001522EC"/>
    <w:rsid w:val="001539D8"/>
    <w:rsid w:val="00154D6B"/>
    <w:rsid w:val="00157C8D"/>
    <w:rsid w:val="0016049A"/>
    <w:rsid w:val="00162F8B"/>
    <w:rsid w:val="001656A7"/>
    <w:rsid w:val="00165D83"/>
    <w:rsid w:val="00166128"/>
    <w:rsid w:val="0016756B"/>
    <w:rsid w:val="00170C8E"/>
    <w:rsid w:val="00170FAA"/>
    <w:rsid w:val="00171DA2"/>
    <w:rsid w:val="001726E4"/>
    <w:rsid w:val="00172A27"/>
    <w:rsid w:val="0017341C"/>
    <w:rsid w:val="001735D5"/>
    <w:rsid w:val="00173744"/>
    <w:rsid w:val="00174508"/>
    <w:rsid w:val="00175AE9"/>
    <w:rsid w:val="00175BE8"/>
    <w:rsid w:val="00176CD0"/>
    <w:rsid w:val="0018137B"/>
    <w:rsid w:val="0018213F"/>
    <w:rsid w:val="00183FA7"/>
    <w:rsid w:val="001865D0"/>
    <w:rsid w:val="00187089"/>
    <w:rsid w:val="00192DEE"/>
    <w:rsid w:val="00194814"/>
    <w:rsid w:val="001A1307"/>
    <w:rsid w:val="001A403F"/>
    <w:rsid w:val="001A4B9A"/>
    <w:rsid w:val="001A5CDF"/>
    <w:rsid w:val="001A65E0"/>
    <w:rsid w:val="001B0233"/>
    <w:rsid w:val="001B2EC0"/>
    <w:rsid w:val="001B4B9C"/>
    <w:rsid w:val="001B740C"/>
    <w:rsid w:val="001B7F1D"/>
    <w:rsid w:val="001C142C"/>
    <w:rsid w:val="001C17D7"/>
    <w:rsid w:val="001C33A1"/>
    <w:rsid w:val="001C4237"/>
    <w:rsid w:val="001C4C77"/>
    <w:rsid w:val="001C4E35"/>
    <w:rsid w:val="001C5001"/>
    <w:rsid w:val="001C569B"/>
    <w:rsid w:val="001C625D"/>
    <w:rsid w:val="001C788E"/>
    <w:rsid w:val="001D4762"/>
    <w:rsid w:val="001D47CB"/>
    <w:rsid w:val="001D5A74"/>
    <w:rsid w:val="001D5B2B"/>
    <w:rsid w:val="001D7C28"/>
    <w:rsid w:val="001E065D"/>
    <w:rsid w:val="001E1632"/>
    <w:rsid w:val="001E30CF"/>
    <w:rsid w:val="001E5096"/>
    <w:rsid w:val="001E5D0A"/>
    <w:rsid w:val="001E5DFB"/>
    <w:rsid w:val="001E65A9"/>
    <w:rsid w:val="001E74E1"/>
    <w:rsid w:val="001F1973"/>
    <w:rsid w:val="001F1989"/>
    <w:rsid w:val="001F202C"/>
    <w:rsid w:val="001F28BB"/>
    <w:rsid w:val="001F30C3"/>
    <w:rsid w:val="001F3E82"/>
    <w:rsid w:val="001F5764"/>
    <w:rsid w:val="001F67D6"/>
    <w:rsid w:val="001F68B7"/>
    <w:rsid w:val="00200F99"/>
    <w:rsid w:val="002029B5"/>
    <w:rsid w:val="00204AA6"/>
    <w:rsid w:val="00204E20"/>
    <w:rsid w:val="0020580A"/>
    <w:rsid w:val="00206A8F"/>
    <w:rsid w:val="00206EF5"/>
    <w:rsid w:val="00210424"/>
    <w:rsid w:val="00211F17"/>
    <w:rsid w:val="00212634"/>
    <w:rsid w:val="00213F38"/>
    <w:rsid w:val="00215834"/>
    <w:rsid w:val="00216437"/>
    <w:rsid w:val="00216BA3"/>
    <w:rsid w:val="00217989"/>
    <w:rsid w:val="00220EAF"/>
    <w:rsid w:val="0022181A"/>
    <w:rsid w:val="002239AD"/>
    <w:rsid w:val="002241B8"/>
    <w:rsid w:val="002244C4"/>
    <w:rsid w:val="00231049"/>
    <w:rsid w:val="00233188"/>
    <w:rsid w:val="00233A91"/>
    <w:rsid w:val="00234C8F"/>
    <w:rsid w:val="00235CB0"/>
    <w:rsid w:val="00236BB6"/>
    <w:rsid w:val="00236CC9"/>
    <w:rsid w:val="00240586"/>
    <w:rsid w:val="00241926"/>
    <w:rsid w:val="002428B7"/>
    <w:rsid w:val="00242E5C"/>
    <w:rsid w:val="002441C4"/>
    <w:rsid w:val="00246833"/>
    <w:rsid w:val="002503DA"/>
    <w:rsid w:val="002504D0"/>
    <w:rsid w:val="002504D2"/>
    <w:rsid w:val="002513C5"/>
    <w:rsid w:val="00251E19"/>
    <w:rsid w:val="00253E75"/>
    <w:rsid w:val="00254056"/>
    <w:rsid w:val="00254284"/>
    <w:rsid w:val="002553D7"/>
    <w:rsid w:val="002572AF"/>
    <w:rsid w:val="00260506"/>
    <w:rsid w:val="00261966"/>
    <w:rsid w:val="00262D9E"/>
    <w:rsid w:val="00264AA4"/>
    <w:rsid w:val="00265547"/>
    <w:rsid w:val="00265549"/>
    <w:rsid w:val="00270694"/>
    <w:rsid w:val="00270EF3"/>
    <w:rsid w:val="002731D3"/>
    <w:rsid w:val="002732EA"/>
    <w:rsid w:val="00273A2B"/>
    <w:rsid w:val="0027783C"/>
    <w:rsid w:val="00280ED4"/>
    <w:rsid w:val="002811DB"/>
    <w:rsid w:val="002821FC"/>
    <w:rsid w:val="00282663"/>
    <w:rsid w:val="00287832"/>
    <w:rsid w:val="00291056"/>
    <w:rsid w:val="00292D2B"/>
    <w:rsid w:val="00293D72"/>
    <w:rsid w:val="0029488A"/>
    <w:rsid w:val="002965CB"/>
    <w:rsid w:val="00296C0B"/>
    <w:rsid w:val="002974EB"/>
    <w:rsid w:val="002A0C1E"/>
    <w:rsid w:val="002A2B70"/>
    <w:rsid w:val="002A5815"/>
    <w:rsid w:val="002B148D"/>
    <w:rsid w:val="002B1977"/>
    <w:rsid w:val="002B3819"/>
    <w:rsid w:val="002B4433"/>
    <w:rsid w:val="002B5B56"/>
    <w:rsid w:val="002B75D6"/>
    <w:rsid w:val="002C0089"/>
    <w:rsid w:val="002C0A6B"/>
    <w:rsid w:val="002C11A7"/>
    <w:rsid w:val="002C1D2E"/>
    <w:rsid w:val="002C2096"/>
    <w:rsid w:val="002C2D59"/>
    <w:rsid w:val="002C3B16"/>
    <w:rsid w:val="002C4A6C"/>
    <w:rsid w:val="002C556A"/>
    <w:rsid w:val="002C5685"/>
    <w:rsid w:val="002C67E1"/>
    <w:rsid w:val="002D081D"/>
    <w:rsid w:val="002D173D"/>
    <w:rsid w:val="002D20E8"/>
    <w:rsid w:val="002D2C29"/>
    <w:rsid w:val="002D57FD"/>
    <w:rsid w:val="002E19E4"/>
    <w:rsid w:val="002E1C52"/>
    <w:rsid w:val="002E43E8"/>
    <w:rsid w:val="002E473D"/>
    <w:rsid w:val="002E521B"/>
    <w:rsid w:val="002F2E8D"/>
    <w:rsid w:val="002F38E6"/>
    <w:rsid w:val="002F5F31"/>
    <w:rsid w:val="002F72FB"/>
    <w:rsid w:val="003030AA"/>
    <w:rsid w:val="0030362D"/>
    <w:rsid w:val="003041AB"/>
    <w:rsid w:val="0030494E"/>
    <w:rsid w:val="003049E8"/>
    <w:rsid w:val="0030513B"/>
    <w:rsid w:val="00305FB6"/>
    <w:rsid w:val="003072A4"/>
    <w:rsid w:val="0031121E"/>
    <w:rsid w:val="00311B40"/>
    <w:rsid w:val="00311E9F"/>
    <w:rsid w:val="00314C04"/>
    <w:rsid w:val="0031537D"/>
    <w:rsid w:val="003161C8"/>
    <w:rsid w:val="0031633D"/>
    <w:rsid w:val="00316FA1"/>
    <w:rsid w:val="00317F0D"/>
    <w:rsid w:val="00320770"/>
    <w:rsid w:val="003213B6"/>
    <w:rsid w:val="003241A1"/>
    <w:rsid w:val="003241E9"/>
    <w:rsid w:val="00326448"/>
    <w:rsid w:val="00326CEE"/>
    <w:rsid w:val="00331EAF"/>
    <w:rsid w:val="00332D1D"/>
    <w:rsid w:val="003331CC"/>
    <w:rsid w:val="003345D8"/>
    <w:rsid w:val="003403D5"/>
    <w:rsid w:val="00341FBE"/>
    <w:rsid w:val="00343592"/>
    <w:rsid w:val="003435C6"/>
    <w:rsid w:val="00343D40"/>
    <w:rsid w:val="0034483E"/>
    <w:rsid w:val="00344D49"/>
    <w:rsid w:val="003450C4"/>
    <w:rsid w:val="00346C2A"/>
    <w:rsid w:val="0035008E"/>
    <w:rsid w:val="00353F09"/>
    <w:rsid w:val="0035409F"/>
    <w:rsid w:val="0035433C"/>
    <w:rsid w:val="00354F52"/>
    <w:rsid w:val="0035541C"/>
    <w:rsid w:val="00355FC1"/>
    <w:rsid w:val="003563AB"/>
    <w:rsid w:val="003578E5"/>
    <w:rsid w:val="00357DB8"/>
    <w:rsid w:val="003606B6"/>
    <w:rsid w:val="00360C31"/>
    <w:rsid w:val="0036280F"/>
    <w:rsid w:val="00362BEB"/>
    <w:rsid w:val="003643C9"/>
    <w:rsid w:val="0036790E"/>
    <w:rsid w:val="00370352"/>
    <w:rsid w:val="003731CC"/>
    <w:rsid w:val="003751AE"/>
    <w:rsid w:val="00375607"/>
    <w:rsid w:val="003812FF"/>
    <w:rsid w:val="00381919"/>
    <w:rsid w:val="0038241A"/>
    <w:rsid w:val="00384AF9"/>
    <w:rsid w:val="00385146"/>
    <w:rsid w:val="00385907"/>
    <w:rsid w:val="00385F6D"/>
    <w:rsid w:val="00390395"/>
    <w:rsid w:val="00390DF6"/>
    <w:rsid w:val="0039318B"/>
    <w:rsid w:val="003936E2"/>
    <w:rsid w:val="00393DCD"/>
    <w:rsid w:val="00393F97"/>
    <w:rsid w:val="003961F3"/>
    <w:rsid w:val="00396DAE"/>
    <w:rsid w:val="003A1036"/>
    <w:rsid w:val="003A21BD"/>
    <w:rsid w:val="003A2F4F"/>
    <w:rsid w:val="003A54EE"/>
    <w:rsid w:val="003B4B84"/>
    <w:rsid w:val="003C1DFA"/>
    <w:rsid w:val="003C3CBB"/>
    <w:rsid w:val="003C4746"/>
    <w:rsid w:val="003C62BF"/>
    <w:rsid w:val="003C66BA"/>
    <w:rsid w:val="003C6DD3"/>
    <w:rsid w:val="003D18D4"/>
    <w:rsid w:val="003D1EC9"/>
    <w:rsid w:val="003D1FBC"/>
    <w:rsid w:val="003D5249"/>
    <w:rsid w:val="003D55D9"/>
    <w:rsid w:val="003D6D72"/>
    <w:rsid w:val="003E0BC3"/>
    <w:rsid w:val="003E11BB"/>
    <w:rsid w:val="003E1726"/>
    <w:rsid w:val="003E6702"/>
    <w:rsid w:val="003E70EE"/>
    <w:rsid w:val="003F029F"/>
    <w:rsid w:val="003F0D9E"/>
    <w:rsid w:val="003F2857"/>
    <w:rsid w:val="003F5910"/>
    <w:rsid w:val="003F5EAA"/>
    <w:rsid w:val="003F6850"/>
    <w:rsid w:val="003F7199"/>
    <w:rsid w:val="003F7DFA"/>
    <w:rsid w:val="0040302C"/>
    <w:rsid w:val="0040398B"/>
    <w:rsid w:val="00404251"/>
    <w:rsid w:val="00405241"/>
    <w:rsid w:val="004052CF"/>
    <w:rsid w:val="00406C38"/>
    <w:rsid w:val="004108FF"/>
    <w:rsid w:val="004116DA"/>
    <w:rsid w:val="004135F3"/>
    <w:rsid w:val="0041482C"/>
    <w:rsid w:val="004159B5"/>
    <w:rsid w:val="00416225"/>
    <w:rsid w:val="00416B3E"/>
    <w:rsid w:val="0041734D"/>
    <w:rsid w:val="00417FEF"/>
    <w:rsid w:val="004205CF"/>
    <w:rsid w:val="00420632"/>
    <w:rsid w:val="00420EA1"/>
    <w:rsid w:val="004219E1"/>
    <w:rsid w:val="00421AF0"/>
    <w:rsid w:val="004224B5"/>
    <w:rsid w:val="00422A39"/>
    <w:rsid w:val="00423ED4"/>
    <w:rsid w:val="00424676"/>
    <w:rsid w:val="00425698"/>
    <w:rsid w:val="0042761D"/>
    <w:rsid w:val="00431738"/>
    <w:rsid w:val="0043499D"/>
    <w:rsid w:val="0043755B"/>
    <w:rsid w:val="004414CE"/>
    <w:rsid w:val="0044254E"/>
    <w:rsid w:val="00442C77"/>
    <w:rsid w:val="00446458"/>
    <w:rsid w:val="00446C82"/>
    <w:rsid w:val="00447649"/>
    <w:rsid w:val="00450CE1"/>
    <w:rsid w:val="00450FBB"/>
    <w:rsid w:val="0045142A"/>
    <w:rsid w:val="00451AB0"/>
    <w:rsid w:val="00451EA1"/>
    <w:rsid w:val="00451EDD"/>
    <w:rsid w:val="0045250D"/>
    <w:rsid w:val="00452E6A"/>
    <w:rsid w:val="0045313A"/>
    <w:rsid w:val="00453E0F"/>
    <w:rsid w:val="004557EE"/>
    <w:rsid w:val="00455BEE"/>
    <w:rsid w:val="00455F73"/>
    <w:rsid w:val="004561D2"/>
    <w:rsid w:val="0045729A"/>
    <w:rsid w:val="004573B2"/>
    <w:rsid w:val="0045740E"/>
    <w:rsid w:val="00457996"/>
    <w:rsid w:val="00460BCA"/>
    <w:rsid w:val="00466178"/>
    <w:rsid w:val="0046672A"/>
    <w:rsid w:val="00467BC8"/>
    <w:rsid w:val="00471AF2"/>
    <w:rsid w:val="00472327"/>
    <w:rsid w:val="00473100"/>
    <w:rsid w:val="004742AB"/>
    <w:rsid w:val="0047475E"/>
    <w:rsid w:val="004753FE"/>
    <w:rsid w:val="0047540A"/>
    <w:rsid w:val="004775EE"/>
    <w:rsid w:val="004814EA"/>
    <w:rsid w:val="00481BDF"/>
    <w:rsid w:val="00481ED2"/>
    <w:rsid w:val="00482CA9"/>
    <w:rsid w:val="0048317C"/>
    <w:rsid w:val="004839C4"/>
    <w:rsid w:val="00483DA8"/>
    <w:rsid w:val="00486010"/>
    <w:rsid w:val="00486031"/>
    <w:rsid w:val="004871A5"/>
    <w:rsid w:val="004871C3"/>
    <w:rsid w:val="00490B98"/>
    <w:rsid w:val="004910DB"/>
    <w:rsid w:val="00493619"/>
    <w:rsid w:val="00493D2D"/>
    <w:rsid w:val="0049524C"/>
    <w:rsid w:val="00496136"/>
    <w:rsid w:val="00497902"/>
    <w:rsid w:val="004A148E"/>
    <w:rsid w:val="004A2D44"/>
    <w:rsid w:val="004A452D"/>
    <w:rsid w:val="004A4774"/>
    <w:rsid w:val="004A4F74"/>
    <w:rsid w:val="004A52CE"/>
    <w:rsid w:val="004A5ECA"/>
    <w:rsid w:val="004A7E27"/>
    <w:rsid w:val="004B01E5"/>
    <w:rsid w:val="004B0ADA"/>
    <w:rsid w:val="004B2896"/>
    <w:rsid w:val="004B2ED9"/>
    <w:rsid w:val="004B45EB"/>
    <w:rsid w:val="004B58E1"/>
    <w:rsid w:val="004B7203"/>
    <w:rsid w:val="004C047A"/>
    <w:rsid w:val="004C0618"/>
    <w:rsid w:val="004D0027"/>
    <w:rsid w:val="004D0DC3"/>
    <w:rsid w:val="004D0EF6"/>
    <w:rsid w:val="004D162B"/>
    <w:rsid w:val="004D1893"/>
    <w:rsid w:val="004D24A6"/>
    <w:rsid w:val="004D2BBC"/>
    <w:rsid w:val="004D37CD"/>
    <w:rsid w:val="004E2A19"/>
    <w:rsid w:val="004E2BFF"/>
    <w:rsid w:val="004E3EE1"/>
    <w:rsid w:val="004E3F4B"/>
    <w:rsid w:val="004E45DA"/>
    <w:rsid w:val="004E46C3"/>
    <w:rsid w:val="004E4C6A"/>
    <w:rsid w:val="004E5A0A"/>
    <w:rsid w:val="004E68F2"/>
    <w:rsid w:val="004E783F"/>
    <w:rsid w:val="004E7B60"/>
    <w:rsid w:val="004F13E6"/>
    <w:rsid w:val="004F24C2"/>
    <w:rsid w:val="004F4CDC"/>
    <w:rsid w:val="004F5771"/>
    <w:rsid w:val="004F59A8"/>
    <w:rsid w:val="004F5BF3"/>
    <w:rsid w:val="004F6A2E"/>
    <w:rsid w:val="005008E7"/>
    <w:rsid w:val="00501597"/>
    <w:rsid w:val="00501AEB"/>
    <w:rsid w:val="005030C9"/>
    <w:rsid w:val="00504C64"/>
    <w:rsid w:val="00511CB4"/>
    <w:rsid w:val="0051264C"/>
    <w:rsid w:val="00512CB9"/>
    <w:rsid w:val="00512F78"/>
    <w:rsid w:val="0051306F"/>
    <w:rsid w:val="00517AF6"/>
    <w:rsid w:val="005205AE"/>
    <w:rsid w:val="0052160A"/>
    <w:rsid w:val="00522F46"/>
    <w:rsid w:val="00524359"/>
    <w:rsid w:val="00525CF1"/>
    <w:rsid w:val="00531A11"/>
    <w:rsid w:val="00532AC1"/>
    <w:rsid w:val="005343C7"/>
    <w:rsid w:val="005365D0"/>
    <w:rsid w:val="0053759F"/>
    <w:rsid w:val="005376D9"/>
    <w:rsid w:val="00540EF6"/>
    <w:rsid w:val="0054105C"/>
    <w:rsid w:val="005426B7"/>
    <w:rsid w:val="00542A5B"/>
    <w:rsid w:val="00543BBE"/>
    <w:rsid w:val="00545019"/>
    <w:rsid w:val="005453CD"/>
    <w:rsid w:val="00546C90"/>
    <w:rsid w:val="005510DF"/>
    <w:rsid w:val="0055146F"/>
    <w:rsid w:val="00553C37"/>
    <w:rsid w:val="005562F9"/>
    <w:rsid w:val="0055725B"/>
    <w:rsid w:val="005573DE"/>
    <w:rsid w:val="00562C78"/>
    <w:rsid w:val="00564216"/>
    <w:rsid w:val="00564C65"/>
    <w:rsid w:val="00565339"/>
    <w:rsid w:val="005657F7"/>
    <w:rsid w:val="0056737C"/>
    <w:rsid w:val="00571D29"/>
    <w:rsid w:val="00571D89"/>
    <w:rsid w:val="00573230"/>
    <w:rsid w:val="00574C55"/>
    <w:rsid w:val="0057590E"/>
    <w:rsid w:val="00582E64"/>
    <w:rsid w:val="0058371B"/>
    <w:rsid w:val="00584572"/>
    <w:rsid w:val="00584CE2"/>
    <w:rsid w:val="00585313"/>
    <w:rsid w:val="005866B7"/>
    <w:rsid w:val="00586740"/>
    <w:rsid w:val="00586925"/>
    <w:rsid w:val="00587EA9"/>
    <w:rsid w:val="00594004"/>
    <w:rsid w:val="00594AEC"/>
    <w:rsid w:val="005971F5"/>
    <w:rsid w:val="005A421C"/>
    <w:rsid w:val="005A571F"/>
    <w:rsid w:val="005A71C4"/>
    <w:rsid w:val="005B12E6"/>
    <w:rsid w:val="005B2A4F"/>
    <w:rsid w:val="005B2C55"/>
    <w:rsid w:val="005B3437"/>
    <w:rsid w:val="005B40EF"/>
    <w:rsid w:val="005C0A65"/>
    <w:rsid w:val="005C0F02"/>
    <w:rsid w:val="005C2DAF"/>
    <w:rsid w:val="005C5A24"/>
    <w:rsid w:val="005C7BDB"/>
    <w:rsid w:val="005D034F"/>
    <w:rsid w:val="005D251A"/>
    <w:rsid w:val="005D2702"/>
    <w:rsid w:val="005D278B"/>
    <w:rsid w:val="005D374B"/>
    <w:rsid w:val="005D41EC"/>
    <w:rsid w:val="005D64C1"/>
    <w:rsid w:val="005E1AE7"/>
    <w:rsid w:val="005E2732"/>
    <w:rsid w:val="005E3744"/>
    <w:rsid w:val="005E41DE"/>
    <w:rsid w:val="005F167D"/>
    <w:rsid w:val="005F1960"/>
    <w:rsid w:val="005F29CF"/>
    <w:rsid w:val="005F3013"/>
    <w:rsid w:val="005F41D4"/>
    <w:rsid w:val="005F4B38"/>
    <w:rsid w:val="005F5C35"/>
    <w:rsid w:val="005F764B"/>
    <w:rsid w:val="00600308"/>
    <w:rsid w:val="00600ECF"/>
    <w:rsid w:val="00601273"/>
    <w:rsid w:val="00601E20"/>
    <w:rsid w:val="006021E4"/>
    <w:rsid w:val="00602903"/>
    <w:rsid w:val="0060636A"/>
    <w:rsid w:val="00606B92"/>
    <w:rsid w:val="006122A8"/>
    <w:rsid w:val="00613257"/>
    <w:rsid w:val="0061432A"/>
    <w:rsid w:val="006160FB"/>
    <w:rsid w:val="006163FD"/>
    <w:rsid w:val="00617D8F"/>
    <w:rsid w:val="006203E3"/>
    <w:rsid w:val="006208E7"/>
    <w:rsid w:val="0062347A"/>
    <w:rsid w:val="00623733"/>
    <w:rsid w:val="00626BF9"/>
    <w:rsid w:val="00626D59"/>
    <w:rsid w:val="0062727B"/>
    <w:rsid w:val="00631900"/>
    <w:rsid w:val="00633AAF"/>
    <w:rsid w:val="006348D7"/>
    <w:rsid w:val="0063551B"/>
    <w:rsid w:val="006366ED"/>
    <w:rsid w:val="00636C89"/>
    <w:rsid w:val="00640467"/>
    <w:rsid w:val="0064063B"/>
    <w:rsid w:val="00641B62"/>
    <w:rsid w:val="00641D17"/>
    <w:rsid w:val="00641F19"/>
    <w:rsid w:val="00643C9F"/>
    <w:rsid w:val="00643DFE"/>
    <w:rsid w:val="006456BC"/>
    <w:rsid w:val="00646716"/>
    <w:rsid w:val="006532F2"/>
    <w:rsid w:val="00653A8F"/>
    <w:rsid w:val="0065555C"/>
    <w:rsid w:val="00657B69"/>
    <w:rsid w:val="006608F1"/>
    <w:rsid w:val="00663EBF"/>
    <w:rsid w:val="00664611"/>
    <w:rsid w:val="006700CA"/>
    <w:rsid w:val="006702E6"/>
    <w:rsid w:val="006716A4"/>
    <w:rsid w:val="00673031"/>
    <w:rsid w:val="00674039"/>
    <w:rsid w:val="00676067"/>
    <w:rsid w:val="006761BE"/>
    <w:rsid w:val="00676411"/>
    <w:rsid w:val="00677B50"/>
    <w:rsid w:val="00681527"/>
    <w:rsid w:val="00682804"/>
    <w:rsid w:val="006833F2"/>
    <w:rsid w:val="00684D7A"/>
    <w:rsid w:val="00687055"/>
    <w:rsid w:val="00690155"/>
    <w:rsid w:val="0069017F"/>
    <w:rsid w:val="006909A4"/>
    <w:rsid w:val="00690C97"/>
    <w:rsid w:val="00692DEA"/>
    <w:rsid w:val="006A04A2"/>
    <w:rsid w:val="006A0B87"/>
    <w:rsid w:val="006A1F25"/>
    <w:rsid w:val="006A24FD"/>
    <w:rsid w:val="006A3395"/>
    <w:rsid w:val="006A3CD2"/>
    <w:rsid w:val="006A4DCB"/>
    <w:rsid w:val="006A64CA"/>
    <w:rsid w:val="006A6C5F"/>
    <w:rsid w:val="006A7106"/>
    <w:rsid w:val="006A726C"/>
    <w:rsid w:val="006A78F4"/>
    <w:rsid w:val="006A7FF9"/>
    <w:rsid w:val="006B0A80"/>
    <w:rsid w:val="006B0C37"/>
    <w:rsid w:val="006B27BC"/>
    <w:rsid w:val="006B32D9"/>
    <w:rsid w:val="006B3C43"/>
    <w:rsid w:val="006B4299"/>
    <w:rsid w:val="006B4638"/>
    <w:rsid w:val="006B4DD9"/>
    <w:rsid w:val="006B5E3D"/>
    <w:rsid w:val="006B6939"/>
    <w:rsid w:val="006C0D0C"/>
    <w:rsid w:val="006C208C"/>
    <w:rsid w:val="006C2628"/>
    <w:rsid w:val="006C2CA7"/>
    <w:rsid w:val="006C46A5"/>
    <w:rsid w:val="006C535C"/>
    <w:rsid w:val="006C6E2A"/>
    <w:rsid w:val="006C7E9F"/>
    <w:rsid w:val="006D007F"/>
    <w:rsid w:val="006D00A2"/>
    <w:rsid w:val="006D139A"/>
    <w:rsid w:val="006D3621"/>
    <w:rsid w:val="006D39AF"/>
    <w:rsid w:val="006D3E2E"/>
    <w:rsid w:val="006D3F87"/>
    <w:rsid w:val="006D6151"/>
    <w:rsid w:val="006D6F58"/>
    <w:rsid w:val="006D7782"/>
    <w:rsid w:val="006E0137"/>
    <w:rsid w:val="006E2116"/>
    <w:rsid w:val="006E4C80"/>
    <w:rsid w:val="006E67FD"/>
    <w:rsid w:val="006F246D"/>
    <w:rsid w:val="006F2AFF"/>
    <w:rsid w:val="006F36A7"/>
    <w:rsid w:val="006F41F7"/>
    <w:rsid w:val="006F4579"/>
    <w:rsid w:val="006F4815"/>
    <w:rsid w:val="006F5373"/>
    <w:rsid w:val="006F568D"/>
    <w:rsid w:val="006F6548"/>
    <w:rsid w:val="007002AE"/>
    <w:rsid w:val="0070451A"/>
    <w:rsid w:val="00707FFC"/>
    <w:rsid w:val="00711E92"/>
    <w:rsid w:val="0071507A"/>
    <w:rsid w:val="00715740"/>
    <w:rsid w:val="00716B18"/>
    <w:rsid w:val="00717EDF"/>
    <w:rsid w:val="00724E59"/>
    <w:rsid w:val="0072521C"/>
    <w:rsid w:val="007262A5"/>
    <w:rsid w:val="007266FA"/>
    <w:rsid w:val="00730178"/>
    <w:rsid w:val="0073098D"/>
    <w:rsid w:val="0073389B"/>
    <w:rsid w:val="00735285"/>
    <w:rsid w:val="00735A47"/>
    <w:rsid w:val="00736BD9"/>
    <w:rsid w:val="00741A4B"/>
    <w:rsid w:val="00743BFB"/>
    <w:rsid w:val="00743CDD"/>
    <w:rsid w:val="00744F9F"/>
    <w:rsid w:val="00746C7D"/>
    <w:rsid w:val="00752FD8"/>
    <w:rsid w:val="00753AC3"/>
    <w:rsid w:val="007561BC"/>
    <w:rsid w:val="007562C0"/>
    <w:rsid w:val="0075649D"/>
    <w:rsid w:val="00756B22"/>
    <w:rsid w:val="0076054A"/>
    <w:rsid w:val="007631D6"/>
    <w:rsid w:val="00765425"/>
    <w:rsid w:val="00766F71"/>
    <w:rsid w:val="007707E5"/>
    <w:rsid w:val="00770E3E"/>
    <w:rsid w:val="00771A85"/>
    <w:rsid w:val="00773DB2"/>
    <w:rsid w:val="00773ED7"/>
    <w:rsid w:val="007762A0"/>
    <w:rsid w:val="00777DC9"/>
    <w:rsid w:val="007800E3"/>
    <w:rsid w:val="00781C00"/>
    <w:rsid w:val="007825BD"/>
    <w:rsid w:val="00783C60"/>
    <w:rsid w:val="00783CE6"/>
    <w:rsid w:val="00784E05"/>
    <w:rsid w:val="00785124"/>
    <w:rsid w:val="00786CAC"/>
    <w:rsid w:val="00790EE8"/>
    <w:rsid w:val="007912A9"/>
    <w:rsid w:val="00792E6D"/>
    <w:rsid w:val="00794930"/>
    <w:rsid w:val="00796330"/>
    <w:rsid w:val="00797CED"/>
    <w:rsid w:val="007A1432"/>
    <w:rsid w:val="007A144C"/>
    <w:rsid w:val="007A2254"/>
    <w:rsid w:val="007A371D"/>
    <w:rsid w:val="007A3F09"/>
    <w:rsid w:val="007A48B6"/>
    <w:rsid w:val="007A4DD9"/>
    <w:rsid w:val="007A52A7"/>
    <w:rsid w:val="007A6487"/>
    <w:rsid w:val="007B056B"/>
    <w:rsid w:val="007B12B5"/>
    <w:rsid w:val="007B4B07"/>
    <w:rsid w:val="007B51F7"/>
    <w:rsid w:val="007B556D"/>
    <w:rsid w:val="007B5787"/>
    <w:rsid w:val="007B60DB"/>
    <w:rsid w:val="007B70C7"/>
    <w:rsid w:val="007C104E"/>
    <w:rsid w:val="007C1396"/>
    <w:rsid w:val="007C390C"/>
    <w:rsid w:val="007C7385"/>
    <w:rsid w:val="007C7C8D"/>
    <w:rsid w:val="007D08E0"/>
    <w:rsid w:val="007D21F8"/>
    <w:rsid w:val="007D22FD"/>
    <w:rsid w:val="007D35A4"/>
    <w:rsid w:val="007D3F11"/>
    <w:rsid w:val="007D4FD8"/>
    <w:rsid w:val="007D511D"/>
    <w:rsid w:val="007D6BCE"/>
    <w:rsid w:val="007D735A"/>
    <w:rsid w:val="007D7EAD"/>
    <w:rsid w:val="007E185D"/>
    <w:rsid w:val="007E3839"/>
    <w:rsid w:val="007E4A24"/>
    <w:rsid w:val="007E677E"/>
    <w:rsid w:val="007E7CF7"/>
    <w:rsid w:val="007F0CFB"/>
    <w:rsid w:val="007F11E6"/>
    <w:rsid w:val="007F1EE2"/>
    <w:rsid w:val="007F53A2"/>
    <w:rsid w:val="007F7EB0"/>
    <w:rsid w:val="00803C3D"/>
    <w:rsid w:val="00803EA7"/>
    <w:rsid w:val="008048A1"/>
    <w:rsid w:val="0080520D"/>
    <w:rsid w:val="008054D3"/>
    <w:rsid w:val="00807588"/>
    <w:rsid w:val="008107FD"/>
    <w:rsid w:val="008123A8"/>
    <w:rsid w:val="00815748"/>
    <w:rsid w:val="008170A5"/>
    <w:rsid w:val="00817C39"/>
    <w:rsid w:val="00820D26"/>
    <w:rsid w:val="00820EDB"/>
    <w:rsid w:val="00821E44"/>
    <w:rsid w:val="0082384E"/>
    <w:rsid w:val="008248B8"/>
    <w:rsid w:val="00826E0D"/>
    <w:rsid w:val="0082755B"/>
    <w:rsid w:val="00827D24"/>
    <w:rsid w:val="00830B3B"/>
    <w:rsid w:val="008318C6"/>
    <w:rsid w:val="00834BFC"/>
    <w:rsid w:val="00837DB4"/>
    <w:rsid w:val="00842808"/>
    <w:rsid w:val="00842E04"/>
    <w:rsid w:val="008435D2"/>
    <w:rsid w:val="00850EA7"/>
    <w:rsid w:val="008519B1"/>
    <w:rsid w:val="00852A9D"/>
    <w:rsid w:val="008547E4"/>
    <w:rsid w:val="00854A51"/>
    <w:rsid w:val="0085512A"/>
    <w:rsid w:val="00856D0C"/>
    <w:rsid w:val="008574E1"/>
    <w:rsid w:val="00860297"/>
    <w:rsid w:val="00866100"/>
    <w:rsid w:val="00866CEC"/>
    <w:rsid w:val="00866F94"/>
    <w:rsid w:val="0086736B"/>
    <w:rsid w:val="00867A2C"/>
    <w:rsid w:val="00872A20"/>
    <w:rsid w:val="00880675"/>
    <w:rsid w:val="008826EE"/>
    <w:rsid w:val="00884336"/>
    <w:rsid w:val="00884ED7"/>
    <w:rsid w:val="00885410"/>
    <w:rsid w:val="00886A09"/>
    <w:rsid w:val="00891BC9"/>
    <w:rsid w:val="00895F85"/>
    <w:rsid w:val="00897E7F"/>
    <w:rsid w:val="008A1774"/>
    <w:rsid w:val="008A2954"/>
    <w:rsid w:val="008A31C2"/>
    <w:rsid w:val="008A389E"/>
    <w:rsid w:val="008A4054"/>
    <w:rsid w:val="008A7B0E"/>
    <w:rsid w:val="008B308F"/>
    <w:rsid w:val="008B3314"/>
    <w:rsid w:val="008B37A7"/>
    <w:rsid w:val="008B7BC8"/>
    <w:rsid w:val="008C2AED"/>
    <w:rsid w:val="008C3887"/>
    <w:rsid w:val="008C4BE0"/>
    <w:rsid w:val="008C502A"/>
    <w:rsid w:val="008C5B81"/>
    <w:rsid w:val="008C6752"/>
    <w:rsid w:val="008D06EC"/>
    <w:rsid w:val="008D0EE0"/>
    <w:rsid w:val="008D35B4"/>
    <w:rsid w:val="008D5D60"/>
    <w:rsid w:val="008D6049"/>
    <w:rsid w:val="008D68A2"/>
    <w:rsid w:val="008E2442"/>
    <w:rsid w:val="008E627E"/>
    <w:rsid w:val="008E7358"/>
    <w:rsid w:val="008E7637"/>
    <w:rsid w:val="008F0FDA"/>
    <w:rsid w:val="008F183E"/>
    <w:rsid w:val="008F399A"/>
    <w:rsid w:val="008F5E17"/>
    <w:rsid w:val="008F6380"/>
    <w:rsid w:val="008F7723"/>
    <w:rsid w:val="008F7FFB"/>
    <w:rsid w:val="00900A3F"/>
    <w:rsid w:val="00900C0A"/>
    <w:rsid w:val="0090144B"/>
    <w:rsid w:val="00901A5A"/>
    <w:rsid w:val="009020DE"/>
    <w:rsid w:val="00904943"/>
    <w:rsid w:val="00904CF3"/>
    <w:rsid w:val="00905D56"/>
    <w:rsid w:val="00907CBB"/>
    <w:rsid w:val="00911664"/>
    <w:rsid w:val="00914581"/>
    <w:rsid w:val="009169EA"/>
    <w:rsid w:val="00920517"/>
    <w:rsid w:val="00920A68"/>
    <w:rsid w:val="0092139E"/>
    <w:rsid w:val="009239E4"/>
    <w:rsid w:val="00924757"/>
    <w:rsid w:val="00925EA7"/>
    <w:rsid w:val="00926C09"/>
    <w:rsid w:val="0093572E"/>
    <w:rsid w:val="0093750D"/>
    <w:rsid w:val="009403DB"/>
    <w:rsid w:val="00941353"/>
    <w:rsid w:val="009414F1"/>
    <w:rsid w:val="0094165B"/>
    <w:rsid w:val="00941894"/>
    <w:rsid w:val="00944504"/>
    <w:rsid w:val="0094547A"/>
    <w:rsid w:val="00947B77"/>
    <w:rsid w:val="00950B48"/>
    <w:rsid w:val="00951477"/>
    <w:rsid w:val="0095158D"/>
    <w:rsid w:val="009552F2"/>
    <w:rsid w:val="00956173"/>
    <w:rsid w:val="00956C2B"/>
    <w:rsid w:val="00957021"/>
    <w:rsid w:val="00961944"/>
    <w:rsid w:val="00962115"/>
    <w:rsid w:val="00964708"/>
    <w:rsid w:val="0096488F"/>
    <w:rsid w:val="00965521"/>
    <w:rsid w:val="00966971"/>
    <w:rsid w:val="009710DD"/>
    <w:rsid w:val="009719FA"/>
    <w:rsid w:val="00971D99"/>
    <w:rsid w:val="00975622"/>
    <w:rsid w:val="0098172F"/>
    <w:rsid w:val="00982242"/>
    <w:rsid w:val="009824D2"/>
    <w:rsid w:val="00982BA1"/>
    <w:rsid w:val="00983A88"/>
    <w:rsid w:val="00983D57"/>
    <w:rsid w:val="00984CD5"/>
    <w:rsid w:val="00984E40"/>
    <w:rsid w:val="009854A2"/>
    <w:rsid w:val="00985950"/>
    <w:rsid w:val="0098694D"/>
    <w:rsid w:val="009871A1"/>
    <w:rsid w:val="00987596"/>
    <w:rsid w:val="00991DE0"/>
    <w:rsid w:val="00992214"/>
    <w:rsid w:val="00992485"/>
    <w:rsid w:val="009927EA"/>
    <w:rsid w:val="009934B7"/>
    <w:rsid w:val="009947AC"/>
    <w:rsid w:val="00995821"/>
    <w:rsid w:val="00997A62"/>
    <w:rsid w:val="009A1332"/>
    <w:rsid w:val="009A3D70"/>
    <w:rsid w:val="009A5399"/>
    <w:rsid w:val="009A5E44"/>
    <w:rsid w:val="009A729D"/>
    <w:rsid w:val="009B3C65"/>
    <w:rsid w:val="009C04F1"/>
    <w:rsid w:val="009C3085"/>
    <w:rsid w:val="009C36DD"/>
    <w:rsid w:val="009C3FF7"/>
    <w:rsid w:val="009C4EEE"/>
    <w:rsid w:val="009C5D2E"/>
    <w:rsid w:val="009D057B"/>
    <w:rsid w:val="009D0971"/>
    <w:rsid w:val="009D17EE"/>
    <w:rsid w:val="009D1E69"/>
    <w:rsid w:val="009D24B2"/>
    <w:rsid w:val="009D32B5"/>
    <w:rsid w:val="009D331B"/>
    <w:rsid w:val="009D4229"/>
    <w:rsid w:val="009D5675"/>
    <w:rsid w:val="009D5FE7"/>
    <w:rsid w:val="009D6A6E"/>
    <w:rsid w:val="009D6D71"/>
    <w:rsid w:val="009E0CDF"/>
    <w:rsid w:val="009E154F"/>
    <w:rsid w:val="009E27C8"/>
    <w:rsid w:val="009E388E"/>
    <w:rsid w:val="009E3D40"/>
    <w:rsid w:val="009E5614"/>
    <w:rsid w:val="009E6A93"/>
    <w:rsid w:val="009F0AC5"/>
    <w:rsid w:val="009F0BBE"/>
    <w:rsid w:val="009F110F"/>
    <w:rsid w:val="009F1BA0"/>
    <w:rsid w:val="009F3404"/>
    <w:rsid w:val="009F432B"/>
    <w:rsid w:val="009F4A21"/>
    <w:rsid w:val="009F5350"/>
    <w:rsid w:val="009F5874"/>
    <w:rsid w:val="009F5A1D"/>
    <w:rsid w:val="009F621F"/>
    <w:rsid w:val="00A005BB"/>
    <w:rsid w:val="00A02365"/>
    <w:rsid w:val="00A039BB"/>
    <w:rsid w:val="00A040CF"/>
    <w:rsid w:val="00A0483D"/>
    <w:rsid w:val="00A05E6E"/>
    <w:rsid w:val="00A06DEC"/>
    <w:rsid w:val="00A12E0E"/>
    <w:rsid w:val="00A138E9"/>
    <w:rsid w:val="00A13F66"/>
    <w:rsid w:val="00A15A29"/>
    <w:rsid w:val="00A17032"/>
    <w:rsid w:val="00A17B4F"/>
    <w:rsid w:val="00A17E22"/>
    <w:rsid w:val="00A20A82"/>
    <w:rsid w:val="00A2135D"/>
    <w:rsid w:val="00A21FF0"/>
    <w:rsid w:val="00A2369B"/>
    <w:rsid w:val="00A23CBF"/>
    <w:rsid w:val="00A2477B"/>
    <w:rsid w:val="00A27967"/>
    <w:rsid w:val="00A32EF0"/>
    <w:rsid w:val="00A35458"/>
    <w:rsid w:val="00A365F0"/>
    <w:rsid w:val="00A36A68"/>
    <w:rsid w:val="00A37C4C"/>
    <w:rsid w:val="00A41ACD"/>
    <w:rsid w:val="00A420B6"/>
    <w:rsid w:val="00A45708"/>
    <w:rsid w:val="00A459CC"/>
    <w:rsid w:val="00A50AAF"/>
    <w:rsid w:val="00A50CFC"/>
    <w:rsid w:val="00A51012"/>
    <w:rsid w:val="00A510B8"/>
    <w:rsid w:val="00A52439"/>
    <w:rsid w:val="00A525FC"/>
    <w:rsid w:val="00A5262D"/>
    <w:rsid w:val="00A5677D"/>
    <w:rsid w:val="00A56860"/>
    <w:rsid w:val="00A60986"/>
    <w:rsid w:val="00A60DE8"/>
    <w:rsid w:val="00A60E8B"/>
    <w:rsid w:val="00A61EFE"/>
    <w:rsid w:val="00A63100"/>
    <w:rsid w:val="00A64366"/>
    <w:rsid w:val="00A64B08"/>
    <w:rsid w:val="00A65085"/>
    <w:rsid w:val="00A65F60"/>
    <w:rsid w:val="00A666B1"/>
    <w:rsid w:val="00A728BB"/>
    <w:rsid w:val="00A72F89"/>
    <w:rsid w:val="00A75E39"/>
    <w:rsid w:val="00A814EC"/>
    <w:rsid w:val="00A81849"/>
    <w:rsid w:val="00A818B7"/>
    <w:rsid w:val="00A83B11"/>
    <w:rsid w:val="00A87D34"/>
    <w:rsid w:val="00A901AD"/>
    <w:rsid w:val="00A91640"/>
    <w:rsid w:val="00A92D01"/>
    <w:rsid w:val="00A94C8E"/>
    <w:rsid w:val="00A94CF1"/>
    <w:rsid w:val="00A9672D"/>
    <w:rsid w:val="00AA29E1"/>
    <w:rsid w:val="00AA2F21"/>
    <w:rsid w:val="00AA41D7"/>
    <w:rsid w:val="00AA4B28"/>
    <w:rsid w:val="00AA4C91"/>
    <w:rsid w:val="00AA6428"/>
    <w:rsid w:val="00AA6463"/>
    <w:rsid w:val="00AB0538"/>
    <w:rsid w:val="00AB4F8B"/>
    <w:rsid w:val="00AC0974"/>
    <w:rsid w:val="00AC258F"/>
    <w:rsid w:val="00AC2D91"/>
    <w:rsid w:val="00AD0158"/>
    <w:rsid w:val="00AD0593"/>
    <w:rsid w:val="00AD0E11"/>
    <w:rsid w:val="00AD11A4"/>
    <w:rsid w:val="00AD1556"/>
    <w:rsid w:val="00AD1562"/>
    <w:rsid w:val="00AD2495"/>
    <w:rsid w:val="00AD2E1F"/>
    <w:rsid w:val="00AD3443"/>
    <w:rsid w:val="00AD346A"/>
    <w:rsid w:val="00AD653A"/>
    <w:rsid w:val="00AD744D"/>
    <w:rsid w:val="00AE1600"/>
    <w:rsid w:val="00AE161E"/>
    <w:rsid w:val="00AE2233"/>
    <w:rsid w:val="00AE3620"/>
    <w:rsid w:val="00AE55FC"/>
    <w:rsid w:val="00AF1204"/>
    <w:rsid w:val="00AF16BD"/>
    <w:rsid w:val="00AF1923"/>
    <w:rsid w:val="00AF371D"/>
    <w:rsid w:val="00AF3CE1"/>
    <w:rsid w:val="00AF4928"/>
    <w:rsid w:val="00AF4A60"/>
    <w:rsid w:val="00AF4C00"/>
    <w:rsid w:val="00AF50E7"/>
    <w:rsid w:val="00AF7181"/>
    <w:rsid w:val="00AF7244"/>
    <w:rsid w:val="00B002BF"/>
    <w:rsid w:val="00B025DF"/>
    <w:rsid w:val="00B02748"/>
    <w:rsid w:val="00B033D4"/>
    <w:rsid w:val="00B04C3F"/>
    <w:rsid w:val="00B118EC"/>
    <w:rsid w:val="00B11D50"/>
    <w:rsid w:val="00B122DC"/>
    <w:rsid w:val="00B13085"/>
    <w:rsid w:val="00B14156"/>
    <w:rsid w:val="00B15F7D"/>
    <w:rsid w:val="00B17D18"/>
    <w:rsid w:val="00B223FE"/>
    <w:rsid w:val="00B226B2"/>
    <w:rsid w:val="00B22B06"/>
    <w:rsid w:val="00B22C89"/>
    <w:rsid w:val="00B2587A"/>
    <w:rsid w:val="00B26107"/>
    <w:rsid w:val="00B26E12"/>
    <w:rsid w:val="00B27D64"/>
    <w:rsid w:val="00B317FA"/>
    <w:rsid w:val="00B32996"/>
    <w:rsid w:val="00B3378F"/>
    <w:rsid w:val="00B34F30"/>
    <w:rsid w:val="00B35D1A"/>
    <w:rsid w:val="00B35DED"/>
    <w:rsid w:val="00B36BE1"/>
    <w:rsid w:val="00B406EB"/>
    <w:rsid w:val="00B415FE"/>
    <w:rsid w:val="00B4203D"/>
    <w:rsid w:val="00B42098"/>
    <w:rsid w:val="00B42C4B"/>
    <w:rsid w:val="00B42FC4"/>
    <w:rsid w:val="00B44B0B"/>
    <w:rsid w:val="00B47132"/>
    <w:rsid w:val="00B4727F"/>
    <w:rsid w:val="00B50D6F"/>
    <w:rsid w:val="00B52F6A"/>
    <w:rsid w:val="00B5425C"/>
    <w:rsid w:val="00B577DD"/>
    <w:rsid w:val="00B57BB9"/>
    <w:rsid w:val="00B613A8"/>
    <w:rsid w:val="00B6222A"/>
    <w:rsid w:val="00B65856"/>
    <w:rsid w:val="00B662D5"/>
    <w:rsid w:val="00B66C2C"/>
    <w:rsid w:val="00B66C2D"/>
    <w:rsid w:val="00B7024F"/>
    <w:rsid w:val="00B70AC9"/>
    <w:rsid w:val="00B7319D"/>
    <w:rsid w:val="00B73AB9"/>
    <w:rsid w:val="00B76F7A"/>
    <w:rsid w:val="00B803CD"/>
    <w:rsid w:val="00B8191C"/>
    <w:rsid w:val="00B82888"/>
    <w:rsid w:val="00B837B4"/>
    <w:rsid w:val="00B8529B"/>
    <w:rsid w:val="00B85B5E"/>
    <w:rsid w:val="00B8645D"/>
    <w:rsid w:val="00B8659E"/>
    <w:rsid w:val="00B86774"/>
    <w:rsid w:val="00B872A0"/>
    <w:rsid w:val="00B878A4"/>
    <w:rsid w:val="00B878A5"/>
    <w:rsid w:val="00B91DA0"/>
    <w:rsid w:val="00B94311"/>
    <w:rsid w:val="00B94D26"/>
    <w:rsid w:val="00B950CF"/>
    <w:rsid w:val="00B9524E"/>
    <w:rsid w:val="00B970B6"/>
    <w:rsid w:val="00B97B3A"/>
    <w:rsid w:val="00BA111A"/>
    <w:rsid w:val="00BA7B56"/>
    <w:rsid w:val="00BB0CF2"/>
    <w:rsid w:val="00BB159C"/>
    <w:rsid w:val="00BB1D9F"/>
    <w:rsid w:val="00BB212B"/>
    <w:rsid w:val="00BB4C41"/>
    <w:rsid w:val="00BB52FC"/>
    <w:rsid w:val="00BB6451"/>
    <w:rsid w:val="00BC15C7"/>
    <w:rsid w:val="00BC30B2"/>
    <w:rsid w:val="00BC55BC"/>
    <w:rsid w:val="00BC596F"/>
    <w:rsid w:val="00BD082F"/>
    <w:rsid w:val="00BD0A95"/>
    <w:rsid w:val="00BD30A8"/>
    <w:rsid w:val="00BD4949"/>
    <w:rsid w:val="00BD5B7F"/>
    <w:rsid w:val="00BD676C"/>
    <w:rsid w:val="00BE07BE"/>
    <w:rsid w:val="00BE30EB"/>
    <w:rsid w:val="00BE4DD4"/>
    <w:rsid w:val="00BE7ABB"/>
    <w:rsid w:val="00BE7B07"/>
    <w:rsid w:val="00BF04BD"/>
    <w:rsid w:val="00BF08BE"/>
    <w:rsid w:val="00BF14CE"/>
    <w:rsid w:val="00BF2627"/>
    <w:rsid w:val="00BF39A8"/>
    <w:rsid w:val="00BF3DEB"/>
    <w:rsid w:val="00BF58B7"/>
    <w:rsid w:val="00BF5A0C"/>
    <w:rsid w:val="00BF60DD"/>
    <w:rsid w:val="00C00708"/>
    <w:rsid w:val="00C02813"/>
    <w:rsid w:val="00C032BC"/>
    <w:rsid w:val="00C050C8"/>
    <w:rsid w:val="00C0691D"/>
    <w:rsid w:val="00C1059F"/>
    <w:rsid w:val="00C11110"/>
    <w:rsid w:val="00C13138"/>
    <w:rsid w:val="00C1451F"/>
    <w:rsid w:val="00C14E86"/>
    <w:rsid w:val="00C252C7"/>
    <w:rsid w:val="00C25478"/>
    <w:rsid w:val="00C25488"/>
    <w:rsid w:val="00C27AF8"/>
    <w:rsid w:val="00C34008"/>
    <w:rsid w:val="00C34374"/>
    <w:rsid w:val="00C36A24"/>
    <w:rsid w:val="00C44BCA"/>
    <w:rsid w:val="00C45079"/>
    <w:rsid w:val="00C45DC2"/>
    <w:rsid w:val="00C46023"/>
    <w:rsid w:val="00C46EFB"/>
    <w:rsid w:val="00C47B51"/>
    <w:rsid w:val="00C51B31"/>
    <w:rsid w:val="00C542A7"/>
    <w:rsid w:val="00C5497C"/>
    <w:rsid w:val="00C574DC"/>
    <w:rsid w:val="00C600CB"/>
    <w:rsid w:val="00C60FC9"/>
    <w:rsid w:val="00C62FE1"/>
    <w:rsid w:val="00C632A7"/>
    <w:rsid w:val="00C63A98"/>
    <w:rsid w:val="00C66087"/>
    <w:rsid w:val="00C67F7B"/>
    <w:rsid w:val="00C70440"/>
    <w:rsid w:val="00C716A8"/>
    <w:rsid w:val="00C73136"/>
    <w:rsid w:val="00C73A37"/>
    <w:rsid w:val="00C74DC9"/>
    <w:rsid w:val="00C75EF9"/>
    <w:rsid w:val="00C764A8"/>
    <w:rsid w:val="00C76D05"/>
    <w:rsid w:val="00C81FFD"/>
    <w:rsid w:val="00C825DD"/>
    <w:rsid w:val="00C8265E"/>
    <w:rsid w:val="00C82970"/>
    <w:rsid w:val="00C82EF5"/>
    <w:rsid w:val="00C84074"/>
    <w:rsid w:val="00C85869"/>
    <w:rsid w:val="00C860E2"/>
    <w:rsid w:val="00C87A00"/>
    <w:rsid w:val="00C9271E"/>
    <w:rsid w:val="00C9272C"/>
    <w:rsid w:val="00C92C3A"/>
    <w:rsid w:val="00C9334A"/>
    <w:rsid w:val="00C951D7"/>
    <w:rsid w:val="00C96093"/>
    <w:rsid w:val="00C97D58"/>
    <w:rsid w:val="00CA022F"/>
    <w:rsid w:val="00CA222B"/>
    <w:rsid w:val="00CA36A2"/>
    <w:rsid w:val="00CA494F"/>
    <w:rsid w:val="00CA75D9"/>
    <w:rsid w:val="00CA780F"/>
    <w:rsid w:val="00CA7FCC"/>
    <w:rsid w:val="00CB0610"/>
    <w:rsid w:val="00CB362E"/>
    <w:rsid w:val="00CB52F8"/>
    <w:rsid w:val="00CB606A"/>
    <w:rsid w:val="00CB63A4"/>
    <w:rsid w:val="00CC0542"/>
    <w:rsid w:val="00CC1DB6"/>
    <w:rsid w:val="00CC239D"/>
    <w:rsid w:val="00CC595E"/>
    <w:rsid w:val="00CC7C3F"/>
    <w:rsid w:val="00CD1BE0"/>
    <w:rsid w:val="00CD3716"/>
    <w:rsid w:val="00CD3C1A"/>
    <w:rsid w:val="00CE2DFD"/>
    <w:rsid w:val="00CE42C7"/>
    <w:rsid w:val="00CE430A"/>
    <w:rsid w:val="00CE4E85"/>
    <w:rsid w:val="00CE67D9"/>
    <w:rsid w:val="00CE69EA"/>
    <w:rsid w:val="00CF26F3"/>
    <w:rsid w:val="00CF3C7C"/>
    <w:rsid w:val="00D00F85"/>
    <w:rsid w:val="00D0178F"/>
    <w:rsid w:val="00D029C6"/>
    <w:rsid w:val="00D04607"/>
    <w:rsid w:val="00D04C67"/>
    <w:rsid w:val="00D10238"/>
    <w:rsid w:val="00D1043E"/>
    <w:rsid w:val="00D14531"/>
    <w:rsid w:val="00D15970"/>
    <w:rsid w:val="00D15C11"/>
    <w:rsid w:val="00D201DC"/>
    <w:rsid w:val="00D20A78"/>
    <w:rsid w:val="00D21175"/>
    <w:rsid w:val="00D21AF5"/>
    <w:rsid w:val="00D23259"/>
    <w:rsid w:val="00D23869"/>
    <w:rsid w:val="00D238DE"/>
    <w:rsid w:val="00D24B49"/>
    <w:rsid w:val="00D24F7D"/>
    <w:rsid w:val="00D25CF2"/>
    <w:rsid w:val="00D3212F"/>
    <w:rsid w:val="00D34590"/>
    <w:rsid w:val="00D36FFD"/>
    <w:rsid w:val="00D370B2"/>
    <w:rsid w:val="00D37301"/>
    <w:rsid w:val="00D40B47"/>
    <w:rsid w:val="00D40E0D"/>
    <w:rsid w:val="00D420B2"/>
    <w:rsid w:val="00D422CF"/>
    <w:rsid w:val="00D449AE"/>
    <w:rsid w:val="00D45405"/>
    <w:rsid w:val="00D4735B"/>
    <w:rsid w:val="00D5243C"/>
    <w:rsid w:val="00D52AF4"/>
    <w:rsid w:val="00D5393C"/>
    <w:rsid w:val="00D55CC2"/>
    <w:rsid w:val="00D5648F"/>
    <w:rsid w:val="00D5655C"/>
    <w:rsid w:val="00D62EB4"/>
    <w:rsid w:val="00D63274"/>
    <w:rsid w:val="00D66A93"/>
    <w:rsid w:val="00D7050A"/>
    <w:rsid w:val="00D72CFC"/>
    <w:rsid w:val="00D7353D"/>
    <w:rsid w:val="00D757C2"/>
    <w:rsid w:val="00D75F90"/>
    <w:rsid w:val="00D761B5"/>
    <w:rsid w:val="00D76360"/>
    <w:rsid w:val="00D828F3"/>
    <w:rsid w:val="00D82B46"/>
    <w:rsid w:val="00D82D96"/>
    <w:rsid w:val="00D83728"/>
    <w:rsid w:val="00D837E0"/>
    <w:rsid w:val="00D85735"/>
    <w:rsid w:val="00D8749E"/>
    <w:rsid w:val="00D87644"/>
    <w:rsid w:val="00D9191C"/>
    <w:rsid w:val="00D9350B"/>
    <w:rsid w:val="00D947F5"/>
    <w:rsid w:val="00D96DC3"/>
    <w:rsid w:val="00D9774D"/>
    <w:rsid w:val="00DA17CB"/>
    <w:rsid w:val="00DA2E53"/>
    <w:rsid w:val="00DA3629"/>
    <w:rsid w:val="00DA4A1C"/>
    <w:rsid w:val="00DA59A9"/>
    <w:rsid w:val="00DA5EDA"/>
    <w:rsid w:val="00DA659B"/>
    <w:rsid w:val="00DA6620"/>
    <w:rsid w:val="00DA7D0F"/>
    <w:rsid w:val="00DB0537"/>
    <w:rsid w:val="00DB0C7C"/>
    <w:rsid w:val="00DB172F"/>
    <w:rsid w:val="00DB2A63"/>
    <w:rsid w:val="00DB2C0A"/>
    <w:rsid w:val="00DB3084"/>
    <w:rsid w:val="00DB34BA"/>
    <w:rsid w:val="00DB3763"/>
    <w:rsid w:val="00DB4F5D"/>
    <w:rsid w:val="00DB66B5"/>
    <w:rsid w:val="00DB77DD"/>
    <w:rsid w:val="00DC0481"/>
    <w:rsid w:val="00DC05D6"/>
    <w:rsid w:val="00DC165A"/>
    <w:rsid w:val="00DC2A47"/>
    <w:rsid w:val="00DC2BDA"/>
    <w:rsid w:val="00DC5125"/>
    <w:rsid w:val="00DC572E"/>
    <w:rsid w:val="00DC5DDB"/>
    <w:rsid w:val="00DC6999"/>
    <w:rsid w:val="00DC6E3F"/>
    <w:rsid w:val="00DD0275"/>
    <w:rsid w:val="00DD09DB"/>
    <w:rsid w:val="00DD138E"/>
    <w:rsid w:val="00DD28AA"/>
    <w:rsid w:val="00DD5624"/>
    <w:rsid w:val="00DD5D14"/>
    <w:rsid w:val="00DD76BA"/>
    <w:rsid w:val="00DE04F9"/>
    <w:rsid w:val="00DE164D"/>
    <w:rsid w:val="00DE29D5"/>
    <w:rsid w:val="00DE3892"/>
    <w:rsid w:val="00DE5242"/>
    <w:rsid w:val="00DE57A1"/>
    <w:rsid w:val="00DE68B1"/>
    <w:rsid w:val="00DF1919"/>
    <w:rsid w:val="00DF3720"/>
    <w:rsid w:val="00DF39A5"/>
    <w:rsid w:val="00DF4531"/>
    <w:rsid w:val="00DF47E6"/>
    <w:rsid w:val="00DF7947"/>
    <w:rsid w:val="00E00E29"/>
    <w:rsid w:val="00E00EB6"/>
    <w:rsid w:val="00E011D0"/>
    <w:rsid w:val="00E015AC"/>
    <w:rsid w:val="00E035ED"/>
    <w:rsid w:val="00E03FB0"/>
    <w:rsid w:val="00E040B3"/>
    <w:rsid w:val="00E06382"/>
    <w:rsid w:val="00E12642"/>
    <w:rsid w:val="00E14384"/>
    <w:rsid w:val="00E1721A"/>
    <w:rsid w:val="00E174F6"/>
    <w:rsid w:val="00E2186F"/>
    <w:rsid w:val="00E218DA"/>
    <w:rsid w:val="00E22A51"/>
    <w:rsid w:val="00E23D39"/>
    <w:rsid w:val="00E23F56"/>
    <w:rsid w:val="00E240B2"/>
    <w:rsid w:val="00E25197"/>
    <w:rsid w:val="00E25EDC"/>
    <w:rsid w:val="00E27A78"/>
    <w:rsid w:val="00E27EE9"/>
    <w:rsid w:val="00E30657"/>
    <w:rsid w:val="00E32111"/>
    <w:rsid w:val="00E3222D"/>
    <w:rsid w:val="00E32D91"/>
    <w:rsid w:val="00E32E3B"/>
    <w:rsid w:val="00E34078"/>
    <w:rsid w:val="00E34F5E"/>
    <w:rsid w:val="00E354FA"/>
    <w:rsid w:val="00E35519"/>
    <w:rsid w:val="00E361F3"/>
    <w:rsid w:val="00E366BA"/>
    <w:rsid w:val="00E36D42"/>
    <w:rsid w:val="00E419F5"/>
    <w:rsid w:val="00E43058"/>
    <w:rsid w:val="00E432FB"/>
    <w:rsid w:val="00E43810"/>
    <w:rsid w:val="00E43ABD"/>
    <w:rsid w:val="00E446E8"/>
    <w:rsid w:val="00E44E4B"/>
    <w:rsid w:val="00E456BA"/>
    <w:rsid w:val="00E46368"/>
    <w:rsid w:val="00E504C7"/>
    <w:rsid w:val="00E522AB"/>
    <w:rsid w:val="00E5312B"/>
    <w:rsid w:val="00E5543F"/>
    <w:rsid w:val="00E55865"/>
    <w:rsid w:val="00E563D2"/>
    <w:rsid w:val="00E57109"/>
    <w:rsid w:val="00E5763A"/>
    <w:rsid w:val="00E60358"/>
    <w:rsid w:val="00E6095C"/>
    <w:rsid w:val="00E636C3"/>
    <w:rsid w:val="00E66C15"/>
    <w:rsid w:val="00E70F31"/>
    <w:rsid w:val="00E71AE3"/>
    <w:rsid w:val="00E71D64"/>
    <w:rsid w:val="00E728B4"/>
    <w:rsid w:val="00E7563F"/>
    <w:rsid w:val="00E817B4"/>
    <w:rsid w:val="00E82CCD"/>
    <w:rsid w:val="00E83236"/>
    <w:rsid w:val="00E86028"/>
    <w:rsid w:val="00E87044"/>
    <w:rsid w:val="00E87A33"/>
    <w:rsid w:val="00E9004E"/>
    <w:rsid w:val="00E90533"/>
    <w:rsid w:val="00E90C02"/>
    <w:rsid w:val="00E922D6"/>
    <w:rsid w:val="00E923C8"/>
    <w:rsid w:val="00E92545"/>
    <w:rsid w:val="00E925B0"/>
    <w:rsid w:val="00E926D9"/>
    <w:rsid w:val="00E936A5"/>
    <w:rsid w:val="00E93C0C"/>
    <w:rsid w:val="00E95180"/>
    <w:rsid w:val="00E951FB"/>
    <w:rsid w:val="00E96CB3"/>
    <w:rsid w:val="00E97891"/>
    <w:rsid w:val="00EA10FD"/>
    <w:rsid w:val="00EA1BEF"/>
    <w:rsid w:val="00EA3193"/>
    <w:rsid w:val="00EA36BB"/>
    <w:rsid w:val="00EA36F0"/>
    <w:rsid w:val="00EB19CA"/>
    <w:rsid w:val="00EB1C28"/>
    <w:rsid w:val="00EB2C88"/>
    <w:rsid w:val="00EB4664"/>
    <w:rsid w:val="00EB777C"/>
    <w:rsid w:val="00EC093D"/>
    <w:rsid w:val="00EC0B83"/>
    <w:rsid w:val="00EC1889"/>
    <w:rsid w:val="00EC2B44"/>
    <w:rsid w:val="00EC33DC"/>
    <w:rsid w:val="00EC4BB1"/>
    <w:rsid w:val="00EC627A"/>
    <w:rsid w:val="00EC6BCF"/>
    <w:rsid w:val="00ED29DF"/>
    <w:rsid w:val="00ED4865"/>
    <w:rsid w:val="00ED4A4A"/>
    <w:rsid w:val="00ED5EFF"/>
    <w:rsid w:val="00ED6FB4"/>
    <w:rsid w:val="00ED7FB6"/>
    <w:rsid w:val="00EE00D6"/>
    <w:rsid w:val="00EE2D15"/>
    <w:rsid w:val="00EE40EA"/>
    <w:rsid w:val="00EE706C"/>
    <w:rsid w:val="00EE7410"/>
    <w:rsid w:val="00EE7FC1"/>
    <w:rsid w:val="00EE7FF9"/>
    <w:rsid w:val="00EF0712"/>
    <w:rsid w:val="00EF3333"/>
    <w:rsid w:val="00EF3F11"/>
    <w:rsid w:val="00EF523C"/>
    <w:rsid w:val="00F01217"/>
    <w:rsid w:val="00F04517"/>
    <w:rsid w:val="00F04922"/>
    <w:rsid w:val="00F06605"/>
    <w:rsid w:val="00F12CEE"/>
    <w:rsid w:val="00F139EE"/>
    <w:rsid w:val="00F201AD"/>
    <w:rsid w:val="00F2043B"/>
    <w:rsid w:val="00F22A38"/>
    <w:rsid w:val="00F23C05"/>
    <w:rsid w:val="00F23CDC"/>
    <w:rsid w:val="00F26680"/>
    <w:rsid w:val="00F30284"/>
    <w:rsid w:val="00F305DE"/>
    <w:rsid w:val="00F31682"/>
    <w:rsid w:val="00F33AA6"/>
    <w:rsid w:val="00F35A37"/>
    <w:rsid w:val="00F36400"/>
    <w:rsid w:val="00F37196"/>
    <w:rsid w:val="00F379A3"/>
    <w:rsid w:val="00F40042"/>
    <w:rsid w:val="00F40343"/>
    <w:rsid w:val="00F405A4"/>
    <w:rsid w:val="00F40CFF"/>
    <w:rsid w:val="00F42BB3"/>
    <w:rsid w:val="00F43D8B"/>
    <w:rsid w:val="00F45196"/>
    <w:rsid w:val="00F46350"/>
    <w:rsid w:val="00F46559"/>
    <w:rsid w:val="00F46DA0"/>
    <w:rsid w:val="00F47D48"/>
    <w:rsid w:val="00F47DE2"/>
    <w:rsid w:val="00F52D26"/>
    <w:rsid w:val="00F53786"/>
    <w:rsid w:val="00F5590D"/>
    <w:rsid w:val="00F57548"/>
    <w:rsid w:val="00F57F77"/>
    <w:rsid w:val="00F6214E"/>
    <w:rsid w:val="00F6297A"/>
    <w:rsid w:val="00F654FB"/>
    <w:rsid w:val="00F662F9"/>
    <w:rsid w:val="00F6777F"/>
    <w:rsid w:val="00F70077"/>
    <w:rsid w:val="00F7024D"/>
    <w:rsid w:val="00F70D93"/>
    <w:rsid w:val="00F72369"/>
    <w:rsid w:val="00F73619"/>
    <w:rsid w:val="00F7413E"/>
    <w:rsid w:val="00F75719"/>
    <w:rsid w:val="00F76DA0"/>
    <w:rsid w:val="00F8236C"/>
    <w:rsid w:val="00F83772"/>
    <w:rsid w:val="00F84B61"/>
    <w:rsid w:val="00F87A7E"/>
    <w:rsid w:val="00F9036D"/>
    <w:rsid w:val="00F91BA9"/>
    <w:rsid w:val="00F9582B"/>
    <w:rsid w:val="00FA0695"/>
    <w:rsid w:val="00FA1335"/>
    <w:rsid w:val="00FA17F5"/>
    <w:rsid w:val="00FA18EE"/>
    <w:rsid w:val="00FA2A36"/>
    <w:rsid w:val="00FA2AD2"/>
    <w:rsid w:val="00FA4E01"/>
    <w:rsid w:val="00FA530C"/>
    <w:rsid w:val="00FA54BF"/>
    <w:rsid w:val="00FA5B82"/>
    <w:rsid w:val="00FA7F34"/>
    <w:rsid w:val="00FB0B46"/>
    <w:rsid w:val="00FB23EE"/>
    <w:rsid w:val="00FB2677"/>
    <w:rsid w:val="00FB2C15"/>
    <w:rsid w:val="00FB304F"/>
    <w:rsid w:val="00FB3411"/>
    <w:rsid w:val="00FB486B"/>
    <w:rsid w:val="00FB625B"/>
    <w:rsid w:val="00FB6275"/>
    <w:rsid w:val="00FC1343"/>
    <w:rsid w:val="00FC5769"/>
    <w:rsid w:val="00FC6190"/>
    <w:rsid w:val="00FC6F07"/>
    <w:rsid w:val="00FD0567"/>
    <w:rsid w:val="00FD2039"/>
    <w:rsid w:val="00FD25AC"/>
    <w:rsid w:val="00FD3753"/>
    <w:rsid w:val="00FD4990"/>
    <w:rsid w:val="00FD5317"/>
    <w:rsid w:val="00FE0144"/>
    <w:rsid w:val="00FE09A1"/>
    <w:rsid w:val="00FE102B"/>
    <w:rsid w:val="00FE1432"/>
    <w:rsid w:val="00FE2407"/>
    <w:rsid w:val="00FE2A4B"/>
    <w:rsid w:val="00FE2EAF"/>
    <w:rsid w:val="00FE39A1"/>
    <w:rsid w:val="00FE5554"/>
    <w:rsid w:val="00FE670B"/>
    <w:rsid w:val="00FF1692"/>
    <w:rsid w:val="00FF1A2F"/>
    <w:rsid w:val="00FF1ADA"/>
    <w:rsid w:val="00FF1DD8"/>
    <w:rsid w:val="00FF2D06"/>
    <w:rsid w:val="00FF3660"/>
    <w:rsid w:val="00FF36F7"/>
    <w:rsid w:val="00FF43FA"/>
    <w:rsid w:val="00FF5155"/>
    <w:rsid w:val="00FF63C2"/>
    <w:rsid w:val="016109F9"/>
    <w:rsid w:val="01674F12"/>
    <w:rsid w:val="022D5222"/>
    <w:rsid w:val="02AD2317"/>
    <w:rsid w:val="02C26676"/>
    <w:rsid w:val="02EF53FF"/>
    <w:rsid w:val="04670F3E"/>
    <w:rsid w:val="056445BF"/>
    <w:rsid w:val="05C513B3"/>
    <w:rsid w:val="065E02D4"/>
    <w:rsid w:val="06751294"/>
    <w:rsid w:val="068F66EE"/>
    <w:rsid w:val="07F76D0F"/>
    <w:rsid w:val="092B41DA"/>
    <w:rsid w:val="09417AAA"/>
    <w:rsid w:val="0955078F"/>
    <w:rsid w:val="0A0657CE"/>
    <w:rsid w:val="0A96361D"/>
    <w:rsid w:val="0ACE0CE7"/>
    <w:rsid w:val="0B813B6C"/>
    <w:rsid w:val="0BA45BD5"/>
    <w:rsid w:val="0C504CE9"/>
    <w:rsid w:val="0CF31EFD"/>
    <w:rsid w:val="0D3C296E"/>
    <w:rsid w:val="0D5151A2"/>
    <w:rsid w:val="0DBF6C6F"/>
    <w:rsid w:val="0DD9188C"/>
    <w:rsid w:val="0E0470FD"/>
    <w:rsid w:val="0E192FC0"/>
    <w:rsid w:val="0F4B6CF6"/>
    <w:rsid w:val="0F9B6A7C"/>
    <w:rsid w:val="0FB37906"/>
    <w:rsid w:val="100C32DF"/>
    <w:rsid w:val="10144369"/>
    <w:rsid w:val="11780129"/>
    <w:rsid w:val="1274593D"/>
    <w:rsid w:val="12B85A6A"/>
    <w:rsid w:val="12F94FEA"/>
    <w:rsid w:val="133D76BE"/>
    <w:rsid w:val="138A0588"/>
    <w:rsid w:val="142928B3"/>
    <w:rsid w:val="1451472D"/>
    <w:rsid w:val="152264A0"/>
    <w:rsid w:val="15470661"/>
    <w:rsid w:val="15580BD1"/>
    <w:rsid w:val="15F97456"/>
    <w:rsid w:val="15FE19F1"/>
    <w:rsid w:val="16274A1C"/>
    <w:rsid w:val="166D63C4"/>
    <w:rsid w:val="16EF0D7B"/>
    <w:rsid w:val="177C2B39"/>
    <w:rsid w:val="185571E6"/>
    <w:rsid w:val="18A412A6"/>
    <w:rsid w:val="18B218DC"/>
    <w:rsid w:val="1A297349"/>
    <w:rsid w:val="1A4210D3"/>
    <w:rsid w:val="1A441638"/>
    <w:rsid w:val="1A7D59E4"/>
    <w:rsid w:val="1ABD21F7"/>
    <w:rsid w:val="1B867718"/>
    <w:rsid w:val="1BD2436F"/>
    <w:rsid w:val="1BF13E80"/>
    <w:rsid w:val="1C26480E"/>
    <w:rsid w:val="1C660FE6"/>
    <w:rsid w:val="1CDB35F9"/>
    <w:rsid w:val="1D110E1F"/>
    <w:rsid w:val="1D2742B4"/>
    <w:rsid w:val="1D640997"/>
    <w:rsid w:val="1E451FF1"/>
    <w:rsid w:val="1EE61B62"/>
    <w:rsid w:val="1F5549D2"/>
    <w:rsid w:val="1F627C8E"/>
    <w:rsid w:val="1F8033A4"/>
    <w:rsid w:val="1FA30777"/>
    <w:rsid w:val="2003101C"/>
    <w:rsid w:val="20701AFF"/>
    <w:rsid w:val="21DE4F22"/>
    <w:rsid w:val="21E90FA6"/>
    <w:rsid w:val="239561C2"/>
    <w:rsid w:val="25196A17"/>
    <w:rsid w:val="256E1B9A"/>
    <w:rsid w:val="25A96290"/>
    <w:rsid w:val="25DA196D"/>
    <w:rsid w:val="27105D19"/>
    <w:rsid w:val="27AC39BE"/>
    <w:rsid w:val="281449FD"/>
    <w:rsid w:val="282A4288"/>
    <w:rsid w:val="285A62E8"/>
    <w:rsid w:val="2A297DB1"/>
    <w:rsid w:val="2A993132"/>
    <w:rsid w:val="2B3577F1"/>
    <w:rsid w:val="2B58020F"/>
    <w:rsid w:val="2BEA0143"/>
    <w:rsid w:val="2BF77149"/>
    <w:rsid w:val="2C201900"/>
    <w:rsid w:val="2C56385E"/>
    <w:rsid w:val="2CB502E5"/>
    <w:rsid w:val="2CF3687A"/>
    <w:rsid w:val="2D2B23E0"/>
    <w:rsid w:val="2D2F58F3"/>
    <w:rsid w:val="2DC542C1"/>
    <w:rsid w:val="2EA52367"/>
    <w:rsid w:val="2EAC3436"/>
    <w:rsid w:val="2F12370E"/>
    <w:rsid w:val="2F7E1B39"/>
    <w:rsid w:val="2FA2190A"/>
    <w:rsid w:val="2FF70596"/>
    <w:rsid w:val="2FFF0CE3"/>
    <w:rsid w:val="30B310C4"/>
    <w:rsid w:val="31085C5D"/>
    <w:rsid w:val="319D4C7A"/>
    <w:rsid w:val="31D26B3C"/>
    <w:rsid w:val="329B602E"/>
    <w:rsid w:val="32B5511A"/>
    <w:rsid w:val="32C11286"/>
    <w:rsid w:val="3310087E"/>
    <w:rsid w:val="33780B8B"/>
    <w:rsid w:val="33B647EC"/>
    <w:rsid w:val="34357298"/>
    <w:rsid w:val="344F3FD1"/>
    <w:rsid w:val="34F7370A"/>
    <w:rsid w:val="358B320D"/>
    <w:rsid w:val="35DD0E14"/>
    <w:rsid w:val="35F619D9"/>
    <w:rsid w:val="363139B1"/>
    <w:rsid w:val="365D3024"/>
    <w:rsid w:val="371511D1"/>
    <w:rsid w:val="379154B7"/>
    <w:rsid w:val="37916109"/>
    <w:rsid w:val="37A51DD4"/>
    <w:rsid w:val="37EA06CE"/>
    <w:rsid w:val="384A488E"/>
    <w:rsid w:val="38DC2FFA"/>
    <w:rsid w:val="39A60313"/>
    <w:rsid w:val="3A4203D5"/>
    <w:rsid w:val="3A6825C4"/>
    <w:rsid w:val="3AA91409"/>
    <w:rsid w:val="3AFE3F5D"/>
    <w:rsid w:val="3CEE5BB1"/>
    <w:rsid w:val="3CFC7B37"/>
    <w:rsid w:val="3D3F2C80"/>
    <w:rsid w:val="3FBA59B4"/>
    <w:rsid w:val="3FE93AD3"/>
    <w:rsid w:val="402708E0"/>
    <w:rsid w:val="403F3A2B"/>
    <w:rsid w:val="406148FC"/>
    <w:rsid w:val="40912B20"/>
    <w:rsid w:val="418D2F4E"/>
    <w:rsid w:val="41997F9B"/>
    <w:rsid w:val="41BB6CFE"/>
    <w:rsid w:val="41EE707F"/>
    <w:rsid w:val="42A86197"/>
    <w:rsid w:val="42E967CD"/>
    <w:rsid w:val="43644072"/>
    <w:rsid w:val="43DD0440"/>
    <w:rsid w:val="44656AA6"/>
    <w:rsid w:val="456E2424"/>
    <w:rsid w:val="45743597"/>
    <w:rsid w:val="45983FEF"/>
    <w:rsid w:val="459A5B2F"/>
    <w:rsid w:val="47115E78"/>
    <w:rsid w:val="474E4474"/>
    <w:rsid w:val="47AD7126"/>
    <w:rsid w:val="47AE4EA9"/>
    <w:rsid w:val="484159A3"/>
    <w:rsid w:val="488D2220"/>
    <w:rsid w:val="49141183"/>
    <w:rsid w:val="49A7374A"/>
    <w:rsid w:val="49F3182A"/>
    <w:rsid w:val="4A964CD5"/>
    <w:rsid w:val="4AAB2150"/>
    <w:rsid w:val="4B0B25E4"/>
    <w:rsid w:val="4B0E095E"/>
    <w:rsid w:val="4C012C52"/>
    <w:rsid w:val="4C5E7A00"/>
    <w:rsid w:val="4C7D6862"/>
    <w:rsid w:val="4C882AB7"/>
    <w:rsid w:val="4CAA289B"/>
    <w:rsid w:val="4D233424"/>
    <w:rsid w:val="4D2F451A"/>
    <w:rsid w:val="4D38495C"/>
    <w:rsid w:val="4E1A224C"/>
    <w:rsid w:val="4EC54366"/>
    <w:rsid w:val="4F643BFF"/>
    <w:rsid w:val="4FB775CF"/>
    <w:rsid w:val="50292D76"/>
    <w:rsid w:val="50A53401"/>
    <w:rsid w:val="50AE2508"/>
    <w:rsid w:val="50BF03A1"/>
    <w:rsid w:val="51565696"/>
    <w:rsid w:val="51A972AE"/>
    <w:rsid w:val="52BF6E9E"/>
    <w:rsid w:val="536A3CCC"/>
    <w:rsid w:val="54007FA4"/>
    <w:rsid w:val="54021074"/>
    <w:rsid w:val="55B74AE4"/>
    <w:rsid w:val="55CA3608"/>
    <w:rsid w:val="55CC631C"/>
    <w:rsid w:val="55EB6583"/>
    <w:rsid w:val="566C3905"/>
    <w:rsid w:val="57545E6F"/>
    <w:rsid w:val="57AD1029"/>
    <w:rsid w:val="583F7AB7"/>
    <w:rsid w:val="584123BD"/>
    <w:rsid w:val="59E26435"/>
    <w:rsid w:val="59ED03CE"/>
    <w:rsid w:val="5B321DD4"/>
    <w:rsid w:val="5B6713F1"/>
    <w:rsid w:val="5B6C356E"/>
    <w:rsid w:val="5BAB7D34"/>
    <w:rsid w:val="5CCD5006"/>
    <w:rsid w:val="5D113415"/>
    <w:rsid w:val="5D1751E8"/>
    <w:rsid w:val="5D1F36BC"/>
    <w:rsid w:val="5E152749"/>
    <w:rsid w:val="5E254563"/>
    <w:rsid w:val="5E290B09"/>
    <w:rsid w:val="5EA9402D"/>
    <w:rsid w:val="5EDD5A52"/>
    <w:rsid w:val="5EE3524F"/>
    <w:rsid w:val="5F14325A"/>
    <w:rsid w:val="5FA81B24"/>
    <w:rsid w:val="5FE76120"/>
    <w:rsid w:val="602D4EE7"/>
    <w:rsid w:val="60462BFF"/>
    <w:rsid w:val="60DF382F"/>
    <w:rsid w:val="610D750D"/>
    <w:rsid w:val="613E28F2"/>
    <w:rsid w:val="61565891"/>
    <w:rsid w:val="6187276C"/>
    <w:rsid w:val="623321C6"/>
    <w:rsid w:val="62D17D7B"/>
    <w:rsid w:val="636A2114"/>
    <w:rsid w:val="63CF0C0D"/>
    <w:rsid w:val="6419158E"/>
    <w:rsid w:val="656D1BFB"/>
    <w:rsid w:val="659706E2"/>
    <w:rsid w:val="65A272A8"/>
    <w:rsid w:val="673254C1"/>
    <w:rsid w:val="673463BA"/>
    <w:rsid w:val="67A55AE7"/>
    <w:rsid w:val="682D527B"/>
    <w:rsid w:val="68A92114"/>
    <w:rsid w:val="69257F0E"/>
    <w:rsid w:val="6A0170EF"/>
    <w:rsid w:val="6A1C3EDE"/>
    <w:rsid w:val="6AA92655"/>
    <w:rsid w:val="6B495448"/>
    <w:rsid w:val="6BA36E2D"/>
    <w:rsid w:val="6C341007"/>
    <w:rsid w:val="6CA67084"/>
    <w:rsid w:val="6CEA596C"/>
    <w:rsid w:val="6D041821"/>
    <w:rsid w:val="6D6700D9"/>
    <w:rsid w:val="6E067DCF"/>
    <w:rsid w:val="6E857891"/>
    <w:rsid w:val="6EA47519"/>
    <w:rsid w:val="6EBA47E0"/>
    <w:rsid w:val="6FAA4DB2"/>
    <w:rsid w:val="703A154F"/>
    <w:rsid w:val="70877975"/>
    <w:rsid w:val="7188626A"/>
    <w:rsid w:val="71C15D09"/>
    <w:rsid w:val="72650DB9"/>
    <w:rsid w:val="73184F1F"/>
    <w:rsid w:val="74992A90"/>
    <w:rsid w:val="75477BF5"/>
    <w:rsid w:val="75DF44C6"/>
    <w:rsid w:val="769E612B"/>
    <w:rsid w:val="770C5601"/>
    <w:rsid w:val="775E441A"/>
    <w:rsid w:val="7797093F"/>
    <w:rsid w:val="77AD6AC4"/>
    <w:rsid w:val="783E5513"/>
    <w:rsid w:val="7885559A"/>
    <w:rsid w:val="791D6100"/>
    <w:rsid w:val="794D79B1"/>
    <w:rsid w:val="7A241E3D"/>
    <w:rsid w:val="7A241F39"/>
    <w:rsid w:val="7A7E1E9F"/>
    <w:rsid w:val="7B0060A6"/>
    <w:rsid w:val="7B8234D4"/>
    <w:rsid w:val="7C581EFA"/>
    <w:rsid w:val="7D3B1B5E"/>
    <w:rsid w:val="7DA97969"/>
    <w:rsid w:val="7DE832FA"/>
    <w:rsid w:val="7E00552C"/>
    <w:rsid w:val="7E762F24"/>
    <w:rsid w:val="7FDB0D0A"/>
    <w:rsid w:val="7FE97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iPriority="99"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99"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iPriority="0" w:semiHidden="0" w:name="Plain Text"/>
    <w:lsdException w:uiPriority="99" w:name="E-mail Signature"/>
    <w:lsdException w:qFormat="1" w:uiPriority="99" w:semiHidden="0" w:name="Normal (Web)"/>
    <w:lsdException w:qFormat="1"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90"/>
    <w:qFormat/>
    <w:uiPriority w:val="0"/>
    <w:pPr>
      <w:keepNext/>
      <w:keepLines/>
      <w:numPr>
        <w:ilvl w:val="0"/>
        <w:numId w:val="1"/>
      </w:numPr>
      <w:adjustRightInd w:val="0"/>
      <w:snapToGrid w:val="0"/>
      <w:spacing w:line="360" w:lineRule="auto"/>
      <w:outlineLvl w:val="0"/>
    </w:pPr>
    <w:rPr>
      <w:rFonts w:ascii="Times New Roman" w:hAnsi="Times New Roman" w:eastAsia="黑体"/>
      <w:bCs/>
      <w:kern w:val="44"/>
      <w:sz w:val="24"/>
      <w:szCs w:val="44"/>
    </w:rPr>
  </w:style>
  <w:style w:type="paragraph" w:styleId="3">
    <w:name w:val="heading 2"/>
    <w:basedOn w:val="1"/>
    <w:next w:val="1"/>
    <w:link w:val="89"/>
    <w:qFormat/>
    <w:uiPriority w:val="99"/>
    <w:pPr>
      <w:keepNext/>
      <w:keepLines/>
      <w:numPr>
        <w:ilvl w:val="1"/>
        <w:numId w:val="1"/>
      </w:numPr>
      <w:adjustRightInd w:val="0"/>
      <w:snapToGrid w:val="0"/>
      <w:spacing w:line="360" w:lineRule="auto"/>
      <w:outlineLvl w:val="1"/>
    </w:pPr>
    <w:rPr>
      <w:rFonts w:eastAsia="黑体"/>
      <w:bCs/>
      <w:kern w:val="0"/>
      <w:sz w:val="24"/>
      <w:szCs w:val="32"/>
    </w:rPr>
  </w:style>
  <w:style w:type="paragraph" w:styleId="4">
    <w:name w:val="heading 3"/>
    <w:basedOn w:val="1"/>
    <w:next w:val="1"/>
    <w:link w:val="91"/>
    <w:qFormat/>
    <w:uiPriority w:val="99"/>
    <w:pPr>
      <w:keepNext/>
      <w:keepLines/>
      <w:numPr>
        <w:ilvl w:val="2"/>
        <w:numId w:val="1"/>
      </w:numPr>
      <w:adjustRightInd w:val="0"/>
      <w:snapToGrid w:val="0"/>
      <w:spacing w:line="360" w:lineRule="auto"/>
      <w:outlineLvl w:val="2"/>
    </w:pPr>
    <w:rPr>
      <w:rFonts w:ascii="Times New Roman" w:hAnsi="Times New Roman"/>
      <w:b/>
      <w:bCs/>
      <w:kern w:val="0"/>
      <w:sz w:val="24"/>
      <w:szCs w:val="32"/>
    </w:rPr>
  </w:style>
  <w:style w:type="paragraph" w:styleId="5">
    <w:name w:val="heading 4"/>
    <w:basedOn w:val="1"/>
    <w:next w:val="1"/>
    <w:link w:val="102"/>
    <w:unhideWhenUsed/>
    <w:qFormat/>
    <w:uiPriority w:val="0"/>
    <w:pPr>
      <w:keepNext/>
      <w:keepLines/>
      <w:numPr>
        <w:ilvl w:val="3"/>
        <w:numId w:val="1"/>
      </w:numPr>
      <w:adjustRightInd w:val="0"/>
      <w:snapToGrid w:val="0"/>
      <w:spacing w:line="360" w:lineRule="auto"/>
      <w:outlineLvl w:val="3"/>
    </w:pPr>
    <w:rPr>
      <w:rFonts w:ascii="Times New Roman" w:hAnsi="Times New Roman" w:eastAsiaTheme="majorEastAsia"/>
      <w:b/>
      <w:bCs/>
      <w:color w:val="000000" w:themeColor="text1"/>
      <w:sz w:val="24"/>
      <w:szCs w:val="24"/>
      <w14:textFill>
        <w14:solidFill>
          <w14:schemeClr w14:val="tx1"/>
        </w14:solidFill>
      </w14:textFill>
    </w:rPr>
  </w:style>
  <w:style w:type="paragraph" w:styleId="6">
    <w:name w:val="heading 5"/>
    <w:basedOn w:val="1"/>
    <w:next w:val="1"/>
    <w:link w:val="143"/>
    <w:unhideWhenUsed/>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144"/>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145"/>
    <w:unhideWhenUsed/>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146"/>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147"/>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74">
    <w:name w:val="Default Paragraph Font"/>
    <w:semiHidden/>
    <w:unhideWhenUsed/>
    <w:qFormat/>
    <w:uiPriority w:val="1"/>
  </w:style>
  <w:style w:type="table" w:default="1" w:styleId="7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szCs w:val="24"/>
    </w:rPr>
  </w:style>
  <w:style w:type="paragraph" w:styleId="12">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3">
    <w:name w:val="index 8"/>
    <w:basedOn w:val="1"/>
    <w:next w:val="1"/>
    <w:semiHidden/>
    <w:qFormat/>
    <w:uiPriority w:val="0"/>
    <w:pPr>
      <w:spacing w:line="420" w:lineRule="exact"/>
      <w:ind w:left="1400" w:leftChars="1400"/>
    </w:pPr>
    <w:rPr>
      <w:rFonts w:ascii="Times New Roman" w:hAnsi="Times New Roman"/>
      <w:sz w:val="24"/>
      <w:szCs w:val="20"/>
    </w:rPr>
  </w:style>
  <w:style w:type="paragraph" w:styleId="14">
    <w:name w:val="List Number"/>
    <w:basedOn w:val="1"/>
    <w:qFormat/>
    <w:uiPriority w:val="0"/>
    <w:pPr>
      <w:tabs>
        <w:tab w:val="left" w:pos="360"/>
      </w:tabs>
      <w:ind w:left="360" w:hanging="360" w:hangingChars="200"/>
    </w:pPr>
    <w:rPr>
      <w:szCs w:val="22"/>
    </w:rPr>
  </w:style>
  <w:style w:type="paragraph" w:styleId="15">
    <w:name w:val="Normal Indent"/>
    <w:basedOn w:val="1"/>
    <w:link w:val="133"/>
    <w:unhideWhenUsed/>
    <w:qFormat/>
    <w:uiPriority w:val="0"/>
    <w:pPr>
      <w:ind w:firstLine="420" w:firstLineChars="200"/>
    </w:pPr>
  </w:style>
  <w:style w:type="paragraph" w:styleId="16">
    <w:name w:val="caption"/>
    <w:basedOn w:val="1"/>
    <w:next w:val="1"/>
    <w:link w:val="138"/>
    <w:qFormat/>
    <w:uiPriority w:val="0"/>
    <w:pPr>
      <w:adjustRightInd w:val="0"/>
      <w:snapToGrid w:val="0"/>
      <w:spacing w:line="20" w:lineRule="atLeast"/>
      <w:ind w:firstLine="510"/>
      <w:jc w:val="left"/>
      <w:textAlignment w:val="baseline"/>
    </w:pPr>
    <w:rPr>
      <w:rFonts w:eastAsia="楷体_GB2312" w:asciiTheme="minorHAnsi" w:hAnsiTheme="minorHAnsi" w:cstheme="minorBidi"/>
      <w:spacing w:val="8"/>
      <w:kern w:val="24"/>
      <w:sz w:val="15"/>
      <w:szCs w:val="22"/>
    </w:rPr>
  </w:style>
  <w:style w:type="paragraph" w:styleId="17">
    <w:name w:val="index 5"/>
    <w:basedOn w:val="1"/>
    <w:next w:val="1"/>
    <w:semiHidden/>
    <w:qFormat/>
    <w:uiPriority w:val="0"/>
    <w:pPr>
      <w:spacing w:line="420" w:lineRule="exact"/>
      <w:ind w:left="800" w:leftChars="800"/>
    </w:pPr>
    <w:rPr>
      <w:rFonts w:ascii="Times New Roman" w:hAnsi="Times New Roman"/>
      <w:sz w:val="24"/>
      <w:szCs w:val="20"/>
    </w:rPr>
  </w:style>
  <w:style w:type="paragraph" w:styleId="18">
    <w:name w:val="List Bullet"/>
    <w:basedOn w:val="1"/>
    <w:qFormat/>
    <w:uiPriority w:val="0"/>
    <w:pPr>
      <w:numPr>
        <w:ilvl w:val="0"/>
        <w:numId w:val="2"/>
      </w:numPr>
      <w:spacing w:line="490" w:lineRule="exact"/>
    </w:pPr>
    <w:rPr>
      <w:rFonts w:ascii="Times New Roman" w:hAnsi="Times New Roman" w:eastAsia="仿宋_GB2312"/>
      <w:sz w:val="28"/>
      <w:szCs w:val="20"/>
    </w:rPr>
  </w:style>
  <w:style w:type="paragraph" w:styleId="19">
    <w:name w:val="Document Map"/>
    <w:basedOn w:val="1"/>
    <w:link w:val="184"/>
    <w:semiHidden/>
    <w:qFormat/>
    <w:uiPriority w:val="99"/>
    <w:pPr>
      <w:shd w:val="clear" w:color="auto" w:fill="000080"/>
    </w:pPr>
    <w:rPr>
      <w:rFonts w:ascii="Times New Roman" w:hAnsi="Times New Roman"/>
      <w:szCs w:val="24"/>
    </w:rPr>
  </w:style>
  <w:style w:type="paragraph" w:styleId="20">
    <w:name w:val="annotation text"/>
    <w:basedOn w:val="1"/>
    <w:link w:val="135"/>
    <w:unhideWhenUsed/>
    <w:qFormat/>
    <w:uiPriority w:val="99"/>
    <w:pPr>
      <w:jc w:val="left"/>
    </w:pPr>
  </w:style>
  <w:style w:type="paragraph" w:styleId="21">
    <w:name w:val="index 6"/>
    <w:basedOn w:val="1"/>
    <w:next w:val="1"/>
    <w:semiHidden/>
    <w:qFormat/>
    <w:uiPriority w:val="0"/>
    <w:pPr>
      <w:spacing w:line="420" w:lineRule="exact"/>
      <w:ind w:left="1000" w:leftChars="1000"/>
    </w:pPr>
    <w:rPr>
      <w:rFonts w:ascii="Times New Roman" w:hAnsi="Times New Roman"/>
      <w:sz w:val="24"/>
      <w:szCs w:val="20"/>
    </w:rPr>
  </w:style>
  <w:style w:type="paragraph" w:styleId="22">
    <w:name w:val="Salutation"/>
    <w:basedOn w:val="1"/>
    <w:next w:val="1"/>
    <w:link w:val="237"/>
    <w:qFormat/>
    <w:uiPriority w:val="0"/>
    <w:rPr>
      <w:rFonts w:ascii="Times New Roman" w:hAnsi="Times New Roman"/>
      <w:szCs w:val="24"/>
    </w:rPr>
  </w:style>
  <w:style w:type="paragraph" w:styleId="23">
    <w:name w:val="Body Text 3"/>
    <w:basedOn w:val="1"/>
    <w:link w:val="361"/>
    <w:qFormat/>
    <w:uiPriority w:val="0"/>
    <w:pPr>
      <w:spacing w:after="120"/>
    </w:pPr>
    <w:rPr>
      <w:rFonts w:ascii="Times New Roman" w:hAnsi="Times New Roman"/>
      <w:kern w:val="0"/>
      <w:sz w:val="16"/>
      <w:szCs w:val="16"/>
    </w:rPr>
  </w:style>
  <w:style w:type="paragraph" w:styleId="24">
    <w:name w:val="List Bullet 3"/>
    <w:basedOn w:val="1"/>
    <w:qFormat/>
    <w:uiPriority w:val="0"/>
    <w:pPr>
      <w:tabs>
        <w:tab w:val="left" w:pos="907"/>
      </w:tabs>
      <w:ind w:left="907" w:hanging="397"/>
    </w:pPr>
    <w:rPr>
      <w:rFonts w:ascii="Times New Roman" w:hAnsi="Times New Roman"/>
      <w:szCs w:val="24"/>
    </w:rPr>
  </w:style>
  <w:style w:type="paragraph" w:styleId="25">
    <w:name w:val="Body Text"/>
    <w:basedOn w:val="1"/>
    <w:next w:val="26"/>
    <w:link w:val="98"/>
    <w:unhideWhenUsed/>
    <w:qFormat/>
    <w:uiPriority w:val="99"/>
    <w:pPr>
      <w:spacing w:after="120"/>
    </w:pPr>
  </w:style>
  <w:style w:type="paragraph" w:customStyle="1" w:styleId="26">
    <w:name w:val="xl27"/>
    <w:basedOn w:val="1"/>
    <w:qFormat/>
    <w:uiPriority w:val="0"/>
    <w:pPr>
      <w:widowControl/>
      <w:spacing w:before="100" w:beforeAutospacing="1" w:after="100" w:afterAutospacing="1"/>
      <w:jc w:val="center"/>
      <w:textAlignment w:val="top"/>
    </w:pPr>
    <w:rPr>
      <w:rFonts w:ascii="宋体" w:hAnsi="宋体"/>
      <w:kern w:val="0"/>
    </w:rPr>
  </w:style>
  <w:style w:type="paragraph" w:styleId="27">
    <w:name w:val="Body Text Indent"/>
    <w:basedOn w:val="1"/>
    <w:link w:val="117"/>
    <w:unhideWhenUsed/>
    <w:qFormat/>
    <w:uiPriority w:val="99"/>
    <w:pPr>
      <w:spacing w:before="100" w:beforeAutospacing="1"/>
      <w:ind w:left="420" w:leftChars="200"/>
    </w:pPr>
    <w:rPr>
      <w:rFonts w:ascii="Times New Roman" w:hAnsi="Times New Roman"/>
    </w:rPr>
  </w:style>
  <w:style w:type="paragraph" w:styleId="28">
    <w:name w:val="List 2"/>
    <w:basedOn w:val="1"/>
    <w:qFormat/>
    <w:uiPriority w:val="0"/>
    <w:pPr>
      <w:ind w:left="100" w:leftChars="200" w:hanging="200" w:hangingChars="200"/>
    </w:pPr>
    <w:rPr>
      <w:rFonts w:ascii="Times New Roman" w:hAnsi="Times New Roman"/>
      <w:szCs w:val="24"/>
    </w:rPr>
  </w:style>
  <w:style w:type="paragraph" w:styleId="29">
    <w:name w:val="List Continue"/>
    <w:basedOn w:val="1"/>
    <w:qFormat/>
    <w:uiPriority w:val="0"/>
    <w:pPr>
      <w:spacing w:after="120"/>
      <w:ind w:left="420" w:leftChars="200"/>
    </w:pPr>
    <w:rPr>
      <w:rFonts w:ascii="Times New Roman" w:hAnsi="Times New Roman"/>
      <w:szCs w:val="24"/>
    </w:rPr>
  </w:style>
  <w:style w:type="paragraph" w:styleId="30">
    <w:name w:val="Block Text"/>
    <w:basedOn w:val="1"/>
    <w:qFormat/>
    <w:uiPriority w:val="0"/>
    <w:pPr>
      <w:spacing w:after="120"/>
      <w:ind w:left="1440" w:leftChars="700" w:right="1440" w:rightChars="700"/>
    </w:pPr>
    <w:rPr>
      <w:rFonts w:ascii="Times New Roman" w:hAnsi="Times New Roman"/>
      <w:szCs w:val="24"/>
    </w:rPr>
  </w:style>
  <w:style w:type="paragraph" w:styleId="31">
    <w:name w:val="List Bullet 2"/>
    <w:basedOn w:val="1"/>
    <w:qFormat/>
    <w:uiPriority w:val="0"/>
    <w:pPr>
      <w:tabs>
        <w:tab w:val="left" w:pos="780"/>
      </w:tabs>
      <w:ind w:left="780" w:leftChars="200" w:hanging="360" w:hangingChars="200"/>
    </w:pPr>
    <w:rPr>
      <w:rFonts w:ascii="Times New Roman" w:hAnsi="Times New Roman"/>
      <w:szCs w:val="24"/>
    </w:rPr>
  </w:style>
  <w:style w:type="paragraph" w:styleId="32">
    <w:name w:val="index 4"/>
    <w:basedOn w:val="1"/>
    <w:next w:val="1"/>
    <w:semiHidden/>
    <w:qFormat/>
    <w:uiPriority w:val="0"/>
    <w:pPr>
      <w:spacing w:line="420" w:lineRule="exact"/>
      <w:ind w:left="600" w:leftChars="600"/>
    </w:pPr>
    <w:rPr>
      <w:rFonts w:ascii="Times New Roman" w:hAnsi="Times New Roman"/>
      <w:sz w:val="24"/>
      <w:szCs w:val="20"/>
    </w:rPr>
  </w:style>
  <w:style w:type="paragraph" w:styleId="33">
    <w:name w:val="toc 5"/>
    <w:basedOn w:val="1"/>
    <w:next w:val="1"/>
    <w:unhideWhenUsed/>
    <w:qFormat/>
    <w:uiPriority w:val="39"/>
    <w:pPr>
      <w:ind w:left="1680" w:leftChars="800"/>
    </w:pPr>
    <w:rPr>
      <w:rFonts w:ascii="Times New Roman" w:hAnsi="Times New Roman"/>
      <w:szCs w:val="24"/>
    </w:rPr>
  </w:style>
  <w:style w:type="paragraph" w:styleId="34">
    <w:name w:val="toc 3"/>
    <w:basedOn w:val="1"/>
    <w:next w:val="1"/>
    <w:unhideWhenUsed/>
    <w:qFormat/>
    <w:uiPriority w:val="39"/>
    <w:pPr>
      <w:widowControl/>
      <w:spacing w:after="100" w:line="276" w:lineRule="auto"/>
      <w:ind w:left="440"/>
      <w:jc w:val="left"/>
    </w:pPr>
    <w:rPr>
      <w:kern w:val="0"/>
      <w:sz w:val="22"/>
      <w:szCs w:val="22"/>
    </w:rPr>
  </w:style>
  <w:style w:type="paragraph" w:styleId="35">
    <w:name w:val="Plain Text"/>
    <w:basedOn w:val="1"/>
    <w:link w:val="112"/>
    <w:unhideWhenUsed/>
    <w:qFormat/>
    <w:uiPriority w:val="0"/>
    <w:rPr>
      <w:rFonts w:ascii="宋体" w:hAnsi="Courier New" w:cs="宋体"/>
    </w:rPr>
  </w:style>
  <w:style w:type="paragraph" w:styleId="3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37">
    <w:name w:val="index 3"/>
    <w:basedOn w:val="1"/>
    <w:next w:val="1"/>
    <w:semiHidden/>
    <w:qFormat/>
    <w:uiPriority w:val="0"/>
    <w:pPr>
      <w:spacing w:line="420" w:lineRule="exact"/>
      <w:ind w:left="400" w:leftChars="400"/>
    </w:pPr>
    <w:rPr>
      <w:rFonts w:ascii="Times New Roman" w:hAnsi="Times New Roman"/>
      <w:sz w:val="24"/>
      <w:szCs w:val="20"/>
    </w:rPr>
  </w:style>
  <w:style w:type="paragraph" w:styleId="38">
    <w:name w:val="Date"/>
    <w:basedOn w:val="1"/>
    <w:next w:val="1"/>
    <w:link w:val="104"/>
    <w:unhideWhenUsed/>
    <w:qFormat/>
    <w:uiPriority w:val="99"/>
    <w:pPr>
      <w:ind w:left="100" w:leftChars="2500"/>
    </w:pPr>
  </w:style>
  <w:style w:type="paragraph" w:styleId="39">
    <w:name w:val="Body Text Indent 2"/>
    <w:basedOn w:val="1"/>
    <w:link w:val="107"/>
    <w:unhideWhenUsed/>
    <w:qFormat/>
    <w:uiPriority w:val="99"/>
    <w:pPr>
      <w:spacing w:after="120" w:line="480" w:lineRule="auto"/>
      <w:ind w:left="420" w:leftChars="200"/>
    </w:pPr>
  </w:style>
  <w:style w:type="paragraph" w:styleId="40">
    <w:name w:val="Balloon Text"/>
    <w:basedOn w:val="1"/>
    <w:link w:val="137"/>
    <w:unhideWhenUsed/>
    <w:qFormat/>
    <w:uiPriority w:val="99"/>
    <w:rPr>
      <w:sz w:val="18"/>
      <w:szCs w:val="18"/>
    </w:rPr>
  </w:style>
  <w:style w:type="paragraph" w:styleId="41">
    <w:name w:val="footer"/>
    <w:basedOn w:val="1"/>
    <w:link w:val="9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2">
    <w:name w:val="header"/>
    <w:basedOn w:val="1"/>
    <w:link w:val="96"/>
    <w:unhideWhenUsed/>
    <w:qFormat/>
    <w:uiPriority w:val="99"/>
    <w:pPr>
      <w:pBdr>
        <w:bottom w:val="single" w:color="auto" w:sz="6" w:space="1"/>
      </w:pBdr>
      <w:tabs>
        <w:tab w:val="center" w:pos="4153"/>
        <w:tab w:val="right" w:pos="8306"/>
      </w:tabs>
      <w:adjustRightInd w:val="0"/>
      <w:snapToGrid w:val="0"/>
      <w:jc w:val="center"/>
    </w:pPr>
    <w:rPr>
      <w:rFonts w:asciiTheme="minorHAnsi" w:hAnsiTheme="minorHAnsi" w:eastAsiaTheme="minorEastAsia" w:cstheme="minorBidi"/>
      <w:sz w:val="18"/>
      <w:szCs w:val="18"/>
    </w:rPr>
  </w:style>
  <w:style w:type="paragraph" w:styleId="43">
    <w:name w:val="Signature"/>
    <w:basedOn w:val="1"/>
    <w:link w:val="362"/>
    <w:qFormat/>
    <w:uiPriority w:val="0"/>
    <w:pPr>
      <w:ind w:left="100" w:leftChars="2100"/>
    </w:pPr>
    <w:rPr>
      <w:rFonts w:ascii="Times New Roman" w:hAnsi="Times New Roman"/>
      <w:kern w:val="0"/>
      <w:sz w:val="20"/>
      <w:szCs w:val="24"/>
    </w:rPr>
  </w:style>
  <w:style w:type="paragraph" w:styleId="44">
    <w:name w:val="toc 1"/>
    <w:basedOn w:val="1"/>
    <w:next w:val="1"/>
    <w:link w:val="92"/>
    <w:unhideWhenUsed/>
    <w:qFormat/>
    <w:uiPriority w:val="39"/>
    <w:pPr>
      <w:spacing w:before="120" w:after="120"/>
      <w:jc w:val="left"/>
    </w:pPr>
    <w:rPr>
      <w:rFonts w:eastAsiaTheme="minorEastAsia" w:cstheme="minorBidi"/>
      <w:b/>
      <w:bCs/>
      <w:caps/>
    </w:rPr>
  </w:style>
  <w:style w:type="paragraph" w:styleId="45">
    <w:name w:val="List Continue 4"/>
    <w:basedOn w:val="1"/>
    <w:qFormat/>
    <w:uiPriority w:val="0"/>
    <w:pPr>
      <w:spacing w:after="120"/>
      <w:ind w:left="1680" w:leftChars="800"/>
    </w:pPr>
    <w:rPr>
      <w:rFonts w:ascii="Times New Roman" w:hAnsi="Times New Roman"/>
      <w:szCs w:val="24"/>
    </w:rPr>
  </w:style>
  <w:style w:type="paragraph" w:styleId="46">
    <w:name w:val="toc 4"/>
    <w:basedOn w:val="1"/>
    <w:next w:val="1"/>
    <w:unhideWhenUsed/>
    <w:qFormat/>
    <w:uiPriority w:val="39"/>
    <w:pPr>
      <w:ind w:left="1260" w:leftChars="600"/>
    </w:pPr>
    <w:rPr>
      <w:rFonts w:ascii="Times New Roman" w:hAnsi="Times New Roman"/>
      <w:szCs w:val="24"/>
    </w:rPr>
  </w:style>
  <w:style w:type="paragraph" w:styleId="47">
    <w:name w:val="index heading"/>
    <w:basedOn w:val="1"/>
    <w:next w:val="48"/>
    <w:semiHidden/>
    <w:qFormat/>
    <w:uiPriority w:val="0"/>
    <w:rPr>
      <w:rFonts w:ascii="Times New Roman" w:hAnsi="Times New Roman"/>
      <w:szCs w:val="24"/>
    </w:rPr>
  </w:style>
  <w:style w:type="paragraph" w:styleId="48">
    <w:name w:val="index 1"/>
    <w:basedOn w:val="1"/>
    <w:next w:val="1"/>
    <w:semiHidden/>
    <w:unhideWhenUsed/>
    <w:qFormat/>
    <w:uiPriority w:val="0"/>
  </w:style>
  <w:style w:type="paragraph" w:styleId="49">
    <w:name w:val="Subtitle"/>
    <w:basedOn w:val="1"/>
    <w:link w:val="363"/>
    <w:qFormat/>
    <w:uiPriority w:val="0"/>
    <w:pPr>
      <w:spacing w:before="240" w:after="60" w:line="312" w:lineRule="auto"/>
      <w:jc w:val="center"/>
      <w:outlineLvl w:val="1"/>
    </w:pPr>
    <w:rPr>
      <w:rFonts w:ascii="Arial" w:hAnsi="Arial"/>
      <w:b/>
      <w:bCs/>
      <w:kern w:val="28"/>
      <w:sz w:val="32"/>
      <w:szCs w:val="32"/>
    </w:rPr>
  </w:style>
  <w:style w:type="paragraph" w:styleId="50">
    <w:name w:val="List"/>
    <w:basedOn w:val="1"/>
    <w:unhideWhenUsed/>
    <w:qFormat/>
    <w:uiPriority w:val="99"/>
    <w:pPr>
      <w:ind w:left="200" w:hanging="200" w:hangingChars="200"/>
      <w:contextualSpacing/>
    </w:pPr>
  </w:style>
  <w:style w:type="paragraph" w:styleId="51">
    <w:name w:val="footnote text"/>
    <w:basedOn w:val="1"/>
    <w:link w:val="364"/>
    <w:qFormat/>
    <w:uiPriority w:val="0"/>
    <w:pPr>
      <w:snapToGrid w:val="0"/>
      <w:spacing w:afterLines="20" w:line="400" w:lineRule="exact"/>
      <w:ind w:firstLine="480" w:firstLineChars="200"/>
      <w:jc w:val="left"/>
    </w:pPr>
    <w:rPr>
      <w:rFonts w:ascii="Times New Roman" w:hAnsi="Times New Roman"/>
      <w:kern w:val="0"/>
      <w:sz w:val="18"/>
      <w:szCs w:val="18"/>
    </w:rPr>
  </w:style>
  <w:style w:type="paragraph" w:styleId="5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53">
    <w:name w:val="List 5"/>
    <w:basedOn w:val="1"/>
    <w:qFormat/>
    <w:uiPriority w:val="0"/>
    <w:pPr>
      <w:ind w:left="100" w:leftChars="800" w:hanging="200" w:hangingChars="200"/>
    </w:pPr>
    <w:rPr>
      <w:rFonts w:ascii="Times New Roman" w:hAnsi="Times New Roman"/>
      <w:sz w:val="28"/>
      <w:szCs w:val="20"/>
    </w:rPr>
  </w:style>
  <w:style w:type="paragraph" w:styleId="54">
    <w:name w:val="Body Text Indent 3"/>
    <w:basedOn w:val="1"/>
    <w:link w:val="238"/>
    <w:qFormat/>
    <w:uiPriority w:val="0"/>
    <w:pPr>
      <w:spacing w:after="120"/>
      <w:ind w:left="420" w:leftChars="200"/>
    </w:pPr>
    <w:rPr>
      <w:rFonts w:ascii="Times New Roman" w:hAnsi="Times New Roman"/>
      <w:sz w:val="16"/>
      <w:szCs w:val="16"/>
    </w:rPr>
  </w:style>
  <w:style w:type="paragraph" w:styleId="55">
    <w:name w:val="index 7"/>
    <w:basedOn w:val="1"/>
    <w:next w:val="1"/>
    <w:semiHidden/>
    <w:qFormat/>
    <w:uiPriority w:val="0"/>
    <w:pPr>
      <w:spacing w:line="420" w:lineRule="exact"/>
      <w:ind w:left="1200" w:leftChars="1200"/>
    </w:pPr>
    <w:rPr>
      <w:rFonts w:ascii="Times New Roman" w:hAnsi="Times New Roman"/>
      <w:sz w:val="24"/>
      <w:szCs w:val="20"/>
    </w:rPr>
  </w:style>
  <w:style w:type="paragraph" w:styleId="56">
    <w:name w:val="index 9"/>
    <w:basedOn w:val="1"/>
    <w:next w:val="1"/>
    <w:semiHidden/>
    <w:qFormat/>
    <w:uiPriority w:val="0"/>
    <w:pPr>
      <w:spacing w:line="420" w:lineRule="exact"/>
      <w:ind w:left="1600" w:leftChars="1600"/>
    </w:pPr>
    <w:rPr>
      <w:rFonts w:ascii="Times New Roman" w:hAnsi="Times New Roman"/>
      <w:sz w:val="24"/>
      <w:szCs w:val="20"/>
    </w:rPr>
  </w:style>
  <w:style w:type="paragraph" w:styleId="57">
    <w:name w:val="table of figures"/>
    <w:basedOn w:val="1"/>
    <w:next w:val="1"/>
    <w:semiHidden/>
    <w:qFormat/>
    <w:uiPriority w:val="0"/>
    <w:pPr>
      <w:spacing w:before="30" w:line="400" w:lineRule="exact"/>
      <w:ind w:left="200"/>
      <w:jc w:val="center"/>
    </w:pPr>
    <w:rPr>
      <w:rFonts w:ascii="Times New Roman" w:hAnsi="Times New Roman"/>
      <w:b/>
      <w:szCs w:val="20"/>
    </w:rPr>
  </w:style>
  <w:style w:type="paragraph" w:styleId="58">
    <w:name w:val="toc 2"/>
    <w:basedOn w:val="1"/>
    <w:next w:val="1"/>
    <w:unhideWhenUsed/>
    <w:qFormat/>
    <w:uiPriority w:val="39"/>
    <w:pPr>
      <w:ind w:left="210"/>
      <w:jc w:val="left"/>
    </w:pPr>
    <w:rPr>
      <w:smallCaps/>
    </w:rPr>
  </w:style>
  <w:style w:type="paragraph" w:styleId="59">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60">
    <w:name w:val="Body Text 2"/>
    <w:basedOn w:val="1"/>
    <w:link w:val="365"/>
    <w:qFormat/>
    <w:uiPriority w:val="0"/>
    <w:pPr>
      <w:adjustRightInd w:val="0"/>
      <w:spacing w:line="240" w:lineRule="exact"/>
      <w:textAlignment w:val="baseline"/>
    </w:pPr>
    <w:rPr>
      <w:rFonts w:ascii="Times New Roman" w:hAnsi="Times New Roman"/>
      <w:kern w:val="0"/>
      <w:sz w:val="24"/>
      <w:szCs w:val="20"/>
    </w:rPr>
  </w:style>
  <w:style w:type="paragraph" w:styleId="61">
    <w:name w:val="List 4"/>
    <w:basedOn w:val="1"/>
    <w:qFormat/>
    <w:uiPriority w:val="0"/>
    <w:pPr>
      <w:ind w:left="100" w:leftChars="600" w:hanging="200" w:hangingChars="200"/>
    </w:pPr>
    <w:rPr>
      <w:rFonts w:ascii="Times New Roman" w:hAnsi="Times New Roman"/>
      <w:kern w:val="0"/>
      <w:sz w:val="24"/>
      <w:szCs w:val="24"/>
    </w:rPr>
  </w:style>
  <w:style w:type="paragraph" w:styleId="62">
    <w:name w:val="List Continue 2"/>
    <w:basedOn w:val="1"/>
    <w:qFormat/>
    <w:uiPriority w:val="0"/>
    <w:pPr>
      <w:spacing w:after="120"/>
      <w:ind w:left="840" w:leftChars="400"/>
    </w:pPr>
    <w:rPr>
      <w:rFonts w:ascii="Times New Roman" w:hAnsi="Times New Roman"/>
      <w:szCs w:val="24"/>
    </w:rPr>
  </w:style>
  <w:style w:type="paragraph" w:styleId="63">
    <w:name w:val="HTML Preformatted"/>
    <w:basedOn w:val="1"/>
    <w:link w:val="344"/>
    <w:qFormat/>
    <w:uiPriority w:val="0"/>
    <w:rPr>
      <w:rFonts w:ascii="Courier New" w:hAnsi="Courier New" w:cs="Courier New"/>
      <w:szCs w:val="24"/>
    </w:rPr>
  </w:style>
  <w:style w:type="paragraph" w:styleId="6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65">
    <w:name w:val="List Continue 3"/>
    <w:basedOn w:val="1"/>
    <w:qFormat/>
    <w:uiPriority w:val="0"/>
    <w:pPr>
      <w:spacing w:after="120"/>
      <w:ind w:left="1260" w:leftChars="600"/>
    </w:pPr>
    <w:rPr>
      <w:rFonts w:ascii="Times New Roman" w:hAnsi="Times New Roman"/>
      <w:sz w:val="28"/>
      <w:szCs w:val="20"/>
    </w:rPr>
  </w:style>
  <w:style w:type="paragraph" w:styleId="66">
    <w:name w:val="index 2"/>
    <w:basedOn w:val="1"/>
    <w:next w:val="1"/>
    <w:semiHidden/>
    <w:qFormat/>
    <w:uiPriority w:val="0"/>
    <w:pPr>
      <w:spacing w:line="420" w:lineRule="exact"/>
      <w:ind w:left="200" w:leftChars="200"/>
    </w:pPr>
    <w:rPr>
      <w:rFonts w:ascii="Times New Roman" w:hAnsi="Times New Roman"/>
      <w:sz w:val="24"/>
      <w:szCs w:val="20"/>
    </w:rPr>
  </w:style>
  <w:style w:type="paragraph" w:styleId="67">
    <w:name w:val="Title"/>
    <w:basedOn w:val="1"/>
    <w:next w:val="1"/>
    <w:link w:val="366"/>
    <w:qFormat/>
    <w:uiPriority w:val="0"/>
    <w:pPr>
      <w:spacing w:before="240" w:after="60"/>
      <w:jc w:val="center"/>
      <w:outlineLvl w:val="0"/>
    </w:pPr>
    <w:rPr>
      <w:rFonts w:ascii="Arial" w:hAnsi="Arial"/>
      <w:b/>
      <w:bCs/>
      <w:kern w:val="0"/>
      <w:sz w:val="32"/>
      <w:szCs w:val="32"/>
    </w:rPr>
  </w:style>
  <w:style w:type="paragraph" w:styleId="68">
    <w:name w:val="annotation subject"/>
    <w:basedOn w:val="20"/>
    <w:next w:val="20"/>
    <w:link w:val="136"/>
    <w:semiHidden/>
    <w:unhideWhenUsed/>
    <w:qFormat/>
    <w:uiPriority w:val="99"/>
    <w:rPr>
      <w:b/>
      <w:bCs/>
    </w:rPr>
  </w:style>
  <w:style w:type="paragraph" w:styleId="69">
    <w:name w:val="Body Text First Indent"/>
    <w:basedOn w:val="25"/>
    <w:next w:val="1"/>
    <w:link w:val="95"/>
    <w:unhideWhenUsed/>
    <w:qFormat/>
    <w:uiPriority w:val="99"/>
    <w:pPr>
      <w:adjustRightInd w:val="0"/>
      <w:snapToGrid w:val="0"/>
      <w:spacing w:after="0" w:line="360" w:lineRule="auto"/>
      <w:ind w:firstLine="200" w:firstLineChars="200"/>
    </w:pPr>
    <w:rPr>
      <w:rFonts w:ascii="Times New Roman" w:hAnsi="Times New Roman" w:cstheme="minorBidi"/>
      <w:sz w:val="24"/>
      <w:szCs w:val="22"/>
    </w:rPr>
  </w:style>
  <w:style w:type="paragraph" w:styleId="70">
    <w:name w:val="Body Text First Indent 2"/>
    <w:basedOn w:val="27"/>
    <w:link w:val="239"/>
    <w:qFormat/>
    <w:uiPriority w:val="0"/>
    <w:pPr>
      <w:spacing w:before="0" w:beforeAutospacing="0" w:after="120"/>
      <w:ind w:firstLine="420" w:firstLineChars="200"/>
    </w:pPr>
    <w:rPr>
      <w:szCs w:val="24"/>
    </w:rPr>
  </w:style>
  <w:style w:type="table" w:styleId="72">
    <w:name w:val="Table Grid"/>
    <w:basedOn w:val="7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3">
    <w:name w:val="Table Elegant"/>
    <w:basedOn w:val="71"/>
    <w:qFormat/>
    <w:uiPriority w:val="0"/>
    <w:pPr>
      <w:widowControl w:val="0"/>
      <w:adjustRightInd w:val="0"/>
      <w:snapToGrid w:val="0"/>
      <w:spacing w:line="480" w:lineRule="auto"/>
      <w:ind w:firstLine="454"/>
      <w:jc w:val="center"/>
      <w:textAlignment w:val="baseline"/>
    </w:pPr>
    <w:rPr>
      <w:rFonts w:ascii="Calibri" w:hAnsi="Calibri"/>
    </w:rPr>
    <w:tblPr>
      <w:jc w:val="center"/>
      <w:tblBorders>
        <w:top w:val="thinThickSmallGap" w:color="auto" w:sz="12" w:space="0"/>
        <w:bottom w:val="thinThickSmallGap" w:color="auto" w:sz="12" w:space="0"/>
        <w:insideH w:val="single" w:color="auto" w:sz="6" w:space="0"/>
        <w:insideV w:val="single" w:color="auto" w:sz="6" w:space="0"/>
      </w:tblBorders>
    </w:tblPr>
    <w:trPr>
      <w:jc w:val="center"/>
    </w:trPr>
    <w:tcPr>
      <w:shd w:val="clear" w:color="auto" w:fill="auto"/>
      <w:vAlign w:val="center"/>
    </w:tcPr>
    <w:tblStylePr w:type="firstRow">
      <w:rPr>
        <w:caps/>
        <w:color w:val="auto"/>
      </w:rPr>
      <w:tblPr/>
      <w:tcPr>
        <w:tcBorders>
          <w:tl2br w:val="nil"/>
          <w:tr2bl w:val="nil"/>
        </w:tcBorders>
      </w:tcPr>
    </w:tblStylePr>
  </w:style>
  <w:style w:type="character" w:styleId="75">
    <w:name w:val="Strong"/>
    <w:qFormat/>
    <w:uiPriority w:val="22"/>
  </w:style>
  <w:style w:type="character" w:styleId="76">
    <w:name w:val="page number"/>
    <w:basedOn w:val="74"/>
    <w:qFormat/>
    <w:uiPriority w:val="0"/>
  </w:style>
  <w:style w:type="character" w:styleId="77">
    <w:name w:val="FollowedHyperlink"/>
    <w:basedOn w:val="74"/>
    <w:unhideWhenUsed/>
    <w:qFormat/>
    <w:uiPriority w:val="99"/>
    <w:rPr>
      <w:color w:val="800080"/>
      <w:u w:val="single"/>
    </w:rPr>
  </w:style>
  <w:style w:type="character" w:styleId="78">
    <w:name w:val="Emphasis"/>
    <w:basedOn w:val="74"/>
    <w:qFormat/>
    <w:uiPriority w:val="20"/>
    <w:rPr>
      <w:i/>
      <w:iCs/>
    </w:rPr>
  </w:style>
  <w:style w:type="character" w:styleId="79">
    <w:name w:val="HTML Definition"/>
    <w:qFormat/>
    <w:uiPriority w:val="0"/>
  </w:style>
  <w:style w:type="character" w:styleId="80">
    <w:name w:val="HTML Acronym"/>
    <w:basedOn w:val="74"/>
    <w:semiHidden/>
    <w:unhideWhenUsed/>
    <w:qFormat/>
    <w:uiPriority w:val="99"/>
  </w:style>
  <w:style w:type="character" w:styleId="81">
    <w:name w:val="HTML Variable"/>
    <w:qFormat/>
    <w:uiPriority w:val="0"/>
  </w:style>
  <w:style w:type="character" w:styleId="82">
    <w:name w:val="Hyperlink"/>
    <w:unhideWhenUsed/>
    <w:qFormat/>
    <w:uiPriority w:val="99"/>
    <w:rPr>
      <w:color w:val="0000FF"/>
      <w:u w:val="single"/>
    </w:rPr>
  </w:style>
  <w:style w:type="character" w:styleId="83">
    <w:name w:val="HTML Code"/>
    <w:qFormat/>
    <w:uiPriority w:val="0"/>
    <w:rPr>
      <w:rFonts w:ascii="monospace" w:hAnsi="monospace" w:eastAsia="monospace" w:cs="monospace"/>
      <w:sz w:val="21"/>
      <w:szCs w:val="21"/>
    </w:rPr>
  </w:style>
  <w:style w:type="character" w:styleId="84">
    <w:name w:val="annotation reference"/>
    <w:basedOn w:val="74"/>
    <w:unhideWhenUsed/>
    <w:qFormat/>
    <w:uiPriority w:val="99"/>
    <w:rPr>
      <w:sz w:val="21"/>
      <w:szCs w:val="21"/>
    </w:rPr>
  </w:style>
  <w:style w:type="character" w:styleId="85">
    <w:name w:val="HTML Cite"/>
    <w:qFormat/>
    <w:uiPriority w:val="0"/>
  </w:style>
  <w:style w:type="character" w:styleId="86">
    <w:name w:val="footnote reference"/>
    <w:qFormat/>
    <w:uiPriority w:val="0"/>
    <w:rPr>
      <w:vertAlign w:val="superscript"/>
    </w:rPr>
  </w:style>
  <w:style w:type="character" w:styleId="87">
    <w:name w:val="HTML Keyboard"/>
    <w:qFormat/>
    <w:uiPriority w:val="0"/>
    <w:rPr>
      <w:rFonts w:hint="default" w:ascii="monospace" w:hAnsi="monospace" w:eastAsia="monospace" w:cs="monospace"/>
      <w:sz w:val="21"/>
      <w:szCs w:val="21"/>
    </w:rPr>
  </w:style>
  <w:style w:type="character" w:styleId="88">
    <w:name w:val="HTML Sample"/>
    <w:qFormat/>
    <w:uiPriority w:val="0"/>
    <w:rPr>
      <w:rFonts w:hint="default" w:ascii="monospace" w:hAnsi="monospace" w:eastAsia="monospace" w:cs="monospace"/>
      <w:sz w:val="21"/>
      <w:szCs w:val="21"/>
    </w:rPr>
  </w:style>
  <w:style w:type="character" w:customStyle="1" w:styleId="89">
    <w:name w:val="标题 2 Char"/>
    <w:basedOn w:val="74"/>
    <w:link w:val="3"/>
    <w:qFormat/>
    <w:uiPriority w:val="99"/>
    <w:rPr>
      <w:rFonts w:ascii="Calibri" w:hAnsi="Calibri" w:eastAsia="黑体"/>
      <w:bCs/>
      <w:sz w:val="24"/>
      <w:szCs w:val="32"/>
    </w:rPr>
  </w:style>
  <w:style w:type="character" w:customStyle="1" w:styleId="90">
    <w:name w:val="标题 1 Char"/>
    <w:basedOn w:val="74"/>
    <w:link w:val="2"/>
    <w:qFormat/>
    <w:uiPriority w:val="0"/>
    <w:rPr>
      <w:rFonts w:eastAsia="黑体"/>
      <w:bCs/>
      <w:kern w:val="44"/>
      <w:sz w:val="24"/>
      <w:szCs w:val="44"/>
    </w:rPr>
  </w:style>
  <w:style w:type="character" w:customStyle="1" w:styleId="91">
    <w:name w:val="标题 3 Char"/>
    <w:basedOn w:val="74"/>
    <w:link w:val="4"/>
    <w:qFormat/>
    <w:uiPriority w:val="99"/>
    <w:rPr>
      <w:b/>
      <w:bCs/>
      <w:sz w:val="24"/>
      <w:szCs w:val="32"/>
    </w:rPr>
  </w:style>
  <w:style w:type="character" w:customStyle="1" w:styleId="92">
    <w:name w:val="目录 1 Char"/>
    <w:link w:val="44"/>
    <w:qFormat/>
    <w:uiPriority w:val="39"/>
    <w:rPr>
      <w:rFonts w:ascii="Calibri" w:hAnsi="Calibri"/>
      <w:b/>
      <w:bCs/>
      <w:caps/>
      <w:szCs w:val="21"/>
    </w:rPr>
  </w:style>
  <w:style w:type="character" w:customStyle="1" w:styleId="93">
    <w:name w:val="正文文字 Char1"/>
    <w:link w:val="94"/>
    <w:qFormat/>
    <w:uiPriority w:val="0"/>
    <w:rPr>
      <w:sz w:val="24"/>
      <w:szCs w:val="24"/>
    </w:rPr>
  </w:style>
  <w:style w:type="paragraph" w:customStyle="1" w:styleId="94">
    <w:name w:val="正文文字"/>
    <w:basedOn w:val="15"/>
    <w:link w:val="93"/>
    <w:qFormat/>
    <w:uiPriority w:val="0"/>
    <w:pPr>
      <w:adjustRightInd w:val="0"/>
      <w:snapToGrid w:val="0"/>
      <w:spacing w:line="360" w:lineRule="auto"/>
      <w:ind w:firstLine="200"/>
    </w:pPr>
    <w:rPr>
      <w:rFonts w:asciiTheme="minorHAnsi" w:hAnsiTheme="minorHAnsi" w:eastAsiaTheme="minorEastAsia" w:cstheme="minorBidi"/>
      <w:sz w:val="24"/>
      <w:szCs w:val="24"/>
    </w:rPr>
  </w:style>
  <w:style w:type="character" w:customStyle="1" w:styleId="95">
    <w:name w:val="正文首行缩进 Char"/>
    <w:link w:val="69"/>
    <w:qFormat/>
    <w:uiPriority w:val="99"/>
    <w:rPr>
      <w:rFonts w:ascii="Times New Roman" w:hAnsi="Times New Roman" w:eastAsia="宋体"/>
      <w:sz w:val="24"/>
    </w:rPr>
  </w:style>
  <w:style w:type="character" w:customStyle="1" w:styleId="96">
    <w:name w:val="页眉 Char"/>
    <w:link w:val="42"/>
    <w:qFormat/>
    <w:uiPriority w:val="99"/>
    <w:rPr>
      <w:sz w:val="18"/>
      <w:szCs w:val="18"/>
    </w:rPr>
  </w:style>
  <w:style w:type="character" w:customStyle="1" w:styleId="97">
    <w:name w:val="页脚 Char"/>
    <w:link w:val="41"/>
    <w:qFormat/>
    <w:uiPriority w:val="99"/>
    <w:rPr>
      <w:sz w:val="18"/>
      <w:szCs w:val="18"/>
    </w:rPr>
  </w:style>
  <w:style w:type="character" w:customStyle="1" w:styleId="98">
    <w:name w:val="正文文本 Char"/>
    <w:basedOn w:val="74"/>
    <w:link w:val="25"/>
    <w:qFormat/>
    <w:uiPriority w:val="99"/>
    <w:rPr>
      <w:rFonts w:ascii="Calibri" w:hAnsi="Calibri" w:eastAsia="宋体" w:cs="Times New Roman"/>
      <w:szCs w:val="21"/>
    </w:rPr>
  </w:style>
  <w:style w:type="character" w:customStyle="1" w:styleId="99">
    <w:name w:val="正文首行缩进 Char1"/>
    <w:basedOn w:val="98"/>
    <w:semiHidden/>
    <w:qFormat/>
    <w:uiPriority w:val="99"/>
    <w:rPr>
      <w:rFonts w:ascii="Calibri" w:hAnsi="Calibri" w:eastAsia="宋体" w:cs="Times New Roman"/>
      <w:szCs w:val="21"/>
    </w:rPr>
  </w:style>
  <w:style w:type="character" w:customStyle="1" w:styleId="100">
    <w:name w:val="页脚 Char1"/>
    <w:basedOn w:val="74"/>
    <w:semiHidden/>
    <w:qFormat/>
    <w:uiPriority w:val="99"/>
    <w:rPr>
      <w:rFonts w:ascii="Calibri" w:hAnsi="Calibri" w:eastAsia="宋体" w:cs="Times New Roman"/>
      <w:sz w:val="18"/>
      <w:szCs w:val="18"/>
    </w:rPr>
  </w:style>
  <w:style w:type="character" w:customStyle="1" w:styleId="101">
    <w:name w:val="页眉 Char1"/>
    <w:basedOn w:val="74"/>
    <w:semiHidden/>
    <w:qFormat/>
    <w:uiPriority w:val="99"/>
    <w:rPr>
      <w:rFonts w:ascii="Calibri" w:hAnsi="Calibri" w:eastAsia="宋体" w:cs="Times New Roman"/>
      <w:sz w:val="18"/>
      <w:szCs w:val="18"/>
    </w:rPr>
  </w:style>
  <w:style w:type="character" w:customStyle="1" w:styleId="102">
    <w:name w:val="标题 4 Char"/>
    <w:basedOn w:val="74"/>
    <w:link w:val="5"/>
    <w:qFormat/>
    <w:uiPriority w:val="0"/>
    <w:rPr>
      <w:rFonts w:eastAsiaTheme="majorEastAsia"/>
      <w:b/>
      <w:bCs/>
      <w:color w:val="000000" w:themeColor="text1"/>
      <w:kern w:val="2"/>
      <w:sz w:val="24"/>
      <w:szCs w:val="24"/>
      <w14:textFill>
        <w14:solidFill>
          <w14:schemeClr w14:val="tx1"/>
        </w14:solidFill>
      </w14:textFill>
    </w:rPr>
  </w:style>
  <w:style w:type="paragraph" w:customStyle="1" w:styleId="103">
    <w:name w:val="普通(网站)1"/>
    <w:basedOn w:val="1"/>
    <w:qFormat/>
    <w:uiPriority w:val="0"/>
    <w:pPr>
      <w:widowControl/>
      <w:spacing w:before="100" w:beforeAutospacing="1" w:after="100" w:afterAutospacing="1"/>
      <w:jc w:val="left"/>
    </w:pPr>
    <w:rPr>
      <w:rFonts w:ascii="宋体" w:hAnsi="宋体"/>
      <w:sz w:val="24"/>
      <w:szCs w:val="24"/>
    </w:rPr>
  </w:style>
  <w:style w:type="character" w:customStyle="1" w:styleId="104">
    <w:name w:val="日期 Char"/>
    <w:basedOn w:val="74"/>
    <w:link w:val="38"/>
    <w:qFormat/>
    <w:uiPriority w:val="99"/>
    <w:rPr>
      <w:rFonts w:ascii="Calibri" w:hAnsi="Calibri" w:eastAsia="宋体" w:cs="Times New Roman"/>
      <w:szCs w:val="21"/>
    </w:rPr>
  </w:style>
  <w:style w:type="paragraph" w:customStyle="1" w:styleId="105">
    <w:name w:val="报告书正文"/>
    <w:basedOn w:val="1"/>
    <w:link w:val="140"/>
    <w:qFormat/>
    <w:uiPriority w:val="0"/>
    <w:pPr>
      <w:spacing w:line="300" w:lineRule="auto"/>
      <w:ind w:firstLine="200" w:firstLineChars="200"/>
    </w:pPr>
    <w:rPr>
      <w:rFonts w:ascii="Times New Roman" w:hAnsi="Times New Roman"/>
      <w:sz w:val="24"/>
      <w:szCs w:val="24"/>
    </w:rPr>
  </w:style>
  <w:style w:type="paragraph" w:styleId="106">
    <w:name w:val="List Paragraph"/>
    <w:basedOn w:val="1"/>
    <w:qFormat/>
    <w:uiPriority w:val="34"/>
    <w:pPr>
      <w:adjustRightInd w:val="0"/>
      <w:spacing w:line="312" w:lineRule="atLeast"/>
      <w:ind w:firstLine="420" w:firstLineChars="200"/>
      <w:textAlignment w:val="baseline"/>
    </w:pPr>
    <w:rPr>
      <w:rFonts w:ascii="Times New Roman" w:hAnsi="Times New Roman"/>
      <w:kern w:val="0"/>
    </w:rPr>
  </w:style>
  <w:style w:type="character" w:customStyle="1" w:styleId="107">
    <w:name w:val="正文文本缩进 2 Char"/>
    <w:basedOn w:val="74"/>
    <w:link w:val="39"/>
    <w:qFormat/>
    <w:uiPriority w:val="99"/>
    <w:rPr>
      <w:rFonts w:ascii="Calibri" w:hAnsi="Calibri" w:eastAsia="宋体" w:cs="Times New Roman"/>
      <w:szCs w:val="21"/>
    </w:rPr>
  </w:style>
  <w:style w:type="paragraph" w:customStyle="1" w:styleId="108">
    <w:name w:val="报告书正文 Char Char Char Char Char Char Char"/>
    <w:basedOn w:val="1"/>
    <w:qFormat/>
    <w:uiPriority w:val="0"/>
    <w:pPr>
      <w:spacing w:line="300" w:lineRule="auto"/>
      <w:ind w:firstLine="480" w:firstLineChars="200"/>
    </w:pPr>
    <w:rPr>
      <w:rFonts w:ascii="Times New Roman" w:hAnsi="Times New Roman"/>
      <w:color w:val="000000"/>
      <w:sz w:val="24"/>
      <w:szCs w:val="24"/>
    </w:rPr>
  </w:style>
  <w:style w:type="paragraph" w:customStyle="1" w:styleId="109">
    <w:name w:val="图表头"/>
    <w:basedOn w:val="1"/>
    <w:qFormat/>
    <w:uiPriority w:val="0"/>
    <w:pPr>
      <w:adjustRightInd w:val="0"/>
      <w:spacing w:line="360" w:lineRule="auto"/>
      <w:jc w:val="center"/>
      <w:textAlignment w:val="baseline"/>
    </w:pPr>
    <w:rPr>
      <w:rFonts w:ascii="黑体" w:hAnsi="黑体" w:eastAsia="黑体" w:cs="宋体"/>
      <w:spacing w:val="5"/>
      <w:kern w:val="0"/>
    </w:rPr>
  </w:style>
  <w:style w:type="paragraph" w:customStyle="1" w:styleId="110">
    <w:name w:val="报告书正文 Char Char Char"/>
    <w:basedOn w:val="1"/>
    <w:link w:val="150"/>
    <w:qFormat/>
    <w:uiPriority w:val="0"/>
    <w:pPr>
      <w:spacing w:line="300" w:lineRule="auto"/>
      <w:ind w:firstLine="200" w:firstLineChars="200"/>
    </w:pPr>
    <w:rPr>
      <w:rFonts w:ascii="Times New Roman" w:hAnsi="Times New Roman"/>
      <w:sz w:val="24"/>
      <w:szCs w:val="24"/>
    </w:rPr>
  </w:style>
  <w:style w:type="paragraph" w:customStyle="1" w:styleId="111">
    <w:name w:val="5表标题"/>
    <w:basedOn w:val="1"/>
    <w:qFormat/>
    <w:uiPriority w:val="0"/>
    <w:pPr>
      <w:widowControl/>
      <w:jc w:val="center"/>
    </w:pPr>
    <w:rPr>
      <w:rFonts w:ascii="Times New Roman" w:hAnsi="Times New Roman" w:cs="宋体"/>
      <w:b/>
      <w:bCs/>
    </w:rPr>
  </w:style>
  <w:style w:type="character" w:customStyle="1" w:styleId="112">
    <w:name w:val="纯文本 Char"/>
    <w:basedOn w:val="74"/>
    <w:link w:val="35"/>
    <w:qFormat/>
    <w:uiPriority w:val="0"/>
    <w:rPr>
      <w:rFonts w:ascii="宋体" w:hAnsi="Courier New" w:eastAsia="宋体" w:cs="宋体"/>
      <w:szCs w:val="21"/>
    </w:rPr>
  </w:style>
  <w:style w:type="paragraph" w:customStyle="1" w:styleId="113">
    <w:name w:val="表格"/>
    <w:basedOn w:val="1"/>
    <w:link w:val="418"/>
    <w:qFormat/>
    <w:uiPriority w:val="0"/>
    <w:pPr>
      <w:jc w:val="center"/>
      <w:outlineLvl w:val="5"/>
    </w:pPr>
    <w:rPr>
      <w:rFonts w:ascii="宋体" w:hAnsi="宋体" w:cs="宋体"/>
      <w:kern w:val="0"/>
    </w:rPr>
  </w:style>
  <w:style w:type="paragraph" w:customStyle="1" w:styleId="114">
    <w:name w:val="表头11"/>
    <w:basedOn w:val="1"/>
    <w:qFormat/>
    <w:uiPriority w:val="0"/>
    <w:pPr>
      <w:adjustRightInd w:val="0"/>
      <w:snapToGrid w:val="0"/>
      <w:spacing w:line="480" w:lineRule="exact"/>
      <w:jc w:val="center"/>
    </w:pPr>
    <w:rPr>
      <w:rFonts w:ascii="宋体" w:hAnsi="宋体" w:cs="宋体"/>
      <w:b/>
      <w:bCs/>
      <w:color w:val="FF0000"/>
      <w:sz w:val="24"/>
      <w:szCs w:val="24"/>
    </w:rPr>
  </w:style>
  <w:style w:type="paragraph" w:customStyle="1" w:styleId="115">
    <w:name w:val="样式 表头11 + 自动设置"/>
    <w:basedOn w:val="114"/>
    <w:qFormat/>
    <w:uiPriority w:val="0"/>
    <w:pPr>
      <w:spacing w:line="240" w:lineRule="auto"/>
    </w:pPr>
    <w:rPr>
      <w:color w:val="000000"/>
    </w:rPr>
  </w:style>
  <w:style w:type="paragraph" w:customStyle="1" w:styleId="116">
    <w:name w:val="表格2"/>
    <w:basedOn w:val="1"/>
    <w:qFormat/>
    <w:uiPriority w:val="0"/>
    <w:pPr>
      <w:widowControl/>
      <w:adjustRightInd w:val="0"/>
      <w:snapToGrid w:val="0"/>
      <w:jc w:val="center"/>
    </w:pPr>
    <w:rPr>
      <w:rFonts w:ascii="Times New Roman" w:hAnsi="Times New Roman"/>
      <w:b/>
      <w:bCs/>
      <w:kern w:val="0"/>
    </w:rPr>
  </w:style>
  <w:style w:type="character" w:customStyle="1" w:styleId="117">
    <w:name w:val="正文文本缩进 Char"/>
    <w:basedOn w:val="74"/>
    <w:link w:val="27"/>
    <w:qFormat/>
    <w:uiPriority w:val="99"/>
    <w:rPr>
      <w:rFonts w:ascii="Times New Roman" w:hAnsi="Times New Roman" w:eastAsia="宋体" w:cs="Times New Roman"/>
      <w:szCs w:val="21"/>
    </w:rPr>
  </w:style>
  <w:style w:type="paragraph" w:customStyle="1" w:styleId="118">
    <w:name w:val="0正文"/>
    <w:basedOn w:val="27"/>
    <w:qFormat/>
    <w:uiPriority w:val="0"/>
    <w:pPr>
      <w:spacing w:line="300" w:lineRule="auto"/>
      <w:ind w:left="0" w:leftChars="0" w:firstLine="480" w:firstLineChars="200"/>
    </w:pPr>
    <w:rPr>
      <w:kern w:val="0"/>
      <w:sz w:val="24"/>
      <w:szCs w:val="24"/>
    </w:rPr>
  </w:style>
  <w:style w:type="paragraph" w:customStyle="1" w:styleId="119">
    <w:name w:val="样式9"/>
    <w:basedOn w:val="5"/>
    <w:qFormat/>
    <w:uiPriority w:val="0"/>
    <w:pPr>
      <w:spacing w:line="372" w:lineRule="auto"/>
    </w:pPr>
    <w:rPr>
      <w:rFonts w:ascii="Arial" w:hAnsi="Arial" w:eastAsia="黑体" w:cs="Arial"/>
    </w:rPr>
  </w:style>
  <w:style w:type="paragraph" w:customStyle="1" w:styleId="120">
    <w:name w:val="Default"/>
    <w:basedOn w:val="1"/>
    <w:qFormat/>
    <w:uiPriority w:val="0"/>
    <w:pPr>
      <w:autoSpaceDE w:val="0"/>
      <w:autoSpaceDN w:val="0"/>
      <w:adjustRightInd w:val="0"/>
      <w:jc w:val="left"/>
    </w:pPr>
    <w:rPr>
      <w:rFonts w:ascii="宋体" w:hAnsi="宋体" w:cs="宋体"/>
      <w:color w:val="000000"/>
      <w:kern w:val="0"/>
      <w:sz w:val="24"/>
      <w:szCs w:val="24"/>
    </w:rPr>
  </w:style>
  <w:style w:type="paragraph" w:customStyle="1" w:styleId="121">
    <w:name w:val="样式 加粗 居中 行距: 1.5 倍行距"/>
    <w:basedOn w:val="1"/>
    <w:qFormat/>
    <w:uiPriority w:val="0"/>
    <w:pPr>
      <w:spacing w:line="360" w:lineRule="auto"/>
      <w:jc w:val="center"/>
    </w:pPr>
    <w:rPr>
      <w:rFonts w:ascii="Times New Roman" w:hAnsi="Times New Roman" w:cs="宋体"/>
      <w:b/>
      <w:bCs/>
    </w:rPr>
  </w:style>
  <w:style w:type="paragraph" w:customStyle="1" w:styleId="122">
    <w:name w:val="样式 首行缩进:  2 字符"/>
    <w:basedOn w:val="1"/>
    <w:link w:val="612"/>
    <w:qFormat/>
    <w:uiPriority w:val="0"/>
    <w:pPr>
      <w:adjustRightInd w:val="0"/>
      <w:spacing w:line="300" w:lineRule="auto"/>
      <w:ind w:firstLine="480" w:firstLineChars="200"/>
      <w:textAlignment w:val="baseline"/>
    </w:pPr>
    <w:rPr>
      <w:rFonts w:ascii="宋体" w:hAnsi="宋体" w:cs="宋体"/>
      <w:color w:val="FF0000"/>
      <w:kern w:val="0"/>
      <w:sz w:val="24"/>
      <w:szCs w:val="24"/>
    </w:rPr>
  </w:style>
  <w:style w:type="paragraph" w:customStyle="1" w:styleId="123">
    <w:name w:val="p0"/>
    <w:basedOn w:val="1"/>
    <w:qFormat/>
    <w:uiPriority w:val="0"/>
    <w:pPr>
      <w:widowControl/>
    </w:pPr>
    <w:rPr>
      <w:rFonts w:cs="宋体"/>
      <w:kern w:val="0"/>
    </w:rPr>
  </w:style>
  <w:style w:type="paragraph" w:customStyle="1" w:styleId="124">
    <w:name w:val="表格内容"/>
    <w:basedOn w:val="1"/>
    <w:qFormat/>
    <w:uiPriority w:val="0"/>
    <w:pPr>
      <w:adjustRightInd w:val="0"/>
      <w:snapToGrid w:val="0"/>
      <w:jc w:val="center"/>
    </w:pPr>
    <w:rPr>
      <w:rFonts w:ascii="宋体" w:hAnsi="宋体" w:cs="宋体"/>
      <w:sz w:val="18"/>
      <w:szCs w:val="18"/>
    </w:rPr>
  </w:style>
  <w:style w:type="character" w:customStyle="1" w:styleId="125">
    <w:name w:val="10"/>
    <w:basedOn w:val="74"/>
    <w:qFormat/>
    <w:uiPriority w:val="0"/>
    <w:rPr>
      <w:rFonts w:hint="default" w:ascii="Times New Roman" w:hAnsi="Times New Roman" w:cs="Times New Roman"/>
    </w:rPr>
  </w:style>
  <w:style w:type="character" w:customStyle="1" w:styleId="126">
    <w:name w:val="15"/>
    <w:basedOn w:val="74"/>
    <w:qFormat/>
    <w:uiPriority w:val="0"/>
    <w:rPr>
      <w:rFonts w:hint="default" w:ascii="Times New Roman" w:hAnsi="Times New Roman" w:cs="Times New Roman"/>
    </w:rPr>
  </w:style>
  <w:style w:type="paragraph" w:customStyle="1" w:styleId="127">
    <w:name w:val="岳阳用"/>
    <w:basedOn w:val="1"/>
    <w:qFormat/>
    <w:uiPriority w:val="0"/>
    <w:pPr>
      <w:spacing w:line="400" w:lineRule="atLeast"/>
      <w:ind w:firstLine="644"/>
      <w:jc w:val="left"/>
    </w:pPr>
    <w:rPr>
      <w:rFonts w:ascii="仿宋_GB2312" w:hAnsi="宋体" w:eastAsia="仿宋_GB2312" w:cs="宋体"/>
      <w:spacing w:val="21"/>
      <w:kern w:val="0"/>
      <w:sz w:val="28"/>
      <w:szCs w:val="28"/>
    </w:rPr>
  </w:style>
  <w:style w:type="paragraph" w:customStyle="1" w:styleId="128">
    <w:name w:val="报告书"/>
    <w:basedOn w:val="1"/>
    <w:qFormat/>
    <w:uiPriority w:val="0"/>
    <w:pPr>
      <w:spacing w:line="300" w:lineRule="auto"/>
      <w:ind w:firstLine="480" w:firstLineChars="200"/>
    </w:pPr>
    <w:rPr>
      <w:rFonts w:ascii="Times New Roman" w:hAnsi="Times New Roman"/>
      <w:sz w:val="24"/>
      <w:szCs w:val="24"/>
    </w:rPr>
  </w:style>
  <w:style w:type="paragraph" w:customStyle="1" w:styleId="129">
    <w:name w:val="报告书正文 Char"/>
    <w:basedOn w:val="1"/>
    <w:qFormat/>
    <w:uiPriority w:val="0"/>
    <w:pPr>
      <w:spacing w:line="300" w:lineRule="auto"/>
      <w:ind w:firstLine="200" w:firstLineChars="200"/>
    </w:pPr>
    <w:rPr>
      <w:rFonts w:ascii="Times New Roman" w:hAnsi="Times New Roman"/>
      <w:sz w:val="24"/>
      <w:szCs w:val="24"/>
    </w:rPr>
  </w:style>
  <w:style w:type="paragraph" w:customStyle="1" w:styleId="130">
    <w:name w:val="表格文字居中"/>
    <w:basedOn w:val="1"/>
    <w:qFormat/>
    <w:uiPriority w:val="0"/>
    <w:pPr>
      <w:widowControl/>
      <w:adjustRightInd w:val="0"/>
      <w:snapToGrid w:val="0"/>
      <w:spacing w:beforeLines="10" w:afterLines="10"/>
      <w:jc w:val="center"/>
    </w:pPr>
    <w:rPr>
      <w:rFonts w:ascii="宋体" w:hAnsi="宋体" w:cs="宋体"/>
      <w:kern w:val="0"/>
      <w:sz w:val="24"/>
      <w:szCs w:val="24"/>
    </w:rPr>
  </w:style>
  <w:style w:type="character" w:customStyle="1" w:styleId="131">
    <w:name w:val="段落 Char"/>
    <w:link w:val="132"/>
    <w:qFormat/>
    <w:uiPriority w:val="0"/>
    <w:rPr>
      <w:rFonts w:ascii="Times New Roman" w:hAnsi="Times New Roman"/>
      <w:b/>
      <w:bCs/>
      <w:sz w:val="30"/>
      <w:szCs w:val="30"/>
    </w:rPr>
  </w:style>
  <w:style w:type="paragraph" w:customStyle="1" w:styleId="132">
    <w:name w:val="段落"/>
    <w:basedOn w:val="1"/>
    <w:link w:val="131"/>
    <w:qFormat/>
    <w:uiPriority w:val="0"/>
    <w:pPr>
      <w:adjustRightInd w:val="0"/>
      <w:snapToGrid w:val="0"/>
      <w:spacing w:line="360" w:lineRule="auto"/>
    </w:pPr>
    <w:rPr>
      <w:rFonts w:ascii="Times New Roman" w:hAnsi="Times New Roman" w:eastAsiaTheme="minorEastAsia" w:cstheme="minorBidi"/>
      <w:b/>
      <w:bCs/>
      <w:sz w:val="30"/>
      <w:szCs w:val="30"/>
    </w:rPr>
  </w:style>
  <w:style w:type="character" w:customStyle="1" w:styleId="133">
    <w:name w:val="正文缩进 Char"/>
    <w:link w:val="15"/>
    <w:qFormat/>
    <w:uiPriority w:val="0"/>
    <w:rPr>
      <w:rFonts w:ascii="Calibri" w:hAnsi="Calibri" w:eastAsia="宋体" w:cs="Times New Roman"/>
      <w:szCs w:val="21"/>
    </w:rPr>
  </w:style>
  <w:style w:type="paragraph" w:customStyle="1" w:styleId="134">
    <w:name w:val="正文1"/>
    <w:link w:val="179"/>
    <w:qFormat/>
    <w:uiPriority w:val="0"/>
    <w:pPr>
      <w:jc w:val="both"/>
    </w:pPr>
    <w:rPr>
      <w:rFonts w:ascii="Times New Roman" w:hAnsi="Times New Roman" w:eastAsia="宋体" w:cs="Times New Roman"/>
      <w:kern w:val="2"/>
      <w:sz w:val="21"/>
      <w:szCs w:val="21"/>
      <w:lang w:val="en-US" w:eastAsia="zh-CN" w:bidi="ar-SA"/>
    </w:rPr>
  </w:style>
  <w:style w:type="character" w:customStyle="1" w:styleId="135">
    <w:name w:val="批注文字 Char"/>
    <w:basedOn w:val="74"/>
    <w:link w:val="20"/>
    <w:qFormat/>
    <w:uiPriority w:val="99"/>
    <w:rPr>
      <w:rFonts w:ascii="Calibri" w:hAnsi="Calibri" w:eastAsia="宋体" w:cs="Times New Roman"/>
      <w:szCs w:val="21"/>
    </w:rPr>
  </w:style>
  <w:style w:type="character" w:customStyle="1" w:styleId="136">
    <w:name w:val="批注主题 Char"/>
    <w:basedOn w:val="135"/>
    <w:link w:val="68"/>
    <w:semiHidden/>
    <w:qFormat/>
    <w:uiPriority w:val="99"/>
    <w:rPr>
      <w:rFonts w:ascii="Calibri" w:hAnsi="Calibri" w:eastAsia="宋体" w:cs="Times New Roman"/>
      <w:b/>
      <w:bCs/>
      <w:szCs w:val="21"/>
    </w:rPr>
  </w:style>
  <w:style w:type="character" w:customStyle="1" w:styleId="137">
    <w:name w:val="批注框文本 Char"/>
    <w:basedOn w:val="74"/>
    <w:link w:val="40"/>
    <w:qFormat/>
    <w:uiPriority w:val="99"/>
    <w:rPr>
      <w:rFonts w:ascii="Calibri" w:hAnsi="Calibri" w:eastAsia="宋体" w:cs="Times New Roman"/>
      <w:sz w:val="18"/>
      <w:szCs w:val="18"/>
    </w:rPr>
  </w:style>
  <w:style w:type="character" w:customStyle="1" w:styleId="138">
    <w:name w:val="题注 Char"/>
    <w:link w:val="16"/>
    <w:qFormat/>
    <w:uiPriority w:val="0"/>
    <w:rPr>
      <w:rFonts w:eastAsia="楷体_GB2312"/>
      <w:spacing w:val="8"/>
      <w:kern w:val="24"/>
      <w:sz w:val="15"/>
    </w:rPr>
  </w:style>
  <w:style w:type="paragraph" w:customStyle="1" w:styleId="139">
    <w:name w:val="正文2002"/>
    <w:basedOn w:val="1"/>
    <w:qFormat/>
    <w:uiPriority w:val="0"/>
    <w:pPr>
      <w:spacing w:line="240" w:lineRule="atLeast"/>
      <w:jc w:val="center"/>
    </w:pPr>
    <w:rPr>
      <w:rFonts w:ascii="Times New Roman" w:hAnsi="宋体"/>
      <w:spacing w:val="8"/>
    </w:rPr>
  </w:style>
  <w:style w:type="character" w:customStyle="1" w:styleId="140">
    <w:name w:val="报告书正文 Char2"/>
    <w:link w:val="105"/>
    <w:qFormat/>
    <w:uiPriority w:val="0"/>
    <w:rPr>
      <w:rFonts w:ascii="Times New Roman" w:hAnsi="Times New Roman" w:eastAsia="宋体" w:cs="Times New Roman"/>
      <w:sz w:val="24"/>
      <w:szCs w:val="24"/>
    </w:rPr>
  </w:style>
  <w:style w:type="character" w:customStyle="1" w:styleId="141">
    <w:name w:val="zw Char"/>
    <w:link w:val="142"/>
    <w:qFormat/>
    <w:uiPriority w:val="0"/>
    <w:rPr>
      <w:rFonts w:ascii="仿宋_GB2312" w:eastAsia="仿宋_GB2312"/>
      <w:snapToGrid w:val="0"/>
      <w:color w:val="000000"/>
      <w:kern w:val="24"/>
      <w:position w:val="2"/>
      <w:sz w:val="24"/>
      <w:szCs w:val="18"/>
      <w:lang w:val="zh-CN"/>
    </w:rPr>
  </w:style>
  <w:style w:type="paragraph" w:customStyle="1" w:styleId="142">
    <w:name w:val="zw"/>
    <w:basedOn w:val="1"/>
    <w:link w:val="141"/>
    <w:qFormat/>
    <w:uiPriority w:val="0"/>
    <w:pPr>
      <w:widowControl/>
      <w:tabs>
        <w:tab w:val="left" w:pos="900"/>
      </w:tabs>
      <w:adjustRightInd w:val="0"/>
      <w:snapToGrid w:val="0"/>
      <w:spacing w:line="480" w:lineRule="exact"/>
      <w:ind w:firstLine="497" w:firstLineChars="200"/>
      <w:jc w:val="left"/>
    </w:pPr>
    <w:rPr>
      <w:rFonts w:ascii="仿宋_GB2312" w:eastAsia="仿宋_GB2312" w:hAnsiTheme="minorHAnsi" w:cstheme="minorBidi"/>
      <w:snapToGrid w:val="0"/>
      <w:color w:val="000000"/>
      <w:kern w:val="24"/>
      <w:position w:val="2"/>
      <w:sz w:val="24"/>
      <w:szCs w:val="18"/>
      <w:lang w:val="zh-CN"/>
    </w:rPr>
  </w:style>
  <w:style w:type="character" w:customStyle="1" w:styleId="143">
    <w:name w:val="标题 5 Char"/>
    <w:basedOn w:val="74"/>
    <w:link w:val="6"/>
    <w:qFormat/>
    <w:uiPriority w:val="0"/>
    <w:rPr>
      <w:rFonts w:ascii="Calibri" w:hAnsi="Calibri"/>
      <w:b/>
      <w:bCs/>
      <w:kern w:val="2"/>
      <w:sz w:val="28"/>
      <w:szCs w:val="28"/>
    </w:rPr>
  </w:style>
  <w:style w:type="character" w:customStyle="1" w:styleId="144">
    <w:name w:val="标题 6 Char"/>
    <w:basedOn w:val="74"/>
    <w:link w:val="7"/>
    <w:qFormat/>
    <w:uiPriority w:val="0"/>
    <w:rPr>
      <w:rFonts w:asciiTheme="majorHAnsi" w:hAnsiTheme="majorHAnsi" w:eastAsiaTheme="majorEastAsia" w:cstheme="majorBidi"/>
      <w:b/>
      <w:bCs/>
      <w:kern w:val="2"/>
      <w:sz w:val="24"/>
      <w:szCs w:val="24"/>
    </w:rPr>
  </w:style>
  <w:style w:type="character" w:customStyle="1" w:styleId="145">
    <w:name w:val="标题 7 Char"/>
    <w:basedOn w:val="74"/>
    <w:link w:val="8"/>
    <w:qFormat/>
    <w:uiPriority w:val="0"/>
    <w:rPr>
      <w:rFonts w:ascii="Calibri" w:hAnsi="Calibri"/>
      <w:b/>
      <w:bCs/>
      <w:kern w:val="2"/>
      <w:sz w:val="24"/>
      <w:szCs w:val="24"/>
    </w:rPr>
  </w:style>
  <w:style w:type="character" w:customStyle="1" w:styleId="146">
    <w:name w:val="标题 8 Char"/>
    <w:basedOn w:val="74"/>
    <w:link w:val="9"/>
    <w:qFormat/>
    <w:uiPriority w:val="0"/>
    <w:rPr>
      <w:rFonts w:asciiTheme="majorHAnsi" w:hAnsiTheme="majorHAnsi" w:eastAsiaTheme="majorEastAsia" w:cstheme="majorBidi"/>
      <w:kern w:val="2"/>
      <w:sz w:val="24"/>
      <w:szCs w:val="24"/>
    </w:rPr>
  </w:style>
  <w:style w:type="character" w:customStyle="1" w:styleId="147">
    <w:name w:val="标题 9 Char"/>
    <w:basedOn w:val="74"/>
    <w:link w:val="10"/>
    <w:qFormat/>
    <w:uiPriority w:val="0"/>
    <w:rPr>
      <w:rFonts w:asciiTheme="majorHAnsi" w:hAnsiTheme="majorHAnsi" w:eastAsiaTheme="majorEastAsia" w:cstheme="majorBidi"/>
      <w:kern w:val="2"/>
      <w:sz w:val="21"/>
      <w:szCs w:val="21"/>
    </w:rPr>
  </w:style>
  <w:style w:type="paragraph" w:customStyle="1" w:styleId="148">
    <w:name w:val="表"/>
    <w:basedOn w:val="16"/>
    <w:qFormat/>
    <w:uiPriority w:val="0"/>
    <w:pPr>
      <w:adjustRightInd/>
      <w:snapToGrid/>
      <w:spacing w:before="50" w:beforeLines="50" w:line="360" w:lineRule="auto"/>
      <w:ind w:firstLine="0"/>
      <w:jc w:val="center"/>
      <w:textAlignment w:val="auto"/>
    </w:pPr>
    <w:rPr>
      <w:rFonts w:ascii="Times New Roman" w:hAnsi="Times New Roman" w:eastAsia="黑体" w:cs="Arial"/>
      <w:spacing w:val="0"/>
      <w:kern w:val="2"/>
      <w:sz w:val="21"/>
      <w:szCs w:val="21"/>
    </w:rPr>
  </w:style>
  <w:style w:type="paragraph" w:customStyle="1" w:styleId="149">
    <w:name w:val="lei"/>
    <w:basedOn w:val="1"/>
    <w:qFormat/>
    <w:uiPriority w:val="0"/>
    <w:pPr>
      <w:adjustRightInd w:val="0"/>
      <w:spacing w:line="560" w:lineRule="exact"/>
      <w:ind w:firstLine="565" w:firstLineChars="200"/>
    </w:pPr>
    <w:rPr>
      <w:rFonts w:ascii="Times New Roman" w:hAnsi="Times New Roman" w:eastAsia="仿宋_GB2312"/>
      <w:snapToGrid w:val="0"/>
      <w:kern w:val="0"/>
      <w:sz w:val="28"/>
      <w:szCs w:val="28"/>
    </w:rPr>
  </w:style>
  <w:style w:type="character" w:customStyle="1" w:styleId="150">
    <w:name w:val="报告书正文 Char Char Char Char"/>
    <w:link w:val="110"/>
    <w:qFormat/>
    <w:uiPriority w:val="0"/>
    <w:rPr>
      <w:rFonts w:ascii="Times New Roman" w:hAnsi="Times New Roman" w:eastAsia="宋体" w:cs="Times New Roman"/>
      <w:sz w:val="24"/>
      <w:szCs w:val="24"/>
    </w:rPr>
  </w:style>
  <w:style w:type="character" w:customStyle="1" w:styleId="151">
    <w:name w:val="标题 6 Char Char"/>
    <w:qFormat/>
    <w:uiPriority w:val="0"/>
    <w:rPr>
      <w:rFonts w:ascii="Arial" w:hAnsi="Arial" w:eastAsia="黑体"/>
      <w:b/>
      <w:bCs/>
      <w:kern w:val="2"/>
      <w:sz w:val="24"/>
      <w:szCs w:val="24"/>
      <w:lang w:val="en-US" w:eastAsia="zh-CN" w:bidi="ar-SA"/>
    </w:rPr>
  </w:style>
  <w:style w:type="character" w:customStyle="1" w:styleId="152">
    <w:name w:val="标题 6 Char1"/>
    <w:qFormat/>
    <w:uiPriority w:val="0"/>
    <w:rPr>
      <w:rFonts w:ascii="Arial" w:hAnsi="Arial" w:eastAsia="黑体"/>
      <w:b/>
      <w:bCs/>
      <w:kern w:val="2"/>
      <w:sz w:val="24"/>
      <w:szCs w:val="24"/>
    </w:rPr>
  </w:style>
  <w:style w:type="paragraph" w:customStyle="1" w:styleId="153">
    <w:name w:val="五号表格"/>
    <w:basedOn w:val="1"/>
    <w:qFormat/>
    <w:uiPriority w:val="0"/>
    <w:pPr>
      <w:spacing w:line="240" w:lineRule="atLeast"/>
      <w:jc w:val="center"/>
    </w:pPr>
    <w:rPr>
      <w:rFonts w:ascii="Times New Roman" w:hAnsi="Times New Roman"/>
      <w:szCs w:val="24"/>
    </w:rPr>
  </w:style>
  <w:style w:type="paragraph" w:customStyle="1" w:styleId="154">
    <w:name w:val="Table Paragraph"/>
    <w:basedOn w:val="1"/>
    <w:qFormat/>
    <w:uiPriority w:val="1"/>
    <w:pPr>
      <w:jc w:val="left"/>
    </w:pPr>
    <w:rPr>
      <w:rFonts w:asciiTheme="minorHAnsi" w:hAnsiTheme="minorHAnsi" w:eastAsiaTheme="minorEastAsia" w:cstheme="minorBidi"/>
      <w:kern w:val="0"/>
      <w:sz w:val="22"/>
      <w:szCs w:val="22"/>
      <w:lang w:eastAsia="en-US"/>
    </w:rPr>
  </w:style>
  <w:style w:type="character" w:customStyle="1" w:styleId="155">
    <w:name w:val="m1"/>
    <w:qFormat/>
    <w:uiPriority w:val="0"/>
    <w:rPr>
      <w:u w:val="none"/>
    </w:rPr>
  </w:style>
  <w:style w:type="paragraph" w:customStyle="1" w:styleId="156">
    <w:name w:val="表头"/>
    <w:basedOn w:val="69"/>
    <w:link w:val="308"/>
    <w:qFormat/>
    <w:uiPriority w:val="0"/>
    <w:pPr>
      <w:spacing w:line="276" w:lineRule="auto"/>
      <w:ind w:firstLine="0" w:firstLineChars="0"/>
      <w:jc w:val="center"/>
    </w:pPr>
    <w:rPr>
      <w:rFonts w:cs="Times New Roman"/>
      <w:b/>
      <w:kern w:val="10"/>
      <w:szCs w:val="24"/>
    </w:rPr>
  </w:style>
  <w:style w:type="paragraph" w:customStyle="1" w:styleId="157">
    <w:name w:val="表文字"/>
    <w:basedOn w:val="1"/>
    <w:link w:val="337"/>
    <w:qFormat/>
    <w:uiPriority w:val="0"/>
    <w:pPr>
      <w:spacing w:line="360" w:lineRule="auto"/>
      <w:jc w:val="center"/>
    </w:pPr>
    <w:rPr>
      <w:rFonts w:ascii="Times New Roman" w:hAnsi="Times New Roman"/>
      <w:kern w:val="10"/>
      <w:sz w:val="24"/>
      <w:szCs w:val="20"/>
    </w:rPr>
  </w:style>
  <w:style w:type="paragraph" w:customStyle="1" w:styleId="158">
    <w:name w:val="MTDisplayEquation"/>
    <w:basedOn w:val="1"/>
    <w:next w:val="1"/>
    <w:link w:val="159"/>
    <w:qFormat/>
    <w:uiPriority w:val="0"/>
    <w:pPr>
      <w:tabs>
        <w:tab w:val="center" w:pos="4160"/>
        <w:tab w:val="right" w:pos="8300"/>
      </w:tabs>
      <w:spacing w:line="360" w:lineRule="auto"/>
    </w:pPr>
    <w:rPr>
      <w:rFonts w:ascii="Times New Roman" w:hAnsi="Times New Roman"/>
      <w:sz w:val="24"/>
      <w:szCs w:val="22"/>
    </w:rPr>
  </w:style>
  <w:style w:type="character" w:customStyle="1" w:styleId="159">
    <w:name w:val="MTDisplayEquation Char"/>
    <w:link w:val="158"/>
    <w:qFormat/>
    <w:uiPriority w:val="0"/>
    <w:rPr>
      <w:rFonts w:ascii="Times New Roman" w:hAnsi="Times New Roman" w:eastAsia="宋体" w:cs="Times New Roman"/>
      <w:sz w:val="24"/>
    </w:rPr>
  </w:style>
  <w:style w:type="character" w:customStyle="1" w:styleId="160">
    <w:name w:val="标题 2 Char1"/>
    <w:qFormat/>
    <w:uiPriority w:val="0"/>
    <w:rPr>
      <w:rFonts w:ascii="Arial" w:hAnsi="Arial" w:eastAsia="黑体"/>
      <w:b/>
      <w:bCs/>
      <w:kern w:val="2"/>
      <w:sz w:val="32"/>
      <w:szCs w:val="32"/>
      <w:lang w:val="en-US" w:eastAsia="zh-CN" w:bidi="ar-SA"/>
    </w:rPr>
  </w:style>
  <w:style w:type="paragraph" w:customStyle="1" w:styleId="161">
    <w:name w:val="Char Char3 Char Char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162">
    <w:name w:val="lei Char"/>
    <w:basedOn w:val="1"/>
    <w:link w:val="163"/>
    <w:qFormat/>
    <w:uiPriority w:val="0"/>
    <w:pPr>
      <w:adjustRightInd w:val="0"/>
      <w:spacing w:line="560" w:lineRule="exact"/>
      <w:ind w:firstLine="565" w:firstLineChars="200"/>
    </w:pPr>
    <w:rPr>
      <w:rFonts w:ascii="Times New Roman" w:hAnsi="Times New Roman" w:eastAsia="仿宋_GB2312"/>
      <w:snapToGrid w:val="0"/>
      <w:sz w:val="28"/>
      <w:szCs w:val="28"/>
    </w:rPr>
  </w:style>
  <w:style w:type="character" w:customStyle="1" w:styleId="163">
    <w:name w:val="lei Char Char"/>
    <w:link w:val="162"/>
    <w:qFormat/>
    <w:uiPriority w:val="0"/>
    <w:rPr>
      <w:rFonts w:ascii="Times New Roman" w:hAnsi="Times New Roman" w:eastAsia="仿宋_GB2312" w:cs="Times New Roman"/>
      <w:snapToGrid w:val="0"/>
      <w:sz w:val="28"/>
      <w:szCs w:val="28"/>
    </w:rPr>
  </w:style>
  <w:style w:type="paragraph" w:customStyle="1" w:styleId="164">
    <w:name w:val="zh"/>
    <w:basedOn w:val="162"/>
    <w:qFormat/>
    <w:uiPriority w:val="0"/>
  </w:style>
  <w:style w:type="paragraph" w:customStyle="1" w:styleId="165">
    <w:name w:val="4"/>
    <w:basedOn w:val="1"/>
    <w:next w:val="15"/>
    <w:qFormat/>
    <w:uiPriority w:val="0"/>
    <w:pPr>
      <w:ind w:firstLine="420"/>
    </w:pPr>
    <w:rPr>
      <w:rFonts w:ascii="Times New Roman" w:hAnsi="Times New Roman"/>
      <w:szCs w:val="20"/>
    </w:rPr>
  </w:style>
  <w:style w:type="paragraph" w:customStyle="1" w:styleId="166">
    <w:name w:val="表名1"/>
    <w:basedOn w:val="1"/>
    <w:qFormat/>
    <w:uiPriority w:val="0"/>
    <w:pPr>
      <w:adjustRightInd w:val="0"/>
      <w:snapToGrid w:val="0"/>
      <w:spacing w:line="560" w:lineRule="exact"/>
      <w:jc w:val="center"/>
    </w:pPr>
    <w:rPr>
      <w:rFonts w:ascii="Times New Roman" w:hAnsi="Times New Roman" w:eastAsia="黑体"/>
      <w:sz w:val="24"/>
      <w:szCs w:val="24"/>
    </w:rPr>
  </w:style>
  <w:style w:type="paragraph" w:customStyle="1" w:styleId="167">
    <w:name w:val="样式-lei Char"/>
    <w:basedOn w:val="1"/>
    <w:link w:val="168"/>
    <w:qFormat/>
    <w:uiPriority w:val="0"/>
    <w:pPr>
      <w:spacing w:line="560" w:lineRule="exact"/>
      <w:ind w:firstLine="565" w:firstLineChars="200"/>
    </w:pPr>
    <w:rPr>
      <w:rFonts w:ascii="Times New Roman" w:hAnsi="Times New Roman" w:eastAsia="仿宋_GB2312"/>
      <w:sz w:val="28"/>
      <w:szCs w:val="28"/>
    </w:rPr>
  </w:style>
  <w:style w:type="character" w:customStyle="1" w:styleId="168">
    <w:name w:val="样式-lei Char Char"/>
    <w:link w:val="167"/>
    <w:qFormat/>
    <w:uiPriority w:val="0"/>
    <w:rPr>
      <w:rFonts w:ascii="Times New Roman" w:hAnsi="Times New Roman" w:eastAsia="仿宋_GB2312" w:cs="Times New Roman"/>
      <w:sz w:val="28"/>
      <w:szCs w:val="28"/>
    </w:rPr>
  </w:style>
  <w:style w:type="paragraph" w:customStyle="1" w:styleId="169">
    <w:name w:val="表内-文字"/>
    <w:basedOn w:val="1"/>
    <w:qFormat/>
    <w:uiPriority w:val="0"/>
    <w:pPr>
      <w:spacing w:line="320" w:lineRule="exact"/>
      <w:jc w:val="center"/>
    </w:pPr>
    <w:rPr>
      <w:rFonts w:ascii="Times New Roman" w:hAnsi="Times New Roman" w:eastAsia="楷体_GB2312" w:cs="宋体"/>
      <w:bCs/>
      <w:color w:val="000000"/>
    </w:rPr>
  </w:style>
  <w:style w:type="paragraph" w:customStyle="1" w:styleId="170">
    <w:name w:val="bg"/>
    <w:basedOn w:val="1"/>
    <w:qFormat/>
    <w:uiPriority w:val="0"/>
    <w:pPr>
      <w:adjustRightInd w:val="0"/>
      <w:spacing w:line="360" w:lineRule="exact"/>
      <w:jc w:val="center"/>
    </w:pPr>
    <w:rPr>
      <w:rFonts w:ascii="Times New Roman" w:hAnsi="Times New Roman" w:eastAsia="仿宋_GB2312"/>
      <w:kern w:val="0"/>
    </w:rPr>
  </w:style>
  <w:style w:type="paragraph" w:customStyle="1" w:styleId="171">
    <w:name w:val="bm"/>
    <w:basedOn w:val="1"/>
    <w:qFormat/>
    <w:uiPriority w:val="0"/>
    <w:pPr>
      <w:adjustRightInd w:val="0"/>
      <w:spacing w:before="139" w:beforeLines="30" w:after="46" w:afterLines="10" w:line="360" w:lineRule="exact"/>
      <w:jc w:val="center"/>
    </w:pPr>
    <w:rPr>
      <w:rFonts w:ascii="Times New Roman" w:hAnsi="Times New Roman" w:eastAsia="黑体"/>
      <w:snapToGrid w:val="0"/>
      <w:kern w:val="0"/>
      <w:sz w:val="24"/>
      <w:szCs w:val="24"/>
    </w:rPr>
  </w:style>
  <w:style w:type="paragraph" w:customStyle="1" w:styleId="172">
    <w:name w:val="样式 标题 2H2Heading 2 HiddenHeading 2 CCBS2nd levelh22Header..."/>
    <w:basedOn w:val="3"/>
    <w:qFormat/>
    <w:uiPriority w:val="0"/>
    <w:pPr>
      <w:numPr>
        <w:ilvl w:val="0"/>
        <w:numId w:val="0"/>
      </w:numPr>
      <w:snapToGrid/>
      <w:spacing w:before="120" w:after="120" w:line="560" w:lineRule="exact"/>
    </w:pPr>
    <w:rPr>
      <w:rFonts w:ascii="Times New Roman" w:hAnsi="Times New Roman" w:cs="宋体"/>
      <w:bCs w:val="0"/>
      <w:snapToGrid w:val="0"/>
      <w:sz w:val="30"/>
      <w:szCs w:val="20"/>
    </w:rPr>
  </w:style>
  <w:style w:type="paragraph" w:customStyle="1" w:styleId="173">
    <w:name w:val="样式 标题 3标题 3 Char + Times New Roman 首行缩进:  2 字符 段前: 6 磅 段后: 6..."/>
    <w:basedOn w:val="4"/>
    <w:qFormat/>
    <w:uiPriority w:val="0"/>
    <w:pPr>
      <w:numPr>
        <w:ilvl w:val="0"/>
        <w:numId w:val="0"/>
      </w:numPr>
      <w:snapToGrid/>
      <w:spacing w:before="120" w:after="120" w:line="560" w:lineRule="exact"/>
      <w:jc w:val="left"/>
    </w:pPr>
    <w:rPr>
      <w:rFonts w:eastAsia="黑体"/>
      <w:b w:val="0"/>
      <w:bCs w:val="0"/>
      <w:snapToGrid w:val="0"/>
      <w:sz w:val="28"/>
      <w:szCs w:val="20"/>
    </w:rPr>
  </w:style>
  <w:style w:type="paragraph" w:customStyle="1" w:styleId="174">
    <w:name w:val="Char Char1 Char 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175">
    <w:name w:val="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176">
    <w:name w:val="样式 标题 1 + 四号 行距: 1.5 倍行距"/>
    <w:basedOn w:val="2"/>
    <w:qFormat/>
    <w:uiPriority w:val="0"/>
    <w:pPr>
      <w:keepLines w:val="0"/>
      <w:numPr>
        <w:numId w:val="0"/>
      </w:numPr>
      <w:adjustRightInd/>
      <w:snapToGrid/>
      <w:spacing w:before="156" w:beforeLines="50" w:line="440" w:lineRule="exact"/>
    </w:pPr>
    <w:rPr>
      <w:rFonts w:ascii="宋体" w:eastAsia="宋体"/>
      <w:b/>
      <w:iCs/>
      <w:kern w:val="2"/>
      <w:sz w:val="28"/>
      <w:szCs w:val="28"/>
    </w:rPr>
  </w:style>
  <w:style w:type="paragraph" w:customStyle="1" w:styleId="177">
    <w:name w:val="表名"/>
    <w:basedOn w:val="1"/>
    <w:link w:val="178"/>
    <w:qFormat/>
    <w:uiPriority w:val="0"/>
    <w:pPr>
      <w:adjustRightInd w:val="0"/>
      <w:spacing w:line="560" w:lineRule="exact"/>
      <w:jc w:val="center"/>
    </w:pPr>
    <w:rPr>
      <w:rFonts w:ascii="Times New Roman" w:hAnsi="Times New Roman" w:eastAsia="黑体"/>
      <w:snapToGrid w:val="0"/>
      <w:sz w:val="24"/>
      <w:szCs w:val="24"/>
    </w:rPr>
  </w:style>
  <w:style w:type="character" w:customStyle="1" w:styleId="178">
    <w:name w:val="表名 Char1"/>
    <w:link w:val="177"/>
    <w:qFormat/>
    <w:uiPriority w:val="0"/>
    <w:rPr>
      <w:rFonts w:ascii="Times New Roman" w:hAnsi="Times New Roman" w:eastAsia="黑体" w:cs="Times New Roman"/>
      <w:snapToGrid w:val="0"/>
      <w:sz w:val="24"/>
      <w:szCs w:val="24"/>
    </w:rPr>
  </w:style>
  <w:style w:type="character" w:customStyle="1" w:styleId="179">
    <w:name w:val="正文1 Char"/>
    <w:link w:val="134"/>
    <w:qFormat/>
    <w:uiPriority w:val="0"/>
    <w:rPr>
      <w:rFonts w:ascii="Times New Roman" w:hAnsi="Times New Roman" w:eastAsia="宋体" w:cs="Times New Roman"/>
      <w:szCs w:val="21"/>
    </w:rPr>
  </w:style>
  <w:style w:type="paragraph" w:customStyle="1" w:styleId="180">
    <w:name w:val="样式-lei"/>
    <w:basedOn w:val="1"/>
    <w:qFormat/>
    <w:uiPriority w:val="0"/>
    <w:pPr>
      <w:spacing w:line="560" w:lineRule="exact"/>
      <w:ind w:firstLine="560" w:firstLineChars="200"/>
    </w:pPr>
    <w:rPr>
      <w:rFonts w:ascii="Times New Roman" w:hAnsi="Times New Roman" w:eastAsia="仿宋_GB2312"/>
      <w:sz w:val="28"/>
      <w:szCs w:val="28"/>
    </w:rPr>
  </w:style>
  <w:style w:type="paragraph" w:customStyle="1" w:styleId="181">
    <w:name w:val="样式2"/>
    <w:basedOn w:val="1"/>
    <w:link w:val="182"/>
    <w:qFormat/>
    <w:uiPriority w:val="0"/>
    <w:pPr>
      <w:adjustRightInd w:val="0"/>
      <w:spacing w:line="560" w:lineRule="exact"/>
      <w:ind w:firstLine="565" w:firstLineChars="200"/>
    </w:pPr>
    <w:rPr>
      <w:rFonts w:ascii="Times New Roman" w:hAnsi="Times New Roman" w:eastAsia="仿宋_GB2312"/>
      <w:snapToGrid w:val="0"/>
      <w:sz w:val="28"/>
      <w:szCs w:val="28"/>
    </w:rPr>
  </w:style>
  <w:style w:type="character" w:customStyle="1" w:styleId="182">
    <w:name w:val="样式2 Char"/>
    <w:link w:val="181"/>
    <w:qFormat/>
    <w:uiPriority w:val="0"/>
    <w:rPr>
      <w:rFonts w:ascii="Times New Roman" w:hAnsi="Times New Roman" w:eastAsia="仿宋_GB2312" w:cs="Times New Roman"/>
      <w:snapToGrid w:val="0"/>
      <w:sz w:val="28"/>
      <w:szCs w:val="28"/>
    </w:rPr>
  </w:style>
  <w:style w:type="character" w:customStyle="1" w:styleId="183">
    <w:name w:val="正文1 Char1"/>
    <w:qFormat/>
    <w:uiPriority w:val="0"/>
    <w:rPr>
      <w:rFonts w:eastAsia="仿宋_GB2312"/>
      <w:kern w:val="2"/>
      <w:sz w:val="28"/>
      <w:lang w:val="en-US" w:eastAsia="zh-CN" w:bidi="ar-SA"/>
    </w:rPr>
  </w:style>
  <w:style w:type="character" w:customStyle="1" w:styleId="184">
    <w:name w:val="文档结构图 Char"/>
    <w:basedOn w:val="74"/>
    <w:link w:val="19"/>
    <w:semiHidden/>
    <w:qFormat/>
    <w:uiPriority w:val="99"/>
    <w:rPr>
      <w:rFonts w:ascii="Times New Roman" w:hAnsi="Times New Roman" w:eastAsia="宋体" w:cs="Times New Roman"/>
      <w:szCs w:val="24"/>
      <w:shd w:val="clear" w:color="auto" w:fill="000080"/>
    </w:rPr>
  </w:style>
  <w:style w:type="character" w:customStyle="1" w:styleId="185">
    <w:name w:val="apple-converted-space"/>
    <w:basedOn w:val="74"/>
    <w:qFormat/>
    <w:uiPriority w:val="0"/>
  </w:style>
  <w:style w:type="character" w:customStyle="1" w:styleId="186">
    <w:name w:val="words-outer-wrap"/>
    <w:basedOn w:val="74"/>
    <w:qFormat/>
    <w:uiPriority w:val="0"/>
  </w:style>
  <w:style w:type="character" w:customStyle="1" w:styleId="187">
    <w:name w:val="split-word"/>
    <w:basedOn w:val="74"/>
    <w:qFormat/>
    <w:uiPriority w:val="0"/>
  </w:style>
  <w:style w:type="character" w:customStyle="1" w:styleId="188">
    <w:name w:val="段落正文缩进 Char Char"/>
    <w:qFormat/>
    <w:uiPriority w:val="0"/>
    <w:rPr>
      <w:rFonts w:eastAsia="宋体"/>
      <w:kern w:val="2"/>
      <w:sz w:val="21"/>
      <w:szCs w:val="24"/>
      <w:lang w:val="en-US" w:eastAsia="zh-CN" w:bidi="ar-SA"/>
    </w:rPr>
  </w:style>
  <w:style w:type="character" w:customStyle="1" w:styleId="189">
    <w:name w:val="repeat-item"/>
    <w:basedOn w:val="74"/>
    <w:qFormat/>
    <w:uiPriority w:val="0"/>
  </w:style>
  <w:style w:type="character" w:customStyle="1" w:styleId="190">
    <w:name w:val="正文缩进 Char Char1"/>
    <w:qFormat/>
    <w:uiPriority w:val="0"/>
    <w:rPr>
      <w:rFonts w:eastAsia="宋体"/>
      <w:kern w:val="2"/>
      <w:sz w:val="21"/>
      <w:szCs w:val="24"/>
      <w:lang w:val="en-US" w:eastAsia="zh-CN" w:bidi="ar-SA"/>
    </w:rPr>
  </w:style>
  <w:style w:type="character" w:customStyle="1" w:styleId="191">
    <w:name w:val="fontstrikethrough"/>
    <w:qFormat/>
    <w:uiPriority w:val="0"/>
    <w:rPr>
      <w:strike/>
    </w:rPr>
  </w:style>
  <w:style w:type="character" w:customStyle="1" w:styleId="192">
    <w:name w:val="Char4"/>
    <w:qFormat/>
    <w:uiPriority w:val="0"/>
    <w:rPr>
      <w:rFonts w:eastAsia="黑体"/>
      <w:bCs/>
      <w:kern w:val="2"/>
      <w:sz w:val="28"/>
      <w:szCs w:val="28"/>
      <w:lang w:val="en-US" w:eastAsia="zh-CN" w:bidi="ar-SA"/>
    </w:rPr>
  </w:style>
  <w:style w:type="character" w:customStyle="1" w:styleId="193">
    <w:name w:val="Char"/>
    <w:qFormat/>
    <w:uiPriority w:val="0"/>
    <w:rPr>
      <w:rFonts w:eastAsia="宋体"/>
      <w:kern w:val="2"/>
      <w:sz w:val="18"/>
      <w:szCs w:val="18"/>
      <w:lang w:val="en-US" w:eastAsia="zh-CN" w:bidi="ar-SA"/>
    </w:rPr>
  </w:style>
  <w:style w:type="character" w:customStyle="1" w:styleId="194">
    <w:name w:val="grame"/>
    <w:basedOn w:val="74"/>
    <w:qFormat/>
    <w:uiPriority w:val="0"/>
  </w:style>
  <w:style w:type="character" w:customStyle="1" w:styleId="195">
    <w:name w:val="Char Char4"/>
    <w:qFormat/>
    <w:uiPriority w:val="0"/>
    <w:rPr>
      <w:rFonts w:eastAsia="宋体"/>
      <w:kern w:val="2"/>
      <w:sz w:val="21"/>
      <w:szCs w:val="24"/>
      <w:lang w:val="en-US" w:eastAsia="zh-CN" w:bidi="ar-SA"/>
    </w:rPr>
  </w:style>
  <w:style w:type="character" w:customStyle="1" w:styleId="196">
    <w:name w:val="fontborder"/>
    <w:qFormat/>
    <w:uiPriority w:val="0"/>
    <w:rPr>
      <w:bdr w:val="single" w:color="000000" w:sz="6" w:space="0"/>
    </w:rPr>
  </w:style>
  <w:style w:type="character" w:customStyle="1" w:styleId="197">
    <w:name w:val="Char2"/>
    <w:qFormat/>
    <w:uiPriority w:val="0"/>
    <w:rPr>
      <w:rFonts w:eastAsia="宋体"/>
      <w:kern w:val="2"/>
      <w:sz w:val="21"/>
      <w:szCs w:val="24"/>
      <w:lang w:val="en-US" w:eastAsia="zh-CN" w:bidi="ar-SA"/>
    </w:rPr>
  </w:style>
  <w:style w:type="character" w:customStyle="1" w:styleId="198">
    <w:name w:val="Char Char7"/>
    <w:qFormat/>
    <w:uiPriority w:val="0"/>
    <w:rPr>
      <w:rFonts w:eastAsia="黑体"/>
      <w:bCs/>
      <w:kern w:val="2"/>
      <w:sz w:val="28"/>
      <w:szCs w:val="28"/>
      <w:lang w:val="en-US" w:eastAsia="zh-CN" w:bidi="ar-SA"/>
    </w:rPr>
  </w:style>
  <w:style w:type="character" w:customStyle="1" w:styleId="199">
    <w:name w:val="Char Char6"/>
    <w:qFormat/>
    <w:uiPriority w:val="0"/>
    <w:rPr>
      <w:rFonts w:ascii="Arial" w:hAnsi="Arial" w:eastAsia="黑体"/>
      <w:b/>
      <w:bCs/>
      <w:kern w:val="2"/>
      <w:sz w:val="24"/>
      <w:szCs w:val="24"/>
      <w:lang w:val="en-US" w:eastAsia="zh-CN" w:bidi="ar-SA"/>
    </w:rPr>
  </w:style>
  <w:style w:type="character" w:customStyle="1" w:styleId="200">
    <w:name w:val="纯文本 Char1 Char"/>
    <w:qFormat/>
    <w:uiPriority w:val="0"/>
    <w:rPr>
      <w:rFonts w:ascii="宋体" w:hAnsi="Courier New" w:eastAsia="宋体" w:cs="Times New Roman"/>
      <w:szCs w:val="24"/>
    </w:rPr>
  </w:style>
  <w:style w:type="character" w:customStyle="1" w:styleId="201">
    <w:name w:val="引用 Char Char"/>
    <w:qFormat/>
    <w:uiPriority w:val="0"/>
    <w:rPr>
      <w:rFonts w:ascii="Calibri" w:hAnsi="Calibri" w:eastAsia="宋体"/>
      <w:i/>
      <w:iCs/>
      <w:color w:val="000000"/>
      <w:kern w:val="2"/>
      <w:sz w:val="21"/>
      <w:szCs w:val="24"/>
      <w:lang w:val="en-US" w:eastAsia="zh-CN" w:bidi="ar-SA"/>
    </w:rPr>
  </w:style>
  <w:style w:type="character" w:customStyle="1" w:styleId="202">
    <w:name w:val="纯文本 Char1 Char Char Char Char"/>
    <w:qFormat/>
    <w:uiPriority w:val="0"/>
    <w:rPr>
      <w:rFonts w:ascii="宋体" w:hAnsi="Courier New" w:eastAsia="宋体"/>
      <w:kern w:val="2"/>
      <w:sz w:val="21"/>
      <w:szCs w:val="24"/>
      <w:lang w:val="en-US" w:eastAsia="zh-CN" w:bidi="ar-SA"/>
    </w:rPr>
  </w:style>
  <w:style w:type="character" w:customStyle="1" w:styleId="203">
    <w:name w:val="标题 6 Char Char1"/>
    <w:qFormat/>
    <w:uiPriority w:val="0"/>
    <w:rPr>
      <w:rFonts w:ascii="Arial" w:hAnsi="Arial" w:eastAsia="黑体"/>
      <w:b/>
      <w:bCs/>
      <w:kern w:val="2"/>
      <w:sz w:val="24"/>
      <w:szCs w:val="24"/>
      <w:lang w:val="en-US" w:eastAsia="zh-CN" w:bidi="ar-SA"/>
    </w:rPr>
  </w:style>
  <w:style w:type="character" w:customStyle="1" w:styleId="204">
    <w:name w:val="正文缩进 Char Char Char1 Char"/>
    <w:qFormat/>
    <w:uiPriority w:val="0"/>
    <w:rPr>
      <w:rFonts w:eastAsia="宋体"/>
      <w:kern w:val="2"/>
      <w:sz w:val="21"/>
      <w:szCs w:val="24"/>
      <w:lang w:val="en-US" w:eastAsia="zh-CN" w:bidi="ar-SA"/>
    </w:rPr>
  </w:style>
  <w:style w:type="character" w:customStyle="1" w:styleId="205">
    <w:name w:val="lei Char Char Char"/>
    <w:qFormat/>
    <w:uiPriority w:val="0"/>
    <w:rPr>
      <w:rFonts w:eastAsia="仿宋_GB2312"/>
      <w:snapToGrid w:val="0"/>
      <w:kern w:val="2"/>
      <w:sz w:val="28"/>
      <w:szCs w:val="28"/>
      <w:lang w:val="en-US" w:eastAsia="zh-CN" w:bidi="ar-SA"/>
    </w:rPr>
  </w:style>
  <w:style w:type="character" w:customStyle="1" w:styleId="206">
    <w:name w:val="正文（布） Char"/>
    <w:link w:val="207"/>
    <w:qFormat/>
    <w:uiPriority w:val="0"/>
    <w:rPr>
      <w:rFonts w:eastAsia="仿宋_GB2312"/>
      <w:sz w:val="28"/>
      <w:szCs w:val="28"/>
    </w:rPr>
  </w:style>
  <w:style w:type="paragraph" w:customStyle="1" w:styleId="207">
    <w:name w:val="正文（布）"/>
    <w:basedOn w:val="1"/>
    <w:link w:val="206"/>
    <w:qFormat/>
    <w:uiPriority w:val="0"/>
    <w:pPr>
      <w:spacing w:line="520" w:lineRule="exact"/>
      <w:ind w:firstLine="560" w:firstLineChars="200"/>
    </w:pPr>
    <w:rPr>
      <w:rFonts w:eastAsia="仿宋_GB2312" w:asciiTheme="minorHAnsi" w:hAnsiTheme="minorHAnsi" w:cstheme="minorBidi"/>
      <w:sz w:val="28"/>
      <w:szCs w:val="28"/>
    </w:rPr>
  </w:style>
  <w:style w:type="character" w:customStyle="1" w:styleId="208">
    <w:name w:val="Char6"/>
    <w:qFormat/>
    <w:uiPriority w:val="0"/>
    <w:rPr>
      <w:rFonts w:ascii="Arial" w:hAnsi="Arial" w:eastAsia="黑体"/>
      <w:b/>
      <w:bCs/>
      <w:kern w:val="2"/>
      <w:sz w:val="28"/>
      <w:szCs w:val="28"/>
      <w:lang w:val="en-US" w:eastAsia="zh-CN" w:bidi="ar-SA"/>
    </w:rPr>
  </w:style>
  <w:style w:type="character" w:customStyle="1" w:styleId="209">
    <w:name w:val="Char5"/>
    <w:qFormat/>
    <w:uiPriority w:val="0"/>
    <w:rPr>
      <w:rFonts w:eastAsia="黑体"/>
      <w:bCs/>
      <w:kern w:val="2"/>
      <w:sz w:val="28"/>
      <w:szCs w:val="28"/>
      <w:lang w:val="en-US" w:eastAsia="zh-CN" w:bidi="ar-SA"/>
    </w:rPr>
  </w:style>
  <w:style w:type="character" w:customStyle="1" w:styleId="210">
    <w:name w:val="引用 Char"/>
    <w:link w:val="211"/>
    <w:qFormat/>
    <w:uiPriority w:val="0"/>
    <w:rPr>
      <w:rFonts w:ascii="Calibri" w:hAnsi="Calibri"/>
      <w:i/>
      <w:iCs/>
      <w:color w:val="000000"/>
      <w:szCs w:val="24"/>
    </w:rPr>
  </w:style>
  <w:style w:type="paragraph" w:styleId="211">
    <w:name w:val="Quote"/>
    <w:basedOn w:val="1"/>
    <w:next w:val="1"/>
    <w:link w:val="210"/>
    <w:qFormat/>
    <w:uiPriority w:val="0"/>
    <w:rPr>
      <w:rFonts w:eastAsiaTheme="minorEastAsia" w:cstheme="minorBidi"/>
      <w:i/>
      <w:iCs/>
      <w:color w:val="000000"/>
      <w:szCs w:val="24"/>
    </w:rPr>
  </w:style>
  <w:style w:type="character" w:customStyle="1" w:styleId="212">
    <w:name w:val="font3"/>
    <w:basedOn w:val="74"/>
    <w:qFormat/>
    <w:uiPriority w:val="0"/>
  </w:style>
  <w:style w:type="character" w:customStyle="1" w:styleId="213">
    <w:name w:val="Char3"/>
    <w:qFormat/>
    <w:uiPriority w:val="0"/>
    <w:rPr>
      <w:rFonts w:ascii="宋体" w:hAnsi="Courier New" w:eastAsia="宋体"/>
      <w:kern w:val="2"/>
      <w:sz w:val="21"/>
      <w:szCs w:val="24"/>
      <w:lang w:val="en-US" w:eastAsia="zh-CN" w:bidi="ar-SA"/>
    </w:rPr>
  </w:style>
  <w:style w:type="paragraph" w:customStyle="1" w:styleId="214">
    <w:name w:val="z-窗体顶端1"/>
    <w:basedOn w:val="1"/>
    <w:next w:val="1"/>
    <w:link w:val="215"/>
    <w:qFormat/>
    <w:uiPriority w:val="0"/>
    <w:pPr>
      <w:pBdr>
        <w:bottom w:val="single" w:color="auto" w:sz="6" w:space="1"/>
      </w:pBdr>
      <w:jc w:val="center"/>
    </w:pPr>
    <w:rPr>
      <w:rFonts w:ascii="Arial" w:hAnsi="Times New Roman"/>
      <w:vanish/>
      <w:sz w:val="16"/>
      <w:szCs w:val="22"/>
    </w:rPr>
  </w:style>
  <w:style w:type="character" w:customStyle="1" w:styleId="215">
    <w:name w:val="z-窗体顶端 Char"/>
    <w:basedOn w:val="74"/>
    <w:link w:val="214"/>
    <w:qFormat/>
    <w:uiPriority w:val="0"/>
    <w:rPr>
      <w:rFonts w:ascii="Arial" w:hAnsi="Times New Roman" w:eastAsia="宋体" w:cs="Times New Roman"/>
      <w:vanish/>
      <w:sz w:val="16"/>
    </w:rPr>
  </w:style>
  <w:style w:type="paragraph" w:customStyle="1" w:styleId="216">
    <w:name w:val="xl77"/>
    <w:basedOn w:val="1"/>
    <w:qFormat/>
    <w:uiPriority w:val="0"/>
    <w:pPr>
      <w:widowControl/>
      <w:spacing w:before="100" w:beforeAutospacing="1" w:after="100" w:afterAutospacing="1"/>
      <w:jc w:val="left"/>
      <w:textAlignment w:val="bottom"/>
    </w:pPr>
    <w:rPr>
      <w:rFonts w:ascii="Times New Roman" w:hAnsi="Times New Roman"/>
      <w:b/>
      <w:bCs/>
      <w:i/>
      <w:iCs/>
      <w:kern w:val="0"/>
      <w:sz w:val="24"/>
      <w:szCs w:val="24"/>
    </w:rPr>
  </w:style>
  <w:style w:type="paragraph" w:customStyle="1" w:styleId="217">
    <w:name w:val="xl65"/>
    <w:basedOn w:val="1"/>
    <w:qFormat/>
    <w:uiPriority w:val="0"/>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218">
    <w:name w:val="xl69"/>
    <w:basedOn w:val="1"/>
    <w:qFormat/>
    <w:uiPriority w:val="0"/>
    <w:pPr>
      <w:widowControl/>
      <w:spacing w:before="100" w:beforeAutospacing="1" w:after="100" w:afterAutospacing="1"/>
      <w:jc w:val="left"/>
    </w:pPr>
    <w:rPr>
      <w:rFonts w:ascii="Times New Roman" w:hAnsi="Times New Roman"/>
      <w:i/>
      <w:iCs/>
      <w:kern w:val="0"/>
      <w:sz w:val="24"/>
      <w:szCs w:val="24"/>
    </w:rPr>
  </w:style>
  <w:style w:type="paragraph" w:customStyle="1" w:styleId="219">
    <w:name w:val="font15"/>
    <w:basedOn w:val="1"/>
    <w:qFormat/>
    <w:uiPriority w:val="0"/>
    <w:pPr>
      <w:widowControl/>
      <w:spacing w:before="100" w:beforeAutospacing="1" w:after="100" w:afterAutospacing="1"/>
      <w:jc w:val="left"/>
    </w:pPr>
    <w:rPr>
      <w:rFonts w:ascii="Times New Roman" w:hAnsi="Times New Roman"/>
      <w:color w:val="000000"/>
      <w:kern w:val="0"/>
      <w:sz w:val="24"/>
      <w:szCs w:val="24"/>
    </w:rPr>
  </w:style>
  <w:style w:type="paragraph" w:customStyle="1" w:styleId="220">
    <w:name w:val="xl83"/>
    <w:basedOn w:val="1"/>
    <w:qFormat/>
    <w:uiPriority w:val="0"/>
    <w:pPr>
      <w:widowControl/>
      <w:spacing w:before="100" w:beforeAutospacing="1" w:after="100" w:afterAutospacing="1"/>
      <w:jc w:val="left"/>
      <w:textAlignment w:val="top"/>
    </w:pPr>
    <w:rPr>
      <w:rFonts w:ascii="Times New Roman" w:hAnsi="Times New Roman"/>
      <w:b/>
      <w:bCs/>
      <w:kern w:val="0"/>
      <w:sz w:val="24"/>
      <w:szCs w:val="24"/>
    </w:rPr>
  </w:style>
  <w:style w:type="character" w:customStyle="1" w:styleId="221">
    <w:name w:val="引用 Char1"/>
    <w:basedOn w:val="74"/>
    <w:qFormat/>
    <w:uiPriority w:val="29"/>
    <w:rPr>
      <w:rFonts w:ascii="Calibri" w:hAnsi="Calibri" w:eastAsia="宋体" w:cs="Times New Roman"/>
      <w:i/>
      <w:iCs/>
      <w:color w:val="404040" w:themeColor="text1" w:themeTint="BF"/>
      <w:szCs w:val="21"/>
      <w14:textFill>
        <w14:solidFill>
          <w14:schemeClr w14:val="tx1">
            <w14:lumMod w14:val="75000"/>
            <w14:lumOff w14:val="25000"/>
          </w14:schemeClr>
        </w14:solidFill>
      </w14:textFill>
    </w:rPr>
  </w:style>
  <w:style w:type="paragraph" w:customStyle="1" w:styleId="222">
    <w:name w:val="xl66"/>
    <w:basedOn w:val="1"/>
    <w:qFormat/>
    <w:uiPriority w:val="0"/>
    <w:pPr>
      <w:widowControl/>
      <w:spacing w:before="100" w:beforeAutospacing="1" w:after="100" w:afterAutospacing="1"/>
    </w:pPr>
    <w:rPr>
      <w:rFonts w:ascii="Times New Roman" w:hAnsi="Times New Roman"/>
      <w:i/>
      <w:iCs/>
      <w:kern w:val="0"/>
      <w:sz w:val="24"/>
      <w:szCs w:val="24"/>
    </w:rPr>
  </w:style>
  <w:style w:type="paragraph" w:customStyle="1" w:styleId="223">
    <w:name w:val="3"/>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24">
    <w:name w:val="font5"/>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225">
    <w:name w:val="font16"/>
    <w:basedOn w:val="1"/>
    <w:qFormat/>
    <w:uiPriority w:val="0"/>
    <w:pPr>
      <w:widowControl/>
      <w:spacing w:before="100" w:beforeAutospacing="1" w:after="100" w:afterAutospacing="1"/>
      <w:jc w:val="left"/>
    </w:pPr>
    <w:rPr>
      <w:rFonts w:ascii="Arial" w:hAnsi="Arial" w:cs="Arial"/>
      <w:i/>
      <w:iCs/>
      <w:color w:val="000000"/>
      <w:kern w:val="0"/>
      <w:sz w:val="24"/>
      <w:szCs w:val="24"/>
    </w:rPr>
  </w:style>
  <w:style w:type="paragraph" w:customStyle="1" w:styleId="226">
    <w:name w:val="Char Char1 Char Char Char Char Char Char1"/>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227">
    <w:name w:val="xl72"/>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228">
    <w:name w:val="xl82"/>
    <w:basedOn w:val="1"/>
    <w:qFormat/>
    <w:uiPriority w:val="0"/>
    <w:pPr>
      <w:widowControl/>
      <w:spacing w:before="100" w:beforeAutospacing="1" w:after="100" w:afterAutospacing="1"/>
    </w:pPr>
    <w:rPr>
      <w:rFonts w:ascii="宋体" w:hAnsi="宋体" w:cs="宋体"/>
      <w:b/>
      <w:bCs/>
      <w:kern w:val="0"/>
      <w:sz w:val="24"/>
      <w:szCs w:val="24"/>
    </w:rPr>
  </w:style>
  <w:style w:type="paragraph" w:customStyle="1" w:styleId="229">
    <w:name w:val="Char Char9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30">
    <w:name w:val="xl81"/>
    <w:basedOn w:val="1"/>
    <w:qFormat/>
    <w:uiPriority w:val="0"/>
    <w:pPr>
      <w:widowControl/>
      <w:spacing w:before="100" w:beforeAutospacing="1" w:after="100" w:afterAutospacing="1"/>
    </w:pPr>
    <w:rPr>
      <w:rFonts w:ascii="Times New Roman" w:hAnsi="Times New Roman"/>
      <w:b/>
      <w:bCs/>
      <w:kern w:val="0"/>
      <w:sz w:val="24"/>
      <w:szCs w:val="24"/>
    </w:rPr>
  </w:style>
  <w:style w:type="paragraph" w:customStyle="1" w:styleId="231">
    <w:name w:val="xl76"/>
    <w:basedOn w:val="1"/>
    <w:qFormat/>
    <w:uiPriority w:val="0"/>
    <w:pPr>
      <w:widowControl/>
      <w:spacing w:before="100" w:beforeAutospacing="1" w:after="100" w:afterAutospacing="1"/>
      <w:jc w:val="left"/>
    </w:pPr>
    <w:rPr>
      <w:rFonts w:ascii="Times New Roman" w:hAnsi="Times New Roman"/>
      <w:b/>
      <w:bCs/>
      <w:kern w:val="0"/>
      <w:sz w:val="24"/>
      <w:szCs w:val="24"/>
    </w:rPr>
  </w:style>
  <w:style w:type="paragraph" w:customStyle="1" w:styleId="232">
    <w:name w:val="xl86"/>
    <w:basedOn w:val="1"/>
    <w:qFormat/>
    <w:uiPriority w:val="0"/>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233">
    <w:name w:val="xl75"/>
    <w:basedOn w:val="1"/>
    <w:qFormat/>
    <w:uiPriority w:val="0"/>
    <w:pPr>
      <w:widowControl/>
      <w:spacing w:before="100" w:beforeAutospacing="1" w:after="100" w:afterAutospacing="1"/>
    </w:pPr>
    <w:rPr>
      <w:rFonts w:ascii="宋体" w:hAnsi="宋体" w:cs="宋体"/>
      <w:kern w:val="0"/>
      <w:sz w:val="24"/>
      <w:szCs w:val="24"/>
    </w:rPr>
  </w:style>
  <w:style w:type="paragraph" w:customStyle="1" w:styleId="234">
    <w:name w:val="xl68"/>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235">
    <w:name w:val="font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6">
    <w:name w:val="xl87"/>
    <w:basedOn w:val="1"/>
    <w:qFormat/>
    <w:uiPriority w:val="0"/>
    <w:pPr>
      <w:widowControl/>
      <w:spacing w:before="100" w:beforeAutospacing="1" w:after="100" w:afterAutospacing="1"/>
      <w:jc w:val="left"/>
      <w:textAlignment w:val="top"/>
    </w:pPr>
    <w:rPr>
      <w:rFonts w:ascii="Times New Roman" w:hAnsi="Times New Roman"/>
      <w:b/>
      <w:bCs/>
      <w:kern w:val="0"/>
      <w:sz w:val="28"/>
      <w:szCs w:val="28"/>
    </w:rPr>
  </w:style>
  <w:style w:type="character" w:customStyle="1" w:styleId="237">
    <w:name w:val="称呼 Char"/>
    <w:basedOn w:val="74"/>
    <w:link w:val="22"/>
    <w:qFormat/>
    <w:uiPriority w:val="0"/>
    <w:rPr>
      <w:rFonts w:ascii="Times New Roman" w:hAnsi="Times New Roman" w:eastAsia="宋体" w:cs="Times New Roman"/>
      <w:szCs w:val="24"/>
    </w:rPr>
  </w:style>
  <w:style w:type="character" w:customStyle="1" w:styleId="238">
    <w:name w:val="正文文本缩进 3 Char"/>
    <w:basedOn w:val="74"/>
    <w:link w:val="54"/>
    <w:qFormat/>
    <w:uiPriority w:val="0"/>
    <w:rPr>
      <w:rFonts w:ascii="Times New Roman" w:hAnsi="Times New Roman" w:eastAsia="宋体" w:cs="Times New Roman"/>
      <w:sz w:val="16"/>
      <w:szCs w:val="16"/>
    </w:rPr>
  </w:style>
  <w:style w:type="character" w:customStyle="1" w:styleId="239">
    <w:name w:val="正文首行缩进 2 Char"/>
    <w:basedOn w:val="117"/>
    <w:link w:val="70"/>
    <w:qFormat/>
    <w:uiPriority w:val="0"/>
    <w:rPr>
      <w:rFonts w:ascii="Times New Roman" w:hAnsi="Times New Roman" w:eastAsia="宋体" w:cs="Times New Roman"/>
      <w:szCs w:val="24"/>
    </w:rPr>
  </w:style>
  <w:style w:type="paragraph" w:customStyle="1" w:styleId="240">
    <w:name w:val="Char Char1 Char Char Char Char 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241">
    <w:name w:val="font10"/>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242">
    <w:name w:val="xl92"/>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243">
    <w:name w:val="xl88"/>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244">
    <w:name w:val="xl70"/>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245">
    <w:name w:val="普通(Web)1"/>
    <w:basedOn w:val="1"/>
    <w:qFormat/>
    <w:uiPriority w:val="0"/>
    <w:pPr>
      <w:widowControl/>
      <w:wordWrap w:val="0"/>
      <w:spacing w:before="150" w:after="150"/>
      <w:jc w:val="left"/>
    </w:pPr>
    <w:rPr>
      <w:rFonts w:ascii="宋体" w:hAnsi="宋体" w:cs="宋体"/>
      <w:kern w:val="0"/>
      <w:sz w:val="24"/>
      <w:szCs w:val="24"/>
    </w:rPr>
  </w:style>
  <w:style w:type="paragraph" w:customStyle="1" w:styleId="246">
    <w:name w:val="z-窗体底端1"/>
    <w:basedOn w:val="1"/>
    <w:next w:val="1"/>
    <w:link w:val="247"/>
    <w:qFormat/>
    <w:uiPriority w:val="0"/>
    <w:pPr>
      <w:pBdr>
        <w:top w:val="single" w:color="auto" w:sz="6" w:space="1"/>
      </w:pBdr>
      <w:jc w:val="center"/>
    </w:pPr>
    <w:rPr>
      <w:rFonts w:ascii="Arial" w:hAnsi="Times New Roman"/>
      <w:vanish/>
      <w:sz w:val="16"/>
      <w:szCs w:val="22"/>
    </w:rPr>
  </w:style>
  <w:style w:type="character" w:customStyle="1" w:styleId="247">
    <w:name w:val="z-窗体底端 Char"/>
    <w:basedOn w:val="74"/>
    <w:link w:val="246"/>
    <w:qFormat/>
    <w:uiPriority w:val="0"/>
    <w:rPr>
      <w:rFonts w:ascii="Arial" w:hAnsi="Times New Roman" w:eastAsia="宋体" w:cs="Times New Roman"/>
      <w:vanish/>
      <w:sz w:val="16"/>
    </w:rPr>
  </w:style>
  <w:style w:type="paragraph" w:customStyle="1" w:styleId="248">
    <w:name w:val="xl74"/>
    <w:basedOn w:val="1"/>
    <w:qFormat/>
    <w:uiPriority w:val="0"/>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249">
    <w:name w:val="xl79"/>
    <w:basedOn w:val="1"/>
    <w:qFormat/>
    <w:uiPriority w:val="0"/>
    <w:pPr>
      <w:widowControl/>
      <w:shd w:val="clear" w:color="auto" w:fill="FFFFFF"/>
      <w:spacing w:before="100" w:beforeAutospacing="1" w:after="100" w:afterAutospacing="1"/>
      <w:jc w:val="left"/>
      <w:textAlignment w:val="bottom"/>
    </w:pPr>
    <w:rPr>
      <w:rFonts w:ascii="Times New Roman" w:hAnsi="Times New Roman"/>
      <w:b/>
      <w:bCs/>
      <w:kern w:val="0"/>
      <w:sz w:val="24"/>
      <w:szCs w:val="24"/>
    </w:rPr>
  </w:style>
  <w:style w:type="paragraph" w:customStyle="1" w:styleId="250">
    <w:name w:val="font12"/>
    <w:basedOn w:val="1"/>
    <w:qFormat/>
    <w:uiPriority w:val="0"/>
    <w:pPr>
      <w:widowControl/>
      <w:spacing w:before="100" w:beforeAutospacing="1" w:after="100" w:afterAutospacing="1"/>
      <w:jc w:val="left"/>
    </w:pPr>
    <w:rPr>
      <w:rFonts w:ascii="Times New Roman" w:hAnsi="Times New Roman"/>
      <w:b/>
      <w:bCs/>
      <w:i/>
      <w:iCs/>
      <w:kern w:val="0"/>
      <w:sz w:val="24"/>
      <w:szCs w:val="24"/>
    </w:rPr>
  </w:style>
  <w:style w:type="paragraph" w:customStyle="1" w:styleId="251">
    <w:name w:val="xl91"/>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252">
    <w:name w:val="font13"/>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253">
    <w:name w:val="Char2 Char Char Char Char"/>
    <w:basedOn w:val="1"/>
    <w:qFormat/>
    <w:uiPriority w:val="0"/>
    <w:pPr>
      <w:spacing w:line="360" w:lineRule="auto"/>
      <w:ind w:firstLine="200" w:firstLineChars="200"/>
    </w:pPr>
    <w:rPr>
      <w:rFonts w:ascii="宋体" w:hAnsi="宋体" w:cs="宋体"/>
      <w:sz w:val="24"/>
      <w:szCs w:val="24"/>
    </w:rPr>
  </w:style>
  <w:style w:type="paragraph" w:customStyle="1" w:styleId="254">
    <w:name w:val="xl7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5">
    <w:name w:val="xl8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6">
    <w:name w:val="Char2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57">
    <w:name w:val="Char10"/>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58">
    <w:name w:val="font11"/>
    <w:basedOn w:val="1"/>
    <w:qFormat/>
    <w:uiPriority w:val="0"/>
    <w:pPr>
      <w:widowControl/>
      <w:spacing w:before="100" w:beforeAutospacing="1" w:after="100" w:afterAutospacing="1"/>
      <w:jc w:val="left"/>
    </w:pPr>
    <w:rPr>
      <w:rFonts w:ascii="Times New Roman" w:hAnsi="Times New Roman"/>
      <w:b/>
      <w:bCs/>
      <w:kern w:val="0"/>
      <w:sz w:val="24"/>
      <w:szCs w:val="24"/>
    </w:rPr>
  </w:style>
  <w:style w:type="paragraph" w:customStyle="1" w:styleId="259">
    <w:name w:val="cardlist-valu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
    <w:name w:val="xl80"/>
    <w:basedOn w:val="1"/>
    <w:qFormat/>
    <w:uiPriority w:val="0"/>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261">
    <w:name w:val="font8"/>
    <w:basedOn w:val="1"/>
    <w:qFormat/>
    <w:uiPriority w:val="0"/>
    <w:pPr>
      <w:widowControl/>
      <w:spacing w:before="100" w:beforeAutospacing="1" w:after="100" w:afterAutospacing="1"/>
      <w:jc w:val="left"/>
    </w:pPr>
    <w:rPr>
      <w:rFonts w:ascii="Arial" w:hAnsi="Arial" w:cs="Arial"/>
      <w:kern w:val="0"/>
      <w:sz w:val="24"/>
      <w:szCs w:val="24"/>
    </w:rPr>
  </w:style>
  <w:style w:type="paragraph" w:customStyle="1" w:styleId="262">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3">
    <w:name w:val="xl85"/>
    <w:basedOn w:val="1"/>
    <w:qFormat/>
    <w:uiPriority w:val="0"/>
    <w:pPr>
      <w:widowControl/>
      <w:spacing w:before="100" w:beforeAutospacing="1" w:after="100" w:afterAutospacing="1"/>
      <w:jc w:val="left"/>
      <w:textAlignment w:val="top"/>
    </w:pPr>
    <w:rPr>
      <w:rFonts w:ascii="宋体" w:hAnsi="宋体" w:cs="宋体"/>
      <w:kern w:val="0"/>
      <w:sz w:val="24"/>
      <w:szCs w:val="24"/>
    </w:rPr>
  </w:style>
  <w:style w:type="paragraph" w:customStyle="1" w:styleId="264">
    <w:name w:val="xl78"/>
    <w:basedOn w:val="1"/>
    <w:qFormat/>
    <w:uiPriority w:val="0"/>
    <w:pPr>
      <w:widowControl/>
      <w:spacing w:before="100" w:beforeAutospacing="1" w:after="100" w:afterAutospacing="1"/>
      <w:jc w:val="left"/>
    </w:pPr>
    <w:rPr>
      <w:rFonts w:ascii="Times New Roman" w:hAnsi="Times New Roman"/>
      <w:b/>
      <w:bCs/>
      <w:kern w:val="0"/>
      <w:sz w:val="24"/>
      <w:szCs w:val="24"/>
    </w:rPr>
  </w:style>
  <w:style w:type="paragraph" w:customStyle="1" w:styleId="265">
    <w:name w:val="font6"/>
    <w:basedOn w:val="1"/>
    <w:qFormat/>
    <w:uiPriority w:val="0"/>
    <w:pPr>
      <w:widowControl/>
      <w:spacing w:before="100" w:beforeAutospacing="1" w:after="100" w:afterAutospacing="1"/>
      <w:jc w:val="left"/>
    </w:pPr>
    <w:rPr>
      <w:rFonts w:ascii="Times New Roman" w:hAnsi="Times New Roman"/>
      <w:i/>
      <w:iCs/>
      <w:kern w:val="0"/>
      <w:sz w:val="24"/>
      <w:szCs w:val="24"/>
    </w:rPr>
  </w:style>
  <w:style w:type="paragraph" w:customStyle="1" w:styleId="266">
    <w:name w:val="font14"/>
    <w:basedOn w:val="1"/>
    <w:qFormat/>
    <w:uiPriority w:val="0"/>
    <w:pPr>
      <w:widowControl/>
      <w:spacing w:before="100" w:beforeAutospacing="1" w:after="100" w:afterAutospacing="1"/>
      <w:jc w:val="left"/>
    </w:pPr>
    <w:rPr>
      <w:rFonts w:ascii="Arial" w:hAnsi="Arial" w:cs="Arial"/>
      <w:color w:val="000000"/>
      <w:kern w:val="0"/>
      <w:sz w:val="24"/>
      <w:szCs w:val="24"/>
    </w:rPr>
  </w:style>
  <w:style w:type="paragraph" w:customStyle="1" w:styleId="267">
    <w:name w:val="xl73"/>
    <w:basedOn w:val="1"/>
    <w:qFormat/>
    <w:uiPriority w:val="0"/>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268">
    <w:name w:val="Char2 Char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69">
    <w:name w:val="xl84"/>
    <w:basedOn w:val="1"/>
    <w:qFormat/>
    <w:uiPriority w:val="0"/>
    <w:pPr>
      <w:widowControl/>
      <w:spacing w:before="100" w:beforeAutospacing="1" w:after="100" w:afterAutospacing="1"/>
      <w:jc w:val="left"/>
      <w:textAlignment w:val="top"/>
    </w:pPr>
    <w:rPr>
      <w:rFonts w:ascii="Times New Roman" w:hAnsi="Times New Roman"/>
      <w:b/>
      <w:bCs/>
      <w:i/>
      <w:iCs/>
      <w:kern w:val="0"/>
      <w:sz w:val="24"/>
      <w:szCs w:val="24"/>
    </w:rPr>
  </w:style>
  <w:style w:type="paragraph" w:customStyle="1" w:styleId="270">
    <w:name w:val="xl67"/>
    <w:basedOn w:val="1"/>
    <w:qFormat/>
    <w:uiPriority w:val="0"/>
    <w:pPr>
      <w:widowControl/>
      <w:spacing w:before="100" w:beforeAutospacing="1" w:after="100" w:afterAutospacing="1"/>
      <w:jc w:val="left"/>
    </w:pPr>
    <w:rPr>
      <w:rFonts w:ascii="Times New Roman" w:hAnsi="Times New Roman"/>
      <w:i/>
      <w:iCs/>
      <w:kern w:val="0"/>
      <w:sz w:val="24"/>
      <w:szCs w:val="24"/>
    </w:rPr>
  </w:style>
  <w:style w:type="character" w:customStyle="1" w:styleId="271">
    <w:name w:val="font112"/>
    <w:qFormat/>
    <w:uiPriority w:val="0"/>
    <w:rPr>
      <w:rFonts w:hint="default" w:ascii="Times New Roman" w:hAnsi="Times New Roman" w:cs="Times New Roman"/>
      <w:i/>
      <w:color w:val="000000"/>
      <w:sz w:val="20"/>
      <w:szCs w:val="20"/>
      <w:u w:val="none"/>
    </w:rPr>
  </w:style>
  <w:style w:type="character" w:customStyle="1" w:styleId="272">
    <w:name w:val="font31"/>
    <w:qFormat/>
    <w:uiPriority w:val="0"/>
    <w:rPr>
      <w:rFonts w:hint="eastAsia" w:ascii="宋体" w:hAnsi="宋体" w:eastAsia="宋体" w:cs="宋体"/>
      <w:i/>
      <w:color w:val="000000"/>
      <w:sz w:val="18"/>
      <w:szCs w:val="18"/>
      <w:u w:val="none"/>
    </w:rPr>
  </w:style>
  <w:style w:type="paragraph" w:customStyle="1" w:styleId="273">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4">
    <w:name w:val="font17"/>
    <w:basedOn w:val="1"/>
    <w:qFormat/>
    <w:uiPriority w:val="0"/>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275">
    <w:name w:val="font18"/>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276">
    <w:name w:val="font19"/>
    <w:basedOn w:val="1"/>
    <w:qFormat/>
    <w:uiPriority w:val="0"/>
    <w:pPr>
      <w:widowControl/>
      <w:spacing w:before="100" w:beforeAutospacing="1" w:after="100" w:afterAutospacing="1"/>
      <w:jc w:val="left"/>
    </w:pPr>
    <w:rPr>
      <w:rFonts w:ascii="宋体" w:hAnsi="宋体" w:cs="宋体"/>
      <w:color w:val="000000"/>
      <w:kern w:val="0"/>
    </w:rPr>
  </w:style>
  <w:style w:type="paragraph" w:customStyle="1" w:styleId="277">
    <w:name w:val="font20"/>
    <w:basedOn w:val="1"/>
    <w:qFormat/>
    <w:uiPriority w:val="0"/>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278">
    <w:name w:val="font21"/>
    <w:basedOn w:val="1"/>
    <w:qFormat/>
    <w:uiPriority w:val="0"/>
    <w:pPr>
      <w:widowControl/>
      <w:spacing w:before="100" w:beforeAutospacing="1" w:after="100" w:afterAutospacing="1"/>
      <w:jc w:val="left"/>
    </w:pPr>
    <w:rPr>
      <w:rFonts w:ascii="Arial" w:hAnsi="Arial" w:cs="Arial"/>
      <w:kern w:val="0"/>
      <w:sz w:val="24"/>
      <w:szCs w:val="24"/>
    </w:rPr>
  </w:style>
  <w:style w:type="paragraph" w:customStyle="1" w:styleId="279">
    <w:name w:val="font22"/>
    <w:basedOn w:val="1"/>
    <w:qFormat/>
    <w:uiPriority w:val="0"/>
    <w:pPr>
      <w:widowControl/>
      <w:spacing w:before="100" w:beforeAutospacing="1" w:after="100" w:afterAutospacing="1"/>
      <w:jc w:val="left"/>
    </w:pPr>
    <w:rPr>
      <w:rFonts w:ascii="Times New Roman" w:hAnsi="Times New Roman"/>
      <w:color w:val="FF0000"/>
      <w:kern w:val="0"/>
    </w:rPr>
  </w:style>
  <w:style w:type="paragraph" w:customStyle="1" w:styleId="280">
    <w:name w:val="font23"/>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281">
    <w:name w:val="font24"/>
    <w:basedOn w:val="1"/>
    <w:qFormat/>
    <w:uiPriority w:val="0"/>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282">
    <w:name w:val="font25"/>
    <w:basedOn w:val="1"/>
    <w:qFormat/>
    <w:uiPriority w:val="0"/>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283">
    <w:name w:val="font26"/>
    <w:basedOn w:val="1"/>
    <w:qFormat/>
    <w:uiPriority w:val="0"/>
    <w:pPr>
      <w:widowControl/>
      <w:spacing w:before="100" w:beforeAutospacing="1" w:after="100" w:afterAutospacing="1"/>
      <w:jc w:val="left"/>
    </w:pPr>
    <w:rPr>
      <w:rFonts w:ascii="Times New Roman" w:hAnsi="Times New Roman"/>
      <w:color w:val="000000"/>
      <w:kern w:val="0"/>
      <w:sz w:val="24"/>
      <w:szCs w:val="24"/>
    </w:rPr>
  </w:style>
  <w:style w:type="paragraph" w:customStyle="1" w:styleId="284">
    <w:name w:val="font27"/>
    <w:basedOn w:val="1"/>
    <w:qFormat/>
    <w:uiPriority w:val="0"/>
    <w:pPr>
      <w:widowControl/>
      <w:spacing w:before="100" w:beforeAutospacing="1" w:after="100" w:afterAutospacing="1"/>
      <w:jc w:val="left"/>
    </w:pPr>
    <w:rPr>
      <w:rFonts w:ascii="Times New Roman" w:hAnsi="Times New Roman"/>
      <w:i/>
      <w:iCs/>
      <w:color w:val="000000"/>
      <w:kern w:val="0"/>
      <w:sz w:val="24"/>
      <w:szCs w:val="24"/>
    </w:rPr>
  </w:style>
  <w:style w:type="paragraph" w:customStyle="1" w:styleId="285">
    <w:name w:val="font28"/>
    <w:basedOn w:val="1"/>
    <w:qFormat/>
    <w:uiPriority w:val="0"/>
    <w:pPr>
      <w:widowControl/>
      <w:spacing w:before="100" w:beforeAutospacing="1" w:after="100" w:afterAutospacing="1"/>
      <w:jc w:val="left"/>
    </w:pPr>
    <w:rPr>
      <w:rFonts w:ascii="Times New Roman" w:hAnsi="Times New Roman"/>
      <w:i/>
      <w:iCs/>
      <w:kern w:val="0"/>
      <w:sz w:val="20"/>
      <w:szCs w:val="20"/>
    </w:rPr>
  </w:style>
  <w:style w:type="paragraph" w:customStyle="1" w:styleId="286">
    <w:name w:val="font2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87">
    <w:name w:val="xl90"/>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288">
    <w:name w:val="font30"/>
    <w:basedOn w:val="1"/>
    <w:qFormat/>
    <w:uiPriority w:val="0"/>
    <w:pPr>
      <w:widowControl/>
      <w:spacing w:before="100" w:beforeAutospacing="1" w:after="100" w:afterAutospacing="1"/>
      <w:jc w:val="left"/>
    </w:pPr>
    <w:rPr>
      <w:rFonts w:ascii="宋体" w:hAnsi="宋体" w:cs="宋体"/>
      <w:kern w:val="0"/>
    </w:rPr>
  </w:style>
  <w:style w:type="paragraph" w:customStyle="1" w:styleId="289">
    <w:name w:val="font32"/>
    <w:basedOn w:val="1"/>
    <w:qFormat/>
    <w:uiPriority w:val="0"/>
    <w:pPr>
      <w:widowControl/>
      <w:spacing w:before="100" w:beforeAutospacing="1" w:after="100" w:afterAutospacing="1"/>
      <w:jc w:val="left"/>
    </w:pPr>
    <w:rPr>
      <w:rFonts w:ascii="宋体" w:hAnsi="宋体" w:cs="宋体"/>
      <w:kern w:val="0"/>
    </w:rPr>
  </w:style>
  <w:style w:type="paragraph" w:customStyle="1" w:styleId="290">
    <w:name w:val="font33"/>
    <w:basedOn w:val="1"/>
    <w:qFormat/>
    <w:uiPriority w:val="0"/>
    <w:pPr>
      <w:widowControl/>
      <w:spacing w:before="100" w:beforeAutospacing="1" w:after="100" w:afterAutospacing="1"/>
      <w:jc w:val="left"/>
    </w:pPr>
    <w:rPr>
      <w:rFonts w:ascii="宋体" w:hAnsi="宋体" w:cs="宋体"/>
      <w:kern w:val="0"/>
    </w:rPr>
  </w:style>
  <w:style w:type="paragraph" w:customStyle="1" w:styleId="291">
    <w:name w:val="Char Char3 Char Char Char Char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character" w:customStyle="1" w:styleId="292">
    <w:name w:val="6-1表格文字（居中）阳选清 Char"/>
    <w:link w:val="293"/>
    <w:qFormat/>
    <w:uiPriority w:val="0"/>
    <w:rPr>
      <w:bCs/>
      <w:color w:val="000000"/>
      <w:szCs w:val="18"/>
    </w:rPr>
  </w:style>
  <w:style w:type="paragraph" w:customStyle="1" w:styleId="293">
    <w:name w:val="6-1表格文字（居中）阳选清"/>
    <w:basedOn w:val="1"/>
    <w:link w:val="292"/>
    <w:qFormat/>
    <w:uiPriority w:val="0"/>
    <w:pPr>
      <w:adjustRightInd w:val="0"/>
      <w:snapToGrid w:val="0"/>
      <w:jc w:val="center"/>
    </w:pPr>
    <w:rPr>
      <w:rFonts w:asciiTheme="minorHAnsi" w:hAnsiTheme="minorHAnsi" w:eastAsiaTheme="minorEastAsia" w:cstheme="minorBidi"/>
      <w:bCs/>
      <w:color w:val="000000"/>
      <w:szCs w:val="18"/>
    </w:rPr>
  </w:style>
  <w:style w:type="paragraph" w:customStyle="1" w:styleId="294">
    <w:name w:val="5表名阳选清"/>
    <w:link w:val="295"/>
    <w:qFormat/>
    <w:uiPriority w:val="0"/>
    <w:pPr>
      <w:widowControl w:val="0"/>
      <w:adjustRightInd w:val="0"/>
      <w:snapToGrid w:val="0"/>
      <w:jc w:val="center"/>
    </w:pPr>
    <w:rPr>
      <w:rFonts w:ascii="Times New Roman" w:hAnsi="Times New Roman" w:eastAsia="黑体" w:cs="Times New Roman"/>
      <w:color w:val="000000"/>
      <w:kern w:val="2"/>
      <w:sz w:val="21"/>
      <w:szCs w:val="21"/>
      <w:lang w:val="en-US" w:eastAsia="zh-CN" w:bidi="ar-SA"/>
    </w:rPr>
  </w:style>
  <w:style w:type="character" w:customStyle="1" w:styleId="295">
    <w:name w:val="5表名阳选清 Char"/>
    <w:link w:val="294"/>
    <w:qFormat/>
    <w:uiPriority w:val="0"/>
    <w:rPr>
      <w:rFonts w:ascii="Times New Roman" w:hAnsi="Times New Roman" w:eastAsia="黑体" w:cs="Times New Roman"/>
      <w:color w:val="000000"/>
      <w:szCs w:val="21"/>
    </w:rPr>
  </w:style>
  <w:style w:type="character" w:customStyle="1" w:styleId="296">
    <w:name w:val="书籍标题1"/>
    <w:qFormat/>
    <w:uiPriority w:val="33"/>
    <w:rPr>
      <w:b/>
      <w:bCs/>
      <w:smallCaps/>
      <w:spacing w:val="5"/>
    </w:rPr>
  </w:style>
  <w:style w:type="paragraph" w:customStyle="1" w:styleId="297">
    <w:name w:val="z-窗体顶端11"/>
    <w:basedOn w:val="1"/>
    <w:next w:val="1"/>
    <w:link w:val="298"/>
    <w:qFormat/>
    <w:uiPriority w:val="0"/>
    <w:pPr>
      <w:pBdr>
        <w:bottom w:val="single" w:color="auto" w:sz="6" w:space="1"/>
      </w:pBdr>
      <w:jc w:val="center"/>
    </w:pPr>
    <w:rPr>
      <w:rFonts w:ascii="Arial" w:hAnsi="Times New Roman"/>
      <w:vanish/>
      <w:sz w:val="16"/>
      <w:szCs w:val="22"/>
    </w:rPr>
  </w:style>
  <w:style w:type="character" w:customStyle="1" w:styleId="298">
    <w:name w:val="z-窗体顶端 字符"/>
    <w:link w:val="297"/>
    <w:qFormat/>
    <w:uiPriority w:val="0"/>
    <w:rPr>
      <w:rFonts w:ascii="Arial" w:hAnsi="Times New Roman" w:eastAsia="宋体" w:cs="Times New Roman"/>
      <w:vanish/>
      <w:sz w:val="16"/>
    </w:rPr>
  </w:style>
  <w:style w:type="character" w:customStyle="1" w:styleId="299">
    <w:name w:val="引用 字符1"/>
    <w:qFormat/>
    <w:uiPriority w:val="29"/>
    <w:rPr>
      <w:rFonts w:ascii="Times New Roman" w:hAnsi="Times New Roman" w:eastAsia="宋体" w:cs="Times New Roman"/>
      <w:i/>
      <w:iCs/>
      <w:color w:val="404040"/>
      <w:szCs w:val="24"/>
    </w:rPr>
  </w:style>
  <w:style w:type="paragraph" w:customStyle="1" w:styleId="300">
    <w:name w:val="z-窗体底端11"/>
    <w:basedOn w:val="1"/>
    <w:next w:val="1"/>
    <w:link w:val="301"/>
    <w:qFormat/>
    <w:uiPriority w:val="0"/>
    <w:pPr>
      <w:pBdr>
        <w:top w:val="single" w:color="auto" w:sz="6" w:space="1"/>
      </w:pBdr>
      <w:jc w:val="center"/>
    </w:pPr>
    <w:rPr>
      <w:rFonts w:ascii="Arial" w:hAnsi="Times New Roman"/>
      <w:vanish/>
      <w:sz w:val="16"/>
      <w:szCs w:val="22"/>
    </w:rPr>
  </w:style>
  <w:style w:type="character" w:customStyle="1" w:styleId="301">
    <w:name w:val="z-窗体底端 字符"/>
    <w:link w:val="300"/>
    <w:qFormat/>
    <w:uiPriority w:val="0"/>
    <w:rPr>
      <w:rFonts w:ascii="Arial" w:hAnsi="Times New Roman" w:eastAsia="宋体" w:cs="Times New Roman"/>
      <w:vanish/>
      <w:sz w:val="16"/>
    </w:rPr>
  </w:style>
  <w:style w:type="paragraph" w:customStyle="1" w:styleId="302">
    <w:name w:val="TOC 标题1"/>
    <w:basedOn w:val="2"/>
    <w:next w:val="1"/>
    <w:unhideWhenUsed/>
    <w:qFormat/>
    <w:uiPriority w:val="39"/>
    <w:pPr>
      <w:widowControl/>
      <w:numPr>
        <w:numId w:val="0"/>
      </w:numPr>
      <w:adjustRightInd/>
      <w:snapToGrid/>
      <w:spacing w:before="480" w:line="276" w:lineRule="auto"/>
      <w:jc w:val="left"/>
      <w:outlineLvl w:val="9"/>
    </w:pPr>
    <w:rPr>
      <w:rFonts w:ascii="Calibri Light" w:hAnsi="Calibri Light" w:eastAsia="宋体"/>
      <w:b/>
      <w:color w:val="2E74B5"/>
      <w:kern w:val="0"/>
      <w:sz w:val="28"/>
      <w:szCs w:val="28"/>
    </w:rPr>
  </w:style>
  <w:style w:type="paragraph" w:customStyle="1" w:styleId="303">
    <w:name w:val="样式13"/>
    <w:basedOn w:val="5"/>
    <w:qFormat/>
    <w:uiPriority w:val="0"/>
    <w:pPr>
      <w:numPr>
        <w:numId w:val="3"/>
      </w:numPr>
      <w:tabs>
        <w:tab w:val="left" w:pos="851"/>
        <w:tab w:val="left" w:pos="1680"/>
      </w:tabs>
      <w:adjustRightInd/>
      <w:snapToGrid/>
      <w:spacing w:before="120" w:after="120" w:line="420" w:lineRule="exact"/>
      <w:ind w:right="100" w:rightChars="100"/>
    </w:pPr>
    <w:rPr>
      <w:rFonts w:ascii="宋体" w:hAnsi="宋体" w:eastAsia="宋体"/>
      <w:b w:val="0"/>
      <w:iCs/>
      <w:snapToGrid w:val="0"/>
      <w:color w:val="auto"/>
      <w:lang w:val="zh-CN"/>
    </w:rPr>
  </w:style>
  <w:style w:type="paragraph" w:customStyle="1" w:styleId="304">
    <w:name w:val="Char Char Char Char1 Char Char Char"/>
    <w:basedOn w:val="4"/>
    <w:next w:val="105"/>
    <w:qFormat/>
    <w:uiPriority w:val="0"/>
    <w:pPr>
      <w:numPr>
        <w:numId w:val="3"/>
      </w:numPr>
      <w:tabs>
        <w:tab w:val="left" w:pos="473"/>
        <w:tab w:val="left" w:pos="851"/>
        <w:tab w:val="left" w:pos="1260"/>
      </w:tabs>
      <w:adjustRightInd/>
      <w:snapToGrid/>
      <w:spacing w:before="50" w:beforeLines="50" w:after="20" w:afterLines="20"/>
      <w:ind w:firstLine="113"/>
    </w:pPr>
    <w:rPr>
      <w:rFonts w:ascii="宋体" w:hAnsi="宋体" w:eastAsia="黑体" w:cs="宋体"/>
      <w:b w:val="0"/>
      <w:bCs w:val="0"/>
      <w:kern w:val="2"/>
      <w:szCs w:val="24"/>
      <w:lang w:val="zh-CN"/>
    </w:rPr>
  </w:style>
  <w:style w:type="paragraph" w:customStyle="1" w:styleId="305">
    <w:name w:val="样式 样式 标题 2 + 段前: 1.5 行 段后: 1 行 + 非加粗 左侧:  0.5 厘米 首行缩进:  0 厘米 ...1"/>
    <w:basedOn w:val="1"/>
    <w:qFormat/>
    <w:uiPriority w:val="0"/>
    <w:pPr>
      <w:keepNext/>
      <w:keepLines/>
      <w:numPr>
        <w:ilvl w:val="0"/>
        <w:numId w:val="3"/>
      </w:numPr>
      <w:tabs>
        <w:tab w:val="left" w:pos="360"/>
        <w:tab w:val="left" w:pos="690"/>
        <w:tab w:val="left" w:pos="840"/>
        <w:tab w:val="left" w:pos="1320"/>
        <w:tab w:val="clear" w:pos="851"/>
      </w:tabs>
      <w:spacing w:before="50" w:after="50"/>
      <w:ind w:left="1320" w:hanging="420"/>
      <w:outlineLvl w:val="1"/>
    </w:pPr>
    <w:rPr>
      <w:rFonts w:ascii="Arial" w:hAnsi="Arial" w:eastAsia="黑体"/>
      <w:kern w:val="0"/>
      <w:sz w:val="28"/>
      <w:szCs w:val="22"/>
      <w:lang w:val="zh-CN"/>
    </w:rPr>
  </w:style>
  <w:style w:type="character" w:customStyle="1" w:styleId="306">
    <w:name w:val="font51"/>
    <w:qFormat/>
    <w:uiPriority w:val="0"/>
    <w:rPr>
      <w:rFonts w:hint="eastAsia" w:ascii="仿宋_GB2312" w:eastAsia="仿宋_GB2312"/>
      <w:color w:val="000000"/>
      <w:sz w:val="20"/>
      <w:szCs w:val="20"/>
      <w:u w:val="none"/>
    </w:rPr>
  </w:style>
  <w:style w:type="paragraph" w:customStyle="1" w:styleId="307">
    <w:name w:val="四级标题"/>
    <w:basedOn w:val="5"/>
    <w:qFormat/>
    <w:uiPriority w:val="0"/>
    <w:pPr>
      <w:widowControl/>
      <w:numPr>
        <w:ilvl w:val="0"/>
        <w:numId w:val="4"/>
      </w:numPr>
      <w:tabs>
        <w:tab w:val="left" w:pos="720"/>
        <w:tab w:val="left" w:pos="1080"/>
      </w:tabs>
      <w:adjustRightInd/>
      <w:snapToGrid/>
      <w:spacing w:before="160" w:after="170" w:line="240" w:lineRule="auto"/>
      <w:jc w:val="left"/>
    </w:pPr>
    <w:rPr>
      <w:rFonts w:ascii="Arial" w:hAnsi="Arial" w:eastAsia="宋体"/>
      <w:b w:val="0"/>
      <w:color w:val="auto"/>
      <w:kern w:val="0"/>
      <w:szCs w:val="28"/>
      <w:lang w:val="zh-CN"/>
    </w:rPr>
  </w:style>
  <w:style w:type="character" w:customStyle="1" w:styleId="308">
    <w:name w:val="表头 Char1"/>
    <w:link w:val="156"/>
    <w:qFormat/>
    <w:uiPriority w:val="0"/>
    <w:rPr>
      <w:rFonts w:ascii="Times New Roman" w:hAnsi="Times New Roman" w:eastAsia="宋体" w:cs="Times New Roman"/>
      <w:b/>
      <w:kern w:val="10"/>
      <w:sz w:val="24"/>
      <w:szCs w:val="24"/>
    </w:rPr>
  </w:style>
  <w:style w:type="paragraph" w:customStyle="1" w:styleId="309">
    <w:name w:val="样式 正文（首行缩进两字） + 行距: 固定值 20 磅"/>
    <w:basedOn w:val="15"/>
    <w:qFormat/>
    <w:uiPriority w:val="0"/>
    <w:pPr>
      <w:widowControl/>
      <w:spacing w:after="62" w:afterLines="20" w:line="400" w:lineRule="exact"/>
      <w:ind w:firstLine="480"/>
      <w:jc w:val="left"/>
    </w:pPr>
    <w:rPr>
      <w:rFonts w:ascii="Times New Roman" w:hAnsi="Times New Roman"/>
      <w:sz w:val="24"/>
      <w:szCs w:val="20"/>
    </w:rPr>
  </w:style>
  <w:style w:type="paragraph" w:customStyle="1" w:styleId="310">
    <w:name w:val="俺的正文"/>
    <w:basedOn w:val="1"/>
    <w:qFormat/>
    <w:uiPriority w:val="0"/>
    <w:pPr>
      <w:spacing w:line="460" w:lineRule="exact"/>
      <w:ind w:firstLine="200" w:firstLineChars="200"/>
    </w:pPr>
    <w:rPr>
      <w:rFonts w:ascii="Times New Roman" w:hAnsi="Times New Roman"/>
      <w:sz w:val="24"/>
      <w:szCs w:val="20"/>
    </w:rPr>
  </w:style>
  <w:style w:type="character" w:customStyle="1" w:styleId="311">
    <w:name w:val="标题2"/>
    <w:basedOn w:val="74"/>
    <w:qFormat/>
    <w:uiPriority w:val="0"/>
  </w:style>
  <w:style w:type="paragraph" w:customStyle="1" w:styleId="31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313">
    <w:name w:val="WPSOffice手动目录 1"/>
    <w:qFormat/>
    <w:uiPriority w:val="0"/>
    <w:rPr>
      <w:rFonts w:ascii="Times New Roman" w:hAnsi="Times New Roman" w:eastAsia="宋体" w:cs="Times New Roman"/>
      <w:lang w:val="en-US" w:eastAsia="zh-CN" w:bidi="ar-SA"/>
    </w:rPr>
  </w:style>
  <w:style w:type="paragraph" w:customStyle="1" w:styleId="314">
    <w:name w:val="CM27"/>
    <w:basedOn w:val="120"/>
    <w:next w:val="120"/>
    <w:qFormat/>
    <w:uiPriority w:val="99"/>
    <w:pPr>
      <w:spacing w:line="533" w:lineRule="atLeast"/>
    </w:pPr>
    <w:rPr>
      <w:rFonts w:hAnsi="Times New Roman" w:cs="Times New Roman"/>
      <w:color w:val="auto"/>
    </w:rPr>
  </w:style>
  <w:style w:type="paragraph" w:customStyle="1" w:styleId="315">
    <w:name w:val="CM121"/>
    <w:basedOn w:val="120"/>
    <w:next w:val="120"/>
    <w:qFormat/>
    <w:uiPriority w:val="99"/>
    <w:pPr>
      <w:spacing w:after="213"/>
    </w:pPr>
    <w:rPr>
      <w:rFonts w:hAnsi="Times New Roman" w:cs="Times New Roman"/>
      <w:color w:val="auto"/>
    </w:rPr>
  </w:style>
  <w:style w:type="paragraph" w:customStyle="1" w:styleId="316">
    <w:name w:val="CM29"/>
    <w:basedOn w:val="120"/>
    <w:next w:val="120"/>
    <w:qFormat/>
    <w:uiPriority w:val="99"/>
    <w:pPr>
      <w:spacing w:line="480" w:lineRule="atLeast"/>
    </w:pPr>
    <w:rPr>
      <w:rFonts w:hAnsi="Times New Roman" w:cs="Times New Roman"/>
      <w:color w:val="auto"/>
    </w:rPr>
  </w:style>
  <w:style w:type="paragraph" w:customStyle="1" w:styleId="317">
    <w:name w:val="CM129"/>
    <w:basedOn w:val="120"/>
    <w:next w:val="120"/>
    <w:qFormat/>
    <w:uiPriority w:val="99"/>
    <w:pPr>
      <w:spacing w:after="310"/>
    </w:pPr>
    <w:rPr>
      <w:rFonts w:hAnsi="Times New Roman" w:cs="Times New Roman"/>
      <w:color w:val="auto"/>
    </w:rPr>
  </w:style>
  <w:style w:type="paragraph" w:customStyle="1" w:styleId="318">
    <w:name w:val="CM7"/>
    <w:basedOn w:val="120"/>
    <w:next w:val="120"/>
    <w:qFormat/>
    <w:uiPriority w:val="99"/>
    <w:pPr>
      <w:spacing w:line="471" w:lineRule="atLeast"/>
    </w:pPr>
    <w:rPr>
      <w:rFonts w:hAnsi="Times New Roman" w:cs="Times New Roman"/>
      <w:color w:val="auto"/>
    </w:rPr>
  </w:style>
  <w:style w:type="paragraph" w:customStyle="1" w:styleId="319">
    <w:name w:val="CM131"/>
    <w:basedOn w:val="120"/>
    <w:next w:val="120"/>
    <w:qFormat/>
    <w:uiPriority w:val="99"/>
    <w:pPr>
      <w:spacing w:after="85"/>
    </w:pPr>
    <w:rPr>
      <w:rFonts w:hAnsi="Times New Roman" w:cs="Times New Roman"/>
      <w:color w:val="auto"/>
    </w:rPr>
  </w:style>
  <w:style w:type="paragraph" w:customStyle="1" w:styleId="320">
    <w:name w:val="CM130"/>
    <w:basedOn w:val="120"/>
    <w:next w:val="120"/>
    <w:qFormat/>
    <w:uiPriority w:val="99"/>
    <w:pPr>
      <w:spacing w:after="460"/>
    </w:pPr>
    <w:rPr>
      <w:rFonts w:hAnsi="Times New Roman" w:cs="Times New Roman"/>
      <w:color w:val="auto"/>
    </w:rPr>
  </w:style>
  <w:style w:type="paragraph" w:customStyle="1" w:styleId="321">
    <w:name w:val="CM136"/>
    <w:basedOn w:val="120"/>
    <w:next w:val="120"/>
    <w:qFormat/>
    <w:uiPriority w:val="99"/>
    <w:pPr>
      <w:spacing w:after="843"/>
    </w:pPr>
    <w:rPr>
      <w:rFonts w:hAnsi="Times New Roman" w:cs="Times New Roman"/>
      <w:color w:val="auto"/>
    </w:rPr>
  </w:style>
  <w:style w:type="paragraph" w:customStyle="1" w:styleId="322">
    <w:name w:val="CM31"/>
    <w:basedOn w:val="120"/>
    <w:next w:val="120"/>
    <w:qFormat/>
    <w:uiPriority w:val="99"/>
    <w:rPr>
      <w:rFonts w:hAnsi="Times New Roman" w:cs="Times New Roman"/>
      <w:color w:val="auto"/>
    </w:rPr>
  </w:style>
  <w:style w:type="paragraph" w:customStyle="1" w:styleId="323">
    <w:name w:val="CM32"/>
    <w:basedOn w:val="120"/>
    <w:next w:val="120"/>
    <w:qFormat/>
    <w:uiPriority w:val="99"/>
    <w:pPr>
      <w:spacing w:line="313" w:lineRule="atLeast"/>
    </w:pPr>
    <w:rPr>
      <w:rFonts w:hAnsi="Times New Roman" w:cs="Times New Roman"/>
      <w:color w:val="auto"/>
    </w:rPr>
  </w:style>
  <w:style w:type="paragraph" w:customStyle="1" w:styleId="324">
    <w:name w:val="CM137"/>
    <w:basedOn w:val="120"/>
    <w:next w:val="120"/>
    <w:qFormat/>
    <w:uiPriority w:val="99"/>
    <w:pPr>
      <w:spacing w:after="330"/>
    </w:pPr>
    <w:rPr>
      <w:rFonts w:hAnsi="Times New Roman" w:cs="Times New Roman"/>
      <w:color w:val="auto"/>
    </w:rPr>
  </w:style>
  <w:style w:type="paragraph" w:customStyle="1" w:styleId="325">
    <w:name w:val="CM6"/>
    <w:basedOn w:val="120"/>
    <w:next w:val="120"/>
    <w:qFormat/>
    <w:uiPriority w:val="99"/>
    <w:pPr>
      <w:spacing w:line="466" w:lineRule="atLeast"/>
    </w:pPr>
    <w:rPr>
      <w:rFonts w:hAnsi="Times New Roman" w:cs="Times New Roman"/>
      <w:color w:val="auto"/>
    </w:rPr>
  </w:style>
  <w:style w:type="paragraph" w:customStyle="1" w:styleId="326">
    <w:name w:val="CM9"/>
    <w:basedOn w:val="120"/>
    <w:next w:val="120"/>
    <w:qFormat/>
    <w:uiPriority w:val="99"/>
    <w:pPr>
      <w:spacing w:line="468" w:lineRule="atLeast"/>
    </w:pPr>
    <w:rPr>
      <w:rFonts w:ascii="Times New Roman" w:hAnsi="Times New Roman" w:cs="Times New Roman"/>
      <w:color w:val="auto"/>
    </w:rPr>
  </w:style>
  <w:style w:type="paragraph" w:customStyle="1" w:styleId="327">
    <w:name w:val="CM124"/>
    <w:basedOn w:val="120"/>
    <w:next w:val="120"/>
    <w:qFormat/>
    <w:uiPriority w:val="99"/>
    <w:pPr>
      <w:spacing w:after="92"/>
    </w:pPr>
    <w:rPr>
      <w:rFonts w:ascii="Times New Roman" w:hAnsi="Times New Roman" w:cs="Times New Roman"/>
      <w:color w:val="auto"/>
    </w:rPr>
  </w:style>
  <w:style w:type="paragraph" w:customStyle="1" w:styleId="328">
    <w:name w:val="CM15"/>
    <w:basedOn w:val="120"/>
    <w:next w:val="120"/>
    <w:qFormat/>
    <w:uiPriority w:val="99"/>
    <w:pPr>
      <w:spacing w:line="480" w:lineRule="atLeast"/>
    </w:pPr>
    <w:rPr>
      <w:rFonts w:ascii="Times New Roman" w:hAnsi="Times New Roman" w:cs="Times New Roman"/>
      <w:color w:val="auto"/>
    </w:rPr>
  </w:style>
  <w:style w:type="paragraph" w:customStyle="1" w:styleId="329">
    <w:name w:val="CM14"/>
    <w:basedOn w:val="120"/>
    <w:next w:val="120"/>
    <w:qFormat/>
    <w:uiPriority w:val="99"/>
    <w:pPr>
      <w:spacing w:line="468" w:lineRule="atLeast"/>
    </w:pPr>
    <w:rPr>
      <w:rFonts w:ascii="Times New Roman" w:hAnsi="Times New Roman" w:cs="Times New Roman"/>
      <w:color w:val="auto"/>
    </w:rPr>
  </w:style>
  <w:style w:type="paragraph" w:customStyle="1" w:styleId="330">
    <w:name w:val="CM138"/>
    <w:basedOn w:val="120"/>
    <w:next w:val="120"/>
    <w:qFormat/>
    <w:uiPriority w:val="99"/>
    <w:pPr>
      <w:spacing w:after="252"/>
    </w:pPr>
    <w:rPr>
      <w:rFonts w:hAnsi="Times New Roman" w:cs="Times New Roman"/>
      <w:color w:val="auto"/>
    </w:rPr>
  </w:style>
  <w:style w:type="paragraph" w:customStyle="1" w:styleId="331">
    <w:name w:val="CM23"/>
    <w:basedOn w:val="120"/>
    <w:next w:val="120"/>
    <w:qFormat/>
    <w:uiPriority w:val="99"/>
    <w:pPr>
      <w:spacing w:line="468" w:lineRule="atLeast"/>
    </w:pPr>
    <w:rPr>
      <w:rFonts w:hAnsi="Times New Roman" w:cs="Times New Roman"/>
      <w:color w:val="auto"/>
    </w:rPr>
  </w:style>
  <w:style w:type="paragraph" w:customStyle="1" w:styleId="332">
    <w:name w:val="CM11"/>
    <w:basedOn w:val="120"/>
    <w:next w:val="120"/>
    <w:qFormat/>
    <w:uiPriority w:val="99"/>
    <w:pPr>
      <w:spacing w:line="468" w:lineRule="atLeast"/>
    </w:pPr>
    <w:rPr>
      <w:rFonts w:hAnsi="Times New Roman" w:cs="Times New Roman"/>
      <w:color w:val="auto"/>
    </w:rPr>
  </w:style>
  <w:style w:type="paragraph" w:customStyle="1" w:styleId="333">
    <w:name w:val="CM13"/>
    <w:basedOn w:val="120"/>
    <w:next w:val="120"/>
    <w:qFormat/>
    <w:uiPriority w:val="99"/>
    <w:pPr>
      <w:spacing w:line="466" w:lineRule="atLeast"/>
    </w:pPr>
    <w:rPr>
      <w:rFonts w:hAnsi="Times New Roman" w:cs="Times New Roman"/>
      <w:color w:val="auto"/>
    </w:rPr>
  </w:style>
  <w:style w:type="paragraph" w:customStyle="1" w:styleId="334">
    <w:name w:val="CM139"/>
    <w:basedOn w:val="120"/>
    <w:next w:val="120"/>
    <w:qFormat/>
    <w:uiPriority w:val="99"/>
    <w:pPr>
      <w:spacing w:after="472"/>
    </w:pPr>
    <w:rPr>
      <w:rFonts w:hAnsi="Times New Roman" w:cs="Times New Roman"/>
      <w:color w:val="auto"/>
    </w:rPr>
  </w:style>
  <w:style w:type="paragraph" w:customStyle="1" w:styleId="335">
    <w:name w:val="CM8"/>
    <w:basedOn w:val="120"/>
    <w:next w:val="120"/>
    <w:qFormat/>
    <w:uiPriority w:val="99"/>
    <w:pPr>
      <w:spacing w:line="468" w:lineRule="atLeast"/>
    </w:pPr>
    <w:rPr>
      <w:rFonts w:hAnsi="Times New Roman" w:cs="Times New Roman"/>
      <w:color w:val="auto"/>
    </w:rPr>
  </w:style>
  <w:style w:type="paragraph" w:customStyle="1" w:styleId="336">
    <w:name w:val="CM1"/>
    <w:basedOn w:val="120"/>
    <w:next w:val="120"/>
    <w:qFormat/>
    <w:uiPriority w:val="99"/>
    <w:rPr>
      <w:rFonts w:hAnsi="Times New Roman" w:cs="Times New Roman"/>
      <w:color w:val="auto"/>
    </w:rPr>
  </w:style>
  <w:style w:type="character" w:customStyle="1" w:styleId="337">
    <w:name w:val="表文字 Char"/>
    <w:link w:val="157"/>
    <w:qFormat/>
    <w:uiPriority w:val="0"/>
    <w:rPr>
      <w:kern w:val="10"/>
      <w:sz w:val="24"/>
    </w:rPr>
  </w:style>
  <w:style w:type="paragraph" w:customStyle="1" w:styleId="338">
    <w:name w:val="text Char Char Char Char Char"/>
    <w:basedOn w:val="1"/>
    <w:qFormat/>
    <w:uiPriority w:val="0"/>
    <w:pPr>
      <w:ind w:firstLine="563" w:firstLineChars="200"/>
    </w:pPr>
    <w:rPr>
      <w:rFonts w:ascii="黑体"/>
      <w:sz w:val="28"/>
      <w:szCs w:val="22"/>
    </w:rPr>
  </w:style>
  <w:style w:type="paragraph" w:customStyle="1" w:styleId="339">
    <w:name w:val="（2）正文"/>
    <w:basedOn w:val="1"/>
    <w:link w:val="346"/>
    <w:qFormat/>
    <w:uiPriority w:val="0"/>
    <w:pPr>
      <w:spacing w:line="360" w:lineRule="auto"/>
      <w:ind w:firstLine="423" w:firstLineChars="147"/>
    </w:pPr>
    <w:rPr>
      <w:color w:val="000000"/>
      <w:spacing w:val="4"/>
      <w:kern w:val="0"/>
      <w:sz w:val="28"/>
      <w:szCs w:val="28"/>
    </w:rPr>
  </w:style>
  <w:style w:type="character" w:customStyle="1" w:styleId="340">
    <w:name w:val="表格文字 Char Char"/>
    <w:basedOn w:val="95"/>
    <w:link w:val="341"/>
    <w:qFormat/>
    <w:uiPriority w:val="0"/>
    <w:rPr>
      <w:rFonts w:ascii="Times New Roman" w:hAnsi="Times New Roman" w:eastAsia="宋体"/>
      <w:kern w:val="44"/>
      <w:sz w:val="21"/>
      <w:szCs w:val="22"/>
    </w:rPr>
  </w:style>
  <w:style w:type="paragraph" w:customStyle="1" w:styleId="341">
    <w:name w:val="表格文字"/>
    <w:basedOn w:val="1"/>
    <w:link w:val="340"/>
    <w:qFormat/>
    <w:uiPriority w:val="0"/>
    <w:pPr>
      <w:jc w:val="center"/>
    </w:pPr>
    <w:rPr>
      <w:rFonts w:ascii="Times New Roman" w:hAnsi="Times New Roman"/>
      <w:kern w:val="44"/>
      <w:szCs w:val="22"/>
    </w:rPr>
  </w:style>
  <w:style w:type="character" w:customStyle="1" w:styleId="342">
    <w:name w:val="样式 正文缩进 + 首行缩进:  2 字符 Char"/>
    <w:basedOn w:val="74"/>
    <w:link w:val="343"/>
    <w:qFormat/>
    <w:uiPriority w:val="0"/>
    <w:rPr>
      <w:rFonts w:cs="宋体"/>
      <w:kern w:val="2"/>
      <w:sz w:val="28"/>
    </w:rPr>
  </w:style>
  <w:style w:type="paragraph" w:customStyle="1" w:styleId="343">
    <w:name w:val="样式 正文缩进 + 首行缩进:  2 字符"/>
    <w:basedOn w:val="15"/>
    <w:link w:val="342"/>
    <w:qFormat/>
    <w:uiPriority w:val="0"/>
    <w:pPr>
      <w:snapToGrid w:val="0"/>
      <w:spacing w:line="520" w:lineRule="atLeast"/>
      <w:ind w:firstLine="200"/>
    </w:pPr>
    <w:rPr>
      <w:rFonts w:ascii="Times New Roman" w:hAnsi="Times New Roman" w:cs="宋体"/>
      <w:sz w:val="28"/>
      <w:szCs w:val="20"/>
    </w:rPr>
  </w:style>
  <w:style w:type="character" w:customStyle="1" w:styleId="344">
    <w:name w:val="HTML 预设格式 Char"/>
    <w:basedOn w:val="74"/>
    <w:link w:val="63"/>
    <w:qFormat/>
    <w:uiPriority w:val="0"/>
    <w:rPr>
      <w:rFonts w:ascii="Courier New" w:hAnsi="Courier New" w:cs="Courier New"/>
      <w:kern w:val="2"/>
      <w:sz w:val="21"/>
      <w:szCs w:val="24"/>
    </w:rPr>
  </w:style>
  <w:style w:type="paragraph" w:customStyle="1" w:styleId="345">
    <w:name w:val="标题1"/>
    <w:basedOn w:val="2"/>
    <w:qFormat/>
    <w:uiPriority w:val="0"/>
    <w:pPr>
      <w:keepNext w:val="0"/>
      <w:keepLines w:val="0"/>
      <w:tabs>
        <w:tab w:val="left" w:pos="720"/>
      </w:tabs>
      <w:adjustRightInd/>
      <w:snapToGrid/>
      <w:spacing w:beforeLines="150" w:afterLines="150" w:line="240" w:lineRule="auto"/>
      <w:jc w:val="center"/>
    </w:pPr>
    <w:rPr>
      <w:rFonts w:ascii="宋体" w:hAnsi="宋体"/>
      <w:b/>
      <w:kern w:val="28"/>
      <w:sz w:val="30"/>
    </w:rPr>
  </w:style>
  <w:style w:type="character" w:customStyle="1" w:styleId="346">
    <w:name w:val="（2）正文 Char"/>
    <w:link w:val="339"/>
    <w:qFormat/>
    <w:uiPriority w:val="0"/>
    <w:rPr>
      <w:rFonts w:ascii="Calibri" w:hAnsi="Calibri"/>
      <w:color w:val="000000"/>
      <w:spacing w:val="4"/>
      <w:sz w:val="28"/>
      <w:szCs w:val="28"/>
    </w:rPr>
  </w:style>
  <w:style w:type="paragraph" w:customStyle="1" w:styleId="347">
    <w:name w:val="2表格内容"/>
    <w:basedOn w:val="1"/>
    <w:link w:val="348"/>
    <w:qFormat/>
    <w:uiPriority w:val="0"/>
    <w:pPr>
      <w:jc w:val="center"/>
    </w:pPr>
    <w:rPr>
      <w:rFonts w:ascii="Times New Roman" w:hAnsi="Times New Roman"/>
      <w:kern w:val="0"/>
      <w:sz w:val="24"/>
      <w:szCs w:val="24"/>
    </w:rPr>
  </w:style>
  <w:style w:type="character" w:customStyle="1" w:styleId="348">
    <w:name w:val="2表格内容 Char"/>
    <w:link w:val="347"/>
    <w:qFormat/>
    <w:uiPriority w:val="0"/>
    <w:rPr>
      <w:sz w:val="24"/>
      <w:szCs w:val="24"/>
    </w:rPr>
  </w:style>
  <w:style w:type="paragraph" w:customStyle="1" w:styleId="349">
    <w:name w:val="cardlist-name"/>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50">
    <w:name w:val="正文缩进 Char1"/>
    <w:qFormat/>
    <w:uiPriority w:val="0"/>
    <w:rPr>
      <w:bCs/>
      <w:sz w:val="28"/>
      <w:szCs w:val="28"/>
    </w:rPr>
  </w:style>
  <w:style w:type="paragraph" w:customStyle="1" w:styleId="351">
    <w:name w:val="标题3"/>
    <w:basedOn w:val="4"/>
    <w:qFormat/>
    <w:uiPriority w:val="0"/>
    <w:pPr>
      <w:keepNext w:val="0"/>
      <w:keepLines w:val="0"/>
      <w:tabs>
        <w:tab w:val="left" w:pos="360"/>
        <w:tab w:val="left" w:pos="720"/>
      </w:tabs>
      <w:spacing w:beforeLines="50" w:afterLines="50" w:line="480" w:lineRule="atLeast"/>
    </w:pPr>
    <w:rPr>
      <w:bCs w:val="0"/>
      <w:kern w:val="2"/>
      <w:sz w:val="28"/>
      <w:szCs w:val="28"/>
    </w:rPr>
  </w:style>
  <w:style w:type="paragraph" w:customStyle="1" w:styleId="352">
    <w:name w:val="表格小4居中"/>
    <w:basedOn w:val="1"/>
    <w:qFormat/>
    <w:uiPriority w:val="0"/>
    <w:pPr>
      <w:adjustRightInd w:val="0"/>
      <w:snapToGrid w:val="0"/>
      <w:spacing w:before="60" w:after="60" w:line="320" w:lineRule="atLeast"/>
      <w:jc w:val="center"/>
    </w:pPr>
    <w:rPr>
      <w:rFonts w:ascii="Times New Roman" w:hAnsi="Times New Roman" w:cs="宋体"/>
      <w:sz w:val="24"/>
      <w:szCs w:val="20"/>
    </w:rPr>
  </w:style>
  <w:style w:type="paragraph" w:customStyle="1" w:styleId="353">
    <w:name w:val="表格五号"/>
    <w:basedOn w:val="1"/>
    <w:link w:val="354"/>
    <w:qFormat/>
    <w:uiPriority w:val="0"/>
    <w:pPr>
      <w:adjustRightInd w:val="0"/>
      <w:snapToGrid w:val="0"/>
      <w:jc w:val="center"/>
    </w:pPr>
    <w:rPr>
      <w:rFonts w:ascii="宋体" w:hAnsi="宋体"/>
    </w:rPr>
  </w:style>
  <w:style w:type="character" w:customStyle="1" w:styleId="354">
    <w:name w:val="表格五号 Char"/>
    <w:link w:val="353"/>
    <w:qFormat/>
    <w:uiPriority w:val="0"/>
    <w:rPr>
      <w:rFonts w:ascii="宋体" w:hAnsi="宋体"/>
      <w:kern w:val="2"/>
      <w:sz w:val="21"/>
      <w:szCs w:val="21"/>
    </w:rPr>
  </w:style>
  <w:style w:type="paragraph" w:customStyle="1" w:styleId="355">
    <w:name w:val="表头四号"/>
    <w:basedOn w:val="50"/>
    <w:link w:val="356"/>
    <w:qFormat/>
    <w:uiPriority w:val="0"/>
    <w:pPr>
      <w:adjustRightInd w:val="0"/>
      <w:snapToGrid w:val="0"/>
      <w:spacing w:beforeLines="50" w:line="500" w:lineRule="atLeast"/>
      <w:ind w:left="0" w:firstLine="0" w:firstLineChars="0"/>
      <w:contextualSpacing w:val="0"/>
    </w:pPr>
    <w:rPr>
      <w:rFonts w:ascii="宋体" w:hAnsi="宋体"/>
      <w:b/>
      <w:bCs/>
      <w:sz w:val="28"/>
      <w:szCs w:val="28"/>
    </w:rPr>
  </w:style>
  <w:style w:type="character" w:customStyle="1" w:styleId="356">
    <w:name w:val="表头四号 Char Char"/>
    <w:link w:val="355"/>
    <w:qFormat/>
    <w:uiPriority w:val="0"/>
    <w:rPr>
      <w:rFonts w:ascii="宋体" w:hAnsi="宋体"/>
      <w:b/>
      <w:bCs/>
      <w:kern w:val="2"/>
      <w:sz w:val="28"/>
      <w:szCs w:val="28"/>
    </w:rPr>
  </w:style>
  <w:style w:type="paragraph" w:customStyle="1" w:styleId="357">
    <w:name w:val="附录表标题"/>
    <w:next w:val="1"/>
    <w:qFormat/>
    <w:uiPriority w:val="0"/>
    <w:pPr>
      <w:numPr>
        <w:ilvl w:val="0"/>
        <w:numId w:val="5"/>
      </w:numPr>
      <w:jc w:val="center"/>
      <w:textAlignment w:val="baseline"/>
    </w:pPr>
    <w:rPr>
      <w:rFonts w:ascii="黑体" w:hAnsi="Times New Roman" w:eastAsia="黑体" w:cs="Times New Roman"/>
      <w:kern w:val="21"/>
      <w:sz w:val="21"/>
      <w:lang w:val="en-US" w:eastAsia="zh-CN" w:bidi="ar-SA"/>
    </w:rPr>
  </w:style>
  <w:style w:type="character" w:customStyle="1" w:styleId="358">
    <w:name w:val="font41"/>
    <w:qFormat/>
    <w:uiPriority w:val="0"/>
    <w:rPr>
      <w:rFonts w:ascii="宋体" w:eastAsia="宋体" w:cs="宋体"/>
      <w:color w:val="000000"/>
      <w:sz w:val="20"/>
      <w:szCs w:val="20"/>
      <w:u w:val="none"/>
      <w:lang w:bidi="ar-SA"/>
    </w:rPr>
  </w:style>
  <w:style w:type="character" w:customStyle="1" w:styleId="359">
    <w:name w:val="信息标题 Char Char"/>
    <w:qFormat/>
    <w:uiPriority w:val="0"/>
    <w:rPr>
      <w:rFonts w:ascii="Arial" w:hAnsi="Arial" w:eastAsia="宋体" w:cs="Arial"/>
      <w:szCs w:val="24"/>
      <w:shd w:val="pct20" w:color="auto" w:fill="auto"/>
    </w:rPr>
  </w:style>
  <w:style w:type="paragraph" w:customStyle="1" w:styleId="360">
    <w:name w:val="修订1"/>
    <w:hidden/>
    <w:qFormat/>
    <w:uiPriority w:val="99"/>
    <w:rPr>
      <w:rFonts w:ascii="Calibri" w:hAnsi="Calibri" w:eastAsia="宋体" w:cs="Times New Roman"/>
      <w:kern w:val="2"/>
      <w:sz w:val="21"/>
      <w:szCs w:val="21"/>
      <w:lang w:val="en-US" w:eastAsia="zh-CN" w:bidi="ar-SA"/>
    </w:rPr>
  </w:style>
  <w:style w:type="character" w:customStyle="1" w:styleId="361">
    <w:name w:val="正文文本 3 Char"/>
    <w:basedOn w:val="74"/>
    <w:link w:val="23"/>
    <w:qFormat/>
    <w:uiPriority w:val="0"/>
    <w:rPr>
      <w:sz w:val="16"/>
      <w:szCs w:val="16"/>
    </w:rPr>
  </w:style>
  <w:style w:type="character" w:customStyle="1" w:styleId="362">
    <w:name w:val="签名 Char"/>
    <w:basedOn w:val="74"/>
    <w:link w:val="43"/>
    <w:qFormat/>
    <w:uiPriority w:val="0"/>
    <w:rPr>
      <w:szCs w:val="24"/>
    </w:rPr>
  </w:style>
  <w:style w:type="character" w:customStyle="1" w:styleId="363">
    <w:name w:val="副标题 Char"/>
    <w:basedOn w:val="74"/>
    <w:link w:val="49"/>
    <w:qFormat/>
    <w:uiPriority w:val="0"/>
    <w:rPr>
      <w:rFonts w:ascii="Arial" w:hAnsi="Arial"/>
      <w:b/>
      <w:bCs/>
      <w:kern w:val="28"/>
      <w:sz w:val="32"/>
      <w:szCs w:val="32"/>
    </w:rPr>
  </w:style>
  <w:style w:type="character" w:customStyle="1" w:styleId="364">
    <w:name w:val="脚注文本 Char"/>
    <w:basedOn w:val="74"/>
    <w:link w:val="51"/>
    <w:qFormat/>
    <w:uiPriority w:val="0"/>
    <w:rPr>
      <w:sz w:val="18"/>
      <w:szCs w:val="18"/>
    </w:rPr>
  </w:style>
  <w:style w:type="character" w:customStyle="1" w:styleId="365">
    <w:name w:val="正文文本 2 Char"/>
    <w:basedOn w:val="74"/>
    <w:link w:val="60"/>
    <w:qFormat/>
    <w:uiPriority w:val="0"/>
    <w:rPr>
      <w:sz w:val="24"/>
    </w:rPr>
  </w:style>
  <w:style w:type="character" w:customStyle="1" w:styleId="366">
    <w:name w:val="标题 Char"/>
    <w:basedOn w:val="74"/>
    <w:link w:val="67"/>
    <w:qFormat/>
    <w:uiPriority w:val="0"/>
    <w:rPr>
      <w:rFonts w:ascii="Arial" w:hAnsi="Arial"/>
      <w:b/>
      <w:bCs/>
      <w:sz w:val="32"/>
      <w:szCs w:val="32"/>
    </w:rPr>
  </w:style>
  <w:style w:type="paragraph" w:customStyle="1" w:styleId="367">
    <w:name w:val="样式 段后: 0.2 行"/>
    <w:basedOn w:val="1"/>
    <w:qFormat/>
    <w:uiPriority w:val="0"/>
    <w:pPr>
      <w:adjustRightInd w:val="0"/>
      <w:snapToGrid w:val="0"/>
      <w:spacing w:afterLines="50" w:line="420" w:lineRule="exact"/>
      <w:ind w:firstLine="200" w:firstLineChars="200"/>
    </w:pPr>
    <w:rPr>
      <w:rFonts w:ascii="Times New Roman" w:hAnsi="Times New Roman" w:cs="宋体"/>
      <w:snapToGrid w:val="0"/>
      <w:kern w:val="0"/>
      <w:sz w:val="24"/>
      <w:szCs w:val="20"/>
    </w:rPr>
  </w:style>
  <w:style w:type="paragraph" w:customStyle="1" w:styleId="368">
    <w:name w:val="无间隔1"/>
    <w:qFormat/>
    <w:uiPriority w:val="0"/>
    <w:pPr>
      <w:widowControl w:val="0"/>
      <w:spacing w:line="360" w:lineRule="auto"/>
      <w:jc w:val="both"/>
    </w:pPr>
    <w:rPr>
      <w:rFonts w:ascii="Arial" w:hAnsi="Arial" w:eastAsia="宋体" w:cs="Times New Roman"/>
      <w:kern w:val="2"/>
      <w:sz w:val="24"/>
      <w:szCs w:val="24"/>
      <w:lang w:val="en-US" w:eastAsia="zh-CN" w:bidi="ar-SA"/>
    </w:rPr>
  </w:style>
  <w:style w:type="character" w:customStyle="1" w:styleId="369">
    <w:name w:val="标题 1 Char2"/>
    <w:qFormat/>
    <w:uiPriority w:val="0"/>
    <w:rPr>
      <w:b/>
      <w:kern w:val="44"/>
      <w:sz w:val="30"/>
    </w:rPr>
  </w:style>
  <w:style w:type="paragraph" w:customStyle="1" w:styleId="370">
    <w:name w:val="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371">
    <w:name w:val="样式3"/>
    <w:basedOn w:val="42"/>
    <w:next w:val="42"/>
    <w:qFormat/>
    <w:uiPriority w:val="0"/>
    <w:pPr>
      <w:pBdr>
        <w:bottom w:val="none" w:color="auto" w:sz="0" w:space="0"/>
      </w:pBdr>
      <w:tabs>
        <w:tab w:val="left" w:pos="709"/>
      </w:tabs>
      <w:adjustRightInd/>
      <w:spacing w:before="80" w:afterLines="20" w:line="240" w:lineRule="atLeast"/>
      <w:ind w:left="709" w:hanging="709" w:firstLineChars="200"/>
    </w:pPr>
    <w:rPr>
      <w:rFonts w:ascii="Times New Roman" w:hAnsi="Times New Roman" w:eastAsia="宋体" w:cs="Times New Roman"/>
      <w:kern w:val="0"/>
      <w:szCs w:val="20"/>
    </w:rPr>
  </w:style>
  <w:style w:type="paragraph" w:customStyle="1" w:styleId="372">
    <w:name w:val="样式4"/>
    <w:basedOn w:val="5"/>
    <w:qFormat/>
    <w:uiPriority w:val="0"/>
    <w:pPr>
      <w:numPr>
        <w:ilvl w:val="0"/>
        <w:numId w:val="0"/>
      </w:numPr>
      <w:tabs>
        <w:tab w:val="left" w:pos="720"/>
        <w:tab w:val="left" w:pos="851"/>
      </w:tabs>
      <w:adjustRightInd/>
      <w:snapToGrid/>
      <w:spacing w:beforeLines="50" w:afterLines="20" w:line="400" w:lineRule="exact"/>
      <w:ind w:left="851" w:hanging="851"/>
    </w:pPr>
    <w:rPr>
      <w:rFonts w:eastAsia="宋体"/>
      <w:b w:val="0"/>
      <w:bCs w:val="0"/>
      <w:color w:val="auto"/>
      <w:kern w:val="0"/>
      <w:szCs w:val="20"/>
    </w:rPr>
  </w:style>
  <w:style w:type="paragraph" w:customStyle="1" w:styleId="373">
    <w:name w:val="表格1"/>
    <w:basedOn w:val="1"/>
    <w:qFormat/>
    <w:uiPriority w:val="0"/>
    <w:pPr>
      <w:adjustRightInd w:val="0"/>
      <w:jc w:val="center"/>
      <w:textAlignment w:val="baseline"/>
    </w:pPr>
    <w:rPr>
      <w:rFonts w:ascii="CG Times (WN)" w:hAnsi="Times New Roman"/>
      <w:kern w:val="0"/>
      <w:szCs w:val="20"/>
    </w:rPr>
  </w:style>
  <w:style w:type="paragraph" w:customStyle="1" w:styleId="374">
    <w:name w:val="小五表格"/>
    <w:basedOn w:val="1"/>
    <w:qFormat/>
    <w:uiPriority w:val="0"/>
    <w:pPr>
      <w:spacing w:afterLines="20" w:line="400" w:lineRule="exact"/>
      <w:ind w:firstLine="480" w:firstLineChars="200"/>
      <w:jc w:val="left"/>
    </w:pPr>
    <w:rPr>
      <w:rFonts w:ascii="Times New Roman" w:hAnsi="Times New Roman"/>
      <w:sz w:val="18"/>
      <w:szCs w:val="24"/>
    </w:rPr>
  </w:style>
  <w:style w:type="paragraph" w:customStyle="1" w:styleId="375">
    <w:name w:val="样式1"/>
    <w:basedOn w:val="3"/>
    <w:qFormat/>
    <w:uiPriority w:val="0"/>
    <w:pPr>
      <w:numPr>
        <w:ilvl w:val="0"/>
        <w:numId w:val="0"/>
      </w:numPr>
      <w:tabs>
        <w:tab w:val="left" w:pos="576"/>
      </w:tabs>
      <w:adjustRightInd/>
      <w:snapToGrid/>
      <w:spacing w:before="240" w:afterLines="20" w:line="420" w:lineRule="exact"/>
      <w:ind w:left="576" w:hanging="576"/>
    </w:pPr>
    <w:rPr>
      <w:rFonts w:ascii="Times New Roman" w:hAnsi="Times New Roman"/>
      <w:color w:val="000000"/>
      <w:sz w:val="28"/>
    </w:rPr>
  </w:style>
  <w:style w:type="paragraph" w:customStyle="1" w:styleId="376">
    <w:name w:val="正文A"/>
    <w:qFormat/>
    <w:uiPriority w:val="0"/>
    <w:pPr>
      <w:tabs>
        <w:tab w:val="left" w:pos="0"/>
      </w:tabs>
      <w:adjustRightInd w:val="0"/>
      <w:snapToGrid w:val="0"/>
      <w:spacing w:before="120" w:line="400" w:lineRule="exact"/>
      <w:jc w:val="center"/>
    </w:pPr>
    <w:rPr>
      <w:rFonts w:ascii="Times New Roman" w:hAnsi="Times New Roman" w:eastAsia="宋体" w:cs="Times New Roman"/>
      <w:b/>
      <w:sz w:val="21"/>
      <w:lang w:val="en-US" w:eastAsia="zh-CN" w:bidi="ar-SA"/>
    </w:rPr>
  </w:style>
  <w:style w:type="table" w:customStyle="1" w:styleId="377">
    <w:name w:val="网格型1231"/>
    <w:basedOn w:val="71"/>
    <w:qFormat/>
    <w:uiPriority w:val="0"/>
    <w:pPr>
      <w:widowControl w:val="0"/>
      <w:spacing w:afterLines="20" w:line="400" w:lineRule="exact"/>
      <w:ind w:firstLine="480" w:firstLineChars="20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8">
    <w:name w:val="标题 2 + (西文) 黑体 (中文) 黑体 四号 非加粗"/>
    <w:basedOn w:val="3"/>
    <w:next w:val="4"/>
    <w:qFormat/>
    <w:uiPriority w:val="0"/>
    <w:pPr>
      <w:numPr>
        <w:ilvl w:val="0"/>
        <w:numId w:val="0"/>
      </w:numPr>
      <w:tabs>
        <w:tab w:val="left" w:pos="840"/>
      </w:tabs>
      <w:adjustRightInd/>
      <w:snapToGrid/>
      <w:spacing w:beforeLines="50" w:line="240" w:lineRule="auto"/>
      <w:ind w:left="840" w:hanging="420"/>
    </w:pPr>
    <w:rPr>
      <w:rFonts w:ascii="Times New Roman" w:hAnsi="Times New Roman"/>
      <w:bCs w:val="0"/>
      <w:sz w:val="28"/>
      <w:szCs w:val="20"/>
    </w:rPr>
  </w:style>
  <w:style w:type="paragraph" w:customStyle="1" w:styleId="379">
    <w:name w:val="标题 1 + (西文) 黑体 (中文) 黑体 三号 居中"/>
    <w:basedOn w:val="2"/>
    <w:next w:val="378"/>
    <w:qFormat/>
    <w:uiPriority w:val="0"/>
    <w:pPr>
      <w:numPr>
        <w:numId w:val="0"/>
      </w:numPr>
      <w:tabs>
        <w:tab w:val="left" w:pos="600"/>
      </w:tabs>
      <w:adjustRightInd/>
      <w:snapToGrid/>
      <w:spacing w:beforeLines="50" w:line="240" w:lineRule="auto"/>
      <w:ind w:firstLine="113"/>
    </w:pPr>
    <w:rPr>
      <w:rFonts w:ascii="黑体" w:cs="宋体"/>
      <w:sz w:val="32"/>
      <w:szCs w:val="20"/>
    </w:rPr>
  </w:style>
  <w:style w:type="paragraph" w:customStyle="1" w:styleId="380">
    <w:name w:val="表文C"/>
    <w:basedOn w:val="1"/>
    <w:qFormat/>
    <w:uiPriority w:val="0"/>
    <w:pPr>
      <w:widowControl/>
      <w:tabs>
        <w:tab w:val="left" w:pos="0"/>
      </w:tabs>
      <w:adjustRightInd w:val="0"/>
      <w:snapToGrid w:val="0"/>
      <w:jc w:val="center"/>
    </w:pPr>
    <w:rPr>
      <w:rFonts w:ascii="Times New Roman" w:hAnsi="Times New Roman" w:cs="Plotter"/>
      <w:snapToGrid w:val="0"/>
      <w:kern w:val="0"/>
      <w:szCs w:val="20"/>
    </w:rPr>
  </w:style>
  <w:style w:type="paragraph" w:customStyle="1" w:styleId="381">
    <w:name w:val="表名A"/>
    <w:basedOn w:val="1"/>
    <w:qFormat/>
    <w:uiPriority w:val="0"/>
    <w:pPr>
      <w:widowControl/>
      <w:tabs>
        <w:tab w:val="left" w:pos="0"/>
      </w:tabs>
      <w:adjustRightInd w:val="0"/>
      <w:snapToGrid w:val="0"/>
      <w:spacing w:beforeLines="80" w:afterLines="20"/>
      <w:jc w:val="center"/>
    </w:pPr>
    <w:rPr>
      <w:rFonts w:ascii="Times New Roman" w:hAnsi="Times New Roman" w:cs="Plotter"/>
      <w:b/>
      <w:snapToGrid w:val="0"/>
      <w:kern w:val="0"/>
      <w:szCs w:val="20"/>
    </w:rPr>
  </w:style>
  <w:style w:type="paragraph" w:customStyle="1" w:styleId="382">
    <w:name w:val="表文B"/>
    <w:qFormat/>
    <w:uiPriority w:val="0"/>
    <w:pPr>
      <w:tabs>
        <w:tab w:val="left" w:pos="0"/>
      </w:tabs>
      <w:adjustRightInd w:val="0"/>
      <w:snapToGrid w:val="0"/>
      <w:spacing w:beforeLines="25" w:afterLines="15" w:line="264" w:lineRule="auto"/>
    </w:pPr>
    <w:rPr>
      <w:rFonts w:ascii="宋体" w:hAnsi="Times New Roman" w:eastAsia="宋体" w:cs="Times New Roman"/>
      <w:snapToGrid w:val="0"/>
      <w:sz w:val="18"/>
      <w:lang w:val="en-US" w:eastAsia="zh-CN" w:bidi="ar-SA"/>
    </w:rPr>
  </w:style>
  <w:style w:type="character" w:customStyle="1" w:styleId="383">
    <w:name w:val="标题 2 + (西文) 黑体 (中文) 黑体 四号 非加粗 Char"/>
    <w:qFormat/>
    <w:uiPriority w:val="0"/>
    <w:rPr>
      <w:rFonts w:eastAsia="黑体"/>
      <w:b/>
      <w:kern w:val="2"/>
      <w:sz w:val="28"/>
      <w:lang w:val="en-US" w:eastAsia="zh-CN" w:bidi="ar-SA"/>
    </w:rPr>
  </w:style>
  <w:style w:type="paragraph" w:customStyle="1" w:styleId="384">
    <w:name w:val="表格目录"/>
    <w:basedOn w:val="1"/>
    <w:next w:val="1"/>
    <w:qFormat/>
    <w:uiPriority w:val="0"/>
    <w:pPr>
      <w:widowControl/>
      <w:jc w:val="center"/>
    </w:pPr>
    <w:rPr>
      <w:rFonts w:ascii="Times New Roman" w:hAnsi="Times New Roman"/>
      <w:b/>
      <w:bCs/>
      <w:kern w:val="0"/>
      <w:sz w:val="22"/>
      <w:szCs w:val="20"/>
    </w:rPr>
  </w:style>
  <w:style w:type="paragraph" w:customStyle="1" w:styleId="385">
    <w:name w:val="样式 标题 3 + 段前: 1 行"/>
    <w:basedOn w:val="4"/>
    <w:qFormat/>
    <w:uiPriority w:val="0"/>
    <w:pPr>
      <w:numPr>
        <w:ilvl w:val="0"/>
        <w:numId w:val="0"/>
      </w:numPr>
      <w:tabs>
        <w:tab w:val="left" w:pos="720"/>
      </w:tabs>
      <w:adjustRightInd/>
      <w:snapToGrid/>
      <w:spacing w:beforeLines="50" w:line="240" w:lineRule="auto"/>
      <w:ind w:left="720" w:hanging="720"/>
      <w:jc w:val="left"/>
    </w:pPr>
    <w:rPr>
      <w:rFonts w:eastAsia="黑体" w:cs="宋体"/>
      <w:b w:val="0"/>
      <w:bCs w:val="0"/>
      <w:szCs w:val="20"/>
    </w:rPr>
  </w:style>
  <w:style w:type="character" w:customStyle="1" w:styleId="386">
    <w:name w:val="正文文本2"/>
    <w:qFormat/>
    <w:uiPriority w:val="0"/>
    <w:rPr>
      <w:rFonts w:eastAsia="宋体"/>
      <w:kern w:val="2"/>
      <w:sz w:val="21"/>
      <w:szCs w:val="24"/>
      <w:lang w:val="en-US" w:eastAsia="zh-CN" w:bidi="ar-SA"/>
    </w:rPr>
  </w:style>
  <w:style w:type="paragraph" w:customStyle="1" w:styleId="387">
    <w:name w:val="序列样式1"/>
    <w:basedOn w:val="1"/>
    <w:qFormat/>
    <w:uiPriority w:val="0"/>
    <w:pPr>
      <w:tabs>
        <w:tab w:val="left" w:pos="360"/>
        <w:tab w:val="left" w:pos="840"/>
      </w:tabs>
      <w:spacing w:afterLines="20" w:line="400" w:lineRule="exact"/>
      <w:ind w:firstLine="200"/>
    </w:pPr>
    <w:rPr>
      <w:rFonts w:ascii="Times New Roman" w:hAnsi="Times New Roman"/>
      <w:sz w:val="24"/>
      <w:szCs w:val="28"/>
    </w:rPr>
  </w:style>
  <w:style w:type="paragraph" w:customStyle="1" w:styleId="388">
    <w:name w:val="zhengwen"/>
    <w:basedOn w:val="1"/>
    <w:qFormat/>
    <w:uiPriority w:val="0"/>
    <w:pPr>
      <w:tabs>
        <w:tab w:val="left" w:pos="360"/>
      </w:tabs>
      <w:spacing w:before="20" w:after="20" w:line="400" w:lineRule="exact"/>
      <w:ind w:firstLine="200"/>
    </w:pPr>
    <w:rPr>
      <w:rFonts w:ascii="Times New Roman" w:hAnsi="Times New Roman"/>
      <w:sz w:val="24"/>
      <w:szCs w:val="24"/>
    </w:rPr>
  </w:style>
  <w:style w:type="paragraph" w:customStyle="1" w:styleId="389">
    <w:name w:val="插图"/>
    <w:basedOn w:val="1"/>
    <w:next w:val="1"/>
    <w:qFormat/>
    <w:uiPriority w:val="0"/>
    <w:pPr>
      <w:keepLines/>
      <w:adjustRightInd w:val="0"/>
      <w:spacing w:before="360" w:after="300" w:line="567" w:lineRule="atLeast"/>
      <w:jc w:val="center"/>
      <w:textAlignment w:val="baseline"/>
    </w:pPr>
    <w:rPr>
      <w:rFonts w:ascii="Times New Roman" w:hAnsi="Times New Roman"/>
      <w:spacing w:val="6"/>
      <w:kern w:val="0"/>
      <w:sz w:val="24"/>
      <w:szCs w:val="20"/>
    </w:rPr>
  </w:style>
  <w:style w:type="paragraph" w:customStyle="1" w:styleId="390">
    <w:name w:val="样式 标题 2 + 段前: 1 行 段后: 0.5 行"/>
    <w:basedOn w:val="3"/>
    <w:qFormat/>
    <w:uiPriority w:val="0"/>
    <w:pPr>
      <w:numPr>
        <w:ilvl w:val="0"/>
        <w:numId w:val="0"/>
      </w:numPr>
      <w:tabs>
        <w:tab w:val="left" w:pos="840"/>
      </w:tabs>
      <w:spacing w:beforeLines="100" w:afterLines="50"/>
      <w:jc w:val="left"/>
    </w:pPr>
    <w:rPr>
      <w:rFonts w:ascii="Arial" w:hAnsi="Arial" w:eastAsia="楷体_GB2312" w:cs="宋体"/>
      <w:b/>
      <w:sz w:val="28"/>
      <w:szCs w:val="20"/>
    </w:rPr>
  </w:style>
  <w:style w:type="paragraph" w:customStyle="1" w:styleId="391">
    <w:name w:val="样式 两端对齐 首行缩进:  0.85 厘米"/>
    <w:basedOn w:val="1"/>
    <w:qFormat/>
    <w:uiPriority w:val="0"/>
    <w:pPr>
      <w:tabs>
        <w:tab w:val="left" w:pos="0"/>
      </w:tabs>
      <w:adjustRightInd w:val="0"/>
      <w:snapToGrid w:val="0"/>
      <w:spacing w:line="360" w:lineRule="auto"/>
      <w:ind w:left="340" w:hanging="340"/>
    </w:pPr>
    <w:rPr>
      <w:rFonts w:ascii="Times New Roman" w:hAnsi="Times New Roman" w:eastAsia="楷体_GB2312" w:cs="宋体"/>
      <w:sz w:val="24"/>
      <w:szCs w:val="20"/>
    </w:rPr>
  </w:style>
  <w:style w:type="paragraph" w:customStyle="1" w:styleId="392">
    <w:name w:val="样式 标题 3 + 段前: 0 磅 段后: 0 磅 行距: 1.5 倍行距"/>
    <w:basedOn w:val="4"/>
    <w:qFormat/>
    <w:uiPriority w:val="0"/>
    <w:pPr>
      <w:numPr>
        <w:ilvl w:val="0"/>
        <w:numId w:val="0"/>
      </w:numPr>
      <w:tabs>
        <w:tab w:val="left" w:pos="0"/>
      </w:tabs>
      <w:adjustRightInd/>
      <w:ind w:left="340" w:hanging="340"/>
    </w:pPr>
    <w:rPr>
      <w:rFonts w:eastAsia="黑体" w:cs="宋体"/>
      <w:b w:val="0"/>
      <w:bCs w:val="0"/>
      <w:szCs w:val="20"/>
    </w:rPr>
  </w:style>
  <w:style w:type="paragraph" w:customStyle="1" w:styleId="393">
    <w:name w:val="标注"/>
    <w:basedOn w:val="1"/>
    <w:qFormat/>
    <w:uiPriority w:val="0"/>
    <w:pPr>
      <w:tabs>
        <w:tab w:val="left" w:pos="1069"/>
      </w:tabs>
      <w:spacing w:line="240" w:lineRule="exact"/>
      <w:jc w:val="center"/>
    </w:pPr>
    <w:rPr>
      <w:rFonts w:ascii="宋体" w:hAnsi="宋体"/>
    </w:rPr>
  </w:style>
  <w:style w:type="paragraph" w:customStyle="1" w:styleId="394">
    <w:name w:val="2"/>
    <w:basedOn w:val="1"/>
    <w:next w:val="30"/>
    <w:qFormat/>
    <w:uiPriority w:val="0"/>
    <w:pPr>
      <w:tabs>
        <w:tab w:val="left" w:pos="0"/>
      </w:tabs>
      <w:spacing w:beforeLines="50" w:line="360" w:lineRule="exact"/>
      <w:ind w:left="340" w:hanging="340"/>
      <w:jc w:val="center"/>
    </w:pPr>
    <w:rPr>
      <w:rFonts w:ascii="Times New Roman" w:hAnsi="Times New Roman"/>
      <w:b/>
      <w:szCs w:val="24"/>
    </w:rPr>
  </w:style>
  <w:style w:type="paragraph" w:customStyle="1" w:styleId="395">
    <w:name w:val="1"/>
    <w:basedOn w:val="1"/>
    <w:next w:val="15"/>
    <w:qFormat/>
    <w:uiPriority w:val="0"/>
    <w:pPr>
      <w:tabs>
        <w:tab w:val="left" w:pos="0"/>
      </w:tabs>
      <w:spacing w:line="420" w:lineRule="exact"/>
      <w:ind w:left="340" w:firstLine="480"/>
    </w:pPr>
    <w:rPr>
      <w:rFonts w:ascii="Times New Roman" w:hAnsi="Times New Roman"/>
      <w:szCs w:val="20"/>
    </w:rPr>
  </w:style>
  <w:style w:type="character" w:customStyle="1" w:styleId="396">
    <w:name w:val="unnamednews1"/>
    <w:qFormat/>
    <w:uiPriority w:val="0"/>
    <w:rPr>
      <w:rFonts w:hint="default"/>
      <w:color w:val="000000"/>
      <w:sz w:val="28"/>
      <w:szCs w:val="28"/>
      <w:u w:val="none"/>
    </w:rPr>
  </w:style>
  <w:style w:type="paragraph" w:customStyle="1" w:styleId="397">
    <w:name w:val="样式 标题 2 + (西文) Times New Roman (中文) 宋体 行距: 固定值 20 磅"/>
    <w:basedOn w:val="3"/>
    <w:qFormat/>
    <w:uiPriority w:val="0"/>
    <w:pPr>
      <w:numPr>
        <w:ilvl w:val="0"/>
        <w:numId w:val="0"/>
      </w:numPr>
      <w:tabs>
        <w:tab w:val="left" w:pos="1429"/>
      </w:tabs>
      <w:adjustRightInd/>
      <w:spacing w:before="180" w:after="60" w:line="400" w:lineRule="exact"/>
      <w:ind w:left="709"/>
    </w:pPr>
    <w:rPr>
      <w:rFonts w:ascii="Times New Roman" w:hAnsi="Times New Roman" w:eastAsia="宋体" w:cs="宋体"/>
      <w:b/>
      <w:sz w:val="28"/>
      <w:szCs w:val="20"/>
    </w:rPr>
  </w:style>
  <w:style w:type="paragraph" w:customStyle="1" w:styleId="398">
    <w:name w:val="样式 标题 3 + (中文) 宋体 加粗 左侧:  1.25 厘米 行距: 固定值 20 磅"/>
    <w:basedOn w:val="4"/>
    <w:qFormat/>
    <w:uiPriority w:val="0"/>
    <w:pPr>
      <w:numPr>
        <w:ilvl w:val="0"/>
        <w:numId w:val="0"/>
      </w:numPr>
      <w:tabs>
        <w:tab w:val="left" w:pos="1429"/>
      </w:tabs>
      <w:adjustRightInd/>
      <w:spacing w:before="60" w:line="400" w:lineRule="exact"/>
      <w:ind w:left="709"/>
    </w:pPr>
    <w:rPr>
      <w:rFonts w:cs="宋体"/>
      <w:szCs w:val="20"/>
    </w:rPr>
  </w:style>
  <w:style w:type="paragraph" w:customStyle="1" w:styleId="399">
    <w:name w:val="样式 标题 3 + (中文) 宋体 段前: 0 磅 行距: 固定值 20 磅"/>
    <w:basedOn w:val="4"/>
    <w:qFormat/>
    <w:uiPriority w:val="0"/>
    <w:pPr>
      <w:numPr>
        <w:ilvl w:val="0"/>
        <w:numId w:val="0"/>
      </w:numPr>
      <w:tabs>
        <w:tab w:val="left" w:pos="1429"/>
      </w:tabs>
      <w:adjustRightInd/>
      <w:spacing w:line="400" w:lineRule="exact"/>
      <w:ind w:left="709"/>
    </w:pPr>
    <w:rPr>
      <w:rFonts w:cs="宋体"/>
      <w:b w:val="0"/>
      <w:bCs w:val="0"/>
      <w:szCs w:val="20"/>
    </w:rPr>
  </w:style>
  <w:style w:type="paragraph" w:customStyle="1" w:styleId="400">
    <w:name w:val="样式 目录 1 + 首行缩进:  2 字符"/>
    <w:basedOn w:val="44"/>
    <w:qFormat/>
    <w:uiPriority w:val="0"/>
    <w:rPr>
      <w:rFonts w:eastAsia="宋体" w:cs="宋体" w:asciiTheme="minorHAnsi" w:hAnsiTheme="minorHAnsi"/>
      <w:b w:val="0"/>
      <w:sz w:val="20"/>
      <w:szCs w:val="20"/>
    </w:rPr>
  </w:style>
  <w:style w:type="paragraph" w:customStyle="1" w:styleId="401">
    <w:name w:val="内容"/>
    <w:basedOn w:val="1"/>
    <w:qFormat/>
    <w:uiPriority w:val="0"/>
    <w:pPr>
      <w:spacing w:line="360" w:lineRule="auto"/>
    </w:pPr>
    <w:rPr>
      <w:rFonts w:ascii="Times New Roman" w:hAnsi="Times New Roman"/>
      <w:sz w:val="28"/>
      <w:szCs w:val="20"/>
    </w:rPr>
  </w:style>
  <w:style w:type="paragraph" w:customStyle="1" w:styleId="402">
    <w:name w:val="文本框文字"/>
    <w:basedOn w:val="1"/>
    <w:next w:val="15"/>
    <w:qFormat/>
    <w:uiPriority w:val="0"/>
    <w:pPr>
      <w:jc w:val="center"/>
    </w:pPr>
    <w:rPr>
      <w:rFonts w:ascii="Times New Roman" w:hAnsi="Times New Roman"/>
      <w:szCs w:val="24"/>
    </w:rPr>
  </w:style>
  <w:style w:type="paragraph" w:customStyle="1" w:styleId="403">
    <w:name w:val="符号后文字"/>
    <w:basedOn w:val="15"/>
    <w:qFormat/>
    <w:uiPriority w:val="0"/>
    <w:pPr>
      <w:spacing w:before="62" w:line="400" w:lineRule="exact"/>
      <w:ind w:firstLine="480"/>
      <w:outlineLvl w:val="0"/>
    </w:pPr>
    <w:rPr>
      <w:rFonts w:ascii="Times New Roman" w:hAnsi="Times New Roman"/>
      <w:kern w:val="0"/>
      <w:sz w:val="24"/>
      <w:szCs w:val="20"/>
      <w:u w:val="single"/>
    </w:rPr>
  </w:style>
  <w:style w:type="paragraph" w:customStyle="1" w:styleId="404">
    <w:name w:val="图表名A"/>
    <w:qFormat/>
    <w:uiPriority w:val="0"/>
    <w:pPr>
      <w:tabs>
        <w:tab w:val="left" w:pos="0"/>
      </w:tabs>
      <w:adjustRightInd w:val="0"/>
      <w:snapToGrid w:val="0"/>
      <w:spacing w:beforeLines="50" w:afterLines="50"/>
      <w:jc w:val="center"/>
    </w:pPr>
    <w:rPr>
      <w:rFonts w:ascii="Times New Roman" w:hAnsi="Times New Roman" w:eastAsia="宋体" w:cs="Times New Roman"/>
      <w:b/>
      <w:snapToGrid w:val="0"/>
      <w:sz w:val="24"/>
      <w:lang w:val="en-US" w:eastAsia="zh-CN" w:bidi="ar-SA"/>
    </w:rPr>
  </w:style>
  <w:style w:type="character" w:customStyle="1" w:styleId="405">
    <w:name w:val="a"/>
    <w:basedOn w:val="74"/>
    <w:qFormat/>
    <w:uiPriority w:val="0"/>
  </w:style>
  <w:style w:type="paragraph" w:customStyle="1" w:styleId="406">
    <w:name w:val="xl24"/>
    <w:basedOn w:val="1"/>
    <w:qFormat/>
    <w:uiPriority w:val="0"/>
    <w:pPr>
      <w:widowControl/>
      <w:spacing w:before="100" w:beforeAutospacing="1" w:after="100" w:afterAutospacing="1"/>
      <w:jc w:val="center"/>
    </w:pPr>
    <w:rPr>
      <w:rFonts w:ascii="Arial Unicode MS" w:hAnsi="Arial Unicode MS"/>
      <w:kern w:val="0"/>
      <w:sz w:val="20"/>
      <w:szCs w:val="20"/>
    </w:rPr>
  </w:style>
  <w:style w:type="paragraph" w:customStyle="1" w:styleId="407">
    <w:name w:val="纯文本2"/>
    <w:basedOn w:val="1"/>
    <w:next w:val="35"/>
    <w:qFormat/>
    <w:uiPriority w:val="0"/>
    <w:pPr>
      <w:adjustRightInd w:val="0"/>
      <w:spacing w:line="312" w:lineRule="atLeast"/>
      <w:textAlignment w:val="baseline"/>
    </w:pPr>
    <w:rPr>
      <w:rFonts w:ascii="宋体" w:hAnsi="Courier New" w:cs="Courier New"/>
    </w:rPr>
  </w:style>
  <w:style w:type="paragraph" w:customStyle="1" w:styleId="408">
    <w:name w:val="公式"/>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409">
    <w:name w:val="符号后文字2"/>
    <w:basedOn w:val="1"/>
    <w:qFormat/>
    <w:uiPriority w:val="0"/>
    <w:pPr>
      <w:tabs>
        <w:tab w:val="left" w:pos="1191"/>
      </w:tabs>
      <w:spacing w:beforeLines="20" w:line="400" w:lineRule="exact"/>
      <w:ind w:left="1191" w:hanging="1191"/>
    </w:pPr>
    <w:rPr>
      <w:rFonts w:ascii="Times New Roman" w:hAnsi="Times New Roman"/>
      <w:sz w:val="24"/>
      <w:szCs w:val="24"/>
    </w:rPr>
  </w:style>
  <w:style w:type="paragraph" w:customStyle="1" w:styleId="410">
    <w:name w:val="5"/>
    <w:basedOn w:val="1"/>
    <w:next w:val="35"/>
    <w:qFormat/>
    <w:uiPriority w:val="0"/>
    <w:pPr>
      <w:adjustRightInd w:val="0"/>
      <w:spacing w:line="312" w:lineRule="atLeast"/>
      <w:textAlignment w:val="baseline"/>
    </w:pPr>
    <w:rPr>
      <w:rFonts w:ascii="宋体" w:hAnsi="Courier New" w:cs="Courier New"/>
    </w:rPr>
  </w:style>
  <w:style w:type="paragraph" w:customStyle="1" w:styleId="411">
    <w:name w:val="符号 Char"/>
    <w:basedOn w:val="25"/>
    <w:link w:val="412"/>
    <w:qFormat/>
    <w:uiPriority w:val="0"/>
    <w:pPr>
      <w:widowControl/>
      <w:tabs>
        <w:tab w:val="left" w:pos="280"/>
        <w:tab w:val="left" w:pos="560"/>
      </w:tabs>
      <w:spacing w:after="0" w:line="360" w:lineRule="auto"/>
      <w:ind w:firstLine="480" w:firstLineChars="200"/>
    </w:pPr>
    <w:rPr>
      <w:rFonts w:ascii="新宋体" w:hAnsi="Times New Roman" w:eastAsia="新宋体"/>
      <w:iCs/>
      <w:kern w:val="0"/>
      <w:sz w:val="24"/>
      <w:szCs w:val="24"/>
    </w:rPr>
  </w:style>
  <w:style w:type="character" w:customStyle="1" w:styleId="412">
    <w:name w:val="符号 Char Char"/>
    <w:link w:val="411"/>
    <w:qFormat/>
    <w:uiPriority w:val="0"/>
    <w:rPr>
      <w:rFonts w:ascii="新宋体" w:eastAsia="新宋体"/>
      <w:iCs/>
      <w:sz w:val="24"/>
      <w:szCs w:val="24"/>
    </w:rPr>
  </w:style>
  <w:style w:type="paragraph" w:customStyle="1" w:styleId="413">
    <w:name w:val="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14">
    <w:name w:val="Char Char Char Char Char Char Char Char Char2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15">
    <w:name w:val="正文（首行缩进两字）"/>
    <w:qFormat/>
    <w:uiPriority w:val="0"/>
    <w:rPr>
      <w:rFonts w:eastAsia="宋体"/>
      <w:kern w:val="2"/>
      <w:sz w:val="21"/>
      <w:lang w:val="en-US" w:eastAsia="zh-CN" w:bidi="ar-SA"/>
    </w:rPr>
  </w:style>
  <w:style w:type="paragraph" w:customStyle="1" w:styleId="416">
    <w:name w:val="12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17">
    <w:name w:val="黑体"/>
    <w:basedOn w:val="1"/>
    <w:next w:val="388"/>
    <w:qFormat/>
    <w:uiPriority w:val="0"/>
    <w:pPr>
      <w:tabs>
        <w:tab w:val="left" w:pos="785"/>
      </w:tabs>
      <w:spacing w:afterLines="20" w:line="400" w:lineRule="exact"/>
      <w:ind w:left="-29" w:firstLine="454"/>
    </w:pPr>
    <w:rPr>
      <w:rFonts w:ascii="Times New Roman" w:hAnsi="Times New Roman"/>
      <w:color w:val="FF0000"/>
      <w:sz w:val="24"/>
      <w:szCs w:val="24"/>
    </w:rPr>
  </w:style>
  <w:style w:type="character" w:customStyle="1" w:styleId="418">
    <w:name w:val="表格 Char"/>
    <w:link w:val="113"/>
    <w:qFormat/>
    <w:uiPriority w:val="0"/>
    <w:rPr>
      <w:rFonts w:ascii="宋体" w:hAnsi="宋体" w:cs="宋体"/>
      <w:sz w:val="21"/>
      <w:szCs w:val="21"/>
    </w:rPr>
  </w:style>
  <w:style w:type="paragraph" w:customStyle="1" w:styleId="419">
    <w:name w:val="符号"/>
    <w:basedOn w:val="25"/>
    <w:qFormat/>
    <w:uiPriority w:val="0"/>
    <w:pPr>
      <w:widowControl/>
      <w:tabs>
        <w:tab w:val="left" w:pos="280"/>
        <w:tab w:val="left" w:pos="560"/>
      </w:tabs>
      <w:spacing w:after="0" w:line="360" w:lineRule="auto"/>
      <w:ind w:firstLine="480" w:firstLineChars="200"/>
    </w:pPr>
    <w:rPr>
      <w:rFonts w:ascii="新宋体" w:hAnsi="Times New Roman" w:eastAsia="新宋体"/>
      <w:iCs/>
      <w:kern w:val="0"/>
      <w:sz w:val="24"/>
      <w:szCs w:val="24"/>
    </w:rPr>
  </w:style>
  <w:style w:type="paragraph" w:customStyle="1" w:styleId="420">
    <w:name w:val="样式 正文文本正文文字 + 居中 段后: 0 磅 行距: 最小值 12 磅"/>
    <w:basedOn w:val="25"/>
    <w:qFormat/>
    <w:uiPriority w:val="0"/>
    <w:pPr>
      <w:spacing w:after="0" w:line="240" w:lineRule="atLeast"/>
      <w:jc w:val="center"/>
    </w:pPr>
    <w:rPr>
      <w:rFonts w:ascii="Times New Roman" w:hAnsi="Times New Roman"/>
      <w:kern w:val="0"/>
      <w:sz w:val="20"/>
      <w:szCs w:val="20"/>
    </w:rPr>
  </w:style>
  <w:style w:type="paragraph" w:customStyle="1" w:styleId="421">
    <w:name w:val="7"/>
    <w:basedOn w:val="1"/>
    <w:next w:val="25"/>
    <w:qFormat/>
    <w:uiPriority w:val="0"/>
    <w:pPr>
      <w:spacing w:line="240" w:lineRule="atLeast"/>
      <w:jc w:val="center"/>
    </w:pPr>
    <w:rPr>
      <w:rFonts w:ascii="Times New Roman" w:hAnsi="Times New Roman"/>
      <w:szCs w:val="24"/>
    </w:rPr>
  </w:style>
  <w:style w:type="character" w:customStyle="1" w:styleId="422">
    <w:name w:val="正文文本4"/>
    <w:qFormat/>
    <w:uiPriority w:val="0"/>
    <w:rPr>
      <w:rFonts w:eastAsia="宋体"/>
      <w:kern w:val="2"/>
      <w:sz w:val="21"/>
      <w:szCs w:val="24"/>
      <w:lang w:val="en-US" w:eastAsia="zh-CN" w:bidi="ar-SA"/>
    </w:rPr>
  </w:style>
  <w:style w:type="character" w:customStyle="1" w:styleId="423">
    <w:name w:val="tpc_content1"/>
    <w:qFormat/>
    <w:uiPriority w:val="0"/>
    <w:rPr>
      <w:sz w:val="20"/>
      <w:szCs w:val="20"/>
    </w:rPr>
  </w:style>
  <w:style w:type="character" w:customStyle="1" w:styleId="424">
    <w:name w:val="正文非缩进 Char"/>
    <w:qFormat/>
    <w:uiPriority w:val="0"/>
    <w:rPr>
      <w:rFonts w:eastAsia="宋体"/>
      <w:kern w:val="2"/>
      <w:sz w:val="21"/>
      <w:lang w:val="en-US" w:eastAsia="zh-CN" w:bidi="ar-SA"/>
    </w:rPr>
  </w:style>
  <w:style w:type="paragraph" w:customStyle="1" w:styleId="425">
    <w:name w:val="12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26">
    <w:name w:val="正文缩进1"/>
    <w:qFormat/>
    <w:uiPriority w:val="0"/>
    <w:rPr>
      <w:rFonts w:eastAsia="宋体"/>
      <w:kern w:val="2"/>
      <w:sz w:val="24"/>
      <w:lang w:val="en-US" w:eastAsia="zh-CN" w:bidi="ar-SA"/>
    </w:rPr>
  </w:style>
  <w:style w:type="character" w:customStyle="1" w:styleId="427">
    <w:name w:val="0"/>
    <w:qFormat/>
    <w:uiPriority w:val="0"/>
    <w:rPr>
      <w:sz w:val="18"/>
    </w:rPr>
  </w:style>
  <w:style w:type="paragraph" w:customStyle="1" w:styleId="428">
    <w:name w:val="正文(首行缩进)"/>
    <w:basedOn w:val="1"/>
    <w:qFormat/>
    <w:uiPriority w:val="0"/>
    <w:pPr>
      <w:spacing w:line="360" w:lineRule="auto"/>
      <w:ind w:firstLine="480" w:firstLineChars="200"/>
    </w:pPr>
    <w:rPr>
      <w:rFonts w:ascii="宋体" w:hAnsi="宋体"/>
      <w:kern w:val="24"/>
      <w:sz w:val="24"/>
      <w:szCs w:val="20"/>
    </w:rPr>
  </w:style>
  <w:style w:type="paragraph" w:customStyle="1" w:styleId="429">
    <w:name w:val="Char Char Char Char Char Char Char Char Char2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30">
    <w:name w:val="表格11"/>
    <w:basedOn w:val="1"/>
    <w:qFormat/>
    <w:uiPriority w:val="0"/>
    <w:pPr>
      <w:snapToGrid w:val="0"/>
      <w:jc w:val="center"/>
    </w:pPr>
    <w:rPr>
      <w:rFonts w:ascii="Times New Roman" w:hAnsi="Times New Roman"/>
      <w:kern w:val="0"/>
    </w:rPr>
  </w:style>
  <w:style w:type="paragraph" w:customStyle="1" w:styleId="431">
    <w:name w:val="样式 正文文本正文文字 Char"/>
    <w:basedOn w:val="25"/>
    <w:qFormat/>
    <w:uiPriority w:val="0"/>
    <w:pPr>
      <w:spacing w:after="0" w:line="240" w:lineRule="atLeast"/>
      <w:jc w:val="center"/>
    </w:pPr>
    <w:rPr>
      <w:rFonts w:ascii="Times New Roman" w:hAnsi="Times New Roman"/>
      <w:bCs/>
      <w:kern w:val="0"/>
      <w:sz w:val="20"/>
      <w:szCs w:val="24"/>
    </w:rPr>
  </w:style>
  <w:style w:type="paragraph" w:customStyle="1" w:styleId="432">
    <w:name w:val="正文文本1 Char1 Char Char Char Char Char Char Char"/>
    <w:basedOn w:val="1"/>
    <w:next w:val="25"/>
    <w:qFormat/>
    <w:uiPriority w:val="0"/>
    <w:pPr>
      <w:spacing w:line="240" w:lineRule="atLeast"/>
      <w:jc w:val="center"/>
    </w:pPr>
    <w:rPr>
      <w:rFonts w:ascii="Times New Roman" w:hAnsi="Times New Roman"/>
      <w:szCs w:val="24"/>
    </w:rPr>
  </w:style>
  <w:style w:type="paragraph" w:customStyle="1" w:styleId="433">
    <w:name w:val="样式 正文文本正文文字"/>
    <w:basedOn w:val="25"/>
    <w:qFormat/>
    <w:uiPriority w:val="0"/>
    <w:pPr>
      <w:spacing w:after="0" w:line="240" w:lineRule="atLeast"/>
      <w:jc w:val="center"/>
    </w:pPr>
    <w:rPr>
      <w:rFonts w:ascii="Times New Roman" w:hAnsi="Times New Roman"/>
      <w:bCs/>
      <w:kern w:val="0"/>
      <w:sz w:val="20"/>
      <w:szCs w:val="24"/>
    </w:rPr>
  </w:style>
  <w:style w:type="character" w:customStyle="1" w:styleId="434">
    <w:name w:val="viewinfo"/>
    <w:qFormat/>
    <w:uiPriority w:val="0"/>
    <w:rPr>
      <w:rFonts w:hint="default"/>
      <w:sz w:val="18"/>
      <w:szCs w:val="18"/>
      <w:u w:val="none"/>
    </w:rPr>
  </w:style>
  <w:style w:type="paragraph" w:customStyle="1" w:styleId="435">
    <w:name w:val="下划线"/>
    <w:basedOn w:val="1"/>
    <w:next w:val="1"/>
    <w:qFormat/>
    <w:uiPriority w:val="0"/>
    <w:pPr>
      <w:spacing w:beforeLines="50" w:line="400" w:lineRule="exact"/>
      <w:ind w:firstLine="480" w:firstLineChars="200"/>
    </w:pPr>
    <w:rPr>
      <w:rFonts w:ascii="Times New Roman" w:hAnsi="Times New Roman"/>
      <w:bCs/>
      <w:color w:val="000000"/>
      <w:sz w:val="24"/>
      <w:szCs w:val="24"/>
    </w:rPr>
  </w:style>
  <w:style w:type="paragraph" w:customStyle="1" w:styleId="436">
    <w:name w:val="8"/>
    <w:basedOn w:val="1"/>
    <w:next w:val="27"/>
    <w:qFormat/>
    <w:uiPriority w:val="0"/>
    <w:pPr>
      <w:spacing w:afterLines="20" w:line="400" w:lineRule="exact"/>
      <w:ind w:firstLine="480" w:firstLineChars="200"/>
    </w:pPr>
    <w:rPr>
      <w:rFonts w:ascii="Times New Roman" w:hAnsi="Times New Roman"/>
      <w:sz w:val="24"/>
      <w:szCs w:val="24"/>
    </w:rPr>
  </w:style>
  <w:style w:type="character" w:customStyle="1" w:styleId="437">
    <w:name w:val="样式 黑色"/>
    <w:qFormat/>
    <w:uiPriority w:val="0"/>
    <w:rPr>
      <w:rFonts w:eastAsia="宋体"/>
      <w:color w:val="000000"/>
      <w:sz w:val="24"/>
      <w:szCs w:val="24"/>
      <w:u w:val="none"/>
      <w:vertAlign w:val="baseline"/>
    </w:rPr>
  </w:style>
  <w:style w:type="character" w:customStyle="1" w:styleId="438">
    <w:name w:val="title1"/>
    <w:basedOn w:val="74"/>
    <w:qFormat/>
    <w:uiPriority w:val="0"/>
  </w:style>
  <w:style w:type="paragraph" w:customStyle="1" w:styleId="439">
    <w:name w:val="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40">
    <w:name w:val="图表"/>
    <w:basedOn w:val="57"/>
    <w:next w:val="1"/>
    <w:qFormat/>
    <w:uiPriority w:val="0"/>
    <w:pPr>
      <w:spacing w:beforeLines="50" w:line="240" w:lineRule="auto"/>
      <w:ind w:left="0"/>
    </w:pPr>
    <w:rPr>
      <w:bCs/>
      <w:sz w:val="24"/>
      <w:szCs w:val="24"/>
    </w:rPr>
  </w:style>
  <w:style w:type="character" w:customStyle="1" w:styleId="441">
    <w:name w:val="zhengw1"/>
    <w:qFormat/>
    <w:uiPriority w:val="0"/>
    <w:rPr>
      <w:rFonts w:hint="default"/>
      <w:sz w:val="24"/>
      <w:szCs w:val="24"/>
    </w:rPr>
  </w:style>
  <w:style w:type="paragraph" w:customStyle="1" w:styleId="442">
    <w:name w:val="样式 标题 2 + 段前: 0.5 行 段后: 0.5 行"/>
    <w:basedOn w:val="3"/>
    <w:qFormat/>
    <w:uiPriority w:val="0"/>
    <w:pPr>
      <w:numPr>
        <w:ilvl w:val="0"/>
        <w:numId w:val="0"/>
      </w:numPr>
      <w:tabs>
        <w:tab w:val="left" w:pos="576"/>
      </w:tabs>
      <w:adjustRightInd/>
      <w:snapToGrid/>
      <w:spacing w:before="120" w:after="120" w:line="400" w:lineRule="exact"/>
      <w:ind w:left="576" w:hanging="576"/>
    </w:pPr>
    <w:rPr>
      <w:rFonts w:ascii="Times New Roman" w:hAnsi="Times New Roman"/>
      <w:bCs w:val="0"/>
      <w:sz w:val="28"/>
    </w:rPr>
  </w:style>
  <w:style w:type="character" w:customStyle="1" w:styleId="443">
    <w:name w:val="dectext1"/>
    <w:qFormat/>
    <w:uiPriority w:val="0"/>
    <w:rPr>
      <w:rFonts w:hint="eastAsia" w:ascii="宋体" w:hAnsi="宋体" w:eastAsia="宋体"/>
      <w:color w:val="333333"/>
      <w:sz w:val="18"/>
      <w:szCs w:val="18"/>
      <w:u w:val="none"/>
    </w:rPr>
  </w:style>
  <w:style w:type="paragraph" w:customStyle="1" w:styleId="444">
    <w:name w:val="ST20_5"/>
    <w:qFormat/>
    <w:uiPriority w:val="0"/>
    <w:pPr>
      <w:widowControl w:val="0"/>
      <w:autoSpaceDE w:val="0"/>
      <w:autoSpaceDN w:val="0"/>
      <w:adjustRightInd w:val="0"/>
      <w:jc w:val="both"/>
      <w:textAlignment w:val="baseline"/>
    </w:pPr>
    <w:rPr>
      <w:rFonts w:ascii="宋体" w:hAnsi="Tms Rmn" w:eastAsia="宋体" w:cs="Times New Roman"/>
      <w:sz w:val="21"/>
      <w:lang w:val="en-US" w:eastAsia="zh-CN" w:bidi="ar-SA"/>
    </w:rPr>
  </w:style>
  <w:style w:type="character" w:customStyle="1" w:styleId="445">
    <w:name w:val="正文文本3"/>
    <w:qFormat/>
    <w:uiPriority w:val="0"/>
    <w:rPr>
      <w:rFonts w:eastAsia="宋体"/>
      <w:kern w:val="2"/>
      <w:sz w:val="21"/>
      <w:szCs w:val="24"/>
      <w:lang w:val="en-US" w:eastAsia="zh-CN" w:bidi="ar-SA"/>
    </w:rPr>
  </w:style>
  <w:style w:type="character" w:customStyle="1" w:styleId="446">
    <w:name w:val="样式 正文文本正文文字 Char Char"/>
    <w:qFormat/>
    <w:uiPriority w:val="0"/>
    <w:rPr>
      <w:rFonts w:eastAsia="宋体"/>
      <w:bCs/>
      <w:kern w:val="2"/>
      <w:sz w:val="21"/>
      <w:szCs w:val="24"/>
      <w:lang w:val="en-US" w:eastAsia="zh-CN" w:bidi="ar-SA"/>
    </w:rPr>
  </w:style>
  <w:style w:type="paragraph" w:customStyle="1" w:styleId="4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kern w:val="0"/>
      <w:sz w:val="20"/>
      <w:szCs w:val="20"/>
    </w:rPr>
  </w:style>
  <w:style w:type="paragraph" w:customStyle="1" w:styleId="448">
    <w:name w:val="6"/>
    <w:basedOn w:val="1"/>
    <w:next w:val="25"/>
    <w:qFormat/>
    <w:uiPriority w:val="0"/>
    <w:pPr>
      <w:spacing w:line="240" w:lineRule="atLeast"/>
      <w:jc w:val="center"/>
    </w:pPr>
    <w:rPr>
      <w:rFonts w:ascii="Times New Roman" w:hAnsi="Times New Roman"/>
      <w:szCs w:val="24"/>
    </w:rPr>
  </w:style>
  <w:style w:type="paragraph" w:customStyle="1" w:styleId="449">
    <w:name w:val="Char1"/>
    <w:basedOn w:val="1"/>
    <w:link w:val="620"/>
    <w:qFormat/>
    <w:uiPriority w:val="0"/>
    <w:pPr>
      <w:spacing w:line="360" w:lineRule="auto"/>
      <w:ind w:firstLine="200" w:firstLineChars="200"/>
    </w:pPr>
    <w:rPr>
      <w:rFonts w:ascii="宋体" w:hAnsi="宋体"/>
      <w:kern w:val="0"/>
      <w:sz w:val="24"/>
      <w:szCs w:val="24"/>
    </w:rPr>
  </w:style>
  <w:style w:type="paragraph" w:customStyle="1" w:styleId="450">
    <w:name w:val="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51">
    <w:name w:val="正文居中"/>
    <w:basedOn w:val="1"/>
    <w:qFormat/>
    <w:uiPriority w:val="0"/>
    <w:pPr>
      <w:adjustRightInd w:val="0"/>
      <w:snapToGrid w:val="0"/>
      <w:jc w:val="center"/>
    </w:pPr>
    <w:rPr>
      <w:rFonts w:ascii="Times New Roman" w:hAnsi="Times New Roman"/>
      <w:sz w:val="24"/>
      <w:szCs w:val="24"/>
    </w:rPr>
  </w:style>
  <w:style w:type="paragraph" w:customStyle="1" w:styleId="452">
    <w:name w:val="正文首行缩进:2字符"/>
    <w:basedOn w:val="1"/>
    <w:qFormat/>
    <w:uiPriority w:val="0"/>
    <w:pPr>
      <w:ind w:firstLine="560" w:firstLineChars="200"/>
    </w:pPr>
    <w:rPr>
      <w:rFonts w:ascii="Times New Roman" w:hAnsi="Times New Roman" w:cs="宋体"/>
      <w:sz w:val="28"/>
      <w:szCs w:val="20"/>
    </w:rPr>
  </w:style>
  <w:style w:type="paragraph" w:customStyle="1" w:styleId="453">
    <w:name w:val="Char Char Char"/>
    <w:basedOn w:val="1"/>
    <w:qFormat/>
    <w:uiPriority w:val="0"/>
    <w:pPr>
      <w:spacing w:line="360" w:lineRule="auto"/>
      <w:ind w:firstLine="200" w:firstLineChars="200"/>
    </w:pPr>
    <w:rPr>
      <w:rFonts w:ascii="宋体" w:hAnsi="宋体" w:cs="宋体"/>
      <w:sz w:val="24"/>
      <w:szCs w:val="24"/>
    </w:rPr>
  </w:style>
  <w:style w:type="paragraph" w:customStyle="1" w:styleId="454">
    <w:name w:val="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55">
    <w:name w:val="highlight1"/>
    <w:qFormat/>
    <w:uiPriority w:val="0"/>
    <w:rPr>
      <w:sz w:val="21"/>
      <w:szCs w:val="21"/>
    </w:rPr>
  </w:style>
  <w:style w:type="paragraph" w:customStyle="1" w:styleId="456">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57">
    <w:name w:val="12 Char Char Char Char"/>
    <w:basedOn w:val="1"/>
    <w:qFormat/>
    <w:uiPriority w:val="0"/>
    <w:pPr>
      <w:spacing w:line="360" w:lineRule="auto"/>
      <w:ind w:firstLine="200" w:firstLineChars="200"/>
    </w:pPr>
    <w:rPr>
      <w:rFonts w:ascii="宋体" w:hAnsi="宋体" w:cs="宋体"/>
      <w:sz w:val="24"/>
      <w:szCs w:val="24"/>
    </w:rPr>
  </w:style>
  <w:style w:type="paragraph" w:customStyle="1" w:styleId="458">
    <w:name w:val="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59">
    <w:name w:val="Char Char Char Char Char Char1 Char Char Char1 Char"/>
    <w:basedOn w:val="1"/>
    <w:qFormat/>
    <w:uiPriority w:val="0"/>
    <w:pPr>
      <w:adjustRightInd w:val="0"/>
      <w:snapToGrid w:val="0"/>
      <w:spacing w:line="360" w:lineRule="auto"/>
      <w:ind w:left="5652" w:firstLine="360" w:firstLineChars="200"/>
      <w:jc w:val="left"/>
    </w:pPr>
    <w:rPr>
      <w:rFonts w:ascii="仿宋_GB2312" w:hAnsi="仿宋_GB2312" w:eastAsia="仿宋_GB2312" w:cs="宋体"/>
      <w:sz w:val="24"/>
      <w:szCs w:val="24"/>
    </w:rPr>
  </w:style>
  <w:style w:type="paragraph" w:customStyle="1" w:styleId="460">
    <w:name w:val="报告正文"/>
    <w:basedOn w:val="1"/>
    <w:qFormat/>
    <w:uiPriority w:val="0"/>
    <w:pPr>
      <w:spacing w:before="50" w:line="360" w:lineRule="auto"/>
      <w:ind w:firstLine="540"/>
    </w:pPr>
    <w:rPr>
      <w:rFonts w:ascii="Times New Roman" w:hAnsi="Times New Roman"/>
      <w:sz w:val="24"/>
      <w:szCs w:val="24"/>
    </w:rPr>
  </w:style>
  <w:style w:type="character" w:customStyle="1" w:styleId="461">
    <w:name w:val="Char5 Char Char"/>
    <w:qFormat/>
    <w:uiPriority w:val="0"/>
    <w:rPr>
      <w:rFonts w:eastAsia="宋体"/>
      <w:kern w:val="2"/>
      <w:sz w:val="18"/>
      <w:lang w:val="en-US" w:eastAsia="zh-CN" w:bidi="ar-SA"/>
    </w:rPr>
  </w:style>
  <w:style w:type="paragraph" w:customStyle="1" w:styleId="462">
    <w:name w:val="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63">
    <w:name w:val="正文文字 3 Char Char Char"/>
    <w:qFormat/>
    <w:uiPriority w:val="0"/>
    <w:rPr>
      <w:rFonts w:eastAsia="宋体"/>
      <w:kern w:val="2"/>
      <w:sz w:val="21"/>
      <w:lang w:val="en-US" w:eastAsia="zh-CN" w:bidi="ar-SA"/>
    </w:rPr>
  </w:style>
  <w:style w:type="character" w:customStyle="1" w:styleId="464">
    <w:name w:val="纯文本2 Char"/>
    <w:qFormat/>
    <w:uiPriority w:val="0"/>
    <w:rPr>
      <w:rFonts w:ascii="宋体" w:hAnsi="Courier New" w:eastAsia="宋体"/>
      <w:kern w:val="2"/>
      <w:sz w:val="21"/>
      <w:lang w:val="en-US" w:eastAsia="zh-CN" w:bidi="ar-SA"/>
    </w:rPr>
  </w:style>
  <w:style w:type="character" w:customStyle="1" w:styleId="465">
    <w:name w:val="普通文字1"/>
    <w:qFormat/>
    <w:uiPriority w:val="0"/>
    <w:rPr>
      <w:rFonts w:ascii="宋体" w:hAnsi="Courier New" w:eastAsia="宋体"/>
      <w:kern w:val="2"/>
      <w:sz w:val="21"/>
      <w:lang w:val="en-US" w:eastAsia="zh-CN" w:bidi="ar-SA"/>
    </w:rPr>
  </w:style>
  <w:style w:type="paragraph" w:customStyle="1" w:styleId="466">
    <w:name w:val="黑宋体"/>
    <w:basedOn w:val="5"/>
    <w:qFormat/>
    <w:uiPriority w:val="0"/>
    <w:pPr>
      <w:numPr>
        <w:ilvl w:val="0"/>
        <w:numId w:val="0"/>
      </w:numPr>
      <w:tabs>
        <w:tab w:val="left" w:pos="720"/>
      </w:tabs>
      <w:adjustRightInd/>
      <w:snapToGrid/>
      <w:spacing w:afterLines="50" w:line="300" w:lineRule="auto"/>
      <w:ind w:firstLine="482" w:firstLineChars="200"/>
      <w:jc w:val="left"/>
      <w:textAlignment w:val="baseline"/>
      <w:outlineLvl w:val="9"/>
    </w:pPr>
    <w:rPr>
      <w:rFonts w:ascii="楷体_GB2312" w:eastAsia="楷体_GB2312"/>
      <w:bCs w:val="0"/>
      <w:color w:val="000000"/>
      <w:kern w:val="0"/>
    </w:rPr>
  </w:style>
  <w:style w:type="paragraph" w:customStyle="1" w:styleId="467">
    <w:name w:val="18"/>
    <w:basedOn w:val="1"/>
    <w:next w:val="30"/>
    <w:qFormat/>
    <w:uiPriority w:val="0"/>
    <w:pPr>
      <w:adjustRightInd w:val="0"/>
      <w:spacing w:afterLines="20" w:line="400" w:lineRule="exact"/>
      <w:jc w:val="center"/>
      <w:textAlignment w:val="baseline"/>
    </w:pPr>
    <w:rPr>
      <w:rFonts w:ascii="Times New Roman" w:hAnsi="Times New Roman"/>
      <w:b/>
      <w:szCs w:val="24"/>
    </w:rPr>
  </w:style>
  <w:style w:type="paragraph" w:customStyle="1" w:styleId="468">
    <w:name w:val="17"/>
    <w:basedOn w:val="1"/>
    <w:next w:val="30"/>
    <w:qFormat/>
    <w:uiPriority w:val="0"/>
    <w:pPr>
      <w:adjustRightInd w:val="0"/>
      <w:spacing w:afterLines="20" w:line="400" w:lineRule="exact"/>
      <w:jc w:val="center"/>
      <w:textAlignment w:val="baseline"/>
    </w:pPr>
    <w:rPr>
      <w:rFonts w:ascii="Times New Roman" w:hAnsi="Times New Roman"/>
      <w:b/>
      <w:szCs w:val="24"/>
    </w:rPr>
  </w:style>
  <w:style w:type="paragraph" w:customStyle="1" w:styleId="469">
    <w:name w:val="16"/>
    <w:basedOn w:val="1"/>
    <w:next w:val="30"/>
    <w:qFormat/>
    <w:uiPriority w:val="0"/>
    <w:pPr>
      <w:adjustRightInd w:val="0"/>
      <w:spacing w:afterLines="20" w:line="400" w:lineRule="exact"/>
      <w:jc w:val="center"/>
      <w:textAlignment w:val="baseline"/>
    </w:pPr>
    <w:rPr>
      <w:rFonts w:ascii="Times New Roman" w:hAnsi="Times New Roman"/>
      <w:b/>
      <w:szCs w:val="24"/>
    </w:rPr>
  </w:style>
  <w:style w:type="paragraph" w:customStyle="1" w:styleId="470">
    <w:name w:val="样式 标题 3 + (中文) 宋体"/>
    <w:basedOn w:val="4"/>
    <w:qFormat/>
    <w:uiPriority w:val="0"/>
    <w:pPr>
      <w:numPr>
        <w:ilvl w:val="0"/>
        <w:numId w:val="0"/>
      </w:numPr>
      <w:adjustRightInd/>
      <w:snapToGrid/>
      <w:spacing w:before="120" w:after="60" w:line="500" w:lineRule="exact"/>
      <w:jc w:val="left"/>
    </w:pPr>
    <w:rPr>
      <w:b w:val="0"/>
      <w:szCs w:val="24"/>
    </w:rPr>
  </w:style>
  <w:style w:type="paragraph" w:customStyle="1" w:styleId="471">
    <w:name w:val="正文文本缩进 21"/>
    <w:basedOn w:val="1"/>
    <w:qFormat/>
    <w:uiPriority w:val="0"/>
    <w:pPr>
      <w:autoSpaceDE w:val="0"/>
      <w:autoSpaceDN w:val="0"/>
      <w:adjustRightInd w:val="0"/>
      <w:ind w:firstLine="510"/>
      <w:jc w:val="left"/>
      <w:textAlignment w:val="baseline"/>
    </w:pPr>
    <w:rPr>
      <w:rFonts w:ascii="Times New Roman" w:hAnsi="Times New Roman"/>
      <w:kern w:val="0"/>
      <w:sz w:val="24"/>
      <w:szCs w:val="20"/>
    </w:rPr>
  </w:style>
  <w:style w:type="paragraph" w:customStyle="1" w:styleId="472">
    <w:name w:val="xl32"/>
    <w:basedOn w:val="1"/>
    <w:qFormat/>
    <w:uiPriority w:val="0"/>
    <w:pPr>
      <w:widowControl/>
      <w:spacing w:before="100" w:beforeAutospacing="1" w:after="100" w:afterAutospacing="1"/>
      <w:jc w:val="center"/>
      <w:textAlignment w:val="center"/>
    </w:pPr>
    <w:rPr>
      <w:rFonts w:hint="eastAsia" w:ascii="宋体" w:hAnsi="宋体"/>
      <w:kern w:val="0"/>
      <w:sz w:val="24"/>
      <w:szCs w:val="24"/>
    </w:rPr>
  </w:style>
  <w:style w:type="paragraph" w:customStyle="1" w:styleId="47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5">
    <w:name w:val="xl3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7">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8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8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8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83">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484">
    <w:name w:val="xl44"/>
    <w:basedOn w:val="1"/>
    <w:qFormat/>
    <w:uiPriority w:val="0"/>
    <w:pPr>
      <w:widowControl/>
      <w:spacing w:before="100" w:beforeAutospacing="1" w:after="100" w:afterAutospacing="1"/>
      <w:jc w:val="center"/>
      <w:textAlignment w:val="center"/>
    </w:pPr>
    <w:rPr>
      <w:rFonts w:hint="eastAsia" w:ascii="宋体" w:hAnsi="宋体"/>
      <w:kern w:val="0"/>
      <w:sz w:val="22"/>
      <w:szCs w:val="22"/>
    </w:rPr>
  </w:style>
  <w:style w:type="paragraph" w:customStyle="1" w:styleId="4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FF"/>
      <w:kern w:val="0"/>
      <w:sz w:val="22"/>
      <w:szCs w:val="22"/>
    </w:rPr>
  </w:style>
  <w:style w:type="paragraph" w:customStyle="1" w:styleId="48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FF"/>
      <w:kern w:val="0"/>
      <w:sz w:val="22"/>
      <w:szCs w:val="22"/>
    </w:rPr>
  </w:style>
  <w:style w:type="paragraph" w:customStyle="1" w:styleId="48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FF"/>
      <w:kern w:val="0"/>
      <w:sz w:val="22"/>
      <w:szCs w:val="22"/>
    </w:rPr>
  </w:style>
  <w:style w:type="paragraph" w:customStyle="1" w:styleId="488">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8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1">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00"/>
      <w:kern w:val="0"/>
      <w:sz w:val="22"/>
      <w:szCs w:val="22"/>
    </w:rPr>
  </w:style>
  <w:style w:type="paragraph" w:customStyle="1" w:styleId="493">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4">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495">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hint="eastAsia" w:ascii="宋体" w:hAnsi="宋体"/>
      <w:kern w:val="0"/>
      <w:sz w:val="22"/>
      <w:szCs w:val="22"/>
    </w:rPr>
  </w:style>
  <w:style w:type="paragraph" w:customStyle="1" w:styleId="496">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97">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98">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99">
    <w:name w:val="xl5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0">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1">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502">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503">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4">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50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olor w:val="FF0000"/>
      <w:kern w:val="0"/>
      <w:sz w:val="22"/>
      <w:szCs w:val="22"/>
    </w:rPr>
  </w:style>
  <w:style w:type="paragraph" w:customStyle="1" w:styleId="50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508">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color w:val="FF0000"/>
      <w:kern w:val="0"/>
      <w:sz w:val="20"/>
      <w:szCs w:val="20"/>
    </w:rPr>
  </w:style>
  <w:style w:type="paragraph" w:customStyle="1" w:styleId="509">
    <w:name w:val="xl31"/>
    <w:basedOn w:val="1"/>
    <w:qFormat/>
    <w:uiPriority w:val="0"/>
    <w:pPr>
      <w:widowControl/>
      <w:spacing w:before="100" w:beforeAutospacing="1" w:after="100" w:afterAutospacing="1"/>
      <w:jc w:val="left"/>
      <w:textAlignment w:val="center"/>
    </w:pPr>
    <w:rPr>
      <w:rFonts w:ascii="Arial Unicode MS" w:hAnsi="Arial Unicode MS"/>
      <w:kern w:val="0"/>
      <w:sz w:val="24"/>
      <w:szCs w:val="24"/>
    </w:rPr>
  </w:style>
  <w:style w:type="paragraph" w:customStyle="1" w:styleId="510">
    <w:name w:val="表格 Char Char"/>
    <w:basedOn w:val="1"/>
    <w:qFormat/>
    <w:uiPriority w:val="0"/>
    <w:pPr>
      <w:widowControl/>
      <w:adjustRightInd w:val="0"/>
      <w:snapToGrid w:val="0"/>
      <w:jc w:val="center"/>
    </w:pPr>
    <w:rPr>
      <w:rFonts w:ascii="宋体" w:hAnsi="宋体"/>
      <w:kern w:val="0"/>
    </w:rPr>
  </w:style>
  <w:style w:type="paragraph" w:customStyle="1" w:styleId="511">
    <w:name w:val="XCHG论文正文"/>
    <w:basedOn w:val="1"/>
    <w:qFormat/>
    <w:uiPriority w:val="0"/>
    <w:pPr>
      <w:spacing w:line="288" w:lineRule="auto"/>
      <w:ind w:firstLine="480" w:firstLineChars="200"/>
    </w:pPr>
    <w:rPr>
      <w:rFonts w:ascii="Times New Roman" w:hAnsi="Times New Roman"/>
      <w:color w:val="000000"/>
      <w:sz w:val="24"/>
      <w:szCs w:val="24"/>
    </w:rPr>
  </w:style>
  <w:style w:type="character" w:customStyle="1" w:styleId="512">
    <w:name w:val="XCHG论文正文 Char"/>
    <w:qFormat/>
    <w:uiPriority w:val="0"/>
    <w:rPr>
      <w:rFonts w:eastAsia="宋体"/>
      <w:color w:val="000000"/>
      <w:kern w:val="2"/>
      <w:sz w:val="24"/>
      <w:szCs w:val="24"/>
      <w:lang w:val="en-US" w:eastAsia="zh-CN" w:bidi="ar-SA"/>
    </w:rPr>
  </w:style>
  <w:style w:type="paragraph" w:customStyle="1" w:styleId="513">
    <w:name w:val="字母编号2"/>
    <w:basedOn w:val="1"/>
    <w:qFormat/>
    <w:uiPriority w:val="0"/>
    <w:pPr>
      <w:tabs>
        <w:tab w:val="left" w:pos="817"/>
      </w:tabs>
      <w:spacing w:line="300" w:lineRule="auto"/>
      <w:ind w:firstLine="200" w:firstLineChars="200"/>
      <w:textAlignment w:val="center"/>
    </w:pPr>
    <w:rPr>
      <w:rFonts w:ascii="Times New Roman" w:hAnsi="Times New Roman"/>
      <w:sz w:val="24"/>
      <w:szCs w:val="24"/>
    </w:rPr>
  </w:style>
  <w:style w:type="paragraph" w:customStyle="1" w:styleId="514">
    <w:name w:val="图表1"/>
    <w:basedOn w:val="1"/>
    <w:qFormat/>
    <w:uiPriority w:val="0"/>
    <w:pPr>
      <w:snapToGrid w:val="0"/>
      <w:spacing w:line="240" w:lineRule="atLeast"/>
      <w:jc w:val="center"/>
    </w:pPr>
    <w:rPr>
      <w:rFonts w:ascii="Times New Roman" w:hAnsi="Times New Roman" w:eastAsia="楷体_GB2312"/>
      <w:sz w:val="24"/>
      <w:szCs w:val="24"/>
    </w:rPr>
  </w:style>
  <w:style w:type="character" w:customStyle="1" w:styleId="515">
    <w:name w:val="ourfont"/>
    <w:basedOn w:val="74"/>
    <w:qFormat/>
    <w:uiPriority w:val="0"/>
  </w:style>
  <w:style w:type="paragraph" w:customStyle="1" w:styleId="516">
    <w:name w:val="标题11"/>
    <w:basedOn w:val="1"/>
    <w:qFormat/>
    <w:uiPriority w:val="0"/>
    <w:rPr>
      <w:rFonts w:ascii="Times New Roman" w:hAnsi="Times New Roman"/>
    </w:rPr>
  </w:style>
  <w:style w:type="paragraph" w:customStyle="1" w:styleId="517">
    <w:name w:val="图文"/>
    <w:basedOn w:val="1"/>
    <w:qFormat/>
    <w:uiPriority w:val="0"/>
    <w:pPr>
      <w:adjustRightInd w:val="0"/>
      <w:snapToGrid w:val="0"/>
    </w:pPr>
    <w:rPr>
      <w:rFonts w:ascii="楷体_GB2312" w:hAnsi="Times New Roman" w:eastAsia="楷体_GB2312"/>
      <w:sz w:val="30"/>
      <w:szCs w:val="24"/>
    </w:rPr>
  </w:style>
  <w:style w:type="paragraph" w:customStyle="1" w:styleId="518">
    <w:name w:val="样式 段后: 3.1 磅 行距: 固定值 20 磅"/>
    <w:basedOn w:val="1"/>
    <w:qFormat/>
    <w:uiPriority w:val="0"/>
    <w:pPr>
      <w:spacing w:after="62" w:line="400" w:lineRule="exact"/>
      <w:ind w:firstLine="482"/>
    </w:pPr>
    <w:rPr>
      <w:rFonts w:ascii="Times New Roman" w:hAnsi="Times New Roman" w:cs="宋体"/>
      <w:color w:val="0000FF"/>
      <w:sz w:val="24"/>
      <w:szCs w:val="20"/>
    </w:rPr>
  </w:style>
  <w:style w:type="paragraph" w:customStyle="1" w:styleId="519">
    <w:name w:val="样式 首行缩进:  0.85 厘米 段后: 3.1 磅 行距: 固定值 20 磅"/>
    <w:basedOn w:val="1"/>
    <w:qFormat/>
    <w:uiPriority w:val="0"/>
    <w:pPr>
      <w:spacing w:afterLines="20" w:line="400" w:lineRule="exact"/>
      <w:ind w:firstLine="482"/>
    </w:pPr>
    <w:rPr>
      <w:rFonts w:ascii="Times New Roman" w:hAnsi="Times New Roman" w:cs="宋体"/>
      <w:sz w:val="24"/>
      <w:szCs w:val="20"/>
    </w:rPr>
  </w:style>
  <w:style w:type="character" w:customStyle="1" w:styleId="520">
    <w:name w:val="f141"/>
    <w:qFormat/>
    <w:uiPriority w:val="0"/>
    <w:rPr>
      <w:sz w:val="23"/>
      <w:szCs w:val="23"/>
    </w:rPr>
  </w:style>
  <w:style w:type="character" w:customStyle="1" w:styleId="521">
    <w:name w:val="正文文本1 Char1 Char Char Char Char Char Char Char Char"/>
    <w:qFormat/>
    <w:uiPriority w:val="0"/>
    <w:rPr>
      <w:rFonts w:eastAsia="宋体"/>
      <w:kern w:val="2"/>
      <w:sz w:val="21"/>
      <w:szCs w:val="24"/>
      <w:lang w:val="en-US" w:eastAsia="zh-CN" w:bidi="ar-SA"/>
    </w:rPr>
  </w:style>
  <w:style w:type="paragraph" w:customStyle="1" w:styleId="522">
    <w:name w:val="样式 标题 4 + 红色"/>
    <w:basedOn w:val="5"/>
    <w:qFormat/>
    <w:uiPriority w:val="0"/>
    <w:pPr>
      <w:numPr>
        <w:ilvl w:val="0"/>
        <w:numId w:val="0"/>
      </w:numPr>
      <w:tabs>
        <w:tab w:val="left" w:pos="720"/>
        <w:tab w:val="left" w:pos="1922"/>
      </w:tabs>
      <w:adjustRightInd/>
      <w:snapToGrid/>
      <w:spacing w:beforeLines="50" w:afterLines="20" w:line="240" w:lineRule="auto"/>
      <w:ind w:left="1922" w:hanging="420"/>
    </w:pPr>
    <w:rPr>
      <w:rFonts w:ascii="Arial" w:hAnsi="Arial" w:eastAsia="宋体"/>
      <w:b w:val="0"/>
      <w:bCs w:val="0"/>
      <w:color w:val="FF0000"/>
      <w:kern w:val="0"/>
    </w:rPr>
  </w:style>
  <w:style w:type="paragraph" w:customStyle="1" w:styleId="523">
    <w:name w:val="样式5"/>
    <w:basedOn w:val="15"/>
    <w:qFormat/>
    <w:uiPriority w:val="0"/>
    <w:pPr>
      <w:spacing w:afterLines="20" w:line="400" w:lineRule="exact"/>
      <w:ind w:firstLine="482" w:firstLineChars="0"/>
    </w:pPr>
    <w:rPr>
      <w:rFonts w:ascii="Times New Roman" w:hAnsi="Times New Roman"/>
      <w:kern w:val="0"/>
      <w:sz w:val="24"/>
      <w:szCs w:val="20"/>
    </w:rPr>
  </w:style>
  <w:style w:type="paragraph" w:customStyle="1" w:styleId="524">
    <w:name w:val="样式6"/>
    <w:basedOn w:val="1"/>
    <w:qFormat/>
    <w:uiPriority w:val="0"/>
    <w:pPr>
      <w:spacing w:afterLines="20" w:line="400" w:lineRule="exact"/>
      <w:ind w:firstLine="482"/>
    </w:pPr>
    <w:rPr>
      <w:rFonts w:ascii="Times New Roman" w:hAnsi="Times New Roman"/>
      <w:sz w:val="24"/>
      <w:szCs w:val="20"/>
    </w:rPr>
  </w:style>
  <w:style w:type="paragraph" w:customStyle="1" w:styleId="525">
    <w:name w:val="样式7"/>
    <w:basedOn w:val="1"/>
    <w:qFormat/>
    <w:uiPriority w:val="0"/>
    <w:pPr>
      <w:spacing w:afterLines="20" w:line="400" w:lineRule="exact"/>
      <w:ind w:firstLine="482"/>
    </w:pPr>
    <w:rPr>
      <w:rFonts w:ascii="Times New Roman" w:hAnsi="Times New Roman"/>
      <w:sz w:val="24"/>
      <w:szCs w:val="20"/>
    </w:rPr>
  </w:style>
  <w:style w:type="paragraph" w:customStyle="1" w:styleId="526">
    <w:name w:val="样式8"/>
    <w:basedOn w:val="1"/>
    <w:qFormat/>
    <w:uiPriority w:val="0"/>
    <w:pPr>
      <w:spacing w:afterLines="20" w:line="400" w:lineRule="exact"/>
      <w:ind w:firstLine="482"/>
    </w:pPr>
    <w:rPr>
      <w:rFonts w:ascii="Times New Roman" w:hAnsi="Times New Roman"/>
      <w:sz w:val="24"/>
      <w:szCs w:val="20"/>
    </w:rPr>
  </w:style>
  <w:style w:type="paragraph" w:customStyle="1" w:styleId="527">
    <w:name w:val="Char Char Char Char"/>
    <w:basedOn w:val="1"/>
    <w:qFormat/>
    <w:uiPriority w:val="0"/>
    <w:pPr>
      <w:spacing w:line="360" w:lineRule="auto"/>
      <w:ind w:firstLine="200" w:firstLineChars="200"/>
    </w:pPr>
    <w:rPr>
      <w:rFonts w:ascii="宋体" w:hAnsi="宋体" w:cs="宋体"/>
      <w:sz w:val="24"/>
      <w:szCs w:val="24"/>
    </w:rPr>
  </w:style>
  <w:style w:type="paragraph" w:customStyle="1" w:styleId="528">
    <w:name w:val="简单回函地址"/>
    <w:basedOn w:val="1"/>
    <w:qFormat/>
    <w:uiPriority w:val="0"/>
    <w:rPr>
      <w:rFonts w:ascii="Times New Roman" w:hAnsi="Times New Roman"/>
      <w:szCs w:val="24"/>
    </w:rPr>
  </w:style>
  <w:style w:type="paragraph" w:customStyle="1" w:styleId="529">
    <w:name w:val="xl102"/>
    <w:basedOn w:val="1"/>
    <w:qFormat/>
    <w:uiPriority w:val="0"/>
    <w:pPr>
      <w:widowControl/>
      <w:pBdr>
        <w:right w:val="single" w:color="auto" w:sz="8" w:space="0"/>
      </w:pBdr>
      <w:spacing w:before="100" w:beforeAutospacing="1" w:after="100" w:afterAutospacing="1"/>
      <w:jc w:val="center"/>
    </w:pPr>
    <w:rPr>
      <w:rFonts w:ascii="Times New Roman" w:hAnsi="Times New Roman" w:eastAsia="Arial Unicode MS"/>
      <w:kern w:val="0"/>
      <w:sz w:val="22"/>
      <w:szCs w:val="22"/>
    </w:rPr>
  </w:style>
  <w:style w:type="paragraph" w:customStyle="1" w:styleId="530">
    <w:name w:val="xl101"/>
    <w:basedOn w:val="1"/>
    <w:qFormat/>
    <w:uiPriority w:val="0"/>
    <w:pPr>
      <w:widowControl/>
      <w:pBdr>
        <w:bottom w:val="single" w:color="auto" w:sz="4" w:space="0"/>
        <w:right w:val="single" w:color="auto" w:sz="8" w:space="0"/>
      </w:pBdr>
      <w:spacing w:before="100" w:beforeAutospacing="1" w:after="100" w:afterAutospacing="1"/>
    </w:pPr>
    <w:rPr>
      <w:rFonts w:ascii="Times New Roman" w:hAnsi="Times New Roman" w:eastAsia="Arial Unicode MS"/>
      <w:kern w:val="0"/>
      <w:sz w:val="22"/>
      <w:szCs w:val="22"/>
    </w:rPr>
  </w:style>
  <w:style w:type="paragraph" w:customStyle="1" w:styleId="531">
    <w:name w:val="xl22"/>
    <w:basedOn w:val="1"/>
    <w:qFormat/>
    <w:uiPriority w:val="0"/>
    <w:pPr>
      <w:widowControl/>
      <w:spacing w:before="100" w:beforeAutospacing="1" w:after="100" w:afterAutospacing="1"/>
      <w:jc w:val="center"/>
    </w:pPr>
    <w:rPr>
      <w:rFonts w:hint="eastAsia" w:ascii="宋体" w:hAnsi="宋体"/>
      <w:kern w:val="0"/>
      <w:sz w:val="24"/>
      <w:szCs w:val="24"/>
    </w:rPr>
  </w:style>
  <w:style w:type="paragraph" w:customStyle="1" w:styleId="532">
    <w:name w:val="PP 行"/>
    <w:basedOn w:val="43"/>
    <w:qFormat/>
    <w:uiPriority w:val="0"/>
  </w:style>
  <w:style w:type="paragraph" w:customStyle="1" w:styleId="533">
    <w:name w:val="font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534">
    <w:name w:val="表名 Char"/>
    <w:qFormat/>
    <w:uiPriority w:val="0"/>
    <w:rPr>
      <w:rFonts w:ascii="宋体" w:hAnsi="Courier New" w:eastAsia="仿宋_GB2312" w:cs="Courier New"/>
      <w:b/>
      <w:sz w:val="28"/>
      <w:szCs w:val="21"/>
    </w:rPr>
  </w:style>
  <w:style w:type="character" w:customStyle="1" w:styleId="535">
    <w:name w:val="zt1"/>
    <w:basedOn w:val="74"/>
    <w:qFormat/>
    <w:uiPriority w:val="0"/>
  </w:style>
  <w:style w:type="paragraph" w:customStyle="1" w:styleId="536">
    <w:name w:val="样式 左侧:  0.98 厘米"/>
    <w:basedOn w:val="1"/>
    <w:qFormat/>
    <w:uiPriority w:val="0"/>
    <w:pPr>
      <w:adjustRightInd w:val="0"/>
      <w:snapToGrid w:val="0"/>
      <w:spacing w:line="490" w:lineRule="exact"/>
      <w:ind w:firstLine="560" w:firstLineChars="200"/>
    </w:pPr>
    <w:rPr>
      <w:rFonts w:ascii="Times New Roman" w:hAnsi="Times New Roman" w:eastAsia="仿宋_GB2312"/>
      <w:sz w:val="28"/>
      <w:szCs w:val="20"/>
    </w:rPr>
  </w:style>
  <w:style w:type="paragraph" w:customStyle="1" w:styleId="537">
    <w:name w:val="样式 样式 表格 + 左侧:  0.98 厘米 + 居中"/>
    <w:basedOn w:val="1"/>
    <w:qFormat/>
    <w:uiPriority w:val="0"/>
    <w:pPr>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538">
    <w:name w:val="样式 样式 正文文本缩进 + 段后: 0 磅 + 首行缩进:  2 字符"/>
    <w:basedOn w:val="1"/>
    <w:qFormat/>
    <w:uiPriority w:val="0"/>
    <w:pPr>
      <w:spacing w:line="360" w:lineRule="auto"/>
      <w:ind w:firstLine="480" w:firstLineChars="200"/>
    </w:pPr>
    <w:rPr>
      <w:rFonts w:ascii="宋体" w:hAnsi="宋体" w:cs="宋体"/>
      <w:sz w:val="24"/>
      <w:szCs w:val="20"/>
    </w:rPr>
  </w:style>
  <w:style w:type="paragraph" w:customStyle="1" w:styleId="539">
    <w:name w:val="样式 正文首行缩进 + 首行缩进:  1 字符"/>
    <w:basedOn w:val="69"/>
    <w:next w:val="69"/>
    <w:qFormat/>
    <w:uiPriority w:val="0"/>
    <w:pPr>
      <w:adjustRightInd/>
      <w:snapToGrid/>
    </w:pPr>
    <w:rPr>
      <w:rFonts w:cs="宋体"/>
      <w:kern w:val="0"/>
      <w:szCs w:val="24"/>
    </w:rPr>
  </w:style>
  <w:style w:type="paragraph" w:customStyle="1" w:styleId="540">
    <w:name w:val="14"/>
    <w:basedOn w:val="1"/>
    <w:next w:val="15"/>
    <w:qFormat/>
    <w:uiPriority w:val="0"/>
    <w:pPr>
      <w:spacing w:line="420" w:lineRule="exact"/>
      <w:ind w:firstLine="480"/>
    </w:pPr>
    <w:rPr>
      <w:rFonts w:ascii="Times New Roman" w:hAnsi="Times New Roman"/>
      <w:szCs w:val="20"/>
    </w:rPr>
  </w:style>
  <w:style w:type="paragraph" w:customStyle="1" w:styleId="541">
    <w:name w:val="默认段落字体 Para Char Char Char Char Char Char Char Char Char Char"/>
    <w:basedOn w:val="1"/>
    <w:qFormat/>
    <w:uiPriority w:val="0"/>
    <w:rPr>
      <w:rFonts w:ascii="Times New Roman" w:hAnsi="Times New Roman"/>
      <w:szCs w:val="24"/>
    </w:rPr>
  </w:style>
  <w:style w:type="paragraph" w:customStyle="1" w:styleId="542">
    <w:name w:val="11"/>
    <w:basedOn w:val="1"/>
    <w:qFormat/>
    <w:uiPriority w:val="0"/>
    <w:pPr>
      <w:spacing w:line="360" w:lineRule="auto"/>
      <w:ind w:firstLine="200" w:firstLineChars="200"/>
    </w:pPr>
    <w:rPr>
      <w:rFonts w:ascii="宋体" w:hAnsi="宋体" w:cs="宋体"/>
      <w:sz w:val="24"/>
      <w:szCs w:val="24"/>
    </w:rPr>
  </w:style>
  <w:style w:type="paragraph" w:customStyle="1" w:styleId="543">
    <w:name w:val="9"/>
    <w:basedOn w:val="1"/>
    <w:next w:val="30"/>
    <w:qFormat/>
    <w:uiPriority w:val="0"/>
    <w:pPr>
      <w:adjustRightInd w:val="0"/>
      <w:spacing w:afterLines="20" w:line="400" w:lineRule="exact"/>
      <w:jc w:val="center"/>
      <w:textAlignment w:val="baseline"/>
    </w:pPr>
    <w:rPr>
      <w:rFonts w:ascii="Times New Roman" w:hAnsi="Times New Roman"/>
      <w:b/>
      <w:szCs w:val="24"/>
    </w:rPr>
  </w:style>
  <w:style w:type="paragraph" w:customStyle="1" w:styleId="544">
    <w:name w:val="XCHG论文正文 Char Char Char Char"/>
    <w:basedOn w:val="1"/>
    <w:qFormat/>
    <w:uiPriority w:val="0"/>
    <w:pPr>
      <w:spacing w:line="288" w:lineRule="auto"/>
      <w:ind w:firstLine="480" w:firstLineChars="200"/>
    </w:pPr>
    <w:rPr>
      <w:rFonts w:ascii="Times New Roman" w:hAnsi="Times New Roman"/>
      <w:color w:val="000000"/>
      <w:sz w:val="24"/>
      <w:szCs w:val="24"/>
    </w:rPr>
  </w:style>
  <w:style w:type="character" w:customStyle="1" w:styleId="545">
    <w:name w:val="XCHG论文正文 Char Char Char Char Char"/>
    <w:qFormat/>
    <w:uiPriority w:val="0"/>
    <w:rPr>
      <w:rFonts w:eastAsia="宋体"/>
      <w:color w:val="000000"/>
      <w:kern w:val="2"/>
      <w:sz w:val="24"/>
      <w:szCs w:val="24"/>
      <w:lang w:val="en-US" w:eastAsia="zh-CN" w:bidi="ar-SA"/>
    </w:rPr>
  </w:style>
  <w:style w:type="character" w:customStyle="1" w:styleId="546">
    <w:name w:val="普通文字 Char Char Char Char Char Char Char Char Char Char Char Char Char Char Char Char Char Char Char Char Char Char Char Char1 Char Char Char"/>
    <w:qFormat/>
    <w:uiPriority w:val="0"/>
    <w:rPr>
      <w:rFonts w:ascii="宋体" w:hAnsi="Courier New" w:eastAsia="宋体"/>
      <w:kern w:val="2"/>
      <w:sz w:val="21"/>
      <w:lang w:val="en-US" w:eastAsia="zh-CN" w:bidi="ar-SA"/>
    </w:rPr>
  </w:style>
  <w:style w:type="character" w:customStyle="1" w:styleId="547">
    <w:name w:val="XCHG论文正文 Char Char"/>
    <w:qFormat/>
    <w:uiPriority w:val="0"/>
    <w:rPr>
      <w:rFonts w:eastAsia="宋体"/>
      <w:color w:val="000000"/>
      <w:kern w:val="2"/>
      <w:sz w:val="24"/>
      <w:szCs w:val="24"/>
      <w:lang w:val="en-US" w:eastAsia="zh-CN" w:bidi="ar-SA"/>
    </w:rPr>
  </w:style>
  <w:style w:type="paragraph" w:customStyle="1" w:styleId="548">
    <w:name w:val="XCHG论文正文 Char Char Char"/>
    <w:basedOn w:val="1"/>
    <w:qFormat/>
    <w:uiPriority w:val="0"/>
    <w:pPr>
      <w:spacing w:line="288" w:lineRule="auto"/>
      <w:ind w:firstLine="480" w:firstLineChars="200"/>
    </w:pPr>
    <w:rPr>
      <w:rFonts w:ascii="Times New Roman" w:hAnsi="Times New Roman"/>
      <w:color w:val="000000"/>
      <w:sz w:val="24"/>
      <w:szCs w:val="24"/>
    </w:rPr>
  </w:style>
  <w:style w:type="paragraph" w:customStyle="1" w:styleId="549">
    <w:name w:val="13"/>
    <w:basedOn w:val="1"/>
    <w:next w:val="15"/>
    <w:qFormat/>
    <w:uiPriority w:val="0"/>
    <w:pPr>
      <w:spacing w:line="420" w:lineRule="exact"/>
      <w:ind w:firstLine="480"/>
    </w:pPr>
    <w:rPr>
      <w:rFonts w:ascii="Times New Roman" w:hAnsi="Times New Roman"/>
      <w:szCs w:val="20"/>
    </w:rPr>
  </w:style>
  <w:style w:type="paragraph" w:customStyle="1" w:styleId="550">
    <w:name w:val="12"/>
    <w:basedOn w:val="1"/>
    <w:next w:val="15"/>
    <w:qFormat/>
    <w:uiPriority w:val="0"/>
    <w:pPr>
      <w:spacing w:line="420" w:lineRule="exact"/>
      <w:ind w:firstLine="480"/>
    </w:pPr>
    <w:rPr>
      <w:rFonts w:ascii="Times New Roman" w:hAnsi="Times New Roman"/>
      <w:szCs w:val="20"/>
    </w:rPr>
  </w:style>
  <w:style w:type="character" w:customStyle="1" w:styleId="551">
    <w:name w:val="表格 Char Char Char"/>
    <w:qFormat/>
    <w:uiPriority w:val="0"/>
    <w:rPr>
      <w:rFonts w:ascii="宋体" w:hAnsi="宋体" w:eastAsia="宋体"/>
      <w:sz w:val="21"/>
      <w:szCs w:val="21"/>
      <w:lang w:val="en-US" w:eastAsia="zh-CN" w:bidi="ar-SA"/>
    </w:rPr>
  </w:style>
  <w:style w:type="character" w:customStyle="1" w:styleId="552">
    <w:name w:val="特点1"/>
    <w:qFormat/>
    <w:uiPriority w:val="0"/>
    <w:rPr>
      <w:rFonts w:eastAsia="宋体"/>
      <w:kern w:val="2"/>
      <w:sz w:val="24"/>
      <w:lang w:val="en-US" w:eastAsia="zh-CN" w:bidi="ar-SA"/>
    </w:rPr>
  </w:style>
  <w:style w:type="character" w:customStyle="1" w:styleId="553">
    <w:name w:val="表格 Char Char Char Char"/>
    <w:qFormat/>
    <w:uiPriority w:val="0"/>
    <w:rPr>
      <w:rFonts w:ascii="宋体" w:hAnsi="宋体" w:eastAsia="宋体"/>
      <w:kern w:val="2"/>
      <w:sz w:val="21"/>
      <w:szCs w:val="21"/>
      <w:lang w:val="en-US" w:eastAsia="zh-CN" w:bidi="ar-SA"/>
    </w:rPr>
  </w:style>
  <w:style w:type="character" w:customStyle="1" w:styleId="554">
    <w:name w:val="XCHG论文正文 Char Char Char Char Char Char"/>
    <w:qFormat/>
    <w:uiPriority w:val="0"/>
    <w:rPr>
      <w:rFonts w:eastAsia="宋体"/>
      <w:color w:val="000000"/>
      <w:kern w:val="2"/>
      <w:sz w:val="24"/>
      <w:szCs w:val="24"/>
      <w:lang w:val="en-US" w:eastAsia="zh-CN" w:bidi="ar-SA"/>
    </w:rPr>
  </w:style>
  <w:style w:type="paragraph" w:customStyle="1" w:styleId="555">
    <w:name w:val="Char Char Char Char Char Char Char Char Char2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56">
    <w:name w:val="12 Char Char Char"/>
    <w:basedOn w:val="1"/>
    <w:qFormat/>
    <w:uiPriority w:val="0"/>
    <w:pPr>
      <w:spacing w:line="360" w:lineRule="auto"/>
      <w:ind w:firstLine="200" w:firstLineChars="200"/>
    </w:pPr>
    <w:rPr>
      <w:rFonts w:ascii="宋体" w:hAnsi="宋体" w:cs="宋体"/>
      <w:sz w:val="24"/>
      <w:szCs w:val="24"/>
    </w:rPr>
  </w:style>
  <w:style w:type="paragraph" w:customStyle="1" w:styleId="557">
    <w:name w:val="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558">
    <w:name w:val="表格 Char Char Char Char Char"/>
    <w:basedOn w:val="1"/>
    <w:link w:val="559"/>
    <w:qFormat/>
    <w:uiPriority w:val="0"/>
    <w:pPr>
      <w:widowControl/>
      <w:adjustRightInd w:val="0"/>
      <w:snapToGrid w:val="0"/>
      <w:jc w:val="center"/>
    </w:pPr>
    <w:rPr>
      <w:rFonts w:ascii="宋体" w:hAnsi="宋体"/>
      <w:kern w:val="0"/>
      <w:sz w:val="20"/>
    </w:rPr>
  </w:style>
  <w:style w:type="character" w:customStyle="1" w:styleId="559">
    <w:name w:val="表格 Char Char Char Char Char Char"/>
    <w:link w:val="558"/>
    <w:qFormat/>
    <w:uiPriority w:val="0"/>
    <w:rPr>
      <w:rFonts w:ascii="宋体" w:hAnsi="宋体"/>
      <w:szCs w:val="21"/>
    </w:rPr>
  </w:style>
  <w:style w:type="paragraph" w:customStyle="1" w:styleId="560">
    <w:name w:val="XCHG论文正文 Char Char Char Char Char Char Char"/>
    <w:basedOn w:val="1"/>
    <w:link w:val="561"/>
    <w:qFormat/>
    <w:uiPriority w:val="0"/>
    <w:pPr>
      <w:spacing w:line="288" w:lineRule="auto"/>
      <w:ind w:firstLine="480" w:firstLineChars="200"/>
    </w:pPr>
    <w:rPr>
      <w:rFonts w:ascii="Times New Roman" w:hAnsi="Times New Roman"/>
      <w:color w:val="000000"/>
      <w:kern w:val="0"/>
      <w:sz w:val="24"/>
      <w:szCs w:val="24"/>
    </w:rPr>
  </w:style>
  <w:style w:type="character" w:customStyle="1" w:styleId="561">
    <w:name w:val="XCHG论文正文 Char Char Char Char Char Char Char Char"/>
    <w:link w:val="560"/>
    <w:qFormat/>
    <w:uiPriority w:val="0"/>
    <w:rPr>
      <w:color w:val="000000"/>
      <w:sz w:val="24"/>
      <w:szCs w:val="24"/>
    </w:rPr>
  </w:style>
  <w:style w:type="character" w:customStyle="1" w:styleId="562">
    <w:name w:val="文本条款 Char"/>
    <w:qFormat/>
    <w:uiPriority w:val="0"/>
    <w:rPr>
      <w:rFonts w:eastAsia="宋体"/>
      <w:kern w:val="2"/>
      <w:sz w:val="24"/>
      <w:lang w:val="en-US" w:eastAsia="zh-CN" w:bidi="ar-SA"/>
    </w:rPr>
  </w:style>
  <w:style w:type="paragraph" w:customStyle="1" w:styleId="563">
    <w:name w:val="12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564">
    <w:name w:val="s4 Char Char1"/>
    <w:qFormat/>
    <w:uiPriority w:val="0"/>
    <w:rPr>
      <w:rFonts w:eastAsia="宋体"/>
      <w:kern w:val="2"/>
      <w:sz w:val="24"/>
      <w:lang w:val="en-US" w:eastAsia="zh-CN" w:bidi="ar-SA"/>
    </w:rPr>
  </w:style>
  <w:style w:type="character" w:customStyle="1" w:styleId="565">
    <w:name w:val="表格 Char Char Char Char Char Char Char"/>
    <w:qFormat/>
    <w:uiPriority w:val="0"/>
    <w:rPr>
      <w:rFonts w:ascii="宋体" w:hAnsi="宋体" w:eastAsia="宋体"/>
      <w:kern w:val="2"/>
      <w:sz w:val="21"/>
      <w:szCs w:val="21"/>
      <w:lang w:val="en-US" w:eastAsia="zh-CN" w:bidi="ar-SA"/>
    </w:rPr>
  </w:style>
  <w:style w:type="character" w:customStyle="1" w:styleId="566">
    <w:name w:val="XCHG论文正文 Char Char Char Char Char Char Char Char Char"/>
    <w:qFormat/>
    <w:uiPriority w:val="0"/>
    <w:rPr>
      <w:rFonts w:eastAsia="宋体"/>
      <w:color w:val="000000"/>
      <w:kern w:val="2"/>
      <w:sz w:val="24"/>
      <w:szCs w:val="24"/>
      <w:lang w:val="en-US" w:eastAsia="zh-CN" w:bidi="ar-SA"/>
    </w:rPr>
  </w:style>
  <w:style w:type="paragraph" w:customStyle="1" w:styleId="567">
    <w:name w:val="12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68">
    <w:name w:val="样式 宋体 小五 居中2"/>
    <w:basedOn w:val="1"/>
    <w:qFormat/>
    <w:uiPriority w:val="0"/>
    <w:pPr>
      <w:spacing w:line="420" w:lineRule="exact"/>
      <w:ind w:firstLine="425"/>
      <w:jc w:val="center"/>
    </w:pPr>
    <w:rPr>
      <w:rFonts w:ascii="宋体" w:hAnsi="宋体" w:cs="宋体"/>
      <w:kern w:val="0"/>
      <w:sz w:val="18"/>
      <w:szCs w:val="20"/>
    </w:rPr>
  </w:style>
  <w:style w:type="character" w:customStyle="1" w:styleId="569">
    <w:name w:val="表格 Char Char Char Char Char Char Char Char"/>
    <w:qFormat/>
    <w:uiPriority w:val="0"/>
    <w:rPr>
      <w:rFonts w:ascii="宋体" w:hAnsi="宋体" w:eastAsia="宋体"/>
      <w:kern w:val="2"/>
      <w:sz w:val="21"/>
      <w:szCs w:val="21"/>
      <w:lang w:val="en-US" w:eastAsia="zh-CN" w:bidi="ar-SA"/>
    </w:rPr>
  </w:style>
  <w:style w:type="character" w:customStyle="1" w:styleId="570">
    <w:name w:val="XCHG论文正文 Char Char Char Char Char Char Char Char Char Char"/>
    <w:qFormat/>
    <w:uiPriority w:val="0"/>
    <w:rPr>
      <w:rFonts w:eastAsia="宋体"/>
      <w:color w:val="000000"/>
      <w:kern w:val="2"/>
      <w:sz w:val="24"/>
      <w:szCs w:val="24"/>
      <w:lang w:val="en-US" w:eastAsia="zh-CN" w:bidi="ar-SA"/>
    </w:rPr>
  </w:style>
  <w:style w:type="paragraph" w:customStyle="1" w:styleId="571">
    <w:name w:val="正文 1"/>
    <w:basedOn w:val="1"/>
    <w:qFormat/>
    <w:uiPriority w:val="0"/>
    <w:pPr>
      <w:spacing w:line="480" w:lineRule="exact"/>
      <w:ind w:firstLine="567"/>
    </w:pPr>
    <w:rPr>
      <w:rFonts w:ascii="Times New Roman" w:hAnsi="Times New Roman"/>
      <w:sz w:val="28"/>
      <w:szCs w:val="20"/>
    </w:rPr>
  </w:style>
  <w:style w:type="paragraph" w:customStyle="1" w:styleId="572">
    <w:name w:val="默认段落字体 Para Char Char Char Char Char Char Char Char Char Char1 Char Char Char Char"/>
    <w:basedOn w:val="1"/>
    <w:qFormat/>
    <w:uiPriority w:val="0"/>
    <w:rPr>
      <w:rFonts w:ascii="Times New Roman" w:hAnsi="Times New Roman"/>
      <w:szCs w:val="24"/>
    </w:rPr>
  </w:style>
  <w:style w:type="paragraph" w:customStyle="1" w:styleId="573">
    <w:name w:val="样式 小四 居中"/>
    <w:qFormat/>
    <w:uiPriority w:val="0"/>
    <w:pPr>
      <w:widowControl w:val="0"/>
      <w:spacing w:before="60" w:after="60"/>
      <w:jc w:val="center"/>
    </w:pPr>
    <w:rPr>
      <w:rFonts w:ascii="楷体_GB2312" w:hAnsi="Times New Roman" w:eastAsia="楷体_GB2312" w:cs="Times New Roman"/>
      <w:bCs/>
      <w:kern w:val="2"/>
      <w:sz w:val="24"/>
      <w:szCs w:val="24"/>
      <w:lang w:val="en-US" w:eastAsia="zh-CN" w:bidi="ar-SA"/>
    </w:rPr>
  </w:style>
  <w:style w:type="paragraph" w:customStyle="1" w:styleId="574">
    <w:name w:val="Char Char Char Char Char Char Char Char Char2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575">
    <w:name w:val="WPS Plain"/>
    <w:qFormat/>
    <w:uiPriority w:val="0"/>
    <w:rPr>
      <w:rFonts w:ascii="Times New Roman" w:hAnsi="Times New Roman" w:eastAsia="宋体" w:cs="Times New Roman"/>
      <w:lang w:val="en-US" w:eastAsia="zh-CN" w:bidi="ar-SA"/>
    </w:rPr>
  </w:style>
  <w:style w:type="paragraph" w:customStyle="1" w:styleId="576">
    <w:name w:val="1 Char Char Char Char Char Char Char"/>
    <w:basedOn w:val="1"/>
    <w:qFormat/>
    <w:uiPriority w:val="0"/>
    <w:rPr>
      <w:rFonts w:ascii="Times New Roman" w:hAnsi="Times New Roman"/>
      <w:bCs/>
      <w:kern w:val="0"/>
      <w:szCs w:val="24"/>
    </w:rPr>
  </w:style>
  <w:style w:type="paragraph" w:customStyle="1" w:styleId="577">
    <w:name w:val="Char Char Char Char Char Char Char Char Char Char1"/>
    <w:basedOn w:val="1"/>
    <w:qFormat/>
    <w:uiPriority w:val="0"/>
    <w:pPr>
      <w:spacing w:line="360" w:lineRule="auto"/>
      <w:ind w:firstLine="200" w:firstLineChars="200"/>
    </w:pPr>
    <w:rPr>
      <w:rFonts w:ascii="宋体" w:hAnsi="宋体" w:cs="宋体"/>
      <w:sz w:val="24"/>
      <w:szCs w:val="24"/>
    </w:rPr>
  </w:style>
  <w:style w:type="character" w:customStyle="1" w:styleId="578">
    <w:name w:val="标题 4 Char Char Char1"/>
    <w:qFormat/>
    <w:uiPriority w:val="0"/>
    <w:rPr>
      <w:rFonts w:ascii="Arial" w:hAnsi="Arial" w:eastAsia="黑体"/>
      <w:b/>
      <w:bCs/>
      <w:kern w:val="2"/>
      <w:sz w:val="28"/>
      <w:szCs w:val="28"/>
      <w:lang w:val="en-US" w:eastAsia="zh-CN" w:bidi="ar-SA"/>
    </w:rPr>
  </w:style>
  <w:style w:type="paragraph" w:customStyle="1" w:styleId="579">
    <w:name w:val="表格（小）"/>
    <w:basedOn w:val="1"/>
    <w:qFormat/>
    <w:uiPriority w:val="0"/>
    <w:pPr>
      <w:adjustRightInd w:val="0"/>
      <w:snapToGrid w:val="0"/>
    </w:pPr>
    <w:rPr>
      <w:rFonts w:ascii="Times New Roman" w:hAnsi="Times New Roman"/>
      <w:kern w:val="0"/>
      <w:szCs w:val="20"/>
    </w:rPr>
  </w:style>
  <w:style w:type="paragraph" w:customStyle="1" w:styleId="580">
    <w:name w:val="样式 haydonli + 首行缩进:  2 字符"/>
    <w:basedOn w:val="1"/>
    <w:qFormat/>
    <w:uiPriority w:val="0"/>
    <w:pPr>
      <w:adjustRightInd w:val="0"/>
      <w:snapToGrid w:val="0"/>
      <w:spacing w:line="420" w:lineRule="exact"/>
      <w:ind w:firstLine="480" w:firstLineChars="200"/>
    </w:pPr>
    <w:rPr>
      <w:rFonts w:ascii="宋体" w:hAnsi="宋体" w:cs="宋体"/>
      <w:kern w:val="0"/>
      <w:sz w:val="24"/>
      <w:szCs w:val="24"/>
    </w:rPr>
  </w:style>
  <w:style w:type="paragraph" w:customStyle="1" w:styleId="581">
    <w:name w:val="haydonli"/>
    <w:basedOn w:val="1"/>
    <w:link w:val="617"/>
    <w:qFormat/>
    <w:uiPriority w:val="0"/>
    <w:pPr>
      <w:snapToGrid w:val="0"/>
      <w:ind w:firstLine="420" w:firstLineChars="200"/>
      <w:jc w:val="center"/>
    </w:pPr>
    <w:rPr>
      <w:rFonts w:ascii="宋体" w:hAnsi="宋体"/>
      <w:snapToGrid w:val="0"/>
      <w:color w:val="000000"/>
      <w:kern w:val="0"/>
      <w:sz w:val="20"/>
    </w:rPr>
  </w:style>
  <w:style w:type="paragraph" w:customStyle="1" w:styleId="582">
    <w:name w:val="Char Char Char Char Char Char Char Char Char Char Char Char Char2"/>
    <w:basedOn w:val="1"/>
    <w:qFormat/>
    <w:uiPriority w:val="0"/>
    <w:pPr>
      <w:tabs>
        <w:tab w:val="left" w:pos="1191"/>
      </w:tabs>
      <w:spacing w:line="360" w:lineRule="auto"/>
      <w:ind w:firstLine="200" w:firstLineChars="200"/>
    </w:pPr>
    <w:rPr>
      <w:rFonts w:ascii="宋体" w:hAnsi="宋体" w:cs="宋体"/>
      <w:sz w:val="24"/>
      <w:szCs w:val="24"/>
    </w:rPr>
  </w:style>
  <w:style w:type="paragraph" w:customStyle="1" w:styleId="583">
    <w:name w:val="表后文"/>
    <w:basedOn w:val="1"/>
    <w:qFormat/>
    <w:uiPriority w:val="0"/>
    <w:pPr>
      <w:tabs>
        <w:tab w:val="left" w:pos="1191"/>
      </w:tabs>
      <w:adjustRightInd w:val="0"/>
      <w:spacing w:before="120" w:line="400" w:lineRule="exact"/>
      <w:ind w:firstLine="601"/>
      <w:textAlignment w:val="baseline"/>
    </w:pPr>
    <w:rPr>
      <w:rFonts w:ascii="Times New Roman" w:hAnsi="Times New Roman" w:eastAsia="楷体_GB2312"/>
      <w:spacing w:val="8"/>
      <w:kern w:val="0"/>
      <w:sz w:val="28"/>
      <w:szCs w:val="20"/>
    </w:rPr>
  </w:style>
  <w:style w:type="character" w:customStyle="1" w:styleId="584">
    <w:name w:val="正文文字 2 Char Char"/>
    <w:qFormat/>
    <w:uiPriority w:val="0"/>
    <w:rPr>
      <w:rFonts w:eastAsia="宋体"/>
      <w:kern w:val="2"/>
      <w:sz w:val="18"/>
      <w:szCs w:val="24"/>
      <w:lang w:val="en-US" w:eastAsia="zh-CN" w:bidi="ar-SA"/>
    </w:rPr>
  </w:style>
  <w:style w:type="paragraph" w:customStyle="1" w:styleId="585">
    <w:name w:val="Char Char Char Char Char Char 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586">
    <w:name w:val="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87">
    <w:name w:val="12 Char"/>
    <w:basedOn w:val="1"/>
    <w:qFormat/>
    <w:uiPriority w:val="0"/>
    <w:pPr>
      <w:spacing w:line="360" w:lineRule="auto"/>
      <w:ind w:firstLine="200" w:firstLineChars="200"/>
    </w:pPr>
    <w:rPr>
      <w:rFonts w:ascii="宋体" w:hAnsi="宋体" w:cs="宋体"/>
      <w:sz w:val="24"/>
      <w:szCs w:val="24"/>
    </w:rPr>
  </w:style>
  <w:style w:type="paragraph" w:customStyle="1" w:styleId="588">
    <w:name w:val="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89">
    <w:name w:val="Char Char Char1"/>
    <w:basedOn w:val="1"/>
    <w:qFormat/>
    <w:uiPriority w:val="0"/>
    <w:pPr>
      <w:spacing w:line="360" w:lineRule="auto"/>
      <w:ind w:firstLine="200" w:firstLineChars="200"/>
    </w:pPr>
    <w:rPr>
      <w:rFonts w:ascii="宋体" w:hAnsi="宋体" w:cs="宋体"/>
      <w:sz w:val="24"/>
      <w:szCs w:val="24"/>
    </w:rPr>
  </w:style>
  <w:style w:type="paragraph" w:customStyle="1" w:styleId="590">
    <w:name w:val="样式 正文文本缩进 3正文文字缩进 3 + 首行缩进:  1.18 厘米"/>
    <w:basedOn w:val="54"/>
    <w:qFormat/>
    <w:uiPriority w:val="0"/>
    <w:pPr>
      <w:tabs>
        <w:tab w:val="left" w:pos="8790"/>
      </w:tabs>
      <w:adjustRightInd w:val="0"/>
      <w:snapToGrid w:val="0"/>
      <w:spacing w:before="40" w:after="0" w:line="276" w:lineRule="auto"/>
      <w:ind w:left="-37" w:leftChars="0" w:firstLine="667"/>
    </w:pPr>
    <w:rPr>
      <w:rFonts w:ascii="Arial" w:hAnsi="Arial" w:cs="宋体"/>
      <w:snapToGrid w:val="0"/>
      <w:color w:val="000000"/>
      <w:spacing w:val="6"/>
      <w:kern w:val="28"/>
      <w:sz w:val="24"/>
      <w:szCs w:val="20"/>
    </w:rPr>
  </w:style>
  <w:style w:type="paragraph" w:customStyle="1" w:styleId="591">
    <w:name w:val="Char Char Char Char Char Char Char Char1 Char Char Char Char"/>
    <w:basedOn w:val="1"/>
    <w:qFormat/>
    <w:uiPriority w:val="0"/>
    <w:rPr>
      <w:rFonts w:ascii="Times New Roman" w:hAnsi="Times New Roman"/>
      <w:szCs w:val="24"/>
    </w:rPr>
  </w:style>
  <w:style w:type="paragraph" w:customStyle="1" w:styleId="592">
    <w:name w:val="样式 观音岩正文段落 + 段前: 0.5 行 段后: 0.5 行"/>
    <w:basedOn w:val="1"/>
    <w:qFormat/>
    <w:uiPriority w:val="0"/>
    <w:pPr>
      <w:adjustRightInd w:val="0"/>
      <w:snapToGrid w:val="0"/>
      <w:spacing w:line="360" w:lineRule="auto"/>
      <w:ind w:firstLine="482"/>
    </w:pPr>
    <w:rPr>
      <w:rFonts w:ascii="Arial" w:hAnsi="Arial" w:cs="宋体"/>
      <w:sz w:val="24"/>
      <w:szCs w:val="20"/>
    </w:rPr>
  </w:style>
  <w:style w:type="paragraph" w:customStyle="1" w:styleId="593">
    <w:name w:val="正文1 小四"/>
    <w:basedOn w:val="1"/>
    <w:qFormat/>
    <w:uiPriority w:val="0"/>
    <w:pPr>
      <w:adjustRightInd w:val="0"/>
      <w:spacing w:line="420" w:lineRule="exact"/>
      <w:ind w:firstLine="200" w:firstLineChars="200"/>
      <w:jc w:val="left"/>
      <w:textAlignment w:val="baseline"/>
    </w:pPr>
    <w:rPr>
      <w:rFonts w:ascii="Times New Roman" w:hAnsi="Times New Roman"/>
      <w:kern w:val="0"/>
      <w:sz w:val="24"/>
      <w:szCs w:val="20"/>
    </w:rPr>
  </w:style>
  <w:style w:type="paragraph" w:customStyle="1" w:styleId="594">
    <w:name w:val="Char Char2 Char Char Char Char"/>
    <w:basedOn w:val="4"/>
    <w:qFormat/>
    <w:uiPriority w:val="0"/>
    <w:pPr>
      <w:numPr>
        <w:ilvl w:val="0"/>
        <w:numId w:val="0"/>
      </w:numPr>
      <w:tabs>
        <w:tab w:val="left" w:pos="900"/>
      </w:tabs>
      <w:adjustRightInd/>
      <w:spacing w:before="120" w:after="120"/>
      <w:ind w:left="542" w:leftChars="-12" w:firstLine="200" w:firstLineChars="200"/>
      <w:jc w:val="left"/>
    </w:pPr>
    <w:rPr>
      <w:rFonts w:eastAsia="黑体"/>
      <w:b w:val="0"/>
      <w:bCs w:val="0"/>
      <w:snapToGrid w:val="0"/>
      <w:szCs w:val="24"/>
    </w:rPr>
  </w:style>
  <w:style w:type="paragraph" w:customStyle="1" w:styleId="595">
    <w:name w:val="Char Char Char Char1 Char Char Char1"/>
    <w:basedOn w:val="4"/>
    <w:next w:val="105"/>
    <w:qFormat/>
    <w:uiPriority w:val="0"/>
    <w:pPr>
      <w:numPr>
        <w:ilvl w:val="0"/>
        <w:numId w:val="0"/>
      </w:numPr>
      <w:tabs>
        <w:tab w:val="left" w:pos="1260"/>
      </w:tabs>
      <w:adjustRightInd/>
      <w:snapToGrid/>
      <w:spacing w:beforeLines="50" w:afterLines="20"/>
      <w:ind w:left="1260" w:hanging="420"/>
    </w:pPr>
    <w:rPr>
      <w:rFonts w:ascii="宋体" w:hAnsi="宋体" w:eastAsia="黑体" w:cs="宋体"/>
      <w:b w:val="0"/>
      <w:bCs w:val="0"/>
      <w:szCs w:val="24"/>
    </w:rPr>
  </w:style>
  <w:style w:type="paragraph" w:customStyle="1" w:styleId="596">
    <w:name w:val="样式 标题 3Section条标题1.1.1标题 33标题 13(F4)小节标题4(C+F3)标题 3 Cha..."/>
    <w:basedOn w:val="4"/>
    <w:qFormat/>
    <w:uiPriority w:val="0"/>
    <w:pPr>
      <w:numPr>
        <w:ilvl w:val="0"/>
        <w:numId w:val="0"/>
      </w:numPr>
      <w:tabs>
        <w:tab w:val="left" w:pos="1260"/>
      </w:tabs>
      <w:adjustRightInd/>
      <w:snapToGrid/>
      <w:spacing w:beforeLines="50" w:afterLines="20" w:line="400" w:lineRule="exact"/>
      <w:ind w:left="1260" w:hanging="420"/>
    </w:pPr>
    <w:rPr>
      <w:rFonts w:eastAsia="黑体" w:cs="宋体"/>
      <w:b w:val="0"/>
      <w:bCs w:val="0"/>
      <w:color w:val="FF0000"/>
      <w:szCs w:val="20"/>
    </w:rPr>
  </w:style>
  <w:style w:type="character" w:customStyle="1" w:styleId="597">
    <w:name w:val="标题1.1.1.1.1 Char1"/>
    <w:qFormat/>
    <w:uiPriority w:val="0"/>
    <w:rPr>
      <w:rFonts w:ascii="黑体" w:hAnsi="宋体" w:eastAsia="黑体"/>
      <w:kern w:val="2"/>
      <w:sz w:val="24"/>
      <w:lang w:val="en-US" w:eastAsia="zh-CN" w:bidi="ar-SA"/>
    </w:rPr>
  </w:style>
  <w:style w:type="character" w:customStyle="1" w:styleId="598">
    <w:name w:val="dc1"/>
    <w:qFormat/>
    <w:uiPriority w:val="0"/>
    <w:rPr>
      <w:rFonts w:hint="eastAsia" w:ascii="宋体" w:hAnsi="宋体" w:eastAsia="宋体"/>
      <w:sz w:val="18"/>
      <w:szCs w:val="18"/>
    </w:rPr>
  </w:style>
  <w:style w:type="character" w:customStyle="1" w:styleId="599">
    <w:name w:val="11p"/>
    <w:basedOn w:val="74"/>
    <w:qFormat/>
    <w:uiPriority w:val="0"/>
  </w:style>
  <w:style w:type="character" w:customStyle="1" w:styleId="600">
    <w:name w:val="readnewstitle"/>
    <w:basedOn w:val="74"/>
    <w:qFormat/>
    <w:uiPriority w:val="0"/>
  </w:style>
  <w:style w:type="character" w:customStyle="1" w:styleId="601">
    <w:name w:val="lh22px"/>
    <w:basedOn w:val="74"/>
    <w:qFormat/>
    <w:uiPriority w:val="0"/>
  </w:style>
  <w:style w:type="character" w:customStyle="1" w:styleId="602">
    <w:name w:val="标题 1.1 Char"/>
    <w:qFormat/>
    <w:uiPriority w:val="0"/>
    <w:rPr>
      <w:rFonts w:eastAsia="黑体"/>
      <w:kern w:val="2"/>
      <w:sz w:val="28"/>
      <w:szCs w:val="32"/>
      <w:lang w:val="en-US" w:eastAsia="zh-CN" w:bidi="ar-SA"/>
    </w:rPr>
  </w:style>
  <w:style w:type="character" w:customStyle="1" w:styleId="603">
    <w:name w:val="zye"/>
    <w:basedOn w:val="74"/>
    <w:qFormat/>
    <w:uiPriority w:val="0"/>
  </w:style>
  <w:style w:type="character" w:customStyle="1" w:styleId="604">
    <w:name w:val="Char Char10"/>
    <w:qFormat/>
    <w:uiPriority w:val="0"/>
    <w:rPr>
      <w:rFonts w:ascii="Calibri" w:hAnsi="Calibri" w:eastAsia="宋体"/>
      <w:b/>
      <w:bCs/>
      <w:kern w:val="2"/>
      <w:sz w:val="32"/>
      <w:szCs w:val="32"/>
      <w:lang w:val="en-US" w:eastAsia="zh-CN" w:bidi="ar-SA"/>
    </w:rPr>
  </w:style>
  <w:style w:type="paragraph" w:customStyle="1" w:styleId="605">
    <w:name w:val="Char Char1 Char Char Char Char"/>
    <w:basedOn w:val="1"/>
    <w:qFormat/>
    <w:uiPriority w:val="0"/>
    <w:rPr>
      <w:rFonts w:ascii="Times New Roman" w:hAnsi="Times New Roman"/>
      <w:szCs w:val="24"/>
    </w:rPr>
  </w:style>
  <w:style w:type="paragraph" w:customStyle="1" w:styleId="606">
    <w:name w:val="标题C"/>
    <w:qFormat/>
    <w:uiPriority w:val="0"/>
    <w:pPr>
      <w:tabs>
        <w:tab w:val="left" w:pos="0"/>
      </w:tabs>
      <w:adjustRightInd w:val="0"/>
      <w:snapToGrid w:val="0"/>
      <w:spacing w:before="300"/>
      <w:outlineLvl w:val="2"/>
    </w:pPr>
    <w:rPr>
      <w:rFonts w:ascii="Times New Roman" w:hAnsi="Times New Roman" w:eastAsia="宋体" w:cs="Times New Roman"/>
      <w:b/>
      <w:snapToGrid w:val="0"/>
      <w:sz w:val="28"/>
      <w:lang w:val="en-US" w:eastAsia="zh-CN" w:bidi="ar-SA"/>
    </w:rPr>
  </w:style>
  <w:style w:type="paragraph" w:customStyle="1" w:styleId="607">
    <w:name w:val="正文new"/>
    <w:basedOn w:val="1"/>
    <w:qFormat/>
    <w:uiPriority w:val="0"/>
    <w:pPr>
      <w:spacing w:line="360" w:lineRule="auto"/>
      <w:ind w:firstLine="200" w:firstLineChars="200"/>
    </w:pPr>
    <w:rPr>
      <w:rFonts w:ascii="Times New Roman" w:hAnsi="Times New Roman" w:cs="宋体"/>
      <w:sz w:val="28"/>
      <w:szCs w:val="20"/>
    </w:rPr>
  </w:style>
  <w:style w:type="paragraph" w:customStyle="1" w:styleId="608">
    <w:name w:val="报告书正文 Char Char"/>
    <w:basedOn w:val="1"/>
    <w:qFormat/>
    <w:uiPriority w:val="0"/>
    <w:pPr>
      <w:spacing w:line="300" w:lineRule="auto"/>
      <w:ind w:firstLine="480" w:firstLineChars="200"/>
    </w:pPr>
    <w:rPr>
      <w:rFonts w:ascii="Times New Roman" w:hAnsi="Times New Roman"/>
      <w:color w:val="000000"/>
      <w:sz w:val="24"/>
      <w:szCs w:val="24"/>
    </w:rPr>
  </w:style>
  <w:style w:type="paragraph" w:customStyle="1" w:styleId="609">
    <w:name w:val="1 Char"/>
    <w:basedOn w:val="1"/>
    <w:qFormat/>
    <w:uiPriority w:val="0"/>
    <w:pPr>
      <w:keepNext/>
      <w:keepLines/>
      <w:spacing w:before="120" w:after="60"/>
      <w:jc w:val="left"/>
      <w:outlineLvl w:val="2"/>
    </w:pPr>
    <w:rPr>
      <w:rFonts w:ascii="Times New Roman" w:hAnsi="Times New Roman"/>
      <w:bCs/>
      <w:kern w:val="0"/>
      <w:szCs w:val="24"/>
    </w:rPr>
  </w:style>
  <w:style w:type="paragraph" w:customStyle="1" w:styleId="610">
    <w:name w:val="正文格式"/>
    <w:basedOn w:val="1"/>
    <w:semiHidden/>
    <w:qFormat/>
    <w:uiPriority w:val="0"/>
    <w:pPr>
      <w:spacing w:line="360" w:lineRule="auto"/>
      <w:ind w:firstLine="482"/>
    </w:pPr>
    <w:rPr>
      <w:rFonts w:ascii="宋体" w:hAnsi="Times New Roman"/>
      <w:sz w:val="24"/>
      <w:szCs w:val="24"/>
    </w:rPr>
  </w:style>
  <w:style w:type="character" w:customStyle="1" w:styleId="611">
    <w:name w:val="a61"/>
    <w:qFormat/>
    <w:uiPriority w:val="0"/>
    <w:rPr>
      <w:rFonts w:hint="eastAsia" w:ascii="宋体" w:hAnsi="宋体" w:eastAsia="宋体"/>
      <w:sz w:val="23"/>
      <w:szCs w:val="23"/>
    </w:rPr>
  </w:style>
  <w:style w:type="character" w:customStyle="1" w:styleId="612">
    <w:name w:val="样式 首行缩进:  2 字符 Char"/>
    <w:link w:val="122"/>
    <w:qFormat/>
    <w:uiPriority w:val="0"/>
    <w:rPr>
      <w:rFonts w:ascii="宋体" w:hAnsi="宋体" w:cs="宋体"/>
      <w:color w:val="FF0000"/>
      <w:sz w:val="24"/>
      <w:szCs w:val="24"/>
    </w:rPr>
  </w:style>
  <w:style w:type="character" w:customStyle="1" w:styleId="613">
    <w:name w:val="表头 Char"/>
    <w:qFormat/>
    <w:uiPriority w:val="0"/>
    <w:rPr>
      <w:rFonts w:ascii="宋体" w:hAnsi="宋体" w:eastAsia="宋体" w:cs="Times New Roman"/>
      <w:b/>
      <w:bCs/>
      <w:szCs w:val="21"/>
    </w:rPr>
  </w:style>
  <w:style w:type="paragraph" w:customStyle="1" w:styleId="614">
    <w:name w:val="Char1 Char Char Char"/>
    <w:basedOn w:val="1"/>
    <w:qFormat/>
    <w:uiPriority w:val="0"/>
    <w:pPr>
      <w:spacing w:line="360" w:lineRule="auto"/>
      <w:ind w:firstLine="200" w:firstLineChars="200"/>
    </w:pPr>
    <w:rPr>
      <w:rFonts w:ascii="宋体" w:hAnsi="宋体" w:cs="宋体"/>
      <w:sz w:val="24"/>
      <w:szCs w:val="24"/>
    </w:rPr>
  </w:style>
  <w:style w:type="character" w:customStyle="1" w:styleId="615">
    <w:name w:val="ft"/>
    <w:qFormat/>
    <w:uiPriority w:val="0"/>
  </w:style>
  <w:style w:type="character" w:customStyle="1" w:styleId="616">
    <w:name w:val="labeltitle1"/>
    <w:qFormat/>
    <w:uiPriority w:val="0"/>
    <w:rPr>
      <w:b/>
      <w:bCs/>
      <w:sz w:val="39"/>
      <w:szCs w:val="39"/>
    </w:rPr>
  </w:style>
  <w:style w:type="character" w:customStyle="1" w:styleId="617">
    <w:name w:val="haydonli Char"/>
    <w:link w:val="581"/>
    <w:qFormat/>
    <w:uiPriority w:val="0"/>
    <w:rPr>
      <w:rFonts w:ascii="宋体" w:hAnsi="宋体"/>
      <w:snapToGrid w:val="0"/>
      <w:color w:val="000000"/>
      <w:szCs w:val="21"/>
    </w:rPr>
  </w:style>
  <w:style w:type="paragraph" w:styleId="618">
    <w:name w:val="No Spacing"/>
    <w:qFormat/>
    <w:uiPriority w:val="1"/>
    <w:pPr>
      <w:widowControl w:val="0"/>
      <w:ind w:firstLine="425"/>
      <w:jc w:val="both"/>
    </w:pPr>
    <w:rPr>
      <w:rFonts w:ascii="Times New Roman" w:hAnsi="Times New Roman" w:eastAsia="宋体" w:cs="Times New Roman"/>
      <w:kern w:val="2"/>
      <w:sz w:val="24"/>
      <w:lang w:val="en-US" w:eastAsia="zh-CN" w:bidi="ar-SA"/>
    </w:rPr>
  </w:style>
  <w:style w:type="paragraph" w:customStyle="1" w:styleId="619">
    <w:name w:val="Char Char Char Char1 Char Char Char2"/>
    <w:basedOn w:val="4"/>
    <w:next w:val="105"/>
    <w:qFormat/>
    <w:uiPriority w:val="0"/>
    <w:pPr>
      <w:numPr>
        <w:ilvl w:val="0"/>
        <w:numId w:val="0"/>
      </w:numPr>
      <w:tabs>
        <w:tab w:val="left" w:pos="1260"/>
      </w:tabs>
      <w:adjustRightInd/>
      <w:snapToGrid/>
      <w:spacing w:before="50" w:after="20"/>
      <w:ind w:left="1260" w:hanging="420"/>
    </w:pPr>
    <w:rPr>
      <w:rFonts w:ascii="宋体" w:hAnsi="宋体" w:eastAsia="楷体" w:cs="宋体"/>
      <w:bCs w:val="0"/>
      <w:i/>
      <w:szCs w:val="24"/>
    </w:rPr>
  </w:style>
  <w:style w:type="character" w:customStyle="1" w:styleId="620">
    <w:name w:val="Char Char1"/>
    <w:link w:val="449"/>
    <w:qFormat/>
    <w:uiPriority w:val="0"/>
    <w:rPr>
      <w:rFonts w:ascii="宋体" w:hAnsi="宋体"/>
      <w:sz w:val="24"/>
      <w:szCs w:val="24"/>
    </w:rPr>
  </w:style>
  <w:style w:type="paragraph" w:customStyle="1" w:styleId="621">
    <w:name w:val="表文"/>
    <w:basedOn w:val="156"/>
    <w:qFormat/>
    <w:uiPriority w:val="0"/>
    <w:pPr>
      <w:spacing w:beforeLines="20" w:after="20" w:afterLines="20" w:line="240" w:lineRule="auto"/>
      <w:ind w:left="-25" w:leftChars="-25" w:right="-25" w:rightChars="-25" w:firstLine="200"/>
    </w:pPr>
    <w:rPr>
      <w:rFonts w:ascii="宋体" w:hAnsi="宋体"/>
      <w:b w:val="0"/>
      <w:kern w:val="0"/>
      <w:sz w:val="18"/>
      <w:szCs w:val="21"/>
    </w:rPr>
  </w:style>
  <w:style w:type="paragraph" w:customStyle="1" w:styleId="622">
    <w:name w:val="Char Char Char2"/>
    <w:basedOn w:val="1"/>
    <w:qFormat/>
    <w:uiPriority w:val="0"/>
    <w:rPr>
      <w:rFonts w:ascii="Times New Roman" w:hAnsi="Times New Roman"/>
    </w:rPr>
  </w:style>
  <w:style w:type="character" w:customStyle="1" w:styleId="623">
    <w:name w:val="apple-style-span"/>
    <w:qFormat/>
    <w:uiPriority w:val="0"/>
  </w:style>
  <w:style w:type="table" w:customStyle="1" w:styleId="624">
    <w:name w:val="典雅型1"/>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5">
    <w:name w:val="典雅型2"/>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6">
    <w:name w:val="典雅型3"/>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7">
    <w:name w:val="典雅型4"/>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8">
    <w:name w:val="典雅型5"/>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9">
    <w:name w:val="典雅型6"/>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paragraph" w:customStyle="1" w:styleId="630">
    <w:name w:val="ming－正文"/>
    <w:basedOn w:val="1"/>
    <w:qFormat/>
    <w:uiPriority w:val="0"/>
    <w:pPr>
      <w:spacing w:line="360" w:lineRule="auto"/>
      <w:ind w:firstLine="200" w:firstLineChars="200"/>
    </w:pPr>
    <w:rPr>
      <w:rFonts w:ascii="Times New Roman" w:hAnsi="Times New Roman"/>
      <w:sz w:val="28"/>
      <w:szCs w:val="28"/>
    </w:rPr>
  </w:style>
  <w:style w:type="paragraph" w:customStyle="1" w:styleId="631">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632">
    <w:name w:val="why－正文"/>
    <w:basedOn w:val="1"/>
    <w:qFormat/>
    <w:uiPriority w:val="0"/>
    <w:pPr>
      <w:tabs>
        <w:tab w:val="left" w:pos="900"/>
      </w:tabs>
      <w:spacing w:line="360" w:lineRule="auto"/>
      <w:ind w:firstLine="480" w:firstLineChars="200"/>
    </w:pPr>
    <w:rPr>
      <w:rFonts w:ascii="Times New Roman" w:hAnsi="Times New Roman"/>
      <w:sz w:val="24"/>
      <w:szCs w:val="28"/>
    </w:rPr>
  </w:style>
  <w:style w:type="character" w:customStyle="1" w:styleId="633">
    <w:name w:val="Mention"/>
    <w:basedOn w:val="74"/>
    <w:semiHidden/>
    <w:unhideWhenUsed/>
    <w:qFormat/>
    <w:uiPriority w:val="99"/>
    <w:rPr>
      <w:color w:val="2B579A"/>
      <w:shd w:val="clear" w:color="auto" w:fill="E6E6E6"/>
    </w:rPr>
  </w:style>
  <w:style w:type="paragraph" w:customStyle="1" w:styleId="634">
    <w:name w:val="标题 61"/>
    <w:basedOn w:val="1"/>
    <w:qFormat/>
    <w:uiPriority w:val="1"/>
    <w:pPr>
      <w:ind w:left="120"/>
      <w:jc w:val="left"/>
      <w:outlineLvl w:val="6"/>
    </w:pPr>
    <w:rPr>
      <w:rFonts w:ascii="Courier New" w:hAnsi="Courier New" w:eastAsia="Courier New" w:cs="黑体"/>
      <w:b/>
      <w:bCs/>
      <w:kern w:val="0"/>
      <w:sz w:val="30"/>
      <w:szCs w:val="30"/>
      <w:lang w:eastAsia="en-US"/>
    </w:rPr>
  </w:style>
  <w:style w:type="character" w:customStyle="1" w:styleId="635">
    <w:name w:val="font121"/>
    <w:basedOn w:val="74"/>
    <w:qFormat/>
    <w:uiPriority w:val="0"/>
    <w:rPr>
      <w:rFonts w:hint="eastAsia" w:ascii="宋体" w:hAnsi="宋体" w:eastAsia="宋体" w:cs="宋体"/>
      <w:color w:val="000000"/>
      <w:sz w:val="22"/>
      <w:szCs w:val="22"/>
      <w:u w:val="none"/>
    </w:rPr>
  </w:style>
  <w:style w:type="character" w:customStyle="1" w:styleId="636">
    <w:name w:val="font131"/>
    <w:basedOn w:val="74"/>
    <w:qFormat/>
    <w:uiPriority w:val="0"/>
    <w:rPr>
      <w:rFonts w:hint="eastAsia" w:ascii="宋体" w:hAnsi="宋体" w:eastAsia="宋体" w:cs="宋体"/>
      <w:color w:val="000000"/>
      <w:sz w:val="22"/>
      <w:szCs w:val="22"/>
      <w:u w:val="none"/>
    </w:rPr>
  </w:style>
  <w:style w:type="character" w:customStyle="1" w:styleId="637">
    <w:name w:val="font81"/>
    <w:basedOn w:val="74"/>
    <w:qFormat/>
    <w:uiPriority w:val="0"/>
    <w:rPr>
      <w:rFonts w:hint="default" w:ascii="Times New Roman" w:hAnsi="Times New Roman" w:cs="Times New Roman"/>
      <w:b/>
      <w:color w:val="000000"/>
      <w:sz w:val="22"/>
      <w:szCs w:val="22"/>
      <w:u w:val="none"/>
    </w:rPr>
  </w:style>
  <w:style w:type="character" w:customStyle="1" w:styleId="638">
    <w:name w:val="font141"/>
    <w:basedOn w:val="74"/>
    <w:qFormat/>
    <w:uiPriority w:val="0"/>
    <w:rPr>
      <w:rFonts w:hint="eastAsia" w:ascii="宋体" w:hAnsi="宋体" w:eastAsia="宋体" w:cs="宋体"/>
      <w:color w:val="000000"/>
      <w:sz w:val="21"/>
      <w:szCs w:val="21"/>
      <w:u w:val="none"/>
    </w:rPr>
  </w:style>
  <w:style w:type="character" w:customStyle="1" w:styleId="639">
    <w:name w:val="font161"/>
    <w:basedOn w:val="74"/>
    <w:qFormat/>
    <w:uiPriority w:val="0"/>
    <w:rPr>
      <w:rFonts w:hint="eastAsia" w:ascii="宋体" w:hAnsi="宋体" w:eastAsia="宋体" w:cs="宋体"/>
      <w:b/>
      <w:color w:val="000000"/>
      <w:sz w:val="22"/>
      <w:szCs w:val="22"/>
      <w:u w:val="none"/>
    </w:rPr>
  </w:style>
  <w:style w:type="character" w:customStyle="1" w:styleId="640">
    <w:name w:val="font61"/>
    <w:basedOn w:val="74"/>
    <w:qFormat/>
    <w:uiPriority w:val="0"/>
    <w:rPr>
      <w:rFonts w:hint="eastAsia" w:ascii="宋体" w:hAnsi="宋体" w:eastAsia="宋体" w:cs="宋体"/>
      <w:color w:val="000000"/>
      <w:sz w:val="22"/>
      <w:szCs w:val="22"/>
      <w:u w:val="none"/>
    </w:rPr>
  </w:style>
  <w:style w:type="paragraph" w:customStyle="1" w:styleId="641">
    <w:name w:val="001正文"/>
    <w:basedOn w:val="1"/>
    <w:qFormat/>
    <w:uiPriority w:val="0"/>
    <w:pPr>
      <w:spacing w:line="360" w:lineRule="auto"/>
      <w:ind w:firstLine="200" w:firstLineChars="200"/>
    </w:pPr>
    <w:rPr>
      <w:rFonts w:ascii="Times New Roman" w:hAnsi="宋体"/>
      <w:color w:val="000000"/>
      <w:sz w:val="24"/>
      <w:szCs w:val="24"/>
    </w:rPr>
  </w:style>
  <w:style w:type="character" w:customStyle="1" w:styleId="642">
    <w:name w:val="on"/>
    <w:basedOn w:val="74"/>
    <w:qFormat/>
    <w:uiPriority w:val="0"/>
    <w:rPr>
      <w:color w:val="FFFFFF"/>
      <w:shd w:val="clear" w:color="auto" w:fill="1F71FC"/>
    </w:rPr>
  </w:style>
  <w:style w:type="character" w:customStyle="1" w:styleId="643">
    <w:name w:val="font91"/>
    <w:basedOn w:val="74"/>
    <w:qFormat/>
    <w:uiPriority w:val="0"/>
    <w:rPr>
      <w:rFonts w:hint="default" w:ascii="Times New Roman" w:hAnsi="Times New Roman" w:cs="Times New Roman"/>
      <w:b/>
      <w:color w:val="000000"/>
      <w:sz w:val="22"/>
      <w:szCs w:val="22"/>
      <w:u w:val="none"/>
    </w:rPr>
  </w:style>
  <w:style w:type="character" w:customStyle="1" w:styleId="644">
    <w:name w:val="font71"/>
    <w:basedOn w:val="74"/>
    <w:qFormat/>
    <w:uiPriority w:val="0"/>
    <w:rPr>
      <w:rFonts w:hint="eastAsia" w:ascii="宋体" w:hAnsi="宋体" w:eastAsia="宋体" w:cs="宋体"/>
      <w:color w:val="000000"/>
      <w:sz w:val="22"/>
      <w:szCs w:val="22"/>
      <w:u w:val="none"/>
    </w:rPr>
  </w:style>
  <w:style w:type="character" w:customStyle="1" w:styleId="645">
    <w:name w:val="font111"/>
    <w:basedOn w:val="74"/>
    <w:qFormat/>
    <w:uiPriority w:val="0"/>
    <w:rPr>
      <w:rFonts w:hint="default" w:ascii="Times New Roman" w:hAnsi="Times New Roman" w:cs="Times New Roman"/>
      <w:b/>
      <w:color w:val="000000"/>
      <w:sz w:val="36"/>
      <w:szCs w:val="36"/>
      <w:u w:val="none"/>
    </w:rPr>
  </w:style>
  <w:style w:type="character" w:customStyle="1" w:styleId="646">
    <w:name w:val="font101"/>
    <w:basedOn w:val="74"/>
    <w:qFormat/>
    <w:uiPriority w:val="0"/>
    <w:rPr>
      <w:rFonts w:hint="eastAsia" w:ascii="宋体" w:hAnsi="宋体" w:eastAsia="宋体" w:cs="宋体"/>
      <w:color w:val="000000"/>
      <w:sz w:val="36"/>
      <w:szCs w:val="36"/>
      <w:u w:val="none"/>
    </w:rPr>
  </w:style>
  <w:style w:type="character" w:customStyle="1" w:styleId="647">
    <w:name w:val="font01"/>
    <w:basedOn w:val="74"/>
    <w:qFormat/>
    <w:uiPriority w:val="0"/>
    <w:rPr>
      <w:rFonts w:hint="eastAsia" w:ascii="宋体" w:hAnsi="宋体" w:eastAsia="宋体" w:cs="宋体"/>
      <w:b/>
      <w:color w:val="000000"/>
      <w:sz w:val="22"/>
      <w:szCs w:val="22"/>
      <w:u w:val="none"/>
    </w:rPr>
  </w:style>
  <w:style w:type="character" w:customStyle="1" w:styleId="648">
    <w:name w:val="pic"/>
    <w:basedOn w:val="74"/>
    <w:qFormat/>
    <w:uiPriority w:val="0"/>
  </w:style>
  <w:style w:type="character" w:customStyle="1" w:styleId="649">
    <w:name w:val="text"/>
    <w:basedOn w:val="74"/>
    <w:qFormat/>
    <w:uiPriority w:val="0"/>
    <w:rPr>
      <w:color w:val="888888"/>
      <w:sz w:val="18"/>
      <w:szCs w:val="18"/>
    </w:rPr>
  </w:style>
  <w:style w:type="character" w:customStyle="1" w:styleId="650">
    <w:name w:val="sels"/>
    <w:basedOn w:val="74"/>
    <w:qFormat/>
    <w:uiPriority w:val="0"/>
    <w:rPr>
      <w:bdr w:val="single" w:color="DAB76A" w:sz="6" w:space="0"/>
      <w:shd w:val="clear" w:color="auto" w:fill="FFFFFF"/>
    </w:rPr>
  </w:style>
  <w:style w:type="character" w:customStyle="1" w:styleId="651">
    <w:name w:val="sel"/>
    <w:basedOn w:val="74"/>
    <w:qFormat/>
    <w:uiPriority w:val="0"/>
  </w:style>
  <w:style w:type="character" w:customStyle="1" w:styleId="652">
    <w:name w:val="bds_more"/>
    <w:basedOn w:val="74"/>
    <w:qFormat/>
    <w:uiPriority w:val="0"/>
    <w:rPr>
      <w:rFonts w:hint="eastAsia" w:ascii="宋体" w:hAnsi="宋体" w:eastAsia="宋体" w:cs="宋体"/>
    </w:rPr>
  </w:style>
  <w:style w:type="character" w:customStyle="1" w:styleId="653">
    <w:name w:val="bds_more1"/>
    <w:basedOn w:val="74"/>
    <w:qFormat/>
    <w:uiPriority w:val="0"/>
  </w:style>
  <w:style w:type="character" w:customStyle="1" w:styleId="654">
    <w:name w:val="bds_more2"/>
    <w:basedOn w:val="74"/>
    <w:qFormat/>
    <w:uiPriority w:val="0"/>
  </w:style>
  <w:style w:type="character" w:customStyle="1" w:styleId="655">
    <w:name w:val="bds_nopic"/>
    <w:basedOn w:val="74"/>
    <w:qFormat/>
    <w:uiPriority w:val="0"/>
  </w:style>
  <w:style w:type="character" w:customStyle="1" w:styleId="656">
    <w:name w:val="bds_nopic1"/>
    <w:basedOn w:val="74"/>
    <w:qFormat/>
    <w:uiPriority w:val="0"/>
  </w:style>
  <w:style w:type="character" w:customStyle="1" w:styleId="657">
    <w:name w:val="bds_nopic2"/>
    <w:basedOn w:val="74"/>
    <w:qFormat/>
    <w:uiPriority w:val="0"/>
  </w:style>
  <w:style w:type="paragraph" w:customStyle="1" w:styleId="658">
    <w:name w:val="表格字体"/>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659">
    <w:name w:val="WPSOffice手动目录 2"/>
    <w:qFormat/>
    <w:uiPriority w:val="0"/>
    <w:pPr>
      <w:ind w:left="200" w:leftChars="200"/>
    </w:pPr>
    <w:rPr>
      <w:rFonts w:ascii="Calibri" w:hAnsi="Calibri" w:eastAsia="宋体" w:cs="Times New Roman"/>
      <w:lang w:val="en-US" w:eastAsia="zh-CN" w:bidi="ar-SA"/>
    </w:rPr>
  </w:style>
  <w:style w:type="paragraph" w:customStyle="1" w:styleId="660">
    <w:name w:val="WPSOffice手动目录 3"/>
    <w:qFormat/>
    <w:uiPriority w:val="0"/>
    <w:pPr>
      <w:ind w:left="400" w:leftChars="400"/>
    </w:pPr>
    <w:rPr>
      <w:rFonts w:ascii="Calibri" w:hAnsi="Calibri" w:eastAsia="宋体" w:cs="Times New Roman"/>
      <w:lang w:val="en-US" w:eastAsia="zh-CN" w:bidi="ar-SA"/>
    </w:rPr>
  </w:style>
  <w:style w:type="character" w:customStyle="1" w:styleId="661">
    <w:name w:val="keyword-span-wrap"/>
    <w:basedOn w:val="74"/>
    <w:qFormat/>
    <w:uiPriority w:val="0"/>
    <w:rPr>
      <w:color w:val="19A97B"/>
    </w:rPr>
  </w:style>
  <w:style w:type="character" w:customStyle="1" w:styleId="662">
    <w:name w:val="wx-space"/>
    <w:basedOn w:val="74"/>
    <w:qFormat/>
    <w:uiPriority w:val="0"/>
  </w:style>
  <w:style w:type="character" w:customStyle="1" w:styleId="663">
    <w:name w:val="wx-space1"/>
    <w:basedOn w:val="74"/>
    <w:qFormat/>
    <w:uiPriority w:val="0"/>
  </w:style>
  <w:style w:type="character" w:customStyle="1" w:styleId="664">
    <w:name w:val="hover37"/>
    <w:basedOn w:val="74"/>
    <w:qFormat/>
    <w:uiPriority w:val="0"/>
    <w:rPr>
      <w:color w:val="47932F"/>
      <w:u w:val="none"/>
      <w:bdr w:val="single" w:color="47932F" w:sz="6" w:space="0"/>
    </w:rPr>
  </w:style>
  <w:style w:type="character" w:customStyle="1" w:styleId="665">
    <w:name w:val="hover38"/>
    <w:basedOn w:val="74"/>
    <w:qFormat/>
    <w:uiPriority w:val="0"/>
    <w:rPr>
      <w:color w:val="000000"/>
      <w:shd w:val="clear" w:color="auto" w:fill="FFFFFF"/>
    </w:rPr>
  </w:style>
  <w:style w:type="character" w:customStyle="1" w:styleId="666">
    <w:name w:val="layui-this"/>
    <w:basedOn w:val="74"/>
    <w:qFormat/>
    <w:uiPriority w:val="0"/>
    <w:rPr>
      <w:bdr w:val="single" w:color="EEEEEE" w:sz="6" w:space="0"/>
      <w:shd w:val="clear" w:color="auto" w:fill="FFFFFF"/>
    </w:rPr>
  </w:style>
  <w:style w:type="character" w:customStyle="1" w:styleId="667">
    <w:name w:val="first-child"/>
    <w:basedOn w:val="74"/>
    <w:qFormat/>
    <w:uiPriority w:val="0"/>
  </w:style>
  <w:style w:type="character" w:customStyle="1" w:styleId="668">
    <w:name w:val="button"/>
    <w:basedOn w:val="74"/>
    <w:qFormat/>
    <w:uiPriority w:val="0"/>
  </w:style>
  <w:style w:type="character" w:customStyle="1" w:styleId="669">
    <w:name w:val="hover"/>
    <w:basedOn w:val="74"/>
    <w:qFormat/>
    <w:uiPriority w:val="0"/>
    <w:rPr>
      <w:color w:val="47932F"/>
      <w:u w:val="none"/>
      <w:bdr w:val="single" w:color="47932F" w:sz="6" w:space="0"/>
    </w:rPr>
  </w:style>
  <w:style w:type="character" w:customStyle="1" w:styleId="670">
    <w:name w:val="hover1"/>
    <w:basedOn w:val="74"/>
    <w:qFormat/>
    <w:uiPriority w:val="0"/>
    <w:rPr>
      <w:color w:val="000000"/>
      <w:shd w:val="clear" w:color="auto" w:fill="FFFFFF"/>
    </w:rPr>
  </w:style>
  <w:style w:type="paragraph" w:customStyle="1" w:styleId="671">
    <w:name w:val="修订11"/>
    <w:hidden/>
    <w:unhideWhenUsed/>
    <w:qFormat/>
    <w:uiPriority w:val="99"/>
    <w:rPr>
      <w:rFonts w:ascii="Calibri" w:hAnsi="Calibri" w:eastAsia="宋体" w:cs="Times New Roman"/>
      <w:kern w:val="2"/>
      <w:sz w:val="21"/>
      <w:szCs w:val="22"/>
      <w:lang w:val="en-US" w:eastAsia="zh-CN" w:bidi="ar-SA"/>
    </w:rPr>
  </w:style>
  <w:style w:type="paragraph" w:customStyle="1" w:styleId="67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7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674">
    <w:name w:val="图表脚注"/>
    <w:next w:val="672"/>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675">
    <w:name w:val="修订2"/>
    <w:hidden/>
    <w:unhideWhenUsed/>
    <w:qFormat/>
    <w:uiPriority w:val="99"/>
    <w:rPr>
      <w:rFonts w:ascii="Calibri" w:hAnsi="Calibri" w:eastAsia="宋体" w:cs="Times New Roman"/>
      <w:kern w:val="2"/>
      <w:sz w:val="21"/>
      <w:szCs w:val="22"/>
      <w:lang w:val="en-US" w:eastAsia="zh-CN" w:bidi="ar-SA"/>
    </w:rPr>
  </w:style>
  <w:style w:type="paragraph" w:customStyle="1" w:styleId="676">
    <w:name w:val="Normal_0"/>
    <w:qFormat/>
    <w:uiPriority w:val="0"/>
    <w:rPr>
      <w:rFonts w:ascii="Times New Roman" w:hAnsi="Times New Roman" w:eastAsia="Times New Roman" w:cs="Times New Roman"/>
      <w:sz w:val="24"/>
      <w:szCs w:val="24"/>
      <w:lang w:val="en-US" w:eastAsia="zh-CN" w:bidi="ar-SA"/>
    </w:rPr>
  </w:style>
  <w:style w:type="paragraph" w:customStyle="1" w:styleId="677">
    <w:name w:val="TOC 标题2"/>
    <w:basedOn w:val="2"/>
    <w:next w:val="1"/>
    <w:unhideWhenUsed/>
    <w:qFormat/>
    <w:uiPriority w:val="39"/>
    <w:pPr>
      <w:widowControl/>
      <w:numPr>
        <w:numId w:val="0"/>
      </w:numPr>
      <w:adjustRightInd/>
      <w:snapToGrid/>
      <w:spacing w:before="480" w:line="276" w:lineRule="auto"/>
      <w:jc w:val="left"/>
      <w:outlineLvl w:val="9"/>
    </w:pPr>
    <w:rPr>
      <w:rFonts w:asciiTheme="majorHAnsi" w:hAnsiTheme="majorHAnsi" w:eastAsiaTheme="majorEastAsia" w:cstheme="majorBidi"/>
      <w:b/>
      <w:color w:val="2E75B6" w:themeColor="accent1" w:themeShade="BF"/>
      <w:kern w:val="0"/>
      <w:sz w:val="28"/>
      <w:szCs w:val="28"/>
    </w:rPr>
  </w:style>
  <w:style w:type="paragraph" w:customStyle="1" w:styleId="678">
    <w:name w:val="样式 样式 正文缩进文本条款表格标题正文（首行缩进两字） Char Char Char Char Char Char Char....2"/>
    <w:basedOn w:val="1"/>
    <w:link w:val="679"/>
    <w:qFormat/>
    <w:uiPriority w:val="0"/>
    <w:pPr>
      <w:snapToGrid w:val="0"/>
      <w:spacing w:line="360" w:lineRule="auto"/>
      <w:ind w:firstLine="200" w:firstLineChars="200"/>
    </w:pPr>
    <w:rPr>
      <w:rFonts w:ascii="Times New Roman" w:hAnsi="Times New Roman" w:cs="宋体"/>
      <w:color w:val="000000"/>
      <w:sz w:val="28"/>
      <w:szCs w:val="20"/>
    </w:rPr>
  </w:style>
  <w:style w:type="character" w:customStyle="1" w:styleId="679">
    <w:name w:val="样式 样式 正文缩进文本条款表格标题正文（首行缩进两字） Char Char Char Char Char Char Char....2 Char"/>
    <w:link w:val="678"/>
    <w:qFormat/>
    <w:uiPriority w:val="0"/>
    <w:rPr>
      <w:rFonts w:cs="宋体"/>
      <w:color w:val="000000"/>
      <w:kern w:val="2"/>
      <w:sz w:val="28"/>
    </w:rPr>
  </w:style>
  <w:style w:type="paragraph" w:customStyle="1" w:styleId="680">
    <w:name w:val="监利表格注释"/>
    <w:basedOn w:val="57"/>
    <w:next w:val="1"/>
    <w:qFormat/>
    <w:uiPriority w:val="0"/>
    <w:pPr>
      <w:tabs>
        <w:tab w:val="left" w:pos="180"/>
      </w:tabs>
      <w:spacing w:before="0" w:line="560" w:lineRule="exact"/>
      <w:ind w:left="0"/>
    </w:pPr>
    <w:rPr>
      <w:rFonts w:eastAsiaTheme="minorEastAsia"/>
      <w:sz w:val="24"/>
      <w:szCs w:val="24"/>
    </w:rPr>
  </w:style>
  <w:style w:type="paragraph" w:customStyle="1" w:styleId="681">
    <w:name w:val="监利正文"/>
    <w:basedOn w:val="1"/>
    <w:next w:val="1"/>
    <w:qFormat/>
    <w:uiPriority w:val="0"/>
    <w:pPr>
      <w:ind w:firstLine="577" w:firstLineChars="200"/>
    </w:pPr>
    <w:rPr>
      <w:rFonts w:ascii="仿宋_GB2312" w:hAnsi="Times New Roman" w:eastAsia="仿宋_GB2312"/>
      <w:color w:val="000000"/>
      <w:sz w:val="28"/>
      <w:szCs w:val="28"/>
    </w:rPr>
  </w:style>
  <w:style w:type="paragraph" w:customStyle="1" w:styleId="682">
    <w:name w:val="样式 监利正文 + 首行缩进:  2 字符"/>
    <w:basedOn w:val="681"/>
    <w:qFormat/>
    <w:uiPriority w:val="0"/>
    <w:rPr>
      <w:rFonts w:cs="宋体"/>
      <w:szCs w:val="20"/>
    </w:rPr>
  </w:style>
  <w:style w:type="paragraph" w:customStyle="1" w:styleId="683">
    <w:name w:val="0(1)"/>
    <w:basedOn w:val="15"/>
    <w:qFormat/>
    <w:uiPriority w:val="0"/>
    <w:pPr>
      <w:tabs>
        <w:tab w:val="left" w:pos="1080"/>
      </w:tabs>
      <w:adjustRightInd w:val="0"/>
      <w:spacing w:line="440" w:lineRule="exact"/>
      <w:ind w:left="720" w:firstLine="0" w:firstLineChars="0"/>
    </w:pPr>
    <w:rPr>
      <w:rFonts w:ascii="Times New Roman"/>
      <w:sz w:val="24"/>
      <w:szCs w:val="24"/>
      <w:u w:color="000000"/>
    </w:rPr>
  </w:style>
  <w:style w:type="paragraph" w:customStyle="1" w:styleId="684">
    <w:name w:val="4正文"/>
    <w:basedOn w:val="1"/>
    <w:qFormat/>
    <w:uiPriority w:val="0"/>
    <w:pPr>
      <w:adjustRightInd w:val="0"/>
      <w:spacing w:line="480" w:lineRule="exact"/>
      <w:ind w:firstLine="560" w:firstLineChars="200"/>
      <w:jc w:val="left"/>
      <w:textAlignment w:val="baseline"/>
    </w:pPr>
    <w:rPr>
      <w:rFonts w:ascii="宋体" w:hAnsi="宋体"/>
      <w:kern w:val="0"/>
      <w:sz w:val="28"/>
      <w:szCs w:val="28"/>
    </w:rPr>
  </w:style>
  <w:style w:type="paragraph" w:customStyle="1" w:styleId="685">
    <w:name w:val="样式 样式 样式 样式 表头4 + 段前: 0.5 行 + 段前: 0.15 行 段后: 0.05 行 + 段前: 0.15 行..."/>
    <w:basedOn w:val="1"/>
    <w:qFormat/>
    <w:uiPriority w:val="0"/>
    <w:pPr>
      <w:spacing w:beforeLines="15" w:afterLines="5" w:line="480" w:lineRule="atLeast"/>
      <w:jc w:val="left"/>
    </w:pPr>
    <w:rPr>
      <w:rFonts w:ascii="Times New Roman" w:hAnsi="Times New Roman" w:cs="宋体"/>
      <w:b/>
      <w:sz w:val="24"/>
      <w:szCs w:val="24"/>
    </w:rPr>
  </w:style>
  <w:style w:type="paragraph" w:customStyle="1" w:styleId="686">
    <w:name w:val="样式 小4居中 +"/>
    <w:basedOn w:val="1"/>
    <w:link w:val="687"/>
    <w:qFormat/>
    <w:uiPriority w:val="0"/>
    <w:pPr>
      <w:snapToGrid w:val="0"/>
      <w:spacing w:beforeLines="15" w:afterLines="15" w:line="320" w:lineRule="atLeast"/>
      <w:jc w:val="center"/>
    </w:pPr>
    <w:rPr>
      <w:rFonts w:ascii="Times New Roman" w:hAnsi="Times New Roman"/>
      <w:kern w:val="0"/>
      <w:sz w:val="24"/>
      <w:szCs w:val="24"/>
    </w:rPr>
  </w:style>
  <w:style w:type="character" w:customStyle="1" w:styleId="687">
    <w:name w:val="样式 小4居中 + Char"/>
    <w:link w:val="686"/>
    <w:qFormat/>
    <w:uiPriority w:val="0"/>
    <w:rPr>
      <w:sz w:val="24"/>
      <w:szCs w:val="24"/>
    </w:rPr>
  </w:style>
  <w:style w:type="character" w:customStyle="1" w:styleId="688">
    <w:name w:val="列表 Char"/>
    <w:qFormat/>
    <w:uiPriority w:val="0"/>
    <w:rPr>
      <w:rFonts w:eastAsia="黑体"/>
      <w:kern w:val="2"/>
      <w:sz w:val="22"/>
      <w:lang w:val="en-US" w:eastAsia="zh-CN"/>
    </w:rPr>
  </w:style>
  <w:style w:type="paragraph" w:customStyle="1" w:styleId="689">
    <w:name w:val="正文表头"/>
    <w:basedOn w:val="1"/>
    <w:qFormat/>
    <w:uiPriority w:val="0"/>
    <w:pPr>
      <w:widowControl/>
      <w:autoSpaceDE w:val="0"/>
      <w:autoSpaceDN w:val="0"/>
      <w:adjustRightInd w:val="0"/>
      <w:spacing w:beforeLines="50" w:afterLines="50" w:line="360" w:lineRule="auto"/>
      <w:jc w:val="center"/>
    </w:pPr>
    <w:rPr>
      <w:rFonts w:ascii="Times New Roman" w:hAnsi="Times New Roman"/>
      <w:b/>
      <w:color w:val="000000"/>
      <w:kern w:val="0"/>
      <w:sz w:val="24"/>
      <w:szCs w:val="24"/>
    </w:rPr>
  </w:style>
  <w:style w:type="paragraph" w:customStyle="1" w:styleId="690">
    <w:name w:val="M表中字体"/>
    <w:qFormat/>
    <w:uiPriority w:val="0"/>
    <w:pPr>
      <w:adjustRightInd w:val="0"/>
      <w:snapToGrid w:val="0"/>
      <w:jc w:val="center"/>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3.xml"/><Relationship Id="rId79" Type="http://schemas.openxmlformats.org/officeDocument/2006/relationships/customXml" Target="../customXml/item1.xml"/><Relationship Id="rId78" Type="http://schemas.openxmlformats.org/officeDocument/2006/relationships/image" Target="media/image47.emf"/><Relationship Id="rId77" Type="http://schemas.openxmlformats.org/officeDocument/2006/relationships/oleObject" Target="embeddings/oleObject11.bin"/><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png"/><Relationship Id="rId73" Type="http://schemas.openxmlformats.org/officeDocument/2006/relationships/image" Target="media/image43.png"/><Relationship Id="rId72" Type="http://schemas.openxmlformats.org/officeDocument/2006/relationships/image" Target="media/image42.png"/><Relationship Id="rId71" Type="http://schemas.openxmlformats.org/officeDocument/2006/relationships/image" Target="media/image41.png"/><Relationship Id="rId70" Type="http://schemas.openxmlformats.org/officeDocument/2006/relationships/image" Target="media/image40.png"/><Relationship Id="rId7" Type="http://schemas.openxmlformats.org/officeDocument/2006/relationships/header" Target="header3.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oleObject" Target="embeddings/oleObject10.bin"/><Relationship Id="rId66" Type="http://schemas.openxmlformats.org/officeDocument/2006/relationships/oleObject" Target="embeddings/oleObject9.bin"/><Relationship Id="rId65" Type="http://schemas.openxmlformats.org/officeDocument/2006/relationships/image" Target="media/image37.wmf"/><Relationship Id="rId64" Type="http://schemas.openxmlformats.org/officeDocument/2006/relationships/image" Target="media/image36.wmf"/><Relationship Id="rId63" Type="http://schemas.openxmlformats.org/officeDocument/2006/relationships/oleObject" Target="embeddings/oleObject8.bin"/><Relationship Id="rId62" Type="http://schemas.openxmlformats.org/officeDocument/2006/relationships/image" Target="media/image35.wmf"/><Relationship Id="rId61" Type="http://schemas.openxmlformats.org/officeDocument/2006/relationships/oleObject" Target="embeddings/oleObject7.bin"/><Relationship Id="rId60" Type="http://schemas.openxmlformats.org/officeDocument/2006/relationships/image" Target="media/image34.wmf"/><Relationship Id="rId6" Type="http://schemas.openxmlformats.org/officeDocument/2006/relationships/header" Target="head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png"/><Relationship Id="rId50" Type="http://schemas.openxmlformats.org/officeDocument/2006/relationships/image" Target="media/image24.wmf"/><Relationship Id="rId5" Type="http://schemas.openxmlformats.org/officeDocument/2006/relationships/footer" Target="footer2.xml"/><Relationship Id="rId49" Type="http://schemas.openxmlformats.org/officeDocument/2006/relationships/oleObject" Target="embeddings/oleObject6.bin"/><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wmf"/><Relationship Id="rId45" Type="http://schemas.openxmlformats.org/officeDocument/2006/relationships/oleObject" Target="embeddings/oleObject5.bin"/><Relationship Id="rId44" Type="http://schemas.openxmlformats.org/officeDocument/2006/relationships/image" Target="media/image20.wmf"/><Relationship Id="rId43" Type="http://schemas.openxmlformats.org/officeDocument/2006/relationships/oleObject" Target="embeddings/oleObject4.bin"/><Relationship Id="rId42" Type="http://schemas.openxmlformats.org/officeDocument/2006/relationships/image" Target="media/image19.emf"/><Relationship Id="rId41" Type="http://schemas.openxmlformats.org/officeDocument/2006/relationships/oleObject" Target="embeddings/oleObject3.bin"/><Relationship Id="rId40" Type="http://schemas.openxmlformats.org/officeDocument/2006/relationships/image" Target="media/image18.wmf"/><Relationship Id="rId4" Type="http://schemas.openxmlformats.org/officeDocument/2006/relationships/header" Target="header1.xml"/><Relationship Id="rId39" Type="http://schemas.openxmlformats.org/officeDocument/2006/relationships/oleObject" Target="embeddings/oleObject2.bin"/><Relationship Id="rId38" Type="http://schemas.openxmlformats.org/officeDocument/2006/relationships/image" Target="media/image17.png"/><Relationship Id="rId37" Type="http://schemas.openxmlformats.org/officeDocument/2006/relationships/image" Target="media/image16.wmf"/><Relationship Id="rId36" Type="http://schemas.openxmlformats.org/officeDocument/2006/relationships/oleObject" Target="embeddings/oleObject1.bin"/><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jpe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A83F1-6BA7-4AAB-973B-BE042FDB6F2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31158</Words>
  <Characters>177602</Characters>
  <Lines>1480</Lines>
  <Paragraphs>416</Paragraphs>
  <TotalTime>0</TotalTime>
  <ScaleCrop>false</ScaleCrop>
  <LinksUpToDate>false</LinksUpToDate>
  <CharactersWithSpaces>208344</CharactersWithSpaces>
  <Application>WPS Office_11.1.0.10337_F1E327BC-269C-435d-A152-05C5408002CA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2020-04-24T09:41:00Z</dcterms:created>
  <dc:creator>微软用户</dc:creator>
  <cp:lastModifiedBy>admin</cp:lastModifiedBy>
  <cp:lastPrinted>2020-08-18T02:50:00Z</cp:lastPrinted>
  <dcterms:modified xsi:type="dcterms:W3CDTF">2021-02-09T05:05:29Z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2052-11.1.0.10337</vt:lpwstr>
  </property>
  <property fmtid="{D5CDD505-2E9C-101B-9397-08002B2CF9AE}" pid="3" name="ICV">
    <vt:lpwstr>5EE8267F90E34343982A13599582559C</vt:lpwstr>
  </property>
</Properties>
</file>