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rPr>
          <w:rFonts w:hint="default" w:ascii="Times New Roman" w:hAnsi="Times New Roman" w:cs="Times New Roman" w:eastAsiaTheme="minorEastAsia"/>
          <w:color w:val="auto"/>
          <w:sz w:val="24"/>
          <w:szCs w:val="24"/>
        </w:rPr>
      </w:pPr>
    </w:p>
    <w:p>
      <w:pPr>
        <w:pStyle w:val="2"/>
        <w:numPr>
          <w:ilvl w:val="0"/>
          <w:numId w:val="0"/>
        </w:numPr>
        <w:ind w:leftChars="0"/>
        <w:outlineLvl w:val="9"/>
        <w:rPr>
          <w:rFonts w:hint="default" w:ascii="Times New Roman" w:hAnsi="Times New Roman" w:cs="Times New Roman"/>
          <w:color w:val="auto"/>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jc w:val="center"/>
        <w:rPr>
          <w:rFonts w:hint="default" w:ascii="Times New Roman" w:hAnsi="Times New Roman" w:cs="Times New Roman" w:eastAsiaTheme="minorEastAsia"/>
          <w:b/>
          <w:color w:val="auto"/>
          <w:sz w:val="44"/>
          <w:szCs w:val="44"/>
        </w:rPr>
      </w:pPr>
      <w:r>
        <w:rPr>
          <w:rFonts w:hint="default" w:ascii="Times New Roman" w:hAnsi="Times New Roman" w:cs="Times New Roman" w:eastAsiaTheme="minorEastAsia"/>
          <w:b/>
          <w:color w:val="auto"/>
          <w:sz w:val="44"/>
          <w:szCs w:val="44"/>
        </w:rPr>
        <w:t>岳阳液化天然气有限公司</w:t>
      </w:r>
    </w:p>
    <w:p>
      <w:pPr>
        <w:adjustRightInd w:val="0"/>
        <w:snapToGrid w:val="0"/>
        <w:spacing w:line="360" w:lineRule="auto"/>
        <w:jc w:val="center"/>
        <w:rPr>
          <w:rFonts w:hint="default" w:ascii="Times New Roman" w:hAnsi="Times New Roman" w:cs="Times New Roman" w:eastAsiaTheme="minorEastAsia"/>
          <w:b/>
          <w:color w:val="auto"/>
          <w:sz w:val="44"/>
          <w:szCs w:val="44"/>
        </w:rPr>
      </w:pPr>
      <w:r>
        <w:rPr>
          <w:rFonts w:hint="default" w:ascii="Times New Roman" w:hAnsi="Times New Roman" w:cs="Times New Roman" w:eastAsiaTheme="minorEastAsia"/>
          <w:b/>
          <w:color w:val="auto"/>
          <w:sz w:val="44"/>
          <w:szCs w:val="44"/>
        </w:rPr>
        <w:t>岳阳港君山港区LNG加注站项目</w:t>
      </w:r>
    </w:p>
    <w:p>
      <w:pPr>
        <w:adjustRightInd w:val="0"/>
        <w:snapToGrid w:val="0"/>
        <w:spacing w:line="360" w:lineRule="auto"/>
        <w:jc w:val="center"/>
        <w:rPr>
          <w:rFonts w:hint="default" w:ascii="Times New Roman" w:hAnsi="Times New Roman" w:cs="Times New Roman" w:eastAsiaTheme="minorEastAsia"/>
          <w:b/>
          <w:color w:val="auto"/>
          <w:sz w:val="72"/>
          <w:szCs w:val="72"/>
        </w:rPr>
      </w:pPr>
      <w:r>
        <w:rPr>
          <w:rFonts w:hint="default" w:ascii="Times New Roman" w:hAnsi="Times New Roman" w:cs="Times New Roman" w:eastAsiaTheme="minorEastAsia"/>
          <w:b/>
          <w:color w:val="auto"/>
          <w:sz w:val="72"/>
          <w:szCs w:val="72"/>
        </w:rPr>
        <w:t>环境影响报告书</w:t>
      </w:r>
    </w:p>
    <w:p>
      <w:pPr>
        <w:adjustRightInd w:val="0"/>
        <w:snapToGrid w:val="0"/>
        <w:spacing w:line="360" w:lineRule="auto"/>
        <w:jc w:val="center"/>
        <w:rPr>
          <w:rFonts w:hint="default" w:ascii="Times New Roman" w:hAnsi="Times New Roman" w:eastAsia="楷体" w:cs="Times New Roman"/>
          <w:color w:val="auto"/>
          <w:sz w:val="32"/>
          <w:szCs w:val="32"/>
        </w:rPr>
      </w:pPr>
      <w:r>
        <w:rPr>
          <w:rFonts w:hint="default" w:ascii="Times New Roman" w:hAnsi="Times New Roman" w:eastAsia="楷体" w:cs="Times New Roman"/>
          <w:b/>
          <w:color w:val="auto"/>
          <w:sz w:val="32"/>
          <w:szCs w:val="32"/>
        </w:rPr>
        <w:t>（</w:t>
      </w:r>
      <w:r>
        <w:rPr>
          <w:rFonts w:hint="default" w:ascii="Times New Roman" w:hAnsi="Times New Roman" w:eastAsia="楷体" w:cs="Times New Roman"/>
          <w:b/>
          <w:color w:val="auto"/>
          <w:sz w:val="32"/>
          <w:szCs w:val="32"/>
          <w:lang w:val="en-US" w:eastAsia="zh-CN"/>
        </w:rPr>
        <w:t>报批</w:t>
      </w:r>
      <w:r>
        <w:rPr>
          <w:rFonts w:hint="default" w:ascii="Times New Roman" w:hAnsi="Times New Roman" w:eastAsia="楷体" w:cs="Times New Roman"/>
          <w:b/>
          <w:color w:val="auto"/>
          <w:sz w:val="32"/>
          <w:szCs w:val="32"/>
        </w:rPr>
        <w:t>稿）</w:t>
      </w: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jc w:val="center"/>
        <w:rPr>
          <w:rFonts w:hint="default" w:ascii="Times New Roman" w:hAnsi="Times New Roman" w:cs="Times New Roman" w:eastAsiaTheme="minorEastAsia"/>
          <w:color w:val="auto"/>
          <w:sz w:val="36"/>
          <w:szCs w:val="36"/>
        </w:rPr>
      </w:pPr>
      <w:r>
        <w:rPr>
          <w:rFonts w:hint="default" w:ascii="Times New Roman" w:hAnsi="Times New Roman" w:cs="Times New Roman" w:eastAsiaTheme="minorEastAsia"/>
          <w:color w:val="auto"/>
          <w:sz w:val="36"/>
          <w:szCs w:val="36"/>
        </w:rPr>
        <w:t>湖南葆华环保有限公司</w:t>
      </w:r>
    </w:p>
    <w:p>
      <w:pPr>
        <w:adjustRightInd w:val="0"/>
        <w:snapToGrid w:val="0"/>
        <w:spacing w:line="360" w:lineRule="auto"/>
        <w:jc w:val="center"/>
        <w:rPr>
          <w:rFonts w:hint="default" w:ascii="Times New Roman" w:hAnsi="Times New Roman" w:cs="Times New Roman" w:eastAsiaTheme="minorEastAsia"/>
          <w:color w:val="auto"/>
          <w:sz w:val="24"/>
          <w:szCs w:val="24"/>
        </w:rPr>
        <w:sectPr>
          <w:footerReference r:id="rId3" w:type="even"/>
          <w:pgSz w:w="11906" w:h="16838"/>
          <w:pgMar w:top="1418" w:right="1418" w:bottom="1418" w:left="1418" w:header="1021" w:footer="851"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default" w:ascii="Times New Roman" w:hAnsi="Times New Roman" w:cs="Times New Roman" w:eastAsiaTheme="minorEastAsia"/>
          <w:color w:val="auto"/>
          <w:sz w:val="36"/>
          <w:szCs w:val="36"/>
        </w:rPr>
        <w:t>2020年</w:t>
      </w:r>
      <w:r>
        <w:rPr>
          <w:rFonts w:hint="eastAsia" w:ascii="Times New Roman" w:hAnsi="Times New Roman" w:cs="Times New Roman" w:eastAsiaTheme="minorEastAsia"/>
          <w:color w:val="auto"/>
          <w:sz w:val="36"/>
          <w:szCs w:val="36"/>
          <w:lang w:val="en-US" w:eastAsia="zh-CN"/>
        </w:rPr>
        <w:t>12</w:t>
      </w:r>
      <w:r>
        <w:rPr>
          <w:rFonts w:hint="default" w:ascii="Times New Roman" w:hAnsi="Times New Roman" w:cs="Times New Roman" w:eastAsiaTheme="minorEastAsia"/>
          <w:color w:val="auto"/>
          <w:sz w:val="36"/>
          <w:szCs w:val="36"/>
        </w:rPr>
        <w:t>月</w:t>
      </w:r>
    </w:p>
    <w:sdt>
      <w:sdtPr>
        <w:rPr>
          <w:rFonts w:ascii="宋体" w:hAnsi="宋体" w:eastAsia="宋体" w:cs="Times New Roman"/>
          <w:b/>
          <w:bCs/>
          <w:color w:val="auto"/>
          <w:kern w:val="2"/>
          <w:sz w:val="32"/>
          <w:szCs w:val="32"/>
          <w:lang w:val="en-US" w:eastAsia="zh-CN" w:bidi="ar-SA"/>
        </w:rPr>
        <w:id w:val="147466721"/>
        <w15:color w:val="DBDBDB"/>
        <w:docPartObj>
          <w:docPartGallery w:val="Table of Contents"/>
          <w:docPartUnique/>
        </w:docPartObj>
      </w:sdtPr>
      <w:sdtEndPr>
        <w:rPr>
          <w:rFonts w:ascii="宋体" w:hAnsi="宋体" w:eastAsia="宋体" w:cs="Times New Roman"/>
          <w:b/>
          <w:bCs/>
          <w:color w:val="auto"/>
          <w:kern w:val="2"/>
          <w:sz w:val="32"/>
          <w:szCs w:val="32"/>
          <w:lang w:val="en-US" w:eastAsia="zh-CN" w:bidi="ar-SA"/>
        </w:rPr>
      </w:sdtEndPr>
      <w:sdtContent>
        <w:p>
          <w:pPr>
            <w:spacing w:before="0" w:beforeLines="0" w:after="0" w:afterLines="0" w:line="240" w:lineRule="auto"/>
            <w:ind w:left="0" w:leftChars="0" w:right="0" w:rightChars="0" w:firstLine="0" w:firstLineChars="0"/>
            <w:jc w:val="center"/>
            <w:rPr>
              <w:b/>
              <w:bCs/>
              <w:color w:val="auto"/>
              <w:sz w:val="32"/>
              <w:szCs w:val="32"/>
            </w:rPr>
          </w:pPr>
          <w:r>
            <w:rPr>
              <w:rFonts w:ascii="宋体" w:hAnsi="宋体" w:eastAsia="宋体"/>
              <w:b/>
              <w:bCs/>
              <w:color w:val="auto"/>
              <w:sz w:val="32"/>
              <w:szCs w:val="32"/>
            </w:rPr>
            <w:t>目</w:t>
          </w:r>
          <w:r>
            <w:rPr>
              <w:rFonts w:hint="eastAsia" w:ascii="宋体" w:hAnsi="宋体" w:eastAsia="宋体"/>
              <w:b/>
              <w:bCs/>
              <w:color w:val="auto"/>
              <w:sz w:val="32"/>
              <w:szCs w:val="32"/>
              <w:lang w:val="en-US" w:eastAsia="zh-CN"/>
            </w:rPr>
            <w:t xml:space="preserve">  </w:t>
          </w:r>
          <w:r>
            <w:rPr>
              <w:rFonts w:ascii="宋体" w:hAnsi="宋体" w:eastAsia="宋体"/>
              <w:b/>
              <w:bCs/>
              <w:color w:val="auto"/>
              <w:sz w:val="32"/>
              <w:szCs w:val="32"/>
            </w:rPr>
            <w:t>录</w:t>
          </w:r>
        </w:p>
        <w:p>
          <w:pPr>
            <w:pStyle w:val="45"/>
            <w:tabs>
              <w:tab w:val="right" w:leader="dot" w:pos="9070"/>
            </w:tabs>
            <w:rPr>
              <w:rFonts w:hint="default" w:ascii="Times New Roman" w:hAnsi="Times New Roman" w:cs="Times New Roman"/>
              <w:color w:val="auto"/>
              <w:sz w:val="24"/>
              <w:szCs w:val="24"/>
            </w:rPr>
          </w:pPr>
          <w:r>
            <w:rPr>
              <w:color w:val="auto"/>
            </w:rPr>
            <w:fldChar w:fldCharType="begin"/>
          </w:r>
          <w:r>
            <w:rPr>
              <w:color w:val="auto"/>
            </w:rPr>
            <w:instrText xml:space="preserve">TOC \o "1-2" \h \u </w:instrText>
          </w:r>
          <w:r>
            <w:rPr>
              <w:color w:val="auto"/>
            </w:rPr>
            <w:fldChar w:fldCharType="separate"/>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_Toc25048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 概  述</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_Toc25048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_Toc31150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 项目由来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_Toc31150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_Toc28651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1.2 项目特点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_Toc28651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_Toc4072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 环境影响评价的工作过程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_Toc4072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_Toc13315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1.4 分析判定相关情况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_Toc13315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_Toc22256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1.5 关注的主要环境问题及环境影响</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_Toc22256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_Toc11802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1.6 环境影响评价的主要结论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_Toc11802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_Toc24505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 总  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_Toc24505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2.1 评价目的及原则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_Toc10916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2.2 编制依据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_Toc10916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_Toc15067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2.3 环境影响因素识别及评价因子筛选</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_Toc15067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12</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_Toc551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2.4 环境功能区划及评价标准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_Toc7839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2.5 评价工作等级、评价重点及评价范围</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_Toc7839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_Toc9101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2.6 环境保护目标</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_Toc9101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_Toc12654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2.7 评价时段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_Toc12654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_Toc28348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2.8 评价技术路线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_Toc28348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_Toc2866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3 工程概况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_Toc2866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_Toc23844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rPr>
            <w:t>3.1 工程地理位置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_Toc23844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_Toc17406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rPr>
            <w:t>3.2 港口现状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_Toc17406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_Toc16718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lang w:val="zh-CN"/>
            </w:rPr>
            <w:t>3.3 项目概况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_Toc16718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34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_Toc7160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lang w:val="zh-CN"/>
            </w:rPr>
            <w:t>3.4 建设规模及主要技术指标</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_Toc7160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35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_Toc7064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lang w:val="zh-CN"/>
            </w:rPr>
            <w:t>3.5 施工工艺流程及施工方法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_Toc7064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_Toc6028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 xml:space="preserve">4 </w:t>
          </w:r>
          <w:r>
            <w:rPr>
              <w:rFonts w:hint="default" w:ascii="Times New Roman" w:hAnsi="Times New Roman" w:cs="Times New Roman" w:eastAsiaTheme="minorEastAsia"/>
              <w:color w:val="auto"/>
              <w:sz w:val="24"/>
              <w:szCs w:val="24"/>
            </w:rPr>
            <w:t>工程分析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_Toc6028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_Toc30246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4.1 装卸工艺污染环节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_Toc30246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_Toc23082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4.2 物料理化与毒理性质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_Toc23082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_Toc2324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4.3 施工期污染源强分析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_Toc2324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_Toc7209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4.4 营运期污染源分析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_Toc7209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_Toc12642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lang w:val="zh-CN"/>
            </w:rPr>
            <w:t xml:space="preserve">5 </w:t>
          </w:r>
          <w:r>
            <w:rPr>
              <w:rFonts w:hint="default" w:ascii="Times New Roman" w:hAnsi="Times New Roman" w:cs="Times New Roman" w:eastAsiaTheme="minorEastAsia"/>
              <w:color w:val="auto"/>
              <w:sz w:val="24"/>
              <w:szCs w:val="24"/>
            </w:rPr>
            <w:t>环境现状调查与评价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_Toc12642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_Toc15486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5.1 自然环境概况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_Toc15486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_Toc22592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5.2 岳阳港总体规划概况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_Toc22592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86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_Toc13672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5.3 生态敏感区环境概况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_Toc13672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_Toc5528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5.4 环境空气现状调查与评价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_Toc5528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_Toc13121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5.5 地表水环境现状调查与评价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_Toc13121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_Toc28682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5.6 河流底泥现状监测与评价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_Toc28682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103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_Toc18195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5.7 声环境现状调查与评价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_Toc18195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105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_Toc28092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5.8 生态环境现状调查与评价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_Toc28092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106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_Toc15014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 环境影响评价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_Toc15014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_Toc1190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bCs w:val="0"/>
              <w:color w:val="auto"/>
              <w:sz w:val="24"/>
              <w:szCs w:val="24"/>
            </w:rPr>
            <w:t>6.1 水环境影响评价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_Toc1190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_Toc31261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6.2 环境空气影响评价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_Toc31261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148</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_Toc11844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6.3 声环境影响评价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_Toc11844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_Toc26462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6.4 生态环境影响分析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_Toc26462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_Toc16851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6.5 固体废物污染分析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_Toc16851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_Toc19928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6.6 相关专题影响分析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_Toc19928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152</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_Toc4489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7 生态敏感区环境影响评价及保护措施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_Toc4489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_Toc8552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7.1 湖南东洞庭湖国家级自然保护区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_Toc8552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_Toc27233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7.2 长江监利段四大家鱼国家级水产种质资源保护区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_Toc27233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166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_Toc21361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 环境风险评价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_Toc21361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_Toc299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8.1 环境风险分析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_Toc299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_Toc4336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8.2 源项分析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_Toc4336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_Toc24952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8.3 风险预测与评价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_Toc24952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190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_Toc20555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8.4 事故风险防范措施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_Toc20555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194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_Toc706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8.5 应急预案纲要</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_Toc706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202</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_Toc19962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8.6 环境风险评价结论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_Toc19962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209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_Toc26155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 环境可行性分析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_Toc26155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_Toc2810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9.1 项目建设必要性</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_Toc2810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_Toc919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9.2 相关政策符合性分析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_Toc919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212</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_Toc5908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9.3 规划及选址合理性分析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_Toc5908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_Toc3413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9.4 与“三线一单”的符合性分析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_Toc3413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229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_Toc24150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9.5 环境制约因素及解决方案</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_Toc24150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_Toc15923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10 环境保护措施及其技术经济论证</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_Toc15923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_Toc7024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10.1 环境保护措施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_Toc7024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_Toc27884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10.2 环境保护措施的技术经济论证</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_Toc27884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_Toc24015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10.3 清洁生产与总量控制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_Toc24015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239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_Toc14420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10.4 环保投资估算</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_Toc14420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242</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_Toc18855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 环境保护管理和环境监控计划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_Toc18855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_Toc31161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11.1 环境保护管理计划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_Toc31161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244</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_Toc10580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11.2 环境监测计划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_Toc10580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_Toc22336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11.3 环境监理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_Toc22336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_Toc25269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11.4 “三同时”验收内容及进度计划表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_Toc25269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249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_Toc24147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12 环境影响经济损益分析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_Toc24147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_Toc14451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12.1 项目环境损失分析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_Toc14451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_Toc3674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12.2 工程社会和经济效益分析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_Toc3674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_Toc15941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12.3 环境影响经济损益分析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_Toc15941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45"/>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_Toc24769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 结论与建议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_Toc24769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_Toc23539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13.1 建设项目概况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_Toc23539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color w:val="auto"/>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_Toc9264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13.2 环境质量现状评价结论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_Toc9264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_Toc14768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13.3 施工期环境影响结论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_Toc14768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255</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_Toc7036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13.4 营运期环境影响评价结论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_Toc7036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256</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_Toc2146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13.5 环境风险评价结论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_Toc2146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_Toc24384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13.6 污染治理措施分析结论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_Toc24384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257</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_Toc17572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13.7 清洁生产分析和总量控制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_Toc17572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_Toc20079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13.8 工程环保投资</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_Toc20079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_Toc23383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13.9 环境可行性分析结论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_Toc23383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_Toc27961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13.10 公众参与结论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_Toc27961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260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_Toc10099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13.11 总结论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_Toc10099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260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pStyle w:val="59"/>
            <w:tabs>
              <w:tab w:val="right" w:leader="dot" w:pos="9070"/>
            </w:tabs>
            <w:rPr>
              <w:color w:val="auto"/>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_Toc7190 </w:instrText>
          </w:r>
          <w:r>
            <w:rPr>
              <w:rFonts w:hint="default" w:ascii="Times New Roman" w:hAnsi="Times New Roman" w:cs="Times New Roman"/>
              <w:color w:val="auto"/>
              <w:sz w:val="24"/>
              <w:szCs w:val="24"/>
            </w:rPr>
            <w:fldChar w:fldCharType="separate"/>
          </w:r>
          <w:r>
            <w:rPr>
              <w:rFonts w:hint="default" w:ascii="Times New Roman" w:hAnsi="Times New Roman" w:cs="Times New Roman" w:eastAsiaTheme="minorEastAsia"/>
              <w:color w:val="auto"/>
              <w:sz w:val="24"/>
              <w:szCs w:val="24"/>
            </w:rPr>
            <w:t>13.12 建议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_Toc7190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260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pPr>
            <w:rPr>
              <w:color w:val="auto"/>
            </w:rPr>
            <w:sectPr>
              <w:headerReference r:id="rId4" w:type="default"/>
              <w:footerReference r:id="rId6" w:type="default"/>
              <w:headerReference r:id="rId5" w:type="even"/>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rPr>
              <w:color w:val="auto"/>
            </w:rPr>
            <w:fldChar w:fldCharType="end"/>
          </w:r>
        </w:p>
      </w:sdtContent>
    </w:sdt>
    <w:tbl>
      <w:tblPr>
        <w:tblStyle w:val="71"/>
        <w:tblW w:w="9070" w:type="dxa"/>
        <w:jc w:val="center"/>
        <w:tblLayout w:type="fixed"/>
        <w:tblCellMar>
          <w:top w:w="0" w:type="dxa"/>
          <w:left w:w="108" w:type="dxa"/>
          <w:bottom w:w="0" w:type="dxa"/>
          <w:right w:w="108" w:type="dxa"/>
        </w:tblCellMar>
      </w:tblPr>
      <w:tblGrid>
        <w:gridCol w:w="1105"/>
        <w:gridCol w:w="7965"/>
      </w:tblGrid>
      <w:tr>
        <w:tblPrEx>
          <w:tblCellMar>
            <w:top w:w="0" w:type="dxa"/>
            <w:left w:w="108" w:type="dxa"/>
            <w:bottom w:w="0" w:type="dxa"/>
            <w:right w:w="108" w:type="dxa"/>
          </w:tblCellMar>
        </w:tblPrEx>
        <w:trPr>
          <w:trHeight w:val="340" w:hRule="atLeast"/>
          <w:jc w:val="center"/>
        </w:trPr>
        <w:tc>
          <w:tcPr>
            <w:tcW w:w="9070" w:type="dxa"/>
            <w:gridSpan w:val="2"/>
            <w:vAlign w:val="bottom"/>
          </w:tcPr>
          <w:p>
            <w:pPr>
              <w:pStyle w:val="124"/>
              <w:spacing w:line="360" w:lineRule="auto"/>
              <w:ind w:firstLine="0" w:firstLineChars="0"/>
              <w:rPr>
                <w:rFonts w:hint="default" w:ascii="Times New Roman" w:hAnsi="Times New Roman" w:cs="Times New Roman"/>
                <w:b/>
                <w:color w:val="auto"/>
              </w:rPr>
            </w:pPr>
            <w:r>
              <w:rPr>
                <w:rFonts w:hint="default" w:ascii="Times New Roman" w:hAnsi="Times New Roman" w:cs="Times New Roman"/>
                <w:b/>
                <w:color w:val="auto"/>
              </w:rPr>
              <w:t>附件：</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b/>
                <w:bCs/>
                <w:caps/>
                <w:color w:val="auto"/>
              </w:rPr>
            </w:pPr>
            <w:r>
              <w:rPr>
                <w:rFonts w:hint="default" w:ascii="Times New Roman" w:hAnsi="Times New Roman" w:cs="Times New Roman"/>
                <w:color w:val="auto"/>
              </w:rPr>
              <w:t>附件1</w:t>
            </w:r>
          </w:p>
        </w:tc>
        <w:tc>
          <w:tcPr>
            <w:tcW w:w="7965" w:type="dxa"/>
          </w:tcPr>
          <w:p>
            <w:pPr>
              <w:pStyle w:val="124"/>
              <w:spacing w:line="360" w:lineRule="auto"/>
              <w:ind w:firstLine="0" w:firstLineChars="0"/>
              <w:rPr>
                <w:rFonts w:hint="default" w:ascii="Times New Roman" w:hAnsi="Times New Roman" w:cs="Times New Roman"/>
                <w:color w:val="auto"/>
                <w:highlight w:val="yellow"/>
              </w:rPr>
            </w:pPr>
            <w:r>
              <w:rPr>
                <w:rFonts w:hint="default" w:ascii="Times New Roman" w:hAnsi="Times New Roman" w:cs="Times New Roman"/>
                <w:color w:val="auto"/>
              </w:rPr>
              <w:t>环评委托书</w:t>
            </w:r>
            <w:r>
              <w:rPr>
                <w:rFonts w:hint="default" w:ascii="Times New Roman" w:hAnsi="Times New Roman" w:cs="Times New Roman"/>
                <w:color w:val="auto"/>
                <w:kern w:val="0"/>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kern w:val="0"/>
              </w:rPr>
              <w:t>附件2</w:t>
            </w:r>
          </w:p>
        </w:tc>
        <w:tc>
          <w:tcPr>
            <w:tcW w:w="796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本项目备案证明（项目代码2020-430611-45-03-030998）；</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附件3</w:t>
            </w:r>
          </w:p>
        </w:tc>
        <w:tc>
          <w:tcPr>
            <w:tcW w:w="7965" w:type="dxa"/>
          </w:tcPr>
          <w:p>
            <w:pPr>
              <w:pStyle w:val="124"/>
              <w:spacing w:line="360" w:lineRule="auto"/>
              <w:ind w:firstLine="0" w:firstLineChars="0"/>
              <w:rPr>
                <w:rFonts w:hint="default" w:ascii="Times New Roman" w:hAnsi="Times New Roman" w:cs="Times New Roman"/>
                <w:color w:val="auto"/>
                <w:u w:val="single"/>
              </w:rPr>
            </w:pPr>
            <w:r>
              <w:rPr>
                <w:rFonts w:hint="default" w:ascii="Times New Roman" w:hAnsi="Times New Roman" w:cs="Times New Roman"/>
                <w:color w:val="auto"/>
                <w:u w:val="single"/>
              </w:rPr>
              <w:t>岳阳市生态环境局君山分局</w:t>
            </w:r>
            <w:r>
              <w:rPr>
                <w:rFonts w:hint="default" w:ascii="Times New Roman" w:hAnsi="Times New Roman" w:cs="Times New Roman"/>
                <w:color w:val="auto"/>
                <w:u w:val="single"/>
                <w:lang w:val="en-US" w:eastAsia="zh-CN"/>
              </w:rPr>
              <w:t xml:space="preserve">  </w:t>
            </w:r>
            <w:r>
              <w:rPr>
                <w:rFonts w:hint="default" w:ascii="Times New Roman" w:hAnsi="Times New Roman" w:cs="Times New Roman"/>
                <w:color w:val="auto"/>
                <w:u w:val="single"/>
              </w:rPr>
              <w:t>关于《岳阳港君山港区LNG加注站项目环境影响报告书》执行标准的函；</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附件4</w:t>
            </w:r>
          </w:p>
        </w:tc>
        <w:tc>
          <w:tcPr>
            <w:tcW w:w="7965" w:type="dxa"/>
          </w:tcPr>
          <w:p>
            <w:pPr>
              <w:pStyle w:val="124"/>
              <w:spacing w:line="36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建设项目环境影响评价现状环境资料质量保证单；</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rPr>
            </w:pPr>
            <w:r>
              <w:rPr>
                <w:rFonts w:hint="default" w:ascii="Times New Roman" w:hAnsi="Times New Roman" w:cs="Times New Roman"/>
                <w:color w:val="auto"/>
                <w:kern w:val="0"/>
              </w:rPr>
              <w:t>附件5</w:t>
            </w:r>
          </w:p>
        </w:tc>
        <w:tc>
          <w:tcPr>
            <w:tcW w:w="796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 xml:space="preserve">交通运输部办公厅湖南省人民政府办公厅 </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关于岳阳港总体规划的审查意见  交办规划函〔2019〕218号；</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rPr>
            </w:pPr>
            <w:r>
              <w:rPr>
                <w:rFonts w:hint="default" w:ascii="Times New Roman" w:hAnsi="Times New Roman" w:cs="Times New Roman"/>
                <w:color w:val="auto"/>
                <w:kern w:val="0"/>
              </w:rPr>
              <w:t>附件6</w:t>
            </w:r>
          </w:p>
        </w:tc>
        <w:tc>
          <w:tcPr>
            <w:tcW w:w="796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 xml:space="preserve">中华人民共和国生态环境部 </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关于《岳阳港总体规划（2017- 2035年）环境影响报告书》的审查意见  环审〔2020〕65号；</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rPr>
            </w:pPr>
            <w:r>
              <w:rPr>
                <w:rFonts w:hint="default" w:ascii="Times New Roman" w:hAnsi="Times New Roman" w:cs="Times New Roman"/>
                <w:color w:val="auto"/>
                <w:kern w:val="0"/>
              </w:rPr>
              <w:t>附件7</w:t>
            </w:r>
          </w:p>
        </w:tc>
        <w:tc>
          <w:tcPr>
            <w:tcW w:w="796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 xml:space="preserve">湖南省人民政府 </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关于支持岳阳LNG接收站（储备中心）项目建设的函  湘政函〔2019〕72号；</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kern w:val="0"/>
              </w:rPr>
            </w:pPr>
            <w:r>
              <w:rPr>
                <w:rFonts w:hint="default" w:ascii="Times New Roman" w:hAnsi="Times New Roman" w:cs="Times New Roman"/>
                <w:color w:val="auto"/>
                <w:kern w:val="0"/>
              </w:rPr>
              <w:t>附件8</w:t>
            </w:r>
          </w:p>
        </w:tc>
        <w:tc>
          <w:tcPr>
            <w:tcW w:w="796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 xml:space="preserve">国家林业和草原局办公室 </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关于岳阳LNG接收站（储备中心）项目在湖南东洞庭湖国家级自然保护区实验区建设的复函  办函资字〔2019〕205号；</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附件9</w:t>
            </w:r>
          </w:p>
        </w:tc>
        <w:tc>
          <w:tcPr>
            <w:tcW w:w="7965" w:type="dxa"/>
          </w:tcPr>
          <w:p>
            <w:pPr>
              <w:pStyle w:val="124"/>
              <w:spacing w:line="360" w:lineRule="auto"/>
              <w:ind w:firstLine="0" w:firstLineChars="0"/>
              <w:rPr>
                <w:rFonts w:hint="default" w:ascii="Times New Roman" w:hAnsi="Times New Roman" w:cs="Times New Roman"/>
                <w:color w:val="auto"/>
                <w:kern w:val="0"/>
              </w:rPr>
            </w:pPr>
            <w:r>
              <w:rPr>
                <w:rFonts w:hint="default" w:ascii="Times New Roman" w:hAnsi="Times New Roman" w:cs="Times New Roman"/>
                <w:color w:val="auto"/>
                <w:kern w:val="0"/>
              </w:rPr>
              <w:t>君山区饮水工程建设项目  岳环君分环评批</w:t>
            </w:r>
            <w:r>
              <w:rPr>
                <w:rFonts w:hint="default" w:ascii="Times New Roman" w:hAnsi="Times New Roman" w:cs="Times New Roman"/>
                <w:color w:val="auto"/>
              </w:rPr>
              <w:t>〔2020〕</w:t>
            </w:r>
            <w:r>
              <w:rPr>
                <w:rFonts w:hint="default" w:ascii="Times New Roman" w:hAnsi="Times New Roman" w:cs="Times New Roman"/>
                <w:color w:val="auto"/>
                <w:kern w:val="0"/>
              </w:rPr>
              <w:t>5号（潭</w:t>
            </w:r>
            <w:r>
              <w:rPr>
                <w:rFonts w:hint="default" w:ascii="Times New Roman" w:hAnsi="Times New Roman" w:cs="Times New Roman"/>
                <w:color w:val="auto"/>
                <w:szCs w:val="21"/>
              </w:rPr>
              <w:t>子坑饮用水源取水口上移至洪</w:t>
            </w:r>
            <w:r>
              <w:rPr>
                <w:rFonts w:hint="default" w:ascii="Times New Roman" w:hAnsi="Times New Roman" w:cs="Times New Roman"/>
                <w:color w:val="auto"/>
                <w:szCs w:val="21"/>
                <w:lang w:eastAsia="zh-CN"/>
              </w:rPr>
              <w:t>水</w:t>
            </w:r>
            <w:r>
              <w:rPr>
                <w:rFonts w:hint="default" w:ascii="Times New Roman" w:hAnsi="Times New Roman" w:cs="Times New Roman"/>
                <w:color w:val="auto"/>
                <w:szCs w:val="21"/>
              </w:rPr>
              <w:t>港泵站取水口</w:t>
            </w:r>
            <w:r>
              <w:rPr>
                <w:rFonts w:hint="default" w:ascii="Times New Roman" w:hAnsi="Times New Roman" w:cs="Times New Roman"/>
                <w:color w:val="auto"/>
                <w:kern w:val="0"/>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color w:val="auto"/>
                <w:highlight w:val="none"/>
                <w:lang w:eastAsia="zh-CN"/>
              </w:rPr>
              <w:t>附件</w:t>
            </w:r>
            <w:r>
              <w:rPr>
                <w:rFonts w:hint="default" w:ascii="Times New Roman" w:hAnsi="Times New Roman" w:cs="Times New Roman"/>
                <w:color w:val="auto"/>
                <w:highlight w:val="none"/>
                <w:lang w:val="en-US" w:eastAsia="zh-CN"/>
              </w:rPr>
              <w:t>10</w:t>
            </w:r>
          </w:p>
        </w:tc>
        <w:tc>
          <w:tcPr>
            <w:tcW w:w="7965" w:type="dxa"/>
          </w:tcPr>
          <w:p>
            <w:pPr>
              <w:pStyle w:val="124"/>
              <w:spacing w:line="360" w:lineRule="auto"/>
              <w:ind w:firstLine="0" w:firstLineChars="0"/>
              <w:rPr>
                <w:rFonts w:hint="default" w:ascii="Times New Roman" w:hAnsi="Times New Roman" w:cs="Times New Roman" w:eastAsiaTheme="minorEastAsia"/>
                <w:color w:val="auto"/>
                <w:kern w:val="0"/>
                <w:highlight w:val="none"/>
                <w:lang w:val="en-US" w:eastAsia="zh-CN"/>
              </w:rPr>
            </w:pPr>
            <w:r>
              <w:rPr>
                <w:rFonts w:hint="default" w:ascii="Times New Roman" w:hAnsi="Times New Roman" w:cs="Times New Roman"/>
                <w:color w:val="auto"/>
                <w:kern w:val="0"/>
                <w:highlight w:val="none"/>
              </w:rPr>
              <w:t>湖南省发展和改革委员会</w:t>
            </w:r>
            <w:r>
              <w:rPr>
                <w:rFonts w:hint="default" w:ascii="Times New Roman" w:hAnsi="Times New Roman" w:cs="Times New Roman"/>
                <w:color w:val="auto"/>
                <w:kern w:val="0"/>
                <w:highlight w:val="none"/>
                <w:lang w:val="en-US" w:eastAsia="zh-CN"/>
              </w:rPr>
              <w:t xml:space="preserve">  </w:t>
            </w:r>
            <w:r>
              <w:rPr>
                <w:rFonts w:hint="default" w:ascii="Times New Roman" w:hAnsi="Times New Roman" w:cs="Times New Roman"/>
                <w:color w:val="auto"/>
                <w:kern w:val="0"/>
                <w:highlight w:val="none"/>
              </w:rPr>
              <w:t>关于核准岳阳LNG接收站</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储备中心</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项目</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一期</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的批复</w:t>
            </w:r>
            <w:r>
              <w:rPr>
                <w:rFonts w:hint="default" w:ascii="Times New Roman" w:hAnsi="Times New Roman" w:cs="Times New Roman"/>
                <w:color w:val="auto"/>
                <w:kern w:val="0"/>
                <w:highlight w:val="none"/>
                <w:lang w:val="en-US" w:eastAsia="zh-CN"/>
              </w:rPr>
              <w:t xml:space="preserve">  湘发改能源〔2019〕321号。</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highlight w:val="none"/>
                <w:u w:val="single"/>
                <w:lang w:eastAsia="zh-CN"/>
              </w:rPr>
            </w:pPr>
            <w:r>
              <w:rPr>
                <w:rFonts w:hint="default" w:ascii="Times New Roman" w:hAnsi="Times New Roman" w:cs="Times New Roman"/>
                <w:color w:val="auto"/>
                <w:highlight w:val="none"/>
                <w:u w:val="single"/>
                <w:lang w:val="en-US" w:eastAsia="zh-CN"/>
              </w:rPr>
              <w:t>附件11</w:t>
            </w:r>
          </w:p>
        </w:tc>
        <w:tc>
          <w:tcPr>
            <w:tcW w:w="7965" w:type="dxa"/>
            <w:vAlign w:val="top"/>
          </w:tcPr>
          <w:p>
            <w:pPr>
              <w:pStyle w:val="124"/>
              <w:spacing w:line="360" w:lineRule="auto"/>
              <w:ind w:firstLine="0" w:firstLineChars="0"/>
              <w:rPr>
                <w:rFonts w:hint="default" w:ascii="Times New Roman" w:hAnsi="Times New Roman" w:cs="Times New Roman" w:eastAsiaTheme="minorEastAsia"/>
                <w:color w:val="auto"/>
                <w:kern w:val="0"/>
                <w:sz w:val="24"/>
                <w:szCs w:val="24"/>
                <w:highlight w:val="none"/>
                <w:u w:val="single"/>
                <w:lang w:val="en-US" w:eastAsia="zh-CN" w:bidi="ar-SA"/>
              </w:rPr>
            </w:pPr>
            <w:r>
              <w:rPr>
                <w:rFonts w:hint="default" w:ascii="Times New Roman" w:hAnsi="Times New Roman" w:cs="Times New Roman"/>
                <w:color w:val="auto"/>
                <w:kern w:val="0"/>
                <w:highlight w:val="none"/>
                <w:u w:val="single"/>
              </w:rPr>
              <w:t>岳阳市生态环境局关于岳阳LNG接收站（储备中心）项目工程（一期）环境影响报告书的批复  岳环评〔2020〕133号</w:t>
            </w:r>
            <w:r>
              <w:rPr>
                <w:rFonts w:hint="default" w:ascii="Times New Roman" w:hAnsi="Times New Roman" w:cs="Times New Roman"/>
                <w:color w:val="auto"/>
                <w:kern w:val="0"/>
                <w:highlight w:val="none"/>
                <w:u w:val="single"/>
                <w:lang w:eastAsia="zh-CN"/>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附件12</w:t>
            </w:r>
          </w:p>
        </w:tc>
        <w:tc>
          <w:tcPr>
            <w:tcW w:w="7965" w:type="dxa"/>
            <w:vAlign w:val="top"/>
          </w:tcPr>
          <w:p>
            <w:pPr>
              <w:pStyle w:val="124"/>
              <w:spacing w:line="360" w:lineRule="auto"/>
              <w:ind w:firstLine="0" w:firstLineChars="0"/>
              <w:rPr>
                <w:rFonts w:hint="default" w:ascii="Times New Roman" w:hAnsi="Times New Roman" w:cs="Times New Roman" w:eastAsiaTheme="minorEastAsia"/>
                <w:color w:val="auto"/>
                <w:kern w:val="0"/>
                <w:highlight w:val="none"/>
                <w:u w:val="single"/>
                <w:lang w:eastAsia="zh-CN"/>
              </w:rPr>
            </w:pPr>
            <w:r>
              <w:rPr>
                <w:rFonts w:hint="default" w:ascii="Times New Roman" w:hAnsi="Times New Roman" w:cs="Times New Roman"/>
                <w:color w:val="auto"/>
                <w:kern w:val="0"/>
                <w:highlight w:val="none"/>
                <w:u w:val="single"/>
              </w:rPr>
              <w:t>中华人民共和国生态环境部公告</w:t>
            </w:r>
            <w:r>
              <w:rPr>
                <w:rFonts w:hint="default" w:ascii="Times New Roman" w:hAnsi="Times New Roman" w:cs="Times New Roman"/>
                <w:color w:val="auto"/>
                <w:kern w:val="0"/>
                <w:highlight w:val="none"/>
                <w:u w:val="single"/>
                <w:lang w:val="en-US" w:eastAsia="zh-CN"/>
              </w:rPr>
              <w:t xml:space="preserve">  </w:t>
            </w:r>
            <w:r>
              <w:rPr>
                <w:rFonts w:hint="default" w:ascii="Times New Roman" w:hAnsi="Times New Roman" w:cs="Times New Roman"/>
                <w:color w:val="auto"/>
                <w:kern w:val="0"/>
                <w:highlight w:val="none"/>
                <w:u w:val="single"/>
              </w:rPr>
              <w:t>2019年弟22号</w:t>
            </w:r>
            <w:r>
              <w:rPr>
                <w:rFonts w:hint="default" w:ascii="Times New Roman" w:hAnsi="Times New Roman" w:cs="Times New Roman"/>
                <w:color w:val="auto"/>
                <w:kern w:val="0"/>
                <w:highlight w:val="none"/>
                <w:u w:val="single"/>
                <w:lang w:eastAsia="zh-CN"/>
              </w:rPr>
              <w:t>（</w:t>
            </w:r>
            <w:r>
              <w:rPr>
                <w:rFonts w:hint="default" w:ascii="Times New Roman" w:hAnsi="Times New Roman" w:cs="Times New Roman"/>
                <w:color w:val="auto"/>
                <w:kern w:val="0"/>
                <w:highlight w:val="none"/>
                <w:u w:val="single"/>
                <w:lang w:val="en-US" w:eastAsia="zh-CN"/>
              </w:rPr>
              <w:t>废止编制自然保护区生态专题的文</w:t>
            </w:r>
            <w:r>
              <w:rPr>
                <w:rFonts w:hint="default" w:ascii="Times New Roman" w:hAnsi="Times New Roman" w:cs="Times New Roman"/>
                <w:color w:val="auto"/>
                <w:kern w:val="0"/>
                <w:highlight w:val="none"/>
                <w:u w:val="single"/>
                <w:lang w:eastAsia="zh-CN"/>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附件1</w:t>
            </w:r>
            <w:r>
              <w:rPr>
                <w:rFonts w:hint="eastAsia" w:ascii="Times New Roman" w:hAnsi="Times New Roman" w:cs="Times New Roman"/>
                <w:color w:val="auto"/>
                <w:u w:val="single"/>
                <w:lang w:val="en-US" w:eastAsia="zh-CN"/>
              </w:rPr>
              <w:t>3</w:t>
            </w:r>
          </w:p>
        </w:tc>
        <w:tc>
          <w:tcPr>
            <w:tcW w:w="7965" w:type="dxa"/>
          </w:tcPr>
          <w:p>
            <w:pPr>
              <w:pStyle w:val="124"/>
              <w:spacing w:line="360" w:lineRule="auto"/>
              <w:ind w:firstLine="0" w:firstLineChars="0"/>
              <w:rPr>
                <w:rFonts w:hint="default" w:ascii="Times New Roman" w:hAnsi="Times New Roman" w:cs="Times New Roman" w:eastAsiaTheme="minorEastAsia"/>
                <w:color w:val="auto"/>
                <w:kern w:val="0"/>
                <w:u w:val="single"/>
                <w:lang w:val="en-US" w:eastAsia="zh-CN"/>
              </w:rPr>
            </w:pPr>
            <w:r>
              <w:rPr>
                <w:rFonts w:hint="default" w:ascii="Times New Roman" w:hAnsi="Times New Roman" w:cs="Times New Roman"/>
                <w:color w:val="auto"/>
                <w:kern w:val="0"/>
                <w:u w:val="single"/>
              </w:rPr>
              <w:t>岳阳港君山港区LNG加注站项目环境影响报告书技术评审会专家意见</w:t>
            </w:r>
            <w:r>
              <w:rPr>
                <w:rFonts w:hint="default" w:ascii="Times New Roman" w:hAnsi="Times New Roman" w:cs="Times New Roman"/>
                <w:color w:val="auto"/>
                <w:kern w:val="0"/>
                <w:u w:val="single"/>
                <w:lang w:val="en-US" w:eastAsia="zh-CN"/>
              </w:rPr>
              <w:t>及专家签到表；</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highlight w:val="yellow"/>
                <w:u w:val="single"/>
                <w:lang w:val="en-US" w:eastAsia="zh-CN"/>
              </w:rPr>
            </w:pPr>
          </w:p>
        </w:tc>
        <w:tc>
          <w:tcPr>
            <w:tcW w:w="7965" w:type="dxa"/>
          </w:tcPr>
          <w:p>
            <w:pPr>
              <w:pStyle w:val="124"/>
              <w:spacing w:line="360" w:lineRule="auto"/>
              <w:ind w:firstLine="0" w:firstLineChars="0"/>
              <w:rPr>
                <w:rFonts w:hint="default" w:ascii="Times New Roman" w:hAnsi="Times New Roman" w:cs="Times New Roman" w:eastAsiaTheme="minorEastAsia"/>
                <w:color w:val="auto"/>
                <w:kern w:val="0"/>
                <w:highlight w:val="yellow"/>
                <w:u w:val="single"/>
                <w:lang w:val="en-US" w:eastAsia="zh-CN"/>
              </w:rPr>
            </w:pP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p>
          <w:p>
            <w:pPr>
              <w:pStyle w:val="124"/>
              <w:spacing w:line="360" w:lineRule="auto"/>
              <w:ind w:firstLine="0" w:firstLineChars="0"/>
              <w:rPr>
                <w:rFonts w:hint="default" w:ascii="Times New Roman" w:hAnsi="Times New Roman" w:cs="Times New Roman"/>
                <w:color w:val="auto"/>
              </w:rPr>
            </w:pPr>
          </w:p>
          <w:p>
            <w:pPr>
              <w:pStyle w:val="124"/>
              <w:spacing w:line="360" w:lineRule="auto"/>
              <w:ind w:firstLine="0" w:firstLineChars="0"/>
              <w:rPr>
                <w:rFonts w:hint="default" w:ascii="Times New Roman" w:hAnsi="Times New Roman" w:cs="Times New Roman"/>
                <w:color w:val="auto"/>
              </w:rPr>
            </w:pPr>
          </w:p>
        </w:tc>
        <w:tc>
          <w:tcPr>
            <w:tcW w:w="7965" w:type="dxa"/>
          </w:tcPr>
          <w:p>
            <w:pPr>
              <w:pStyle w:val="124"/>
              <w:spacing w:line="360" w:lineRule="auto"/>
              <w:ind w:firstLine="0" w:firstLineChars="0"/>
              <w:rPr>
                <w:rFonts w:hint="default" w:ascii="Times New Roman" w:hAnsi="Times New Roman" w:cs="Times New Roman"/>
                <w:color w:val="auto"/>
                <w:highlight w:val="yellow"/>
              </w:rPr>
            </w:pP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p>
        </w:tc>
        <w:tc>
          <w:tcPr>
            <w:tcW w:w="7965" w:type="dxa"/>
          </w:tcPr>
          <w:p>
            <w:pPr>
              <w:pStyle w:val="124"/>
              <w:spacing w:line="360" w:lineRule="auto"/>
              <w:ind w:firstLine="0" w:firstLineChars="0"/>
              <w:rPr>
                <w:rFonts w:hint="default" w:ascii="Times New Roman" w:hAnsi="Times New Roman" w:cs="Times New Roman"/>
                <w:color w:val="auto"/>
                <w:highlight w:val="yellow"/>
              </w:rPr>
            </w:pP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bookmarkStart w:id="196" w:name="_GoBack"/>
            <w:bookmarkEnd w:id="196"/>
          </w:p>
        </w:tc>
        <w:tc>
          <w:tcPr>
            <w:tcW w:w="7965" w:type="dxa"/>
          </w:tcPr>
          <w:p>
            <w:pPr>
              <w:pStyle w:val="124"/>
              <w:spacing w:line="360" w:lineRule="auto"/>
              <w:ind w:firstLine="0" w:firstLineChars="0"/>
              <w:rPr>
                <w:rFonts w:hint="default" w:ascii="Times New Roman" w:hAnsi="Times New Roman" w:cs="Times New Roman"/>
                <w:color w:val="auto"/>
                <w:highlight w:val="yellow"/>
              </w:rPr>
            </w:pPr>
          </w:p>
        </w:tc>
      </w:tr>
      <w:tr>
        <w:tblPrEx>
          <w:tblCellMar>
            <w:top w:w="0" w:type="dxa"/>
            <w:left w:w="108" w:type="dxa"/>
            <w:bottom w:w="0" w:type="dxa"/>
            <w:right w:w="108" w:type="dxa"/>
          </w:tblCellMar>
        </w:tblPrEx>
        <w:trPr>
          <w:trHeight w:val="340" w:hRule="atLeast"/>
          <w:jc w:val="center"/>
        </w:trPr>
        <w:tc>
          <w:tcPr>
            <w:tcW w:w="9070" w:type="dxa"/>
            <w:gridSpan w:val="2"/>
            <w:vAlign w:val="bottom"/>
          </w:tcPr>
          <w:p>
            <w:pPr>
              <w:adjustRightInd w:val="0"/>
              <w:snapToGrid w:val="0"/>
              <w:spacing w:line="360" w:lineRule="auto"/>
              <w:rPr>
                <w:rFonts w:hint="default" w:ascii="Times New Roman" w:hAnsi="Times New Roman" w:cs="Times New Roman" w:eastAsiaTheme="minorEastAsia"/>
                <w:color w:val="auto"/>
                <w:sz w:val="24"/>
              </w:rPr>
            </w:pPr>
            <w:r>
              <w:rPr>
                <w:rFonts w:hint="default" w:ascii="Times New Roman" w:hAnsi="Times New Roman" w:cs="Times New Roman" w:eastAsiaTheme="minorEastAsia"/>
                <w:b/>
                <w:color w:val="auto"/>
                <w:sz w:val="24"/>
              </w:rPr>
              <w:t>附图：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本项目地理位置图；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附图2</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本项目周边主要环境保护目标分布及监测点位布置示意图；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附图3</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本项目码头总平面布置图；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u w:val="single"/>
              </w:rPr>
            </w:pPr>
            <w:r>
              <w:rPr>
                <w:rFonts w:hint="default" w:ascii="Times New Roman" w:hAnsi="Times New Roman" w:cs="Times New Roman"/>
                <w:color w:val="auto"/>
                <w:u w:val="single"/>
              </w:rPr>
              <w:t>附图4</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岳阳港君山港区广兴洲作业区规划布置图；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附图5</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本项目周边土地利用规划图；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附图6</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本项目周边地表水系及水功能区划图</w:t>
            </w:r>
            <w:r>
              <w:rPr>
                <w:rFonts w:hint="default" w:ascii="Times New Roman" w:hAnsi="Times New Roman" w:cs="Times New Roman" w:eastAsiaTheme="minorEastAsia"/>
                <w:color w:val="auto"/>
                <w:sz w:val="24"/>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附图7</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本项目与生态保护红线的位置关系图；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附图8</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本项目与湖南东洞庭湖国家级自然保护区的位置关系图；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附图9</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湖南东洞庭湖国家级自然保护区-重点保护植物分布图；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附图10</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湖南东洞庭湖因家级自然保护区-重点保护动物分布图；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附图11</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本项目与长江监利四大家鱼国家级水产种质资源保护区的位置关系图；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附图12</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本项目与岳阳市华容县集成长江故道江豚省级自然保护区的位置关系图；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附图13</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岳阳市重要饮用水水源地-潭子坑长江水源地的划分图；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附图14</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潭子坑取水口与洪</w:t>
            </w:r>
            <w:r>
              <w:rPr>
                <w:rFonts w:hint="default" w:ascii="Times New Roman" w:hAnsi="Times New Roman" w:cs="Times New Roman" w:eastAsiaTheme="minorEastAsia"/>
                <w:color w:val="auto"/>
                <w:kern w:val="0"/>
                <w:sz w:val="24"/>
                <w:szCs w:val="24"/>
                <w:lang w:eastAsia="zh-CN"/>
              </w:rPr>
              <w:t>水</w:t>
            </w:r>
            <w:r>
              <w:rPr>
                <w:rFonts w:hint="default" w:ascii="Times New Roman" w:hAnsi="Times New Roman" w:cs="Times New Roman" w:eastAsiaTheme="minorEastAsia"/>
                <w:color w:val="auto"/>
                <w:kern w:val="0"/>
                <w:sz w:val="24"/>
                <w:szCs w:val="24"/>
              </w:rPr>
              <w:t>港泵站取水口位置关系示意图；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附图15</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kern w:val="0"/>
                <w:sz w:val="24"/>
                <w:szCs w:val="24"/>
              </w:rPr>
              <w:t>本项目调查线路及样方分布图；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附图16</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kern w:val="0"/>
                <w:sz w:val="24"/>
                <w:szCs w:val="24"/>
              </w:rPr>
              <w:t>本项目沿线</w:t>
            </w:r>
            <w:r>
              <w:rPr>
                <w:rFonts w:hint="default" w:ascii="Times New Roman" w:hAnsi="Times New Roman" w:eastAsia="行书体" w:cs="Times New Roman"/>
                <w:bCs/>
                <w:color w:val="auto"/>
                <w:sz w:val="24"/>
              </w:rPr>
              <w:t>生态保护措施示意图；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附图17</w:t>
            </w:r>
          </w:p>
        </w:tc>
        <w:tc>
          <w:tcPr>
            <w:tcW w:w="7965" w:type="dxa"/>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kern w:val="0"/>
                <w:sz w:val="24"/>
                <w:szCs w:val="24"/>
              </w:rPr>
              <w:t>本项目</w:t>
            </w:r>
            <w:r>
              <w:rPr>
                <w:rFonts w:hint="default" w:ascii="Times New Roman" w:hAnsi="Times New Roman" w:eastAsia="行书体" w:cs="Times New Roman"/>
                <w:bCs/>
                <w:color w:val="auto"/>
                <w:sz w:val="24"/>
              </w:rPr>
              <w:t>生态监测布点图；</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附图18</w:t>
            </w:r>
          </w:p>
        </w:tc>
        <w:tc>
          <w:tcPr>
            <w:tcW w:w="7965" w:type="dxa"/>
          </w:tcPr>
          <w:p>
            <w:pPr>
              <w:autoSpaceDE w:val="0"/>
              <w:autoSpaceDN w:val="0"/>
              <w:adjustRightInd w:val="0"/>
              <w:snapToGrid w:val="0"/>
              <w:spacing w:line="360" w:lineRule="auto"/>
              <w:jc w:val="left"/>
              <w:rPr>
                <w:rFonts w:hint="default" w:ascii="Times New Roman" w:hAnsi="Times New Roman" w:eastAsia="宋体" w:cs="Times New Roman"/>
                <w:color w:val="auto"/>
                <w:kern w:val="0"/>
                <w:sz w:val="24"/>
                <w:szCs w:val="24"/>
                <w:lang w:eastAsia="zh-CN"/>
              </w:rPr>
            </w:pPr>
            <w:r>
              <w:rPr>
                <w:rFonts w:hint="default" w:ascii="Times New Roman" w:hAnsi="Times New Roman" w:cs="Times New Roman"/>
                <w:color w:val="auto"/>
                <w:kern w:val="0"/>
                <w:sz w:val="24"/>
                <w:szCs w:val="24"/>
              </w:rPr>
              <w:t>本项目现场照片</w:t>
            </w:r>
            <w:r>
              <w:rPr>
                <w:rFonts w:hint="default" w:ascii="Times New Roman" w:hAnsi="Times New Roman" w:cs="Times New Roman"/>
                <w:color w:val="auto"/>
                <w:kern w:val="0"/>
                <w:sz w:val="24"/>
                <w:szCs w:val="24"/>
                <w:lang w:eastAsia="zh-CN"/>
              </w:rPr>
              <w:t>。</w:t>
            </w:r>
          </w:p>
        </w:tc>
      </w:tr>
      <w:tr>
        <w:tblPrEx>
          <w:tblCellMar>
            <w:top w:w="0" w:type="dxa"/>
            <w:left w:w="108" w:type="dxa"/>
            <w:bottom w:w="0" w:type="dxa"/>
            <w:right w:w="108" w:type="dxa"/>
          </w:tblCellMar>
        </w:tblPrEx>
        <w:trPr>
          <w:trHeight w:val="340" w:hRule="atLeast"/>
          <w:jc w:val="center"/>
        </w:trPr>
        <w:tc>
          <w:tcPr>
            <w:tcW w:w="1105" w:type="dxa"/>
          </w:tcPr>
          <w:p>
            <w:pPr>
              <w:pStyle w:val="124"/>
              <w:spacing w:line="360" w:lineRule="auto"/>
              <w:ind w:firstLine="0" w:firstLineChars="0"/>
              <w:rPr>
                <w:rFonts w:hint="default" w:ascii="Times New Roman" w:hAnsi="Times New Roman" w:cs="Times New Roman"/>
                <w:color w:val="auto"/>
              </w:rPr>
            </w:pPr>
          </w:p>
        </w:tc>
        <w:tc>
          <w:tcPr>
            <w:tcW w:w="7965" w:type="dxa"/>
          </w:tcPr>
          <w:p>
            <w:pPr>
              <w:autoSpaceDE w:val="0"/>
              <w:autoSpaceDN w:val="0"/>
              <w:adjustRightInd w:val="0"/>
              <w:snapToGrid w:val="0"/>
              <w:spacing w:line="360" w:lineRule="auto"/>
              <w:jc w:val="left"/>
              <w:rPr>
                <w:rFonts w:hint="default" w:ascii="Times New Roman" w:hAnsi="Times New Roman" w:cs="Times New Roman"/>
                <w:color w:val="auto"/>
                <w:kern w:val="0"/>
                <w:sz w:val="24"/>
                <w:szCs w:val="24"/>
              </w:rPr>
            </w:pPr>
          </w:p>
        </w:tc>
      </w:tr>
      <w:tr>
        <w:tblPrEx>
          <w:tblCellMar>
            <w:top w:w="0" w:type="dxa"/>
            <w:left w:w="108" w:type="dxa"/>
            <w:bottom w:w="0" w:type="dxa"/>
            <w:right w:w="108" w:type="dxa"/>
          </w:tblCellMar>
        </w:tblPrEx>
        <w:trPr>
          <w:trHeight w:val="340" w:hRule="atLeast"/>
          <w:jc w:val="center"/>
        </w:trPr>
        <w:tc>
          <w:tcPr>
            <w:tcW w:w="9070" w:type="dxa"/>
            <w:gridSpan w:val="2"/>
          </w:tcPr>
          <w:p>
            <w:pPr>
              <w:autoSpaceDE w:val="0"/>
              <w:autoSpaceDN w:val="0"/>
              <w:adjustRightInd w:val="0"/>
              <w:snapToGrid w:val="0"/>
              <w:spacing w:line="360" w:lineRule="auto"/>
              <w:jc w:val="left"/>
              <w:rPr>
                <w:rFonts w:hint="default" w:ascii="Times New Roman" w:hAnsi="Times New Roman" w:cs="Times New Roman"/>
                <w:color w:val="auto"/>
                <w:kern w:val="0"/>
                <w:sz w:val="24"/>
                <w:szCs w:val="24"/>
              </w:rPr>
            </w:pPr>
            <w:r>
              <w:rPr>
                <w:rFonts w:hint="default" w:ascii="Times New Roman" w:hAnsi="Times New Roman" w:cs="Times New Roman" w:eastAsiaTheme="minorEastAsia"/>
                <w:b/>
                <w:color w:val="auto"/>
                <w:sz w:val="24"/>
              </w:rPr>
              <w:t>附表：</w:t>
            </w:r>
          </w:p>
        </w:tc>
      </w:tr>
      <w:tr>
        <w:tblPrEx>
          <w:tblCellMar>
            <w:top w:w="0" w:type="dxa"/>
            <w:left w:w="108" w:type="dxa"/>
            <w:bottom w:w="0" w:type="dxa"/>
            <w:right w:w="108" w:type="dxa"/>
          </w:tblCellMar>
        </w:tblPrEx>
        <w:trPr>
          <w:trHeight w:val="340" w:hRule="atLeast"/>
          <w:jc w:val="center"/>
        </w:trPr>
        <w:tc>
          <w:tcPr>
            <w:tcW w:w="1105" w:type="dxa"/>
            <w:vAlign w:val="center"/>
          </w:tcPr>
          <w:p>
            <w:pPr>
              <w:pStyle w:val="124"/>
              <w:spacing w:line="360" w:lineRule="auto"/>
              <w:ind w:firstLine="0" w:firstLineChars="0"/>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rPr>
              <w:t>附表</w:t>
            </w:r>
            <w:r>
              <w:rPr>
                <w:rFonts w:hint="default" w:ascii="Times New Roman" w:hAnsi="Times New Roman" w:cs="Times New Roman"/>
                <w:color w:val="auto"/>
                <w:lang w:val="en-US" w:eastAsia="zh-CN"/>
              </w:rPr>
              <w:t>1</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sz w:val="24"/>
                <w:szCs w:val="24"/>
              </w:rPr>
              <w:t>建设项目地表水环境影响评价自查表；</w:t>
            </w:r>
          </w:p>
        </w:tc>
      </w:tr>
      <w:tr>
        <w:tblPrEx>
          <w:tblCellMar>
            <w:top w:w="0" w:type="dxa"/>
            <w:left w:w="108" w:type="dxa"/>
            <w:bottom w:w="0" w:type="dxa"/>
            <w:right w:w="108" w:type="dxa"/>
          </w:tblCellMar>
        </w:tblPrEx>
        <w:trPr>
          <w:trHeight w:val="340" w:hRule="atLeast"/>
          <w:jc w:val="center"/>
        </w:trPr>
        <w:tc>
          <w:tcPr>
            <w:tcW w:w="1105" w:type="dxa"/>
            <w:vAlign w:val="top"/>
          </w:tcPr>
          <w:p>
            <w:pPr>
              <w:pStyle w:val="124"/>
              <w:spacing w:line="360" w:lineRule="auto"/>
              <w:ind w:firstLine="0" w:firstLineChars="0"/>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rPr>
              <w:t>附表</w:t>
            </w:r>
            <w:r>
              <w:rPr>
                <w:rFonts w:hint="default" w:ascii="Times New Roman" w:hAnsi="Times New Roman" w:cs="Times New Roman"/>
                <w:color w:val="auto"/>
                <w:lang w:val="en-US" w:eastAsia="zh-CN"/>
              </w:rPr>
              <w:t>2</w:t>
            </w:r>
          </w:p>
        </w:tc>
        <w:tc>
          <w:tcPr>
            <w:tcW w:w="7965" w:type="dxa"/>
            <w:vAlign w:val="center"/>
          </w:tcPr>
          <w:p>
            <w:pPr>
              <w:autoSpaceDE w:val="0"/>
              <w:autoSpaceDN w:val="0"/>
              <w:adjustRightInd w:val="0"/>
              <w:snapToGrid w:val="0"/>
              <w:spacing w:line="360" w:lineRule="auto"/>
              <w:jc w:val="left"/>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sz w:val="24"/>
                <w:szCs w:val="24"/>
              </w:rPr>
              <w:t>建设项目大气环境影响评价自查表；</w:t>
            </w:r>
          </w:p>
        </w:tc>
      </w:tr>
      <w:tr>
        <w:tblPrEx>
          <w:tblCellMar>
            <w:top w:w="0" w:type="dxa"/>
            <w:left w:w="108" w:type="dxa"/>
            <w:bottom w:w="0" w:type="dxa"/>
            <w:right w:w="108" w:type="dxa"/>
          </w:tblCellMar>
        </w:tblPrEx>
        <w:trPr>
          <w:trHeight w:val="340" w:hRule="atLeast"/>
          <w:jc w:val="center"/>
        </w:trPr>
        <w:tc>
          <w:tcPr>
            <w:tcW w:w="1105" w:type="dxa"/>
            <w:vAlign w:val="top"/>
          </w:tcPr>
          <w:p>
            <w:pPr>
              <w:pStyle w:val="124"/>
              <w:spacing w:line="360" w:lineRule="auto"/>
              <w:ind w:firstLine="0" w:firstLineChars="0"/>
              <w:rPr>
                <w:rFonts w:hint="default" w:ascii="Times New Roman" w:hAnsi="Times New Roman" w:cs="Times New Roman" w:eastAsiaTheme="minorEastAsia"/>
                <w:b/>
                <w:bCs/>
                <w:caps/>
                <w:color w:val="auto"/>
                <w:kern w:val="2"/>
                <w:sz w:val="24"/>
                <w:szCs w:val="24"/>
                <w:lang w:val="en-US" w:eastAsia="zh-CN" w:bidi="ar-SA"/>
              </w:rPr>
            </w:pPr>
            <w:r>
              <w:rPr>
                <w:rFonts w:hint="default" w:ascii="Times New Roman" w:hAnsi="Times New Roman" w:cs="Times New Roman"/>
                <w:color w:val="auto"/>
              </w:rPr>
              <w:t>附表</w:t>
            </w:r>
            <w:r>
              <w:rPr>
                <w:rFonts w:hint="default" w:ascii="Times New Roman" w:hAnsi="Times New Roman" w:cs="Times New Roman"/>
                <w:color w:val="auto"/>
                <w:lang w:val="en-US" w:eastAsia="zh-CN"/>
              </w:rPr>
              <w:t>3</w:t>
            </w:r>
          </w:p>
        </w:tc>
        <w:tc>
          <w:tcPr>
            <w:tcW w:w="7965" w:type="dxa"/>
            <w:vAlign w:val="center"/>
          </w:tcPr>
          <w:p>
            <w:pPr>
              <w:autoSpaceDE w:val="0"/>
              <w:autoSpaceDN w:val="0"/>
              <w:adjustRightInd w:val="0"/>
              <w:snapToGrid w:val="0"/>
              <w:spacing w:line="360" w:lineRule="auto"/>
              <w:jc w:val="left"/>
              <w:rPr>
                <w:rFonts w:hint="default" w:ascii="Times New Roman" w:hAnsi="Times New Roman" w:eastAsia="宋体" w:cs="Times New Roman"/>
                <w:b/>
                <w:bCs/>
                <w:caps/>
                <w:color w:val="auto"/>
                <w:kern w:val="2"/>
                <w:sz w:val="21"/>
                <w:szCs w:val="21"/>
                <w:lang w:val="en-US" w:eastAsia="zh-CN" w:bidi="ar-SA"/>
              </w:rPr>
            </w:pPr>
            <w:r>
              <w:rPr>
                <w:rFonts w:hint="default" w:ascii="Times New Roman" w:hAnsi="Times New Roman" w:cs="Times New Roman" w:eastAsiaTheme="minorEastAsia"/>
                <w:color w:val="auto"/>
                <w:sz w:val="24"/>
                <w:szCs w:val="24"/>
              </w:rPr>
              <w:t>环境风险评价自查表；</w:t>
            </w:r>
          </w:p>
        </w:tc>
      </w:tr>
      <w:tr>
        <w:tblPrEx>
          <w:tblCellMar>
            <w:top w:w="0" w:type="dxa"/>
            <w:left w:w="108" w:type="dxa"/>
            <w:bottom w:w="0" w:type="dxa"/>
            <w:right w:w="108" w:type="dxa"/>
          </w:tblCellMar>
        </w:tblPrEx>
        <w:trPr>
          <w:trHeight w:val="340" w:hRule="atLeast"/>
          <w:jc w:val="center"/>
        </w:trPr>
        <w:tc>
          <w:tcPr>
            <w:tcW w:w="1105" w:type="dxa"/>
            <w:vAlign w:val="center"/>
          </w:tcPr>
          <w:p>
            <w:pPr>
              <w:pStyle w:val="124"/>
              <w:spacing w:line="360" w:lineRule="auto"/>
              <w:ind w:firstLine="0" w:firstLineChars="0"/>
              <w:rPr>
                <w:rFonts w:hint="default" w:ascii="Times New Roman" w:hAnsi="Times New Roman" w:cs="Times New Roman" w:eastAsiaTheme="minorEastAsia"/>
                <w:b/>
                <w:bCs/>
                <w:caps/>
                <w:color w:val="auto"/>
                <w:kern w:val="2"/>
                <w:sz w:val="24"/>
                <w:szCs w:val="24"/>
                <w:lang w:val="en-US" w:eastAsia="zh-CN" w:bidi="ar-SA"/>
              </w:rPr>
            </w:pPr>
            <w:r>
              <w:rPr>
                <w:rFonts w:hint="default" w:ascii="Times New Roman" w:hAnsi="Times New Roman" w:cs="Times New Roman"/>
                <w:color w:val="auto"/>
              </w:rPr>
              <w:t>附表</w:t>
            </w:r>
            <w:r>
              <w:rPr>
                <w:rFonts w:hint="default" w:ascii="Times New Roman" w:hAnsi="Times New Roman" w:cs="Times New Roman"/>
                <w:color w:val="auto"/>
                <w:lang w:val="en-US" w:eastAsia="zh-CN"/>
              </w:rPr>
              <w:t>4</w:t>
            </w:r>
          </w:p>
        </w:tc>
        <w:tc>
          <w:tcPr>
            <w:tcW w:w="7965" w:type="dxa"/>
            <w:vAlign w:val="center"/>
          </w:tcPr>
          <w:p>
            <w:pPr>
              <w:pStyle w:val="124"/>
              <w:spacing w:line="360" w:lineRule="auto"/>
              <w:ind w:firstLine="0" w:firstLineChars="0"/>
              <w:rPr>
                <w:rFonts w:hint="default" w:ascii="Times New Roman" w:hAnsi="Times New Roman" w:cs="Times New Roman" w:eastAsiaTheme="minorEastAsia"/>
                <w:b/>
                <w:bCs/>
                <w:caps/>
                <w:color w:val="auto"/>
                <w:kern w:val="2"/>
                <w:sz w:val="24"/>
                <w:szCs w:val="24"/>
                <w:lang w:val="en-US" w:eastAsia="zh-CN" w:bidi="ar-SA"/>
              </w:rPr>
            </w:pPr>
            <w:r>
              <w:rPr>
                <w:rFonts w:hint="default" w:ascii="Times New Roman" w:hAnsi="Times New Roman" w:cs="Times New Roman"/>
                <w:color w:val="auto"/>
              </w:rPr>
              <w:t>建设项目环评审批基础信息表</w:t>
            </w:r>
            <w:r>
              <w:rPr>
                <w:rFonts w:hint="default" w:ascii="Times New Roman" w:hAnsi="Times New Roman" w:cs="Times New Roman"/>
                <w:color w:val="auto"/>
                <w:lang w:eastAsia="zh-CN"/>
              </w:rPr>
              <w:t>。</w:t>
            </w:r>
          </w:p>
        </w:tc>
      </w:tr>
    </w:tbl>
    <w:p>
      <w:pPr>
        <w:pStyle w:val="6"/>
        <w:ind w:firstLine="0" w:firstLineChars="0"/>
        <w:rPr>
          <w:rFonts w:hint="default" w:ascii="Times New Roman" w:hAnsi="Times New Roman" w:cs="Times New Roman" w:eastAsiaTheme="minorEastAsia"/>
          <w:color w:val="auto"/>
        </w:rPr>
        <w:sectPr>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pPr>
        <w:pStyle w:val="2"/>
        <w:ind w:left="431" w:hanging="431"/>
        <w:jc w:val="center"/>
        <w:rPr>
          <w:rFonts w:hint="default" w:ascii="Times New Roman" w:hAnsi="Times New Roman" w:cs="Times New Roman" w:eastAsiaTheme="minorEastAsia"/>
          <w:b/>
          <w:color w:val="auto"/>
          <w:sz w:val="32"/>
          <w:szCs w:val="32"/>
        </w:rPr>
      </w:pPr>
      <w:bookmarkStart w:id="0" w:name="_Toc25048"/>
      <w:bookmarkStart w:id="1" w:name="_Toc26954"/>
      <w:r>
        <w:rPr>
          <w:rFonts w:hint="default" w:ascii="Times New Roman" w:hAnsi="Times New Roman" w:cs="Times New Roman" w:eastAsiaTheme="minorEastAsia"/>
          <w:b/>
          <w:color w:val="auto"/>
          <w:sz w:val="32"/>
          <w:szCs w:val="32"/>
        </w:rPr>
        <w:t>概  述</w:t>
      </w:r>
      <w:bookmarkEnd w:id="0"/>
      <w:bookmarkEnd w:id="1"/>
    </w:p>
    <w:p>
      <w:pPr>
        <w:pStyle w:val="3"/>
        <w:ind w:left="0" w:firstLine="0"/>
        <w:rPr>
          <w:rFonts w:hint="default" w:ascii="Times New Roman" w:hAnsi="Times New Roman" w:cs="Times New Roman" w:eastAsiaTheme="minorEastAsia"/>
          <w:b/>
          <w:color w:val="auto"/>
        </w:rPr>
      </w:pPr>
      <w:bookmarkStart w:id="2" w:name="_Toc22286"/>
      <w:bookmarkStart w:id="3" w:name="_Toc31150"/>
      <w:r>
        <w:rPr>
          <w:rFonts w:hint="default" w:ascii="Times New Roman" w:hAnsi="Times New Roman" w:cs="Times New Roman" w:eastAsiaTheme="minorEastAsia"/>
          <w:b/>
          <w:color w:val="auto"/>
        </w:rPr>
        <w:t>项目由来</w:t>
      </w:r>
      <w:bookmarkEnd w:id="2"/>
      <w:bookmarkEnd w:id="3"/>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节约资源和保护环境是我国的基本国策，进入新世纪以来，我国尤其是长江沿江地区加大推进节能减排力度。近年来，国务院和交通运输部相继出台《关于加快长江等内河水运发展的意见》（国发〔2011〕2号）、《“十二五”水运节能减排总体推进实施方案》（交水发〔2011〕474号）、《关于推进水运行业应用液化天然气的指导意见》（交水发〔2013〕625号）明确指出发展交通运输与减少能耗、减少环境污染的矛盾日趋尖锐，为贯彻绿色低碳、节能减排的发展理念，大力发展清洁能源，加快建设绿色水运步伐，促进长江等内河水运的全面、协调、可持续发展。</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湖南省天然气利用主要依靠外来气源。2005年忠武线潜湘支线建成投产后，开始使用天然气。经过十余年快速发展，全省天然气长输管道以及城镇燃气基础设施建设日趋完善。目前全省已有9个市使用管道天然气，长株潭、常德、衡阳和岳阳天然气消费地域逐步向县市区乃至乡镇延伸；郴州、永州、怀化、湘西和张家界等天然气管网暂未覆盖地区开始使用LNG和CNG，培育消费市场。</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湖南省委、省政府高度重视天然气产业发展，不断加大扶持力度。2011年，省委、省政府决定实施“气化湖南工程”战略，天然气产业迎来难得的发展机遇。2013年，省政府办公厅印发《湖南省天然气利用中长期规划》，省内天然气管道建设步伐不断加快。2014年省发改委印发《湖南省天然气输气管网建设三年行动计划》，2015年省政府办公厅印发《关于加快“气化湖南工程”的意见》，提出具体扶持措施。2017年省发改委先后印发《湖南省“十三五”天然气发展规划》、《湖南省“十三五”天然气分布式能源发展规划》，规划指导培育天然气利用市场。</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为加快推进省委、省政府“气化湖南工程”战略部署及在国家建设“长江经济带”、“洞庭湖生态经济区”的强大战略背景下，湖北能源集团股份有限公司、新疆广汇能源集团、岳阳市君山区城市建设投资有限公司公司于2018年5月合资成立岳阳液化天然气有限公司，公司注册资本3亿元，主要开展与LNG接收站业务及天然气产业链相关的业务，承担着湖南省天然气储气调峰的重要职能。</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岳阳液化天然气有限公司依托岳阳市君山区城市建设投资有限公司在岳阳市周边自身有利条件和广汇能源股份有限公司上游LNG资源优势，于2018年拟投资建设岳阳LNG接收站（储备中心）项目，为LNG加注码头、水上LNG加注船、陆上LNG加气站等提供LNG资源。</w:t>
      </w:r>
    </w:p>
    <w:p>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single"/>
        </w:rPr>
      </w:pPr>
      <w:r>
        <w:rPr>
          <w:rFonts w:hint="default" w:ascii="Times New Roman" w:hAnsi="Times New Roman" w:cs="Times New Roman" w:eastAsiaTheme="minorEastAsia"/>
          <w:color w:val="auto"/>
          <w:sz w:val="24"/>
          <w:u w:val="single"/>
        </w:rPr>
        <w:t>岳阳LNG接收站（储备中心）项目选址于岳阳市君山区广兴洲镇，项目建设一个LNG码头（</w:t>
      </w:r>
      <w:r>
        <w:rPr>
          <w:rFonts w:hint="default" w:ascii="Times New Roman" w:hAnsi="Times New Roman" w:cs="Times New Roman" w:eastAsiaTheme="minorEastAsia"/>
          <w:color w:val="auto"/>
          <w:sz w:val="24"/>
          <w:highlight w:val="none"/>
          <w:u w:val="single"/>
          <w:lang w:val="en-US" w:eastAsia="zh-CN"/>
        </w:rPr>
        <w:t>4</w:t>
      </w:r>
      <w:r>
        <w:rPr>
          <w:rFonts w:hint="default" w:ascii="Times New Roman" w:hAnsi="Times New Roman" w:cs="Times New Roman" w:eastAsiaTheme="minorEastAsia"/>
          <w:color w:val="auto"/>
          <w:sz w:val="24"/>
          <w:highlight w:val="none"/>
          <w:u w:val="single"/>
        </w:rPr>
        <w:t>个LNG接卸泊位，2个加注泊位及2个工作船泊位，码头平台由引桥与后方陆域相接，占用岸线0.9km）和一座LNG储备站（接收能力150万吨/年的LNG接收站，规划</w:t>
      </w:r>
      <w:r>
        <w:rPr>
          <w:rFonts w:hint="eastAsia" w:ascii="Times New Roman" w:hAnsi="Times New Roman" w:cs="Times New Roman" w:eastAsiaTheme="minorEastAsia"/>
          <w:color w:val="auto"/>
          <w:sz w:val="24"/>
          <w:highlight w:val="none"/>
          <w:u w:val="single"/>
          <w:lang w:val="en-US" w:eastAsia="zh-CN"/>
        </w:rPr>
        <w:t>总</w:t>
      </w:r>
      <w:r>
        <w:rPr>
          <w:rFonts w:hint="default" w:ascii="Times New Roman" w:hAnsi="Times New Roman" w:cs="Times New Roman" w:eastAsiaTheme="minorEastAsia"/>
          <w:color w:val="auto"/>
          <w:sz w:val="24"/>
          <w:highlight w:val="none"/>
          <w:u w:val="single"/>
        </w:rPr>
        <w:t>占地432.7亩</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合28.85hm</w:t>
      </w:r>
      <w:r>
        <w:rPr>
          <w:rFonts w:hint="default" w:ascii="Times New Roman" w:hAnsi="Times New Roman" w:cs="Times New Roman" w:eastAsiaTheme="minorEastAsia"/>
          <w:color w:val="auto"/>
          <w:sz w:val="24"/>
          <w:highlight w:val="none"/>
          <w:u w:val="single"/>
          <w:vertAlign w:val="superscript"/>
          <w:lang w:val="en-US" w:eastAsia="zh-CN"/>
        </w:rPr>
        <w:t>2</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，拟配置3座5</w:t>
      </w:r>
      <w:r>
        <w:rPr>
          <w:rFonts w:hint="default" w:ascii="Times New Roman" w:hAnsi="Times New Roman" w:cs="Times New Roman" w:eastAsiaTheme="minorEastAsia"/>
          <w:color w:val="auto"/>
          <w:sz w:val="24"/>
          <w:highlight w:val="none"/>
          <w:u w:val="single"/>
          <w:lang w:val="en-US" w:eastAsia="zh-CN"/>
        </w:rPr>
        <w:t>万</w:t>
      </w:r>
      <w:r>
        <w:rPr>
          <w:rFonts w:hint="default" w:ascii="Times New Roman" w:hAnsi="Times New Roman" w:cs="Times New Roman" w:eastAsiaTheme="minorEastAsia"/>
          <w:color w:val="auto"/>
          <w:sz w:val="24"/>
          <w:highlight w:val="none"/>
          <w:u w:val="single"/>
        </w:rPr>
        <w:t>m</w:t>
      </w:r>
      <w:r>
        <w:rPr>
          <w:rFonts w:hint="default" w:ascii="Times New Roman" w:hAnsi="Times New Roman" w:cs="Times New Roman" w:eastAsiaTheme="minorEastAsia"/>
          <w:color w:val="auto"/>
          <w:sz w:val="24"/>
          <w:highlight w:val="none"/>
          <w:u w:val="single"/>
          <w:vertAlign w:val="superscript"/>
        </w:rPr>
        <w:t>3</w:t>
      </w:r>
      <w:r>
        <w:rPr>
          <w:rFonts w:hint="default" w:ascii="Times New Roman" w:hAnsi="Times New Roman" w:cs="Times New Roman" w:eastAsiaTheme="minorEastAsia"/>
          <w:color w:val="auto"/>
          <w:sz w:val="24"/>
          <w:highlight w:val="none"/>
          <w:u w:val="single"/>
        </w:rPr>
        <w:t>的LNG储罐、输气管线及相关配套设施）</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详见附件11</w:t>
      </w:r>
      <w:r>
        <w:rPr>
          <w:rFonts w:hint="default" w:ascii="Times New Roman" w:hAnsi="Times New Roman" w:cs="Times New Roman" w:eastAsiaTheme="minorEastAsia"/>
          <w:color w:val="auto"/>
          <w:sz w:val="24"/>
          <w:highlight w:val="none"/>
          <w:u w:val="single"/>
        </w:rPr>
        <w:t>。</w:t>
      </w:r>
    </w:p>
    <w:p>
      <w:pPr>
        <w:adjustRightInd w:val="0"/>
        <w:snapToGrid w:val="0"/>
        <w:spacing w:line="360" w:lineRule="auto"/>
        <w:ind w:firstLine="480" w:firstLineChars="200"/>
        <w:rPr>
          <w:rFonts w:hint="default" w:ascii="Times New Roman" w:hAnsi="Times New Roman" w:eastAsia="宋体" w:cs="Times New Roman"/>
          <w:bCs/>
          <w:color w:val="auto"/>
          <w:sz w:val="24"/>
          <w:u w:val="single"/>
          <w:lang w:val="en-US" w:eastAsia="zh-CN"/>
        </w:rPr>
      </w:pPr>
      <w:r>
        <w:rPr>
          <w:rFonts w:hint="default" w:ascii="Times New Roman" w:hAnsi="Times New Roman" w:cs="Times New Roman" w:eastAsiaTheme="minorEastAsia"/>
          <w:color w:val="auto"/>
          <w:sz w:val="24"/>
          <w:highlight w:val="none"/>
          <w:u w:val="single"/>
        </w:rPr>
        <w:t>岳阳LNG接收站（储备中心）项目计划分三期建设。岳阳液化天然气有限公司于2019年5月已完成岳阳LNG接收站（储备中心）项目（一期）立项</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根据一期工程的环评批复（</w:t>
      </w:r>
      <w:r>
        <w:rPr>
          <w:rFonts w:hint="default" w:ascii="Times New Roman" w:hAnsi="Times New Roman" w:cs="Times New Roman" w:eastAsiaTheme="minorEastAsia"/>
          <w:color w:val="auto"/>
          <w:sz w:val="24"/>
          <w:highlight w:val="none"/>
          <w:u w:val="single"/>
        </w:rPr>
        <w:t>岳环评〔2020〕133号</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一期工程选址于岳阳市君山区广兴洲镇（中心地理坐标</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北纬</w:t>
      </w:r>
      <w:r>
        <w:rPr>
          <w:rFonts w:hint="default" w:ascii="Times New Roman" w:hAnsi="Times New Roman" w:cs="Times New Roman" w:eastAsiaTheme="minorEastAsia"/>
          <w:color w:val="auto"/>
          <w:sz w:val="24"/>
          <w:highlight w:val="none"/>
          <w:u w:val="single"/>
        </w:rPr>
        <w:t>29.581186、</w:t>
      </w:r>
      <w:r>
        <w:rPr>
          <w:rFonts w:hint="default" w:ascii="Times New Roman" w:hAnsi="Times New Roman" w:cs="Times New Roman" w:eastAsiaTheme="minorEastAsia"/>
          <w:color w:val="auto"/>
          <w:sz w:val="24"/>
          <w:highlight w:val="none"/>
          <w:u w:val="single"/>
          <w:lang w:val="en-US" w:eastAsia="zh-CN"/>
        </w:rPr>
        <w:t>东经</w:t>
      </w:r>
      <w:r>
        <w:rPr>
          <w:rFonts w:hint="default" w:ascii="Times New Roman" w:hAnsi="Times New Roman" w:cs="Times New Roman" w:eastAsiaTheme="minorEastAsia"/>
          <w:color w:val="auto"/>
          <w:sz w:val="24"/>
          <w:highlight w:val="none"/>
          <w:u w:val="single"/>
        </w:rPr>
        <w:t>112.906654）</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项目总投资101940万元</w:t>
      </w:r>
      <w:r>
        <w:rPr>
          <w:rFonts w:hint="default" w:ascii="Times New Roman" w:hAnsi="Times New Roman" w:cs="Times New Roman" w:eastAsiaTheme="minorEastAsia"/>
          <w:color w:val="auto"/>
          <w:sz w:val="24"/>
          <w:highlight w:val="none"/>
          <w:u w:val="single"/>
        </w:rPr>
        <w:t>。全站分为生产装置区、储罐区、辅助生产及公用工程区、码头区、行政管理区。主要建设内容</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库区工程包括一座5</w:t>
      </w:r>
      <w:r>
        <w:rPr>
          <w:rFonts w:hint="default" w:ascii="Times New Roman" w:hAnsi="Times New Roman" w:cs="Times New Roman" w:eastAsiaTheme="minorEastAsia"/>
          <w:color w:val="auto"/>
          <w:sz w:val="24"/>
          <w:highlight w:val="none"/>
          <w:u w:val="single"/>
          <w:lang w:val="en-US" w:eastAsia="zh-CN"/>
        </w:rPr>
        <w:t>万</w:t>
      </w:r>
      <w:r>
        <w:rPr>
          <w:rFonts w:hint="default" w:ascii="Times New Roman" w:hAnsi="Times New Roman" w:cs="Times New Roman" w:eastAsiaTheme="minorEastAsia"/>
          <w:color w:val="auto"/>
          <w:sz w:val="24"/>
          <w:highlight w:val="none"/>
          <w:u w:val="single"/>
        </w:rPr>
        <w:t>m</w:t>
      </w:r>
      <w:r>
        <w:rPr>
          <w:rFonts w:hint="default" w:ascii="Times New Roman" w:hAnsi="Times New Roman" w:cs="Times New Roman" w:eastAsiaTheme="minorEastAsia"/>
          <w:color w:val="auto"/>
          <w:sz w:val="24"/>
          <w:highlight w:val="none"/>
          <w:u w:val="single"/>
          <w:vertAlign w:val="superscript"/>
        </w:rPr>
        <w:t>2</w:t>
      </w:r>
      <w:r>
        <w:rPr>
          <w:rFonts w:hint="default" w:ascii="Times New Roman" w:hAnsi="Times New Roman" w:cs="Times New Roman" w:eastAsiaTheme="minorEastAsia"/>
          <w:color w:val="auto"/>
          <w:sz w:val="24"/>
          <w:highlight w:val="none"/>
          <w:u w:val="single"/>
        </w:rPr>
        <w:t>的LNG储罐</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采用预应力混凝土全容罐）和配套LNG气化设施（采用空温式和循环热水组合气化方案</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码头工程为拟建2个8</w:t>
      </w:r>
      <w:r>
        <w:rPr>
          <w:rFonts w:hint="default" w:ascii="Times New Roman" w:hAnsi="Times New Roman" w:cs="Times New Roman" w:eastAsiaTheme="minorEastAsia"/>
          <w:color w:val="auto"/>
          <w:sz w:val="24"/>
          <w:highlight w:val="none"/>
          <w:u w:val="single"/>
          <w:lang w:val="en-US" w:eastAsia="zh-CN"/>
        </w:rPr>
        <w:t>5</w:t>
      </w:r>
      <w:r>
        <w:rPr>
          <w:rFonts w:hint="default" w:ascii="Times New Roman" w:hAnsi="Times New Roman" w:cs="Times New Roman" w:eastAsiaTheme="minorEastAsia"/>
          <w:color w:val="auto"/>
          <w:sz w:val="24"/>
          <w:highlight w:val="none"/>
          <w:u w:val="single"/>
        </w:rPr>
        <w:t>00m</w:t>
      </w:r>
      <w:r>
        <w:rPr>
          <w:rFonts w:hint="default" w:ascii="Times New Roman" w:hAnsi="Times New Roman" w:cs="Times New Roman" w:eastAsiaTheme="minorEastAsia"/>
          <w:color w:val="auto"/>
          <w:sz w:val="24"/>
          <w:highlight w:val="none"/>
          <w:u w:val="single"/>
          <w:vertAlign w:val="superscript"/>
          <w:lang w:val="en-US" w:eastAsia="zh-CN"/>
        </w:rPr>
        <w:t>3</w:t>
      </w:r>
      <w:r>
        <w:rPr>
          <w:rFonts w:hint="default" w:ascii="Times New Roman" w:hAnsi="Times New Roman" w:cs="Times New Roman" w:eastAsiaTheme="minorEastAsia"/>
          <w:color w:val="auto"/>
          <w:sz w:val="24"/>
          <w:highlight w:val="none"/>
          <w:u w:val="single"/>
        </w:rPr>
        <w:t>LNG接卸泊位及1个工作船泊位</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接卸泊位占用岸线长度322.1m，工作船泊位占用岸线长度56m。卸料采用4台单台能力为1000m</w:t>
      </w:r>
      <w:r>
        <w:rPr>
          <w:rFonts w:hint="default" w:ascii="Times New Roman" w:hAnsi="Times New Roman" w:cs="Times New Roman" w:eastAsiaTheme="minorEastAsia"/>
          <w:color w:val="auto"/>
          <w:sz w:val="24"/>
          <w:highlight w:val="none"/>
          <w:u w:val="single"/>
          <w:vertAlign w:val="superscript"/>
        </w:rPr>
        <w:t>2</w:t>
      </w:r>
      <w:r>
        <w:rPr>
          <w:rFonts w:hint="default" w:ascii="Times New Roman" w:hAnsi="Times New Roman" w:cs="Times New Roman" w:eastAsiaTheme="minorEastAsia"/>
          <w:color w:val="auto"/>
          <w:sz w:val="24"/>
          <w:highlight w:val="none"/>
          <w:u w:val="single"/>
        </w:rPr>
        <w:t>/h的卸料臂和2台能力为2000m</w:t>
      </w:r>
      <w:r>
        <w:rPr>
          <w:rFonts w:hint="default" w:ascii="Times New Roman" w:hAnsi="Times New Roman" w:cs="Times New Roman" w:eastAsiaTheme="minorEastAsia"/>
          <w:color w:val="auto"/>
          <w:sz w:val="24"/>
          <w:highlight w:val="none"/>
          <w:u w:val="single"/>
          <w:vertAlign w:val="superscript"/>
        </w:rPr>
        <w:t>3</w:t>
      </w:r>
      <w:r>
        <w:rPr>
          <w:rFonts w:hint="default" w:ascii="Times New Roman" w:hAnsi="Times New Roman" w:cs="Times New Roman" w:eastAsiaTheme="minorEastAsia"/>
          <w:color w:val="auto"/>
          <w:sz w:val="24"/>
          <w:highlight w:val="none"/>
          <w:u w:val="single"/>
        </w:rPr>
        <w:t>/h的气体返回臂</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配套建设综合用房及管墩、助导航设施、港区道路、LNG装车区等辅助工程</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公用工程有照明设施和防雷系统、给排水、通信工程、化验室、空压站、氮气站和火炬系统等</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环保工程有废水治理、废气治理、固体废物暂存、环境风险防范设施等。项目自制氮气采用PSA工艺</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rPr>
        <w:t>项目消防工程依托君山消防中队。码头一期年吞吐量为50万吨/年。港区劳动定员共18人</w:t>
      </w:r>
      <w:r>
        <w:rPr>
          <w:rFonts w:hint="default" w:ascii="Times New Roman" w:hAnsi="Times New Roman" w:cs="Times New Roman" w:eastAsiaTheme="minorEastAsia"/>
          <w:bCs/>
          <w:color w:val="auto"/>
          <w:sz w:val="24"/>
          <w:highlight w:val="none"/>
          <w:u w:val="single"/>
        </w:rPr>
        <w:t>。目前，一期项目已</w:t>
      </w:r>
      <w:r>
        <w:rPr>
          <w:rFonts w:hint="default" w:ascii="Times New Roman" w:hAnsi="Times New Roman" w:cs="Times New Roman" w:eastAsiaTheme="minorEastAsia"/>
          <w:color w:val="auto"/>
          <w:kern w:val="0"/>
          <w:sz w:val="24"/>
          <w:szCs w:val="24"/>
          <w:highlight w:val="none"/>
          <w:u w:val="single"/>
          <w:lang w:val="en-US" w:eastAsia="zh-CN" w:bidi="ar"/>
        </w:rPr>
        <w:t>于2020年10月正式开工建设</w:t>
      </w:r>
      <w:r>
        <w:rPr>
          <w:rFonts w:hint="default" w:ascii="Times New Roman" w:hAnsi="Times New Roman" w:cs="Times New Roman" w:eastAsiaTheme="minorEastAsia"/>
          <w:bCs/>
          <w:color w:val="auto"/>
          <w:sz w:val="24"/>
          <w:highlight w:val="none"/>
          <w:u w:val="single"/>
        </w:rPr>
        <w:t>。</w:t>
      </w:r>
      <w:r>
        <w:rPr>
          <w:rFonts w:hint="default" w:ascii="Times New Roman" w:hAnsi="Times New Roman" w:cs="Times New Roman" w:eastAsiaTheme="minorEastAsia"/>
          <w:color w:val="auto"/>
          <w:sz w:val="24"/>
          <w:highlight w:val="none"/>
          <w:u w:val="single"/>
        </w:rPr>
        <w:t>岳阳LNG接收站（储备中心）项目</w:t>
      </w:r>
      <w:r>
        <w:rPr>
          <w:rFonts w:hint="default" w:ascii="Times New Roman" w:hAnsi="Times New Roman" w:cs="Times New Roman" w:eastAsiaTheme="minorEastAsia"/>
          <w:bCs/>
          <w:color w:val="auto"/>
          <w:sz w:val="24"/>
          <w:highlight w:val="none"/>
          <w:u w:val="single"/>
          <w:lang w:val="en-US" w:eastAsia="zh-CN"/>
        </w:rPr>
        <w:t>二期工程即为本次拟建的</w:t>
      </w:r>
      <w:r>
        <w:rPr>
          <w:rFonts w:hint="default" w:ascii="Times New Roman" w:hAnsi="Times New Roman" w:cs="Times New Roman" w:eastAsiaTheme="minorEastAsia"/>
          <w:bCs/>
          <w:color w:val="auto"/>
          <w:sz w:val="24"/>
          <w:highlight w:val="none"/>
          <w:u w:val="single"/>
        </w:rPr>
        <w:t>岳阳港君山港区LNG加注站项目</w:t>
      </w:r>
      <w:r>
        <w:rPr>
          <w:rFonts w:hint="default" w:ascii="Times New Roman" w:hAnsi="Times New Roman" w:cs="Times New Roman" w:eastAsiaTheme="minorEastAsia"/>
          <w:bCs/>
          <w:color w:val="auto"/>
          <w:sz w:val="24"/>
          <w:highlight w:val="none"/>
          <w:u w:val="single"/>
          <w:lang w:eastAsia="zh-CN"/>
        </w:rPr>
        <w:t>，</w:t>
      </w:r>
      <w:r>
        <w:rPr>
          <w:rFonts w:hint="default" w:ascii="Times New Roman" w:hAnsi="Times New Roman" w:cs="Times New Roman" w:eastAsiaTheme="minorEastAsia"/>
          <w:bCs/>
          <w:color w:val="auto"/>
          <w:sz w:val="24"/>
          <w:highlight w:val="none"/>
          <w:u w:val="single"/>
          <w:lang w:val="en-US" w:eastAsia="zh-CN"/>
        </w:rPr>
        <w:t>三期工程为后续的补充工程</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bCs/>
          <w:color w:val="auto"/>
          <w:sz w:val="24"/>
          <w:highlight w:val="none"/>
          <w:u w:val="single"/>
          <w:lang w:val="en-US" w:eastAsia="zh-CN"/>
        </w:rPr>
        <w:t>工程内容暂定为新建</w:t>
      </w:r>
      <w:r>
        <w:rPr>
          <w:rFonts w:hint="default" w:ascii="Times New Roman" w:hAnsi="Times New Roman" w:cs="Times New Roman" w:eastAsiaTheme="minorEastAsia"/>
          <w:color w:val="auto"/>
          <w:sz w:val="24"/>
          <w:highlight w:val="none"/>
          <w:u w:val="single"/>
          <w:lang w:val="en-US" w:eastAsia="zh-CN"/>
        </w:rPr>
        <w:t>2</w:t>
      </w:r>
      <w:r>
        <w:rPr>
          <w:rFonts w:hint="default" w:ascii="Times New Roman" w:hAnsi="Times New Roman" w:cs="Times New Roman" w:eastAsiaTheme="minorEastAsia"/>
          <w:color w:val="auto"/>
          <w:sz w:val="24"/>
          <w:highlight w:val="none"/>
          <w:u w:val="single"/>
        </w:rPr>
        <w:t>个LNG接卸泊位</w:t>
      </w:r>
      <w:r>
        <w:rPr>
          <w:rFonts w:hint="default" w:ascii="Times New Roman" w:hAnsi="Times New Roman" w:cs="Times New Roman" w:eastAsiaTheme="minorEastAsia"/>
          <w:color w:val="auto"/>
          <w:sz w:val="24"/>
          <w:highlight w:val="none"/>
          <w:u w:val="single"/>
          <w:lang w:val="en-US" w:eastAsia="zh-CN"/>
        </w:rPr>
        <w:t>、1</w:t>
      </w:r>
      <w:r>
        <w:rPr>
          <w:rFonts w:hint="default" w:ascii="Times New Roman" w:hAnsi="Times New Roman" w:cs="Times New Roman" w:eastAsiaTheme="minorEastAsia"/>
          <w:color w:val="auto"/>
          <w:sz w:val="24"/>
          <w:highlight w:val="none"/>
          <w:u w:val="single"/>
        </w:rPr>
        <w:t>个工作船泊位</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2座</w:t>
      </w:r>
      <w:r>
        <w:rPr>
          <w:rFonts w:hint="default" w:ascii="Times New Roman" w:hAnsi="Times New Roman" w:cs="Times New Roman" w:eastAsiaTheme="minorEastAsia"/>
          <w:color w:val="auto"/>
          <w:sz w:val="24"/>
          <w:highlight w:val="none"/>
          <w:u w:val="single"/>
        </w:rPr>
        <w:t>5</w:t>
      </w:r>
      <w:r>
        <w:rPr>
          <w:rFonts w:hint="default" w:ascii="Times New Roman" w:hAnsi="Times New Roman" w:cs="Times New Roman" w:eastAsiaTheme="minorEastAsia"/>
          <w:color w:val="auto"/>
          <w:sz w:val="24"/>
          <w:highlight w:val="none"/>
          <w:u w:val="single"/>
          <w:lang w:val="en-US" w:eastAsia="zh-CN"/>
        </w:rPr>
        <w:t>万</w:t>
      </w:r>
      <w:r>
        <w:rPr>
          <w:rFonts w:hint="default" w:ascii="Times New Roman" w:hAnsi="Times New Roman" w:cs="Times New Roman" w:eastAsiaTheme="minorEastAsia"/>
          <w:color w:val="auto"/>
          <w:sz w:val="24"/>
          <w:highlight w:val="none"/>
          <w:u w:val="single"/>
        </w:rPr>
        <w:t>m</w:t>
      </w:r>
      <w:r>
        <w:rPr>
          <w:rFonts w:hint="default" w:ascii="Times New Roman" w:hAnsi="Times New Roman" w:cs="Times New Roman" w:eastAsiaTheme="minorEastAsia"/>
          <w:color w:val="auto"/>
          <w:sz w:val="24"/>
          <w:highlight w:val="none"/>
          <w:u w:val="single"/>
          <w:vertAlign w:val="superscript"/>
        </w:rPr>
        <w:t>2</w:t>
      </w:r>
      <w:r>
        <w:rPr>
          <w:rFonts w:hint="default" w:ascii="Times New Roman" w:hAnsi="Times New Roman" w:cs="Times New Roman" w:eastAsiaTheme="minorEastAsia"/>
          <w:color w:val="auto"/>
          <w:sz w:val="24"/>
          <w:highlight w:val="none"/>
          <w:u w:val="single"/>
          <w:vertAlign w:val="superscript"/>
          <w:lang w:val="en-US" w:eastAsia="zh-CN"/>
        </w:rPr>
        <w:t xml:space="preserve"> </w:t>
      </w:r>
      <w:r>
        <w:rPr>
          <w:rFonts w:hint="default" w:ascii="Times New Roman" w:hAnsi="Times New Roman" w:cs="Times New Roman" w:eastAsiaTheme="minorEastAsia"/>
          <w:color w:val="auto"/>
          <w:sz w:val="24"/>
          <w:highlight w:val="none"/>
          <w:u w:val="single"/>
        </w:rPr>
        <w:t>LNG储罐</w:t>
      </w:r>
      <w:r>
        <w:rPr>
          <w:rFonts w:hint="default" w:ascii="Times New Roman" w:hAnsi="Times New Roman" w:cs="Times New Roman" w:eastAsiaTheme="minorEastAsia"/>
          <w:color w:val="auto"/>
          <w:sz w:val="24"/>
          <w:highlight w:val="none"/>
          <w:u w:val="single"/>
          <w:lang w:val="en-US" w:eastAsia="zh-CN"/>
        </w:rPr>
        <w:t>及其他</w:t>
      </w:r>
      <w:r>
        <w:rPr>
          <w:rFonts w:hint="default" w:ascii="Times New Roman" w:hAnsi="Times New Roman" w:cs="Times New Roman" w:eastAsiaTheme="minorEastAsia"/>
          <w:color w:val="auto"/>
          <w:sz w:val="24"/>
          <w:u w:val="single"/>
          <w:lang w:val="en-US" w:eastAsia="zh-CN"/>
        </w:rPr>
        <w:t>辅助配套生产设施</w:t>
      </w:r>
      <w:r>
        <w:rPr>
          <w:rFonts w:hint="default" w:ascii="Times New Roman" w:hAnsi="Times New Roman" w:cs="Times New Roman" w:eastAsiaTheme="minorEastAsia"/>
          <w:bCs/>
          <w:color w:val="auto"/>
          <w:sz w:val="24"/>
          <w:u w:val="single"/>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eastAsiaTheme="minorEastAsia"/>
          <w:color w:val="auto"/>
          <w:sz w:val="24"/>
        </w:rPr>
        <w:t>2020年1月19日，交通运输部、发展改革委、生态环境部及住房城乡建设部的《长江经济带船舶和港口污染突出问题整治方案》中明确要求加快推动船舶LNG加注站立项、建设和运营，加快形成长江干线加注能力。为响应该《方案》要求，岳阳液化天然气有限公司结合交通运输部《长江干线京杭运河西江航运干线液化天然气加注站布局方案（2017-2025年）》、《湖南省LNG水上加注站布局规划》等文件要求，积极启动岳阳LNG接收站（储备中心）项目二期建设，于2020年8月完成该项目发改立项：</w:t>
      </w:r>
      <w:r>
        <w:rPr>
          <w:rFonts w:hint="default" w:ascii="Times New Roman" w:hAnsi="Times New Roman" w:cs="Times New Roman" w:eastAsiaTheme="minorEastAsia"/>
          <w:color w:val="auto"/>
          <w:sz w:val="24"/>
          <w:u w:val="single"/>
        </w:rPr>
        <w:t>岳阳港君山港区LNG加注站项目</w:t>
      </w:r>
      <w:r>
        <w:rPr>
          <w:rFonts w:hint="default" w:ascii="Times New Roman" w:hAnsi="Times New Roman" w:cs="Times New Roman" w:eastAsiaTheme="minorEastAsia"/>
          <w:color w:val="auto"/>
          <w:sz w:val="24"/>
          <w:u w:val="none"/>
          <w:lang w:eastAsia="zh-CN"/>
        </w:rPr>
        <w:t>，</w:t>
      </w:r>
      <w:r>
        <w:rPr>
          <w:rFonts w:hint="default" w:ascii="Times New Roman" w:hAnsi="Times New Roman" w:eastAsia="宋体" w:cs="Times New Roman"/>
          <w:color w:val="auto"/>
          <w:kern w:val="0"/>
          <w:sz w:val="24"/>
          <w:szCs w:val="24"/>
          <w:lang w:val="en-US" w:eastAsia="zh-CN" w:bidi="ar"/>
        </w:rPr>
        <w:t>本次拟建的岳阳港君山港区LNG加注站项目位于岳阳LNG接收站（储备中心）项目（一期）的东侧约400m处。</w:t>
      </w:r>
    </w:p>
    <w:p>
      <w:pPr>
        <w:adjustRightInd w:val="0"/>
        <w:snapToGrid w:val="0"/>
        <w:spacing w:line="360" w:lineRule="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drawing>
          <wp:inline distT="0" distB="0" distL="114300" distR="114300">
            <wp:extent cx="5755005" cy="3995420"/>
            <wp:effectExtent l="0" t="0" r="17145" b="5080"/>
            <wp:docPr id="25" name="图片 25" descr="插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插图1"/>
                    <pic:cNvPicPr>
                      <a:picLocks noChangeAspect="1"/>
                    </pic:cNvPicPr>
                  </pic:nvPicPr>
                  <pic:blipFill>
                    <a:blip r:embed="rId10"/>
                    <a:stretch>
                      <a:fillRect/>
                    </a:stretch>
                  </pic:blipFill>
                  <pic:spPr>
                    <a:xfrm>
                      <a:off x="0" y="0"/>
                      <a:ext cx="5755005" cy="3995420"/>
                    </a:xfrm>
                    <a:prstGeom prst="rect">
                      <a:avLst/>
                    </a:prstGeom>
                  </pic:spPr>
                </pic:pic>
              </a:graphicData>
            </a:graphic>
          </wp:inline>
        </w:drawing>
      </w:r>
    </w:p>
    <w:p>
      <w:pPr>
        <w:adjustRightInd w:val="0"/>
        <w:snapToGrid w:val="0"/>
        <w:spacing w:line="360" w:lineRule="auto"/>
        <w:jc w:val="center"/>
        <w:rPr>
          <w:rFonts w:hint="default" w:ascii="Times New Roman" w:hAnsi="Times New Roman" w:eastAsia="宋体" w:cs="Times New Roman"/>
          <w:b/>
          <w:bCs/>
          <w:color w:val="auto"/>
          <w:kern w:val="0"/>
          <w:sz w:val="24"/>
          <w:szCs w:val="24"/>
          <w:u w:val="single"/>
          <w:lang w:val="en-US" w:eastAsia="zh-CN" w:bidi="ar"/>
        </w:rPr>
      </w:pPr>
      <w:r>
        <w:rPr>
          <w:rFonts w:hint="default" w:ascii="Times New Roman" w:hAnsi="Times New Roman" w:cs="Times New Roman"/>
          <w:b/>
          <w:bCs/>
          <w:color w:val="auto"/>
          <w:kern w:val="0"/>
          <w:sz w:val="24"/>
          <w:szCs w:val="24"/>
          <w:u w:val="single"/>
          <w:lang w:val="en-US" w:eastAsia="zh-CN" w:bidi="ar"/>
        </w:rPr>
        <w:t>图1.1-1  一期工程二期工程和三期工程位置关系图</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color w:val="auto"/>
          <w:kern w:val="0"/>
          <w:sz w:val="24"/>
          <w:szCs w:val="24"/>
        </w:rPr>
        <w:t>鉴于上述背景，</w:t>
      </w:r>
      <w:r>
        <w:rPr>
          <w:rFonts w:hint="default" w:ascii="Times New Roman" w:hAnsi="Times New Roman" w:cs="Times New Roman" w:eastAsiaTheme="minorEastAsia"/>
          <w:bCs/>
          <w:color w:val="auto"/>
          <w:sz w:val="24"/>
        </w:rPr>
        <w:t>根据《中华人民共和国环境影响评价法》和国务院682号令《建设项目环境保护管理条例》等有关规定，本项目应进行环境影响评价，编制环境影响报告书。</w:t>
      </w:r>
      <w:r>
        <w:rPr>
          <w:rFonts w:hint="default" w:ascii="Times New Roman" w:hAnsi="Times New Roman" w:cs="Times New Roman" w:eastAsiaTheme="minorEastAsia"/>
          <w:color w:val="auto"/>
          <w:sz w:val="24"/>
        </w:rPr>
        <w:t>岳阳液化天然气有限公司</w:t>
      </w:r>
      <w:r>
        <w:rPr>
          <w:rFonts w:hint="default" w:ascii="Times New Roman" w:hAnsi="Times New Roman" w:cs="Times New Roman" w:eastAsiaTheme="minorEastAsia"/>
          <w:bCs/>
          <w:color w:val="auto"/>
          <w:sz w:val="24"/>
        </w:rPr>
        <w:t>委托湖南葆华环保有限公司承担本项目的环境影响评价工作。我</w:t>
      </w:r>
      <w:r>
        <w:rPr>
          <w:rFonts w:hint="default" w:ascii="Times New Roman" w:hAnsi="Times New Roman" w:cs="Times New Roman" w:eastAsiaTheme="minorEastAsia"/>
          <w:bCs/>
          <w:color w:val="auto"/>
          <w:sz w:val="24"/>
          <w:lang w:val="en-US" w:eastAsia="zh-CN"/>
        </w:rPr>
        <w:t>公司</w:t>
      </w:r>
      <w:r>
        <w:rPr>
          <w:rFonts w:hint="default" w:ascii="Times New Roman" w:hAnsi="Times New Roman" w:cs="Times New Roman" w:eastAsiaTheme="minorEastAsia"/>
          <w:bCs/>
          <w:color w:val="auto"/>
          <w:sz w:val="24"/>
        </w:rPr>
        <w:t>接受委托后，对项目建设场地、项目运行特点、污染物产生及排放情况、周围环境进行了现场踏勘与资料收集，在此基础上，按照相关《环境影响评价技术导则》的有关规定，编制</w:t>
      </w:r>
      <w:r>
        <w:rPr>
          <w:rFonts w:hint="default" w:ascii="Times New Roman" w:hAnsi="Times New Roman" w:cs="Times New Roman" w:eastAsiaTheme="minorEastAsia"/>
          <w:bCs/>
          <w:color w:val="auto"/>
          <w:sz w:val="24"/>
          <w:lang w:val="en-US" w:eastAsia="zh-CN"/>
        </w:rPr>
        <w:t>了</w:t>
      </w:r>
      <w:r>
        <w:rPr>
          <w:rFonts w:hint="default" w:ascii="Times New Roman" w:hAnsi="Times New Roman" w:cs="Times New Roman" w:eastAsiaTheme="minorEastAsia"/>
          <w:bCs/>
          <w:color w:val="auto"/>
          <w:sz w:val="24"/>
        </w:rPr>
        <w:t>《</w:t>
      </w:r>
      <w:r>
        <w:rPr>
          <w:rFonts w:hint="default" w:ascii="Times New Roman" w:hAnsi="Times New Roman" w:cs="Times New Roman" w:eastAsiaTheme="minorEastAsia"/>
          <w:color w:val="auto"/>
          <w:sz w:val="24"/>
        </w:rPr>
        <w:t>岳阳港君山港区LNG加注站项目</w:t>
      </w:r>
      <w:r>
        <w:rPr>
          <w:rFonts w:hint="default" w:ascii="Times New Roman" w:hAnsi="Times New Roman" w:cs="Times New Roman" w:eastAsiaTheme="minorEastAsia"/>
          <w:bCs/>
          <w:color w:val="auto"/>
          <w:sz w:val="24"/>
        </w:rPr>
        <w:t>环境影响报告书》</w:t>
      </w:r>
      <w:r>
        <w:rPr>
          <w:rFonts w:hint="default" w:ascii="Times New Roman" w:hAnsi="Times New Roman" w:cs="Times New Roman" w:eastAsiaTheme="minorEastAsia"/>
          <w:bCs/>
          <w:color w:val="auto"/>
          <w:sz w:val="24"/>
          <w:lang w:eastAsia="zh-CN"/>
        </w:rPr>
        <w:t>（</w:t>
      </w:r>
      <w:r>
        <w:rPr>
          <w:rFonts w:hint="default" w:ascii="Times New Roman" w:hAnsi="Times New Roman" w:cs="Times New Roman" w:eastAsiaTheme="minorEastAsia"/>
          <w:bCs/>
          <w:color w:val="auto"/>
          <w:sz w:val="24"/>
          <w:lang w:val="en-US" w:eastAsia="zh-CN"/>
        </w:rPr>
        <w:t>送审稿</w:t>
      </w:r>
      <w:r>
        <w:rPr>
          <w:rFonts w:hint="default" w:ascii="Times New Roman" w:hAnsi="Times New Roman" w:cs="Times New Roman" w:eastAsiaTheme="minorEastAsia"/>
          <w:bCs/>
          <w:color w:val="auto"/>
          <w:sz w:val="24"/>
          <w:lang w:eastAsia="zh-CN"/>
        </w:rPr>
        <w:t>）</w:t>
      </w:r>
      <w:r>
        <w:rPr>
          <w:rFonts w:hint="default" w:ascii="Times New Roman" w:hAnsi="Times New Roman" w:cs="Times New Roman" w:eastAsiaTheme="minorEastAsia"/>
          <w:bCs/>
          <w:color w:val="auto"/>
          <w:sz w:val="24"/>
        </w:rPr>
        <w:t>，</w:t>
      </w:r>
      <w:r>
        <w:rPr>
          <w:rFonts w:hint="default" w:ascii="Times New Roman" w:hAnsi="Times New Roman" w:cs="Times New Roman" w:eastAsiaTheme="minorEastAsia"/>
          <w:bCs/>
          <w:color w:val="auto"/>
          <w:sz w:val="24"/>
          <w:lang w:val="en-US" w:eastAsia="zh-CN"/>
        </w:rPr>
        <w:t>并于2020年11月通过了专家审查会，</w:t>
      </w:r>
      <w:r>
        <w:rPr>
          <w:rFonts w:hint="default" w:ascii="Times New Roman" w:hAnsi="Times New Roman" w:cs="Times New Roman" w:eastAsiaTheme="minorEastAsia"/>
          <w:bCs/>
          <w:color w:val="auto"/>
          <w:sz w:val="24"/>
        </w:rPr>
        <w:t>现</w:t>
      </w:r>
      <w:r>
        <w:rPr>
          <w:rFonts w:hint="default" w:ascii="Times New Roman" w:hAnsi="Times New Roman" w:cs="Times New Roman" w:eastAsiaTheme="minorEastAsia"/>
          <w:bCs/>
          <w:color w:val="auto"/>
          <w:sz w:val="24"/>
          <w:lang w:val="en-US" w:eastAsia="zh-CN"/>
        </w:rPr>
        <w:t>将修改后的环评文件呈</w:t>
      </w:r>
      <w:r>
        <w:rPr>
          <w:rFonts w:hint="default" w:ascii="Times New Roman" w:hAnsi="Times New Roman" w:cs="Times New Roman" w:eastAsiaTheme="minorEastAsia"/>
          <w:color w:val="auto"/>
          <w:kern w:val="0"/>
          <w:sz w:val="24"/>
          <w:szCs w:val="24"/>
        </w:rPr>
        <w:t>报岳阳市生态环境局</w:t>
      </w:r>
      <w:r>
        <w:rPr>
          <w:rFonts w:hint="default" w:ascii="Times New Roman" w:hAnsi="Times New Roman" w:cs="Times New Roman" w:eastAsiaTheme="minorEastAsia"/>
          <w:bCs/>
          <w:color w:val="auto"/>
          <w:sz w:val="24"/>
        </w:rPr>
        <w:t>。</w:t>
      </w:r>
    </w:p>
    <w:p>
      <w:pPr>
        <w:pStyle w:val="3"/>
        <w:ind w:left="0" w:firstLine="0"/>
        <w:rPr>
          <w:rFonts w:hint="default" w:ascii="Times New Roman" w:hAnsi="Times New Roman" w:cs="Times New Roman" w:eastAsiaTheme="minorEastAsia"/>
          <w:b/>
          <w:color w:val="auto"/>
        </w:rPr>
      </w:pPr>
      <w:bookmarkStart w:id="4" w:name="_Toc14328"/>
      <w:bookmarkStart w:id="5" w:name="_Toc28651"/>
      <w:r>
        <w:rPr>
          <w:rFonts w:hint="default" w:ascii="Times New Roman" w:hAnsi="Times New Roman" w:cs="Times New Roman" w:eastAsiaTheme="minorEastAsia"/>
          <w:b/>
          <w:color w:val="auto"/>
        </w:rPr>
        <w:t>项目特点</w:t>
      </w:r>
      <w:bookmarkEnd w:id="4"/>
      <w:bookmarkEnd w:id="5"/>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sz w:val="24"/>
          <w:u w:val="single"/>
        </w:rPr>
        <w:t>岳阳液化天然气有限公司岳阳港君山港区LNG加注站项目</w:t>
      </w:r>
      <w:r>
        <w:rPr>
          <w:rFonts w:hint="default" w:ascii="Times New Roman" w:hAnsi="Times New Roman" w:cs="Times New Roman"/>
          <w:color w:val="auto"/>
          <w:sz w:val="24"/>
          <w:u w:val="single"/>
        </w:rPr>
        <w:t>位于岳阳市君山区广兴洲作业区预留岸线段，长江中游铁铺水道右岸上板岭一带，中游航道里程约为285.0km</w:t>
      </w:r>
      <w:r>
        <w:rPr>
          <w:rFonts w:hint="default" w:ascii="Times New Roman" w:hAnsi="Times New Roman" w:cs="Times New Roman"/>
          <w:bCs/>
          <w:color w:val="auto"/>
          <w:kern w:val="0"/>
          <w:sz w:val="24"/>
          <w:szCs w:val="24"/>
          <w:u w:val="single"/>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color w:val="auto"/>
          <w:sz w:val="24"/>
          <w:u w:val="single"/>
        </w:rPr>
        <w:t>岳阳港君山港区LNG加注站项目</w:t>
      </w:r>
      <w:r>
        <w:rPr>
          <w:rFonts w:hint="default" w:ascii="Times New Roman" w:hAnsi="Times New Roman" w:cs="Times New Roman"/>
          <w:color w:val="auto"/>
          <w:sz w:val="24"/>
          <w:u w:val="single"/>
          <w:lang w:eastAsia="zh-CN"/>
        </w:rPr>
        <w:t>（</w:t>
      </w:r>
      <w:r>
        <w:rPr>
          <w:rFonts w:hint="default" w:ascii="Times New Roman" w:hAnsi="Times New Roman" w:cs="Times New Roman"/>
          <w:color w:val="auto"/>
          <w:sz w:val="24"/>
          <w:u w:val="single"/>
          <w:lang w:val="en-US" w:eastAsia="zh-CN"/>
        </w:rPr>
        <w:t>即二期工程</w:t>
      </w:r>
      <w:r>
        <w:rPr>
          <w:rFonts w:hint="default" w:ascii="Times New Roman" w:hAnsi="Times New Roman" w:cs="Times New Roman"/>
          <w:color w:val="auto"/>
          <w:sz w:val="24"/>
          <w:u w:val="single"/>
          <w:lang w:eastAsia="zh-CN"/>
        </w:rPr>
        <w:t>）</w:t>
      </w:r>
      <w:r>
        <w:rPr>
          <w:rFonts w:hint="default" w:ascii="Times New Roman" w:hAnsi="Times New Roman" w:cs="Times New Roman" w:eastAsiaTheme="minorEastAsia"/>
          <w:color w:val="auto"/>
          <w:kern w:val="0"/>
          <w:sz w:val="24"/>
          <w:szCs w:val="24"/>
          <w:u w:val="single"/>
        </w:rPr>
        <w:t>计划于</w:t>
      </w:r>
      <w:r>
        <w:rPr>
          <w:rFonts w:hint="default" w:ascii="Times New Roman" w:hAnsi="Times New Roman" w:cs="Times New Roman" w:eastAsiaTheme="minorEastAsia"/>
          <w:color w:val="auto"/>
          <w:kern w:val="0"/>
          <w:sz w:val="24"/>
          <w:szCs w:val="24"/>
          <w:highlight w:val="none"/>
          <w:u w:val="single"/>
        </w:rPr>
        <w:t>202</w:t>
      </w:r>
      <w:r>
        <w:rPr>
          <w:rFonts w:hint="default" w:ascii="Times New Roman" w:hAnsi="Times New Roman" w:cs="Times New Roman" w:eastAsiaTheme="minorEastAsia"/>
          <w:color w:val="auto"/>
          <w:kern w:val="0"/>
          <w:sz w:val="24"/>
          <w:szCs w:val="24"/>
          <w:highlight w:val="none"/>
          <w:u w:val="single"/>
          <w:lang w:val="en-US" w:eastAsia="zh-CN"/>
        </w:rPr>
        <w:t>1</w:t>
      </w:r>
      <w:r>
        <w:rPr>
          <w:rFonts w:hint="default" w:ascii="Times New Roman" w:hAnsi="Times New Roman" w:cs="Times New Roman" w:eastAsiaTheme="minorEastAsia"/>
          <w:color w:val="auto"/>
          <w:kern w:val="0"/>
          <w:sz w:val="24"/>
          <w:szCs w:val="24"/>
          <w:highlight w:val="none"/>
          <w:u w:val="single"/>
        </w:rPr>
        <w:t>年</w:t>
      </w:r>
      <w:r>
        <w:rPr>
          <w:rFonts w:hint="default" w:ascii="Times New Roman" w:hAnsi="Times New Roman" w:cs="Times New Roman" w:eastAsiaTheme="minorEastAsia"/>
          <w:color w:val="auto"/>
          <w:kern w:val="0"/>
          <w:sz w:val="24"/>
          <w:szCs w:val="24"/>
          <w:highlight w:val="none"/>
          <w:u w:val="single"/>
          <w:lang w:val="en-US" w:eastAsia="zh-CN"/>
        </w:rPr>
        <w:t>1</w:t>
      </w:r>
      <w:r>
        <w:rPr>
          <w:rFonts w:hint="default" w:ascii="Times New Roman" w:hAnsi="Times New Roman" w:cs="Times New Roman" w:eastAsiaTheme="minorEastAsia"/>
          <w:color w:val="auto"/>
          <w:kern w:val="0"/>
          <w:sz w:val="24"/>
          <w:szCs w:val="24"/>
          <w:highlight w:val="none"/>
          <w:u w:val="single"/>
        </w:rPr>
        <w:t>月开工建设，至2021年12月初投入试运营，建设期为12个月，</w:t>
      </w:r>
      <w:r>
        <w:rPr>
          <w:rFonts w:hint="default" w:ascii="Times New Roman" w:hAnsi="Times New Roman" w:cs="Times New Roman" w:eastAsiaTheme="minorEastAsia"/>
          <w:color w:val="auto"/>
          <w:kern w:val="0"/>
          <w:sz w:val="24"/>
          <w:szCs w:val="24"/>
          <w:u w:val="single"/>
        </w:rPr>
        <w:t>投资</w:t>
      </w:r>
      <w:r>
        <w:rPr>
          <w:rFonts w:hint="default" w:ascii="Times New Roman" w:hAnsi="Times New Roman" w:cs="Times New Roman"/>
          <w:color w:val="auto"/>
          <w:kern w:val="0"/>
          <w:sz w:val="24"/>
          <w:szCs w:val="24"/>
          <w:u w:val="single"/>
          <w:lang w:bidi="ar"/>
        </w:rPr>
        <w:t>13490.29万元</w:t>
      </w:r>
      <w:r>
        <w:rPr>
          <w:rFonts w:hint="default" w:ascii="Times New Roman" w:hAnsi="Times New Roman" w:cs="Times New Roman" w:eastAsiaTheme="minorEastAsia"/>
          <w:color w:val="auto"/>
          <w:kern w:val="0"/>
          <w:sz w:val="24"/>
          <w:szCs w:val="24"/>
          <w:u w:val="single"/>
        </w:rPr>
        <w:t>。拟</w:t>
      </w:r>
      <w:r>
        <w:rPr>
          <w:rFonts w:hint="default" w:ascii="Times New Roman" w:hAnsi="Times New Roman" w:cs="Times New Roman" w:eastAsiaTheme="minorEastAsia"/>
          <w:color w:val="auto"/>
          <w:kern w:val="0"/>
          <w:sz w:val="24"/>
          <w:szCs w:val="24"/>
          <w:u w:val="single"/>
          <w:lang w:bidi="ar"/>
        </w:rPr>
        <w:t>新建2座5000吨级LNG加注泊位（码头结构按停靠10000吨级船舶设计），布置于规划LNG泊位区的下游端部，</w:t>
      </w:r>
      <w:r>
        <w:rPr>
          <w:rFonts w:hint="default" w:ascii="Times New Roman" w:hAnsi="Times New Roman" w:cs="Times New Roman" w:eastAsiaTheme="minorEastAsia"/>
          <w:color w:val="auto"/>
          <w:kern w:val="0"/>
          <w:sz w:val="24"/>
          <w:szCs w:val="24"/>
          <w:u w:val="single"/>
          <w:lang w:val="zh-CN" w:bidi="ar"/>
        </w:rPr>
        <w:t>年吞吐量</w:t>
      </w:r>
      <w:r>
        <w:rPr>
          <w:rFonts w:hint="default" w:ascii="Times New Roman" w:hAnsi="Times New Roman" w:cs="Times New Roman" w:eastAsiaTheme="minorEastAsia"/>
          <w:color w:val="auto"/>
          <w:kern w:val="0"/>
          <w:sz w:val="24"/>
          <w:szCs w:val="24"/>
          <w:u w:val="single"/>
          <w:lang w:bidi="ar"/>
        </w:rPr>
        <w:t>2.6</w:t>
      </w:r>
      <w:r>
        <w:rPr>
          <w:rFonts w:hint="default" w:ascii="Times New Roman" w:hAnsi="Times New Roman" w:cs="Times New Roman" w:eastAsiaTheme="minorEastAsia"/>
          <w:color w:val="auto"/>
          <w:kern w:val="0"/>
          <w:sz w:val="24"/>
          <w:szCs w:val="24"/>
          <w:u w:val="single"/>
          <w:lang w:val="zh-CN" w:bidi="ar"/>
        </w:rPr>
        <w:t>万t（</w:t>
      </w:r>
      <w:r>
        <w:rPr>
          <w:rFonts w:hint="default" w:ascii="Times New Roman" w:hAnsi="Times New Roman" w:cs="Times New Roman" w:eastAsiaTheme="minorEastAsia"/>
          <w:color w:val="auto"/>
          <w:kern w:val="0"/>
          <w:sz w:val="24"/>
          <w:szCs w:val="24"/>
          <w:u w:val="single"/>
          <w:lang w:val="en-US" w:eastAsia="zh-CN" w:bidi="ar"/>
        </w:rPr>
        <w:t>均为出口量</w:t>
      </w:r>
      <w:r>
        <w:rPr>
          <w:rFonts w:hint="default" w:ascii="Times New Roman" w:hAnsi="Times New Roman" w:cs="Times New Roman" w:eastAsiaTheme="minorEastAsia"/>
          <w:color w:val="auto"/>
          <w:kern w:val="0"/>
          <w:sz w:val="24"/>
          <w:szCs w:val="24"/>
          <w:u w:val="single"/>
          <w:lang w:val="zh-CN" w:bidi="ar"/>
        </w:rPr>
        <w:t>），设计年通过能力</w:t>
      </w:r>
      <w:r>
        <w:rPr>
          <w:rFonts w:hint="default" w:ascii="Times New Roman" w:hAnsi="Times New Roman" w:cs="Times New Roman" w:eastAsiaTheme="minorEastAsia"/>
          <w:color w:val="auto"/>
          <w:kern w:val="0"/>
          <w:sz w:val="24"/>
          <w:szCs w:val="24"/>
          <w:u w:val="single"/>
          <w:lang w:bidi="ar"/>
        </w:rPr>
        <w:t>3.1</w:t>
      </w:r>
      <w:r>
        <w:rPr>
          <w:rFonts w:hint="default" w:ascii="Times New Roman" w:hAnsi="Times New Roman" w:cs="Times New Roman" w:eastAsiaTheme="minorEastAsia"/>
          <w:color w:val="auto"/>
          <w:kern w:val="0"/>
          <w:sz w:val="24"/>
          <w:szCs w:val="24"/>
          <w:u w:val="single"/>
          <w:lang w:val="zh-CN" w:bidi="ar"/>
        </w:rPr>
        <w:t>万t，占用长江岸线</w:t>
      </w:r>
      <w:r>
        <w:rPr>
          <w:rFonts w:hint="default" w:ascii="Times New Roman" w:hAnsi="Times New Roman" w:cs="Times New Roman" w:eastAsiaTheme="minorEastAsia"/>
          <w:color w:val="auto"/>
          <w:kern w:val="0"/>
          <w:sz w:val="24"/>
          <w:szCs w:val="24"/>
          <w:u w:val="single"/>
          <w:lang w:bidi="ar"/>
        </w:rPr>
        <w:t>31</w:t>
      </w:r>
      <w:r>
        <w:rPr>
          <w:rFonts w:hint="default" w:ascii="Times New Roman" w:hAnsi="Times New Roman" w:cs="Times New Roman" w:eastAsiaTheme="minorEastAsia"/>
          <w:color w:val="auto"/>
          <w:kern w:val="0"/>
          <w:sz w:val="24"/>
          <w:szCs w:val="24"/>
          <w:u w:val="single"/>
          <w:lang w:val="zh-CN" w:bidi="ar"/>
        </w:rPr>
        <w:t>5m。本项目</w:t>
      </w:r>
      <w:r>
        <w:rPr>
          <w:rFonts w:hint="default" w:ascii="Times New Roman" w:hAnsi="Times New Roman" w:cs="Times New Roman" w:eastAsiaTheme="minorEastAsia"/>
          <w:color w:val="auto"/>
          <w:kern w:val="0"/>
          <w:sz w:val="24"/>
          <w:szCs w:val="24"/>
          <w:u w:val="single"/>
          <w:lang w:bidi="ar"/>
        </w:rPr>
        <w:t>LNG加注方式采用LNG罐箱或槽车通过卸车撬直接对船舶进行加注，</w:t>
      </w:r>
      <w:r>
        <w:rPr>
          <w:rFonts w:hint="default" w:ascii="Times New Roman" w:hAnsi="Times New Roman" w:cs="Times New Roman" w:eastAsiaTheme="minorEastAsia"/>
          <w:color w:val="auto"/>
          <w:kern w:val="0"/>
          <w:sz w:val="24"/>
          <w:szCs w:val="24"/>
          <w:u w:val="single"/>
          <w:lang w:val="zh-CN" w:bidi="ar"/>
        </w:rPr>
        <w:t>加注对象主要为</w:t>
      </w:r>
      <w:r>
        <w:rPr>
          <w:rFonts w:hint="default" w:ascii="Times New Roman" w:hAnsi="Times New Roman" w:cs="Times New Roman" w:eastAsiaTheme="minorEastAsia"/>
          <w:color w:val="auto"/>
          <w:kern w:val="0"/>
          <w:sz w:val="24"/>
          <w:szCs w:val="24"/>
          <w:u w:val="single"/>
          <w:lang w:bidi="ar"/>
        </w:rPr>
        <w:t>1</w:t>
      </w:r>
      <w:r>
        <w:rPr>
          <w:rFonts w:hint="default" w:ascii="Times New Roman" w:hAnsi="Times New Roman" w:cs="Times New Roman" w:eastAsiaTheme="minorEastAsia"/>
          <w:color w:val="auto"/>
          <w:kern w:val="0"/>
          <w:sz w:val="24"/>
          <w:szCs w:val="24"/>
          <w:u w:val="single"/>
          <w:lang w:val="zh-CN" w:bidi="ar"/>
        </w:rPr>
        <w:t>000</w:t>
      </w:r>
      <w:r>
        <w:rPr>
          <w:rFonts w:hint="default" w:ascii="Times New Roman" w:hAnsi="Times New Roman" w:cs="Times New Roman" w:eastAsiaTheme="minorEastAsia"/>
          <w:color w:val="auto"/>
          <w:kern w:val="0"/>
          <w:sz w:val="24"/>
          <w:szCs w:val="24"/>
          <w:u w:val="single"/>
          <w:lang w:bidi="ar"/>
        </w:rPr>
        <w:t>~10</w:t>
      </w:r>
      <w:r>
        <w:rPr>
          <w:rFonts w:hint="default" w:ascii="Times New Roman" w:hAnsi="Times New Roman" w:cs="Times New Roman" w:eastAsiaTheme="minorEastAsia"/>
          <w:color w:val="auto"/>
          <w:kern w:val="0"/>
          <w:sz w:val="24"/>
          <w:szCs w:val="24"/>
          <w:u w:val="single"/>
          <w:lang w:val="zh-CN" w:bidi="ar"/>
        </w:rPr>
        <w:t>000t级内河船舶。本项目不含</w:t>
      </w:r>
      <w:r>
        <w:rPr>
          <w:rFonts w:hint="default" w:ascii="Times New Roman" w:hAnsi="Times New Roman" w:cs="Times New Roman" w:eastAsiaTheme="minorEastAsia"/>
          <w:color w:val="auto"/>
          <w:sz w:val="24"/>
          <w:u w:val="single"/>
        </w:rPr>
        <w:t>LNG接收站（储备中心）的码头、罐区及后方相关配套工程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相关配套</w:t>
      </w:r>
      <w:r>
        <w:rPr>
          <w:rFonts w:hint="eastAsia" w:ascii="Times New Roman" w:hAnsi="Times New Roman" w:cs="Times New Roman" w:eastAsiaTheme="minorEastAsia"/>
          <w:color w:val="auto"/>
          <w:sz w:val="24"/>
          <w:u w:val="single"/>
          <w:lang w:val="en-US" w:eastAsia="zh-CN"/>
        </w:rPr>
        <w:t>辅助</w:t>
      </w:r>
      <w:r>
        <w:rPr>
          <w:rFonts w:hint="default" w:ascii="Times New Roman" w:hAnsi="Times New Roman" w:cs="Times New Roman" w:eastAsiaTheme="minorEastAsia"/>
          <w:color w:val="auto"/>
          <w:sz w:val="24"/>
          <w:u w:val="single"/>
          <w:lang w:eastAsia="zh-CN"/>
        </w:rPr>
        <w:t>工程内容将在</w:t>
      </w:r>
      <w:r>
        <w:rPr>
          <w:rFonts w:hint="default" w:ascii="Times New Roman" w:hAnsi="Times New Roman" w:cs="Times New Roman" w:eastAsiaTheme="minorEastAsia"/>
          <w:color w:val="auto"/>
          <w:sz w:val="24"/>
          <w:u w:val="single"/>
        </w:rPr>
        <w:t>岳阳LNG接收站（储备中心）项目（一期）</w:t>
      </w:r>
      <w:r>
        <w:rPr>
          <w:rFonts w:hint="default" w:ascii="Times New Roman" w:hAnsi="Times New Roman" w:cs="Times New Roman" w:eastAsiaTheme="minorEastAsia"/>
          <w:color w:val="auto"/>
          <w:sz w:val="24"/>
          <w:u w:val="single"/>
          <w:lang w:eastAsia="zh-CN"/>
        </w:rPr>
        <w:t>实施</w:t>
      </w:r>
      <w:r>
        <w:rPr>
          <w:rFonts w:hint="default" w:ascii="Times New Roman" w:hAnsi="Times New Roman" w:cs="Times New Roman" w:eastAsiaTheme="minorEastAsia"/>
          <w:color w:val="auto"/>
          <w:sz w:val="24"/>
          <w:u w:val="single"/>
        </w:rPr>
        <w:t>。</w:t>
      </w:r>
    </w:p>
    <w:p>
      <w:pPr>
        <w:adjustRightInd w:val="0"/>
        <w:snapToGrid w:val="0"/>
        <w:spacing w:line="360" w:lineRule="auto"/>
        <w:ind w:firstLine="480" w:firstLineChars="200"/>
        <w:rPr>
          <w:rFonts w:hint="default" w:ascii="Times New Roman" w:hAnsi="Times New Roman" w:cs="Times New Roman"/>
          <w:color w:val="auto"/>
          <w:sz w:val="24"/>
          <w:u w:val="single"/>
          <w:lang w:val="en-GB"/>
        </w:rPr>
      </w:pPr>
      <w:r>
        <w:rPr>
          <w:rFonts w:hint="default" w:ascii="Times New Roman" w:hAnsi="Times New Roman" w:cs="Times New Roman" w:eastAsiaTheme="minorEastAsia"/>
          <w:color w:val="auto"/>
          <w:kern w:val="0"/>
          <w:sz w:val="24"/>
          <w:szCs w:val="24"/>
          <w:u w:val="single"/>
        </w:rPr>
        <w:t>2个泊位均采用</w:t>
      </w:r>
      <w:r>
        <w:rPr>
          <w:rFonts w:hint="default" w:ascii="Times New Roman" w:hAnsi="Times New Roman" w:cs="Times New Roman"/>
          <w:color w:val="auto"/>
          <w:sz w:val="24"/>
          <w:u w:val="single"/>
        </w:rPr>
        <w:t>直立墩式</w:t>
      </w:r>
      <w:r>
        <w:rPr>
          <w:rFonts w:hint="default" w:ascii="Times New Roman" w:hAnsi="Times New Roman" w:cs="Times New Roman"/>
          <w:color w:val="auto"/>
          <w:sz w:val="24"/>
          <w:u w:val="single"/>
          <w:lang w:val="en-GB"/>
        </w:rPr>
        <w:t>结构方案</w:t>
      </w:r>
      <w:r>
        <w:rPr>
          <w:rFonts w:hint="default" w:ascii="Times New Roman" w:hAnsi="Times New Roman" w:cs="Times New Roman" w:eastAsiaTheme="minorEastAsia"/>
          <w:color w:val="auto"/>
          <w:kern w:val="0"/>
          <w:sz w:val="24"/>
          <w:szCs w:val="24"/>
          <w:u w:val="single"/>
        </w:rPr>
        <w:t>，水工建筑物主要由</w:t>
      </w:r>
      <w:r>
        <w:rPr>
          <w:rFonts w:hint="default" w:ascii="Times New Roman" w:hAnsi="Times New Roman" w:cs="Times New Roman"/>
          <w:color w:val="auto"/>
          <w:sz w:val="24"/>
          <w:u w:val="single"/>
          <w:lang w:val="en-GB"/>
        </w:rPr>
        <w:t>靠船加注平台、靠船墩、系缆墩、卸车平台、</w:t>
      </w:r>
      <w:r>
        <w:rPr>
          <w:rFonts w:hint="eastAsia" w:ascii="Times New Roman" w:hAnsi="Times New Roman" w:cs="Times New Roman"/>
          <w:color w:val="auto"/>
          <w:sz w:val="24"/>
          <w:u w:val="single"/>
          <w:lang w:val="en-GB" w:eastAsia="zh-CN"/>
        </w:rPr>
        <w:t>倒车</w:t>
      </w:r>
      <w:r>
        <w:rPr>
          <w:rFonts w:hint="default" w:ascii="Times New Roman" w:hAnsi="Times New Roman" w:cs="Times New Roman"/>
          <w:color w:val="auto"/>
          <w:sz w:val="24"/>
          <w:u w:val="single"/>
          <w:lang w:val="en-GB"/>
        </w:rPr>
        <w:t>平台及固定引桥组成。</w:t>
      </w:r>
    </w:p>
    <w:p>
      <w:pPr>
        <w:pStyle w:val="3"/>
        <w:ind w:left="0" w:firstLine="0"/>
        <w:rPr>
          <w:rFonts w:hint="default" w:ascii="Times New Roman" w:hAnsi="Times New Roman" w:cs="Times New Roman" w:eastAsiaTheme="minorEastAsia"/>
          <w:b/>
          <w:color w:val="auto"/>
        </w:rPr>
      </w:pPr>
      <w:bookmarkStart w:id="6" w:name="_Toc4072"/>
      <w:bookmarkStart w:id="7" w:name="_Toc9550"/>
      <w:r>
        <w:rPr>
          <w:rFonts w:hint="default" w:ascii="Times New Roman" w:hAnsi="Times New Roman" w:cs="Times New Roman" w:eastAsiaTheme="minorEastAsia"/>
          <w:b/>
          <w:color w:val="auto"/>
        </w:rPr>
        <w:t>环境影响评价的工作过程</w:t>
      </w:r>
      <w:bookmarkEnd w:id="6"/>
      <w:bookmarkEnd w:id="7"/>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中华人民共和国环境评价法》第十六条、第二十五条和国务院第682号令《建设项目环境保护管理办法》的有关规定，为切实做好建设项目的环境保护工作，使经济建设与环境保护协调发展，确保项目工程顺利进行，本项目必须进行环评申报审批程序。对照中华人民共和国环境保护部第44号令《建设项目环境影响评价分类管理名录》及生态环境部第1号令《关于修改&lt;建设项目环境影响评价分类管理名录&gt;部分内容的决定》（2018年4月28日），“四十九、交通运输业、管道运输业和仓储业”类别的第163油气、液体化工码头新建项目，应编制环境影响报告书。</w:t>
      </w:r>
      <w:r>
        <w:rPr>
          <w:rFonts w:hint="default" w:ascii="Times New Roman" w:hAnsi="Times New Roman" w:cs="Times New Roman" w:eastAsiaTheme="minorEastAsia"/>
          <w:color w:val="auto"/>
          <w:sz w:val="24"/>
        </w:rPr>
        <w:t>岳阳液化天然气有限公司</w:t>
      </w:r>
      <w:r>
        <w:rPr>
          <w:rFonts w:hint="default" w:ascii="Times New Roman" w:hAnsi="Times New Roman" w:cs="Times New Roman" w:eastAsiaTheme="minorEastAsia"/>
          <w:color w:val="auto"/>
          <w:kern w:val="0"/>
          <w:sz w:val="24"/>
          <w:szCs w:val="24"/>
        </w:rPr>
        <w:t>于2020年8月委托湖南葆华环保有限公司承担岳阳港君山港区LNG加注站项目的环境影响评价工作。</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yellow"/>
        </w:rPr>
      </w:pPr>
      <w:r>
        <w:rPr>
          <w:rFonts w:hint="default" w:ascii="Times New Roman" w:hAnsi="Times New Roman" w:cs="Times New Roman" w:eastAsiaTheme="minorEastAsia"/>
          <w:color w:val="auto"/>
          <w:kern w:val="0"/>
          <w:sz w:val="24"/>
          <w:szCs w:val="24"/>
        </w:rPr>
        <w:t>2020年8月评价单位接受环评委托后，评价技术人员收集项目设计方案及相关规划等基础资料，对现场初步调查，对项目工程进行初步分析，对环境影响因素进行识别与筛选，确定项目评价重点和环境保护目标、评价工作等级、评</w:t>
      </w:r>
      <w:r>
        <w:rPr>
          <w:rFonts w:hint="default" w:ascii="Times New Roman" w:hAnsi="Times New Roman" w:cs="Times New Roman" w:eastAsiaTheme="minorEastAsia"/>
          <w:color w:val="auto"/>
          <w:kern w:val="0"/>
          <w:sz w:val="24"/>
          <w:szCs w:val="24"/>
          <w:highlight w:val="none"/>
        </w:rPr>
        <w:t>价范围和评价标准等。并于2020年8月31日~9月11日在</w:t>
      </w:r>
      <w:r>
        <w:rPr>
          <w:rFonts w:hint="eastAsia" w:ascii="Times New Roman" w:hAnsi="Times New Roman" w:cs="Times New Roman" w:eastAsiaTheme="minorEastAsia"/>
          <w:color w:val="auto"/>
          <w:kern w:val="0"/>
          <w:sz w:val="24"/>
          <w:szCs w:val="24"/>
          <w:highlight w:val="none"/>
          <w:lang w:val="en-US" w:eastAsia="zh-CN"/>
        </w:rPr>
        <w:t>岳阳市君山区人民政府网</w:t>
      </w:r>
      <w:r>
        <w:rPr>
          <w:rFonts w:hint="default" w:ascii="Times New Roman" w:hAnsi="Times New Roman" w:cs="Times New Roman" w:eastAsiaTheme="minorEastAsia"/>
          <w:color w:val="auto"/>
          <w:kern w:val="0"/>
          <w:sz w:val="24"/>
          <w:szCs w:val="24"/>
          <w:highlight w:val="none"/>
          <w:lang w:val="en-US" w:eastAsia="zh-CN"/>
        </w:rPr>
        <w:t>上</w:t>
      </w:r>
      <w:r>
        <w:rPr>
          <w:rFonts w:hint="default" w:ascii="Times New Roman" w:hAnsi="Times New Roman" w:cs="Times New Roman" w:eastAsiaTheme="minorEastAsia"/>
          <w:color w:val="auto"/>
          <w:kern w:val="0"/>
          <w:sz w:val="24"/>
          <w:szCs w:val="24"/>
          <w:highlight w:val="none"/>
        </w:rPr>
        <w:t>发布了项目环评第一次公示，2020年10月</w:t>
      </w:r>
      <w:r>
        <w:rPr>
          <w:rFonts w:hint="default" w:ascii="Times New Roman" w:hAnsi="Times New Roman" w:cs="Times New Roman" w:eastAsiaTheme="minorEastAsia"/>
          <w:color w:val="auto"/>
          <w:kern w:val="0"/>
          <w:sz w:val="24"/>
          <w:szCs w:val="24"/>
          <w:highlight w:val="none"/>
          <w:lang w:val="en-US" w:eastAsia="zh-CN"/>
        </w:rPr>
        <w:t>22</w:t>
      </w:r>
      <w:r>
        <w:rPr>
          <w:rFonts w:hint="default" w:ascii="Times New Roman" w:hAnsi="Times New Roman" w:cs="Times New Roman" w:eastAsiaTheme="minorEastAsia"/>
          <w:color w:val="auto"/>
          <w:kern w:val="0"/>
          <w:sz w:val="24"/>
          <w:szCs w:val="24"/>
          <w:highlight w:val="none"/>
        </w:rPr>
        <w:t>日~</w:t>
      </w:r>
      <w:r>
        <w:rPr>
          <w:rFonts w:hint="default" w:ascii="Times New Roman" w:hAnsi="Times New Roman" w:cs="Times New Roman" w:eastAsiaTheme="minorEastAsia"/>
          <w:color w:val="auto"/>
          <w:kern w:val="0"/>
          <w:sz w:val="24"/>
          <w:szCs w:val="24"/>
          <w:highlight w:val="none"/>
          <w:lang w:val="en-US" w:eastAsia="zh-CN"/>
        </w:rPr>
        <w:t>11</w:t>
      </w:r>
      <w:r>
        <w:rPr>
          <w:rFonts w:hint="default" w:ascii="Times New Roman" w:hAnsi="Times New Roman" w:cs="Times New Roman" w:eastAsiaTheme="minorEastAsia"/>
          <w:color w:val="auto"/>
          <w:kern w:val="0"/>
          <w:sz w:val="24"/>
          <w:szCs w:val="24"/>
          <w:highlight w:val="none"/>
        </w:rPr>
        <w:t>月</w:t>
      </w:r>
      <w:r>
        <w:rPr>
          <w:rFonts w:hint="default" w:ascii="Times New Roman" w:hAnsi="Times New Roman" w:cs="Times New Roman" w:eastAsiaTheme="minorEastAsia"/>
          <w:color w:val="auto"/>
          <w:kern w:val="0"/>
          <w:sz w:val="24"/>
          <w:szCs w:val="24"/>
          <w:highlight w:val="none"/>
          <w:lang w:val="en-US" w:eastAsia="zh-CN"/>
        </w:rPr>
        <w:t>4</w:t>
      </w:r>
      <w:r>
        <w:rPr>
          <w:rFonts w:hint="default" w:ascii="Times New Roman" w:hAnsi="Times New Roman" w:cs="Times New Roman" w:eastAsiaTheme="minorEastAsia"/>
          <w:color w:val="auto"/>
          <w:kern w:val="0"/>
          <w:sz w:val="24"/>
          <w:szCs w:val="24"/>
          <w:highlight w:val="none"/>
        </w:rPr>
        <w:t>日</w:t>
      </w:r>
      <w:r>
        <w:rPr>
          <w:rFonts w:hint="default" w:ascii="Times New Roman" w:hAnsi="Times New Roman" w:cs="Times New Roman" w:eastAsiaTheme="minorEastAsia"/>
          <w:color w:val="auto"/>
          <w:kern w:val="0"/>
          <w:sz w:val="24"/>
          <w:szCs w:val="24"/>
          <w:highlight w:val="none"/>
          <w:lang w:eastAsia="zh-CN"/>
        </w:rPr>
        <w:t>在</w:t>
      </w:r>
      <w:r>
        <w:rPr>
          <w:rFonts w:hint="eastAsia" w:ascii="Times New Roman" w:hAnsi="Times New Roman" w:cs="Times New Roman" w:eastAsiaTheme="minorEastAsia"/>
          <w:color w:val="auto"/>
          <w:kern w:val="0"/>
          <w:sz w:val="24"/>
          <w:szCs w:val="24"/>
          <w:highlight w:val="none"/>
          <w:lang w:val="en-US" w:eastAsia="zh-CN"/>
        </w:rPr>
        <w:t>岳阳市君山区人民政府网、</w:t>
      </w:r>
      <w:r>
        <w:rPr>
          <w:rFonts w:hint="default" w:ascii="Times New Roman" w:hAnsi="Times New Roman" w:cs="Times New Roman" w:eastAsiaTheme="minorEastAsia"/>
          <w:color w:val="auto"/>
          <w:kern w:val="0"/>
          <w:sz w:val="24"/>
          <w:szCs w:val="24"/>
          <w:highlight w:val="none"/>
          <w:lang w:val="en-US" w:eastAsia="zh-CN"/>
        </w:rPr>
        <w:t>环境影响评价信息公示平台上</w:t>
      </w:r>
      <w:r>
        <w:rPr>
          <w:rFonts w:hint="default" w:ascii="Times New Roman" w:hAnsi="Times New Roman" w:cs="Times New Roman" w:eastAsiaTheme="minorEastAsia"/>
          <w:color w:val="auto"/>
          <w:kern w:val="0"/>
          <w:sz w:val="24"/>
          <w:szCs w:val="24"/>
          <w:highlight w:val="none"/>
        </w:rPr>
        <w:t>发布了项目环评第二次公示。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2020年8月~2020年10月开展对评价范围内环境质量现状调查工作，同时对项目工程进行详细分析，确定项目主要污染因素及生态影响因素。在环境现状调查和工程分析的基础上，对各环境要素环境影响进行预测与评价。在各环境要素及影响分析的基础上，提出环境保护措施，并对项目产业政策、选址规划、环境经济损益等符合性进行分析，提出环境管理及环境监测要求。</w:t>
      </w:r>
    </w:p>
    <w:p>
      <w:pPr>
        <w:pStyle w:val="3"/>
        <w:ind w:left="0" w:firstLine="0"/>
        <w:rPr>
          <w:rFonts w:hint="default" w:ascii="Times New Roman" w:hAnsi="Times New Roman" w:cs="Times New Roman" w:eastAsiaTheme="minorEastAsia"/>
          <w:b/>
          <w:color w:val="auto"/>
        </w:rPr>
      </w:pPr>
      <w:bookmarkStart w:id="8" w:name="_Toc16639"/>
      <w:bookmarkStart w:id="9" w:name="_Toc13315"/>
      <w:r>
        <w:rPr>
          <w:rFonts w:hint="default" w:ascii="Times New Roman" w:hAnsi="Times New Roman" w:cs="Times New Roman" w:eastAsiaTheme="minorEastAsia"/>
          <w:b/>
          <w:color w:val="auto"/>
        </w:rPr>
        <w:t>分析判定相关情况</w:t>
      </w:r>
      <w:bookmarkEnd w:id="8"/>
      <w:bookmarkEnd w:id="9"/>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1、产业政策符合性分析</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根据《产业结构调整指导目录（2019年本）》中内容，本项目属于“第一类鼓励类”的“二十五、水运”中的“1.深水泊位（沿海万吨级、内河千吨级及以上）建设”项目；液化石油气与石油和天然气一样，是化石燃料。在生产及消费过程中对生态环境的污染减少，包括使用低污染的化石能源（如天然气等）和利用清洁能源技术处理过的化石能源，都是清洁能源中的非再生能源。本项目的建设符合国家产业政策和国家清洁能源行动实施方案的要求。</w:t>
      </w:r>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2、相关法规、规划符合性分析</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本项目的建设符合《湖南省内河水运发展规划》、《岳阳港总体规划》及规划环评、《长江经济带发展负面清单指南（试行）》、《长江经济带生态环境保护规划》、《岳阳市东洞庭湖国家级自然保护区条例》、《水产种质资源保护区管理暂行办法》、《长江干线京杭运河西江航运干线液化天然气加注码头布局方案》、《湖南省LNG水上加注站总体布局规划》、《湖南省“十三五”天然气发展规划》、</w:t>
      </w:r>
      <w:r>
        <w:rPr>
          <w:rFonts w:hint="default" w:ascii="Times New Roman" w:hAnsi="Times New Roman" w:cs="Times New Roman"/>
          <w:color w:val="auto"/>
          <w:sz w:val="24"/>
        </w:rPr>
        <w:t>《湖南省“十三五”能源发展规划》、</w:t>
      </w:r>
      <w:r>
        <w:rPr>
          <w:rFonts w:hint="default" w:ascii="Times New Roman" w:hAnsi="Times New Roman" w:cs="Times New Roman" w:eastAsiaTheme="minorEastAsia"/>
          <w:bCs/>
          <w:color w:val="auto"/>
          <w:sz w:val="24"/>
          <w:szCs w:val="24"/>
        </w:rPr>
        <w:t>《岳阳市城市总体规划（2008-2030</w:t>
      </w:r>
      <w:r>
        <w:rPr>
          <w:rFonts w:hint="default" w:ascii="Times New Roman" w:hAnsi="Times New Roman" w:cs="Times New Roman" w:eastAsiaTheme="minorEastAsia"/>
          <w:bCs/>
          <w:color w:val="auto"/>
          <w:sz w:val="24"/>
          <w:szCs w:val="24"/>
          <w:lang w:val="en-US" w:eastAsia="zh-CN"/>
        </w:rPr>
        <w:t>年</w:t>
      </w:r>
      <w:r>
        <w:rPr>
          <w:rFonts w:hint="default" w:ascii="Times New Roman" w:hAnsi="Times New Roman" w:cs="Times New Roman" w:eastAsiaTheme="minorEastAsia"/>
          <w:bCs/>
          <w:color w:val="auto"/>
          <w:sz w:val="24"/>
          <w:szCs w:val="24"/>
        </w:rPr>
        <w:t>）》等。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本项目将作为长江干线中游地区重要的LNG输出气源节点，为沿江过往船舶提供加油加气服务，推动船用LNG发展，打造低碳物流、绿色交通。</w:t>
      </w:r>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3、与“三线一单”符合性分析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不在生态保护红线范围内，项目的建设不会造成所在区域环境质量下降或恶化，符合资源利用上限中相关规定，未纳入《长江经济带发展负面清单指南（试行）》，且不属于港口岸线利用功能准入负面清单中所列明的禁止项目，与《岳阳港总体规划》及规划环评相符合。因此，本项目符合“三线一单”的要求。</w:t>
      </w:r>
    </w:p>
    <w:p>
      <w:pPr>
        <w:pStyle w:val="3"/>
        <w:ind w:left="0" w:firstLine="0"/>
        <w:rPr>
          <w:rFonts w:hint="default" w:ascii="Times New Roman" w:hAnsi="Times New Roman" w:cs="Times New Roman" w:eastAsiaTheme="minorEastAsia"/>
          <w:b/>
          <w:color w:val="auto"/>
        </w:rPr>
      </w:pPr>
      <w:bookmarkStart w:id="10" w:name="_Toc22256"/>
      <w:bookmarkStart w:id="11" w:name="_Toc18176"/>
      <w:r>
        <w:rPr>
          <w:rFonts w:hint="default" w:ascii="Times New Roman" w:hAnsi="Times New Roman" w:cs="Times New Roman" w:eastAsiaTheme="minorEastAsia"/>
          <w:b/>
          <w:color w:val="auto"/>
        </w:rPr>
        <w:t>关注的主要环境问题及环境影响</w:t>
      </w:r>
      <w:bookmarkEnd w:id="10"/>
      <w:bookmarkEnd w:id="11"/>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本项目所在地涉及</w:t>
      </w:r>
      <w:r>
        <w:rPr>
          <w:rFonts w:hint="default" w:ascii="Times New Roman" w:hAnsi="Times New Roman" w:cs="Times New Roman" w:eastAsiaTheme="minorEastAsia"/>
          <w:bCs/>
          <w:color w:val="auto"/>
          <w:sz w:val="24"/>
          <w:szCs w:val="24"/>
        </w:rPr>
        <w:t>东洞庭湖国家级自然保护区的实验区</w:t>
      </w:r>
      <w:r>
        <w:rPr>
          <w:rFonts w:hint="default" w:ascii="Times New Roman" w:hAnsi="Times New Roman" w:cs="Times New Roman" w:eastAsiaTheme="minorEastAsia"/>
          <w:bCs/>
          <w:color w:val="auto"/>
          <w:sz w:val="24"/>
          <w:szCs w:val="24"/>
          <w:lang w:eastAsia="zh-CN"/>
        </w:rPr>
        <w:t>、东洞庭湖湖泊湿地保护区</w:t>
      </w:r>
      <w:r>
        <w:rPr>
          <w:rFonts w:hint="default" w:ascii="Times New Roman" w:hAnsi="Times New Roman" w:cs="Times New Roman" w:eastAsiaTheme="minorEastAsia"/>
          <w:bCs/>
          <w:color w:val="auto"/>
          <w:sz w:val="24"/>
          <w:szCs w:val="24"/>
        </w:rPr>
        <w:t>、长江监利段四大家鱼国家级水产种质资源保护区实验区。此外，不涉及其他特殊或重要生态敏感区。主要</w:t>
      </w:r>
      <w:r>
        <w:rPr>
          <w:rFonts w:hint="default" w:ascii="Times New Roman" w:hAnsi="Times New Roman" w:cs="Times New Roman" w:eastAsiaTheme="minorEastAsia"/>
          <w:color w:val="auto"/>
          <w:kern w:val="0"/>
          <w:sz w:val="24"/>
          <w:szCs w:val="24"/>
        </w:rPr>
        <w:t>关注问题如下：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大气环境影响：施工期及营运期码头天然气对周围居民的影响等。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水环境影响：施工及营运对长江水体的影响。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声环境影响：施工期及营运期码头对附近居民的影响等。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生态环境影响：项目建设对长江水生生物的影响</w:t>
      </w:r>
      <w:r>
        <w:rPr>
          <w:rFonts w:hint="default" w:ascii="Times New Roman" w:hAnsi="Times New Roman" w:cs="Times New Roman" w:eastAsiaTheme="minorEastAsia"/>
          <w:color w:val="auto"/>
          <w:kern w:val="0"/>
          <w:sz w:val="24"/>
          <w:szCs w:val="24"/>
          <w:lang w:eastAsia="zh-CN"/>
        </w:rPr>
        <w:t>，以及相关生态专题手续的履行情况</w:t>
      </w:r>
      <w:r>
        <w:rPr>
          <w:rFonts w:hint="default" w:ascii="Times New Roman" w:hAnsi="Times New Roman" w:cs="Times New Roman" w:eastAsiaTheme="minorEastAsia"/>
          <w:color w:val="auto"/>
          <w:kern w:val="0"/>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风险环境影响：营运期溢油对长江水质的影响包括对上下游取水口的影响。</w:t>
      </w:r>
    </w:p>
    <w:p>
      <w:pPr>
        <w:pStyle w:val="3"/>
        <w:ind w:left="578" w:hanging="578"/>
        <w:rPr>
          <w:rFonts w:hint="default" w:ascii="Times New Roman" w:hAnsi="Times New Roman" w:cs="Times New Roman" w:eastAsiaTheme="minorEastAsia"/>
          <w:b/>
          <w:color w:val="auto"/>
        </w:rPr>
      </w:pPr>
      <w:bookmarkStart w:id="12" w:name="_Toc23851"/>
      <w:bookmarkStart w:id="13" w:name="_Toc11802"/>
      <w:r>
        <w:rPr>
          <w:rFonts w:hint="default" w:ascii="Times New Roman" w:hAnsi="Times New Roman" w:cs="Times New Roman" w:eastAsiaTheme="minorEastAsia"/>
          <w:b/>
          <w:color w:val="auto"/>
        </w:rPr>
        <w:t>环境影响评价的主要结论</w:t>
      </w:r>
      <w:bookmarkEnd w:id="12"/>
      <w:bookmarkEnd w:id="13"/>
    </w:p>
    <w:p>
      <w:pPr>
        <w:autoSpaceDE w:val="0"/>
        <w:autoSpaceDN w:val="0"/>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本项目作为</w:t>
      </w:r>
      <w:r>
        <w:rPr>
          <w:rFonts w:hint="default" w:ascii="Times New Roman" w:hAnsi="Times New Roman" w:cs="Times New Roman" w:eastAsiaTheme="minorEastAsia"/>
          <w:color w:val="auto"/>
          <w:sz w:val="24"/>
        </w:rPr>
        <w:t>岳阳LNG接收站（储备中心）项目</w:t>
      </w:r>
      <w:r>
        <w:rPr>
          <w:rFonts w:hint="default" w:ascii="Times New Roman" w:hAnsi="Times New Roman" w:cs="Times New Roman" w:eastAsiaTheme="minorEastAsia"/>
          <w:color w:val="auto"/>
          <w:sz w:val="24"/>
          <w:lang w:eastAsia="zh-CN"/>
        </w:rPr>
        <w:t>的</w:t>
      </w:r>
      <w:r>
        <w:rPr>
          <w:rFonts w:hint="default" w:ascii="Times New Roman" w:hAnsi="Times New Roman" w:cs="Times New Roman" w:eastAsiaTheme="minorEastAsia"/>
          <w:color w:val="auto"/>
          <w:sz w:val="24"/>
        </w:rPr>
        <w:t>二期工程，</w:t>
      </w:r>
      <w:r>
        <w:rPr>
          <w:rFonts w:hint="default" w:ascii="Times New Roman" w:hAnsi="Times New Roman" w:cs="Times New Roman" w:eastAsiaTheme="minorEastAsia"/>
          <w:color w:val="auto"/>
          <w:kern w:val="0"/>
          <w:sz w:val="24"/>
          <w:szCs w:val="24"/>
        </w:rPr>
        <w:t>为长江过往船舶提供加油加气服务</w:t>
      </w:r>
      <w:r>
        <w:rPr>
          <w:rFonts w:hint="default" w:ascii="Times New Roman" w:hAnsi="Times New Roman" w:cs="Times New Roman"/>
          <w:bCs/>
          <w:color w:val="auto"/>
          <w:sz w:val="24"/>
        </w:rPr>
        <w:t>，项目建设符合相关产业政策，符合《岳阳港区总体规划》和《长江干线京杭运河西江航运干线液化天然气加注码头布局方案》等相关规划。</w:t>
      </w:r>
    </w:p>
    <w:p>
      <w:pPr>
        <w:autoSpaceDE w:val="0"/>
        <w:autoSpaceDN w:val="0"/>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为清洁能源项目。LNG（液化天然气）无色、无味、无毒、无腐蚀性，是国家发改委、交通部鼓励发展的能源产业，能有效改善能源结构（气代油），保护生态环境。如该项目建成投入使用，可大大减少区域范围内大气污染物的排放，并可对长江及洞庭湖流域的船实施油改气，大大改善水质。</w:t>
      </w:r>
    </w:p>
    <w:p>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bCs/>
          <w:color w:val="auto"/>
          <w:sz w:val="24"/>
          <w:lang w:val="en-US" w:eastAsia="zh-CN"/>
        </w:rPr>
        <w:t>本</w:t>
      </w:r>
      <w:r>
        <w:rPr>
          <w:rFonts w:hint="default" w:ascii="Times New Roman" w:hAnsi="Times New Roman" w:cs="Times New Roman"/>
          <w:bCs/>
          <w:color w:val="auto"/>
          <w:sz w:val="24"/>
        </w:rPr>
        <w:t>项目在施工建设及建成营运期间，对于周围环境虽然具有一定影响，但是，在采取相应的环保措施及生态补偿措施后，各项不利环境影响程度能够得到削减或者减弱，同时营运期污染物能够实现达标排放。在项目建设严格执行“三同时”，落实各项环保措施和风险防范措施，建成投产后强化环境保护管理，保证各项环保设施正常运行，防止环境风险事故，则从环境保护角度论证，本项目的建设是可行的。</w:t>
      </w:r>
    </w:p>
    <w:p>
      <w:pPr>
        <w:adjustRightInd w:val="0"/>
        <w:snapToGrid w:val="0"/>
        <w:spacing w:line="360" w:lineRule="auto"/>
        <w:rPr>
          <w:rFonts w:hint="default" w:ascii="Times New Roman" w:hAnsi="Times New Roman" w:cs="Times New Roman" w:eastAsiaTheme="minorEastAsia"/>
          <w:color w:val="auto"/>
          <w:kern w:val="0"/>
          <w:sz w:val="24"/>
          <w:szCs w:val="24"/>
        </w:rPr>
      </w:pPr>
    </w:p>
    <w:p>
      <w:pPr>
        <w:adjustRightInd w:val="0"/>
        <w:snapToGrid w:val="0"/>
        <w:spacing w:line="360" w:lineRule="auto"/>
        <w:ind w:firstLine="500" w:firstLineChars="200"/>
        <w:rPr>
          <w:rFonts w:hint="default" w:ascii="Times New Roman" w:hAnsi="Times New Roman" w:cs="Times New Roman" w:eastAsiaTheme="minorEastAsia"/>
          <w:color w:val="auto"/>
          <w:spacing w:val="5"/>
          <w:sz w:val="24"/>
          <w:szCs w:val="24"/>
        </w:rPr>
        <w:sectPr>
          <w:headerReference r:id="rId7" w:type="default"/>
          <w:pgSz w:w="11906" w:h="16838"/>
          <w:pgMar w:top="1418" w:right="1418" w:bottom="1418" w:left="1418"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4" w:name="_Toc18386"/>
      <w:bookmarkStart w:id="15" w:name="_Toc24505"/>
      <w:r>
        <w:rPr>
          <w:rFonts w:hint="default" w:ascii="Times New Roman" w:hAnsi="Times New Roman" w:cs="Times New Roman" w:eastAsiaTheme="minorEastAsia"/>
          <w:b/>
          <w:color w:val="auto"/>
          <w:sz w:val="32"/>
          <w:szCs w:val="32"/>
        </w:rPr>
        <w:t>总  则</w:t>
      </w:r>
      <w:bookmarkEnd w:id="14"/>
      <w:bookmarkEnd w:id="15"/>
    </w:p>
    <w:p>
      <w:pPr>
        <w:pStyle w:val="3"/>
        <w:ind w:left="578" w:hanging="578"/>
        <w:rPr>
          <w:rFonts w:hint="default" w:ascii="Times New Roman" w:hAnsi="Times New Roman" w:cs="Times New Roman" w:eastAsiaTheme="minorEastAsia"/>
          <w:b/>
          <w:color w:val="auto"/>
        </w:rPr>
      </w:pPr>
      <w:bookmarkStart w:id="16" w:name="_Toc182"/>
      <w:bookmarkStart w:id="17" w:name="_Toc20313"/>
      <w:r>
        <w:rPr>
          <w:rFonts w:hint="default" w:ascii="Times New Roman" w:hAnsi="Times New Roman" w:cs="Times New Roman" w:eastAsiaTheme="minorEastAsia"/>
          <w:b/>
          <w:color w:val="auto"/>
        </w:rPr>
        <w:t>评价目的及原则</w:t>
      </w:r>
      <w:bookmarkEnd w:id="16"/>
      <w:bookmarkEnd w:id="17"/>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评价目的</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湖南葆华环保有限公司受岳阳液化天然气有限公司的委托，承担岳阳港君山港区LNG加注站项目环境影响评价工作，该工程的建设将会对区域环境产生一定的影响，本评价拟在对环境现状调查的基础上，通过工程污染分析，预测工程建设对环境的影响，论述工程清洁生产水平，提出防治污染和减缓影响的可行措施，为工程决策提供依据，指导工程环境保护设计和工程施工及营运期环境管理，使工程建设达到经济效益、社会效益和环境效益的统一。</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评价原则</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确保环境影响报告书为主管部门提供决策依据，为环境管理提供科学依据；</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严格贯彻执行“清洁生产”、“达标排放”、“总量控制”、“竣工环境保护验收”等环保政策法规；</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符合国家产业政策及区域</w:t>
      </w:r>
      <w:r>
        <w:rPr>
          <w:rFonts w:hint="default" w:ascii="Times New Roman" w:hAnsi="Times New Roman" w:cs="Times New Roman" w:eastAsiaTheme="minorEastAsia"/>
          <w:color w:val="auto"/>
          <w:kern w:val="0"/>
          <w:sz w:val="24"/>
          <w:szCs w:val="24"/>
          <w:lang w:val="en-US" w:eastAsia="zh-CN"/>
        </w:rPr>
        <w:t>港口</w:t>
      </w:r>
      <w:r>
        <w:rPr>
          <w:rFonts w:hint="default" w:ascii="Times New Roman" w:hAnsi="Times New Roman" w:cs="Times New Roman" w:eastAsiaTheme="minorEastAsia"/>
          <w:color w:val="auto"/>
          <w:kern w:val="0"/>
          <w:sz w:val="24"/>
          <w:szCs w:val="24"/>
        </w:rPr>
        <w:t>总体发展规划。</w:t>
      </w:r>
    </w:p>
    <w:p>
      <w:pPr>
        <w:pStyle w:val="3"/>
        <w:ind w:left="578" w:hanging="578"/>
        <w:rPr>
          <w:rFonts w:hint="default" w:ascii="Times New Roman" w:hAnsi="Times New Roman" w:cs="Times New Roman" w:eastAsiaTheme="minorEastAsia"/>
          <w:b/>
          <w:color w:val="auto"/>
        </w:rPr>
      </w:pPr>
      <w:bookmarkStart w:id="18" w:name="_Toc10916"/>
      <w:bookmarkStart w:id="19" w:name="_Toc13699"/>
      <w:r>
        <w:rPr>
          <w:rFonts w:hint="default" w:ascii="Times New Roman" w:hAnsi="Times New Roman" w:cs="Times New Roman" w:eastAsiaTheme="minorEastAsia"/>
          <w:b/>
          <w:color w:val="auto"/>
        </w:rPr>
        <w:t>编制依据</w:t>
      </w:r>
      <w:bookmarkEnd w:id="18"/>
      <w:bookmarkEnd w:id="19"/>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国家有关环境保护的法律、法规、规定</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1、《中华人民共和国环境保护法》，2015年1月1日实施；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2、《中华人民共和国环境影响评价法》，2018年12月29日实施；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3、《中华人民共和国水污染防治法》，2018年1月1日实施；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4、《中华人民共和国大气污染防治法》，2018年10月26日实施；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5、《中华人民共和国环境噪声污染防治法》，2018月12月29日实施；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6、《中华人民共和国固体废物污染环境防治法》，2020年4月29日修订；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7、《中华人民共和国土壤污染防治法》，2018年8月31日审议通过，自2019年1月1日起施行；</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8、《中华人民共和国节约能源法》，2018年10月26日修订并实施；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9、《中华人民共和国防洪法》，2016年7月2日修订；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10、《中华人民共和国港口法》，2017年11月4日修正；</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11、《中华人民共和国渔业法》，2013年12月28日修订；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12、《中华人民共和国航道法》，2016年7月2日修正；</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13、《中华人民共和国野生动物保护法》，2016年7月2日修订；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14、《中华人民共和国清洁生产促进法》，2012年7月1日实施；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15、中华人民共和国国务院令第682号《建设项目环境保护管理条例》，2017年7月16日修订；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16、国家环保总局、卫生部、建设部、水利部、地矿部关于《饮用水水源保护区污染防治管理规定》，环境保护部令第16号自2010年12月修订；</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17、国发〔2013〕37号《国务院关于印发大气污染防治行动计划的通知》，2013年9月10日；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18、国发〔2014〕39号《国务院关于依托黄金水道推动长江经济带发展的指导意见》，2014年9月25日；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19、国发〔2015〕17号《国务院关于印发水污染防治行动计划的通知》，2015年4月2日；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20、国发〔2005〕40号《国务院关于发布实施〈促进产业结构调整暂行规定〉的决定》，2008年3月28日；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21、国家发展和改革委员会令2020第29号《产业结构调整指导目录（2019年本）》，2019年8月27日；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22、环发〔2012〕77号《关于进一步加强环境影响评价管理防范环境风险的通知》；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23、环发〔2012〕98号《关于切实加强风险防范严格环境影响评价管理的通知》；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24、环发〔2013〕86号《关于进一步加强水生生物资源保护严格环境影响评价管理的通知》；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25、环境保护部令第44号《建设项目环境影响评价分类管理名录》，2017年9月1日；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26、生态环境部令第1号《关于修改&lt;建设项目环境影响评价分类管理名录&gt;部分内容的决定》，2018年4月28日；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27、生态环境部令 第4号《环境影响评价公众参与办法》，2018年4月16日由生态环境部部务会议审议通过，自2019年1月1日起施行；</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28、中共中央、国务院中发〔2016〕14号《长江经济带发展规划纲要》，2016年5月30日；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29、中华人民共和国国务院令第355号《中华人民共和国内河交通安全管理条例》，2017年3月1日修正。</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30、交通运输部《关于印发船舶与港口污染防治专项行动实施方案》（2015-2020年）的通知，2015年8月27日；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31、发改环资〔2016〕370号《关于加强长江黄金水道环境污染防控治理的指导意见》，2016年2月23日；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32、交通部2015年第25号令《中华人民共和国防治船舶污染内河水域环境管理规定》，2016年5月1日；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33、交通部2003年第5号令《交通建设项目环境保护管理办法》，2003年5月13日；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34、环境保护部办公厅文件环办〔2013〕104号《关于切实加强环境影响评价监督管理工作的通知》，2013年11月15日；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35、中办、国办印发《关于划定并严守生态保护红线的若干意见》，2017年2月8日；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36、环保部、发改委环办生态〔2017〕48号《生态保护红线划定指南》，2017年5月；</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37、《中华人民共和国自然保护区条例》，2017年10月7日修正；</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38、农业部农渔发〔2017〕19号《农业部关于进一步规范水生生物增殖放流活动的通知》，2017年7月10日；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39、农办渔〔2014〕55号《农业部办公厅关于进一步加强水生生物经济物种增殖放流苗种管理的通知》，2014年10月8日；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40、环境保护部环发〔2015〕57号《关于进一步加强涉及自然保护区开发建设活动监督管理的通知》，2015年5月8日；</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41、农渔发〔2016〕11号《农业部关于做好“十三五”水生生物增殖放流工作的指导意见》，2016年4月20日；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42、《水产种质资源保护区管理暂行办法》（中华人民共和国农业部令2011年第1号，实施时间2011年3月1日）；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43、《环境保护部、农业部关于进一步加强水生生物资源保护严格环境影响评价管理的通知》（环发〔2013〕86号，2013年8月5日）；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44、交通运输部 发展改革委 生态环境部 住房城乡建设部关于印发《长江经济带船舶和港口污染突出问题整治方案》的通知（交水发〔2020〕17号，2020年1月19日）；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lang w:eastAsia="zh-CN"/>
        </w:rPr>
      </w:pPr>
      <w:r>
        <w:rPr>
          <w:rFonts w:hint="default" w:ascii="Times New Roman" w:hAnsi="Times New Roman" w:cs="Times New Roman" w:eastAsiaTheme="minorEastAsia"/>
          <w:color w:val="auto"/>
          <w:sz w:val="24"/>
        </w:rPr>
        <w:t>45、交通运输部办公厅关于印发《长江经济带船舶污染防治专项行动方案（2018-2020年）》的通知（交办海〔2017〕195号，2018年1月8日）</w:t>
      </w:r>
      <w:r>
        <w:rPr>
          <w:rFonts w:hint="default" w:ascii="Times New Roman" w:hAnsi="Times New Roman" w:cs="Times New Roman" w:eastAsiaTheme="minorEastAsia"/>
          <w:color w:val="auto"/>
          <w:sz w:val="24"/>
          <w:lang w:eastAsia="zh-CN"/>
        </w:rPr>
        <w:t>；</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lang w:val="en-US" w:eastAsia="zh-CN"/>
        </w:rPr>
        <w:t>46、</w:t>
      </w:r>
      <w:r>
        <w:rPr>
          <w:rFonts w:hint="default" w:ascii="Times New Roman" w:hAnsi="Times New Roman" w:cs="Times New Roman" w:eastAsiaTheme="minorEastAsia"/>
          <w:color w:val="auto"/>
          <w:sz w:val="24"/>
          <w:u w:val="single"/>
        </w:rPr>
        <w:t>交通运输部《关于推进水运行业应用液化天然气的指导意见》（交水发〔2013〕625号）</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2013年10月23日</w:t>
      </w:r>
      <w:r>
        <w:rPr>
          <w:rFonts w:hint="default" w:ascii="Times New Roman" w:hAnsi="Times New Roman" w:cs="Times New Roman" w:eastAsiaTheme="minorEastAsia"/>
          <w:color w:val="auto"/>
          <w:sz w:val="24"/>
          <w:u w:val="single"/>
        </w:rPr>
        <w:t>；</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lang w:eastAsia="zh-CN"/>
        </w:rPr>
      </w:pPr>
      <w:r>
        <w:rPr>
          <w:rFonts w:hint="default" w:ascii="Times New Roman" w:hAnsi="Times New Roman" w:cs="Times New Roman" w:eastAsiaTheme="minorEastAsia"/>
          <w:color w:val="auto"/>
          <w:sz w:val="24"/>
          <w:u w:val="single"/>
          <w:lang w:val="en-US" w:eastAsia="zh-CN"/>
        </w:rPr>
        <w:t>47、</w:t>
      </w:r>
      <w:r>
        <w:rPr>
          <w:rFonts w:hint="default" w:ascii="Times New Roman" w:hAnsi="Times New Roman" w:cs="Times New Roman" w:eastAsiaTheme="minorEastAsia"/>
          <w:color w:val="auto"/>
          <w:sz w:val="24"/>
          <w:u w:val="single"/>
        </w:rPr>
        <w:t>交通运输部办公厅《关于加快长江干线推进靠港船舶使用岸电和推广液化天然气船舶应用的指导意见》</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rPr>
        <w:t>交办规划〔2018〕120号</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2018年9月19日。</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地方有关环境保护的法律、法规、规定</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w:t>
      </w:r>
      <w:r>
        <w:rPr>
          <w:rFonts w:hint="default" w:ascii="Times New Roman" w:hAnsi="Times New Roman" w:cs="Times New Roman"/>
          <w:color w:val="auto"/>
          <w:sz w:val="24"/>
        </w:rPr>
        <w:t>《湖南省环境保护条例》（修正），湖南省第十二届人民代表大会常务委员会，2020</w:t>
      </w:r>
      <w:r>
        <w:rPr>
          <w:rFonts w:hint="default" w:ascii="Times New Roman" w:hAnsi="Times New Roman" w:cs="Times New Roman"/>
          <w:color w:val="auto"/>
          <w:sz w:val="24"/>
          <w:lang w:val="en-US" w:eastAsia="zh-CN"/>
        </w:rPr>
        <w:t>年</w:t>
      </w: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月</w:t>
      </w: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日</w:t>
      </w:r>
      <w:r>
        <w:rPr>
          <w:rFonts w:hint="default" w:ascii="Times New Roman" w:hAnsi="Times New Roman" w:cs="Times New Roman"/>
          <w:color w:val="auto"/>
          <w:sz w:val="24"/>
        </w:rPr>
        <w:t>实施</w:t>
      </w:r>
      <w:r>
        <w:rPr>
          <w:rFonts w:hint="default" w:ascii="Times New Roman" w:hAnsi="Times New Roman" w:cs="Times New Roman" w:eastAsiaTheme="minorEastAsia"/>
          <w:color w:val="auto"/>
          <w:sz w:val="24"/>
        </w:rPr>
        <w:t>；</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2、《湖南省生态文明体制改革实施方案（2014-2020年）》，湘办发〔2015〕15号；</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3、《湖南省大气污染防治实施办法》，湖南省第八届人民代表大会常务委员会，1997年6月4日；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4、《湖南省大气污染防治条例》，湖南省第十二届人民代表大会常务委员会，2017年6月1日；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bCs/>
          <w:color w:val="auto"/>
          <w:sz w:val="24"/>
        </w:rPr>
        <w:t>5、湖南省人民政府关于印发《湖南省生态保护红线》的通知，</w:t>
      </w:r>
      <w:r>
        <w:rPr>
          <w:rFonts w:hint="default" w:ascii="Times New Roman" w:hAnsi="Times New Roman" w:cs="Times New Roman" w:eastAsiaTheme="minorEastAsia"/>
          <w:color w:val="auto"/>
          <w:sz w:val="24"/>
        </w:rPr>
        <w:t>湘政发〔2018〕20号，2018年7月28日；</w:t>
      </w:r>
    </w:p>
    <w:p>
      <w:pPr>
        <w:tabs>
          <w:tab w:val="left" w:pos="900"/>
        </w:tabs>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color w:val="auto"/>
          <w:sz w:val="24"/>
        </w:rPr>
        <w:t>6、</w:t>
      </w:r>
      <w:r>
        <w:rPr>
          <w:rFonts w:hint="default" w:ascii="Times New Roman" w:hAnsi="Times New Roman" w:cs="Times New Roman" w:eastAsiaTheme="minorEastAsia"/>
          <w:bCs/>
          <w:color w:val="auto"/>
          <w:sz w:val="24"/>
        </w:rPr>
        <w:t>《湖南省长江经济带发展负面清单实施细则》，湖南省发展和改革委员会，2019年7月17日；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7、《湖南省主要水系地表水环境功能区划》（DB43/023-2005），湖南省环保局、湖南省质量技术监督管理局，2005年7月1日；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8、湖南省人民政府关于印发《湖南省主体功能区规划》的通知，湖南省政府办公厅湘政发〔2012〕39号，2012年12月26日）；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9、《关于印发&lt;湖南省重要饮用水水源地名录&gt;的通知》，湘政办函〔2014〕146号，2014年12月17日；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10、《湖南省人民政府关于公布湖南省县级以上地表水集中式饮用水水源保护区划定方案的通知》，湘政函〔2016〕176号，2016年12月30日；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11、《湖南省生态环境厅关于请求下放部分行政许可事项办理项的函》，湖南省生态环境厅，湘环函〔2019〕134号，2019年5月10日；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12、《湖南省野生动植物资源保护条例》，湖南省人大常委会，2018年7月19日修订；</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13、《湖南省人民政府关于修订湖南省地方重点保护野生动物名录和湖南省地方重点保护野生植物名录的通知》，湘政函〔2002〕172号，2002年9月5日；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14、《关于印发&lt;湖南省环境保护厅建设项目“三同时”监督管理试行办法&gt;的通知》，湖南省环境保护厅办公室，湘环发〔2011〕29号，2011年6月27日；</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15、《岳阳市东洞庭湖国家级自然保护区条例》，2019年3月；</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16、岳阳市人民政府办公室</w:t>
      </w:r>
      <w:r>
        <w:rPr>
          <w:rFonts w:hint="default" w:ascii="Times New Roman" w:hAnsi="Times New Roman" w:cs="Times New Roman" w:eastAsiaTheme="minorEastAsia"/>
          <w:color w:val="auto"/>
          <w:sz w:val="24"/>
          <w:lang w:val="en-US" w:eastAsia="zh-CN"/>
        </w:rPr>
        <w:t xml:space="preserve"> </w:t>
      </w:r>
      <w:r>
        <w:rPr>
          <w:rFonts w:hint="default" w:ascii="Times New Roman" w:hAnsi="Times New Roman" w:cs="Times New Roman" w:eastAsiaTheme="minorEastAsia"/>
          <w:color w:val="auto"/>
          <w:sz w:val="24"/>
        </w:rPr>
        <w:t>关于印发《岳阳市重要饮用水水源地名录》的通知</w:t>
      </w:r>
      <w:r>
        <w:rPr>
          <w:rFonts w:hint="default"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岳政办函〔2015〕21号。</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环境影响评价技术文件</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1、《建设项目环境影响评价技术导则  总纲》（HJ 2.1-2016）；</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2、《环境影响评价技术导则  大气环境》（HJ 2.2-2018）；</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3、《环境影响评价技术导则  地表水环境》（HJ 2.3-2018）；</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4、《环境影响评价技术导则  声环境》（HJ 2.4-2009）；</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5、《环境影响评价技术导则  生态影响》（HJ 19-2011）；</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6、《环境影响评价技术导则  地下水环境》（HJ 610-2016）；</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7、《环境影响评价技术导则  土壤环境（试行）》（HJ 964-2018）；</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8、《建设项目环境风险评价技术导则》（HJ 169-2018）；</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9、《港口建设项目环境影响评价规范》（JTS105-1-2011）；</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10、《饮用水水源保护区划分技术规范》（HJ T338-2018）；</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11、《开发建设项目水土保持技术规范》（GB50433-2007）；</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12、《港口工程环境保护设计规范》（JTS149-1-2007）；</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13、《船舶水污染防治技术政策》（公告2018年第八号）；</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14、《河港工程总体设计规范》（JTJ212-2006）；</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15、《内河通航标准》（GB50139-2004）；</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16、《内河航运工程水文规范》（JTS145-1-2011）；</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17、《港口及航道护岸工程设计与施工规范》（JTJ300-2000）；</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18、《港口工程荷载规范》（JTS144-1-2010）；</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19、《港口工程环境保护设计规范》（JTS149-1-2007）；</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20、《绿色港口等级评价标注》（JTS/T105-4-2013）；</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21、《水运工程节能设计规范》（JTS150-2007）。</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lang w:val="en-US" w:eastAsia="zh-CN"/>
        </w:rPr>
        <w:t>22、</w:t>
      </w:r>
      <w:r>
        <w:rPr>
          <w:rFonts w:hint="default" w:ascii="Times New Roman" w:hAnsi="Times New Roman" w:cs="Times New Roman" w:eastAsiaTheme="minorEastAsia"/>
          <w:color w:val="auto"/>
          <w:sz w:val="24"/>
          <w:u w:val="single"/>
        </w:rPr>
        <w:t>《液化天然气码头设计规范》（JTS165-5-2016）；</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lang w:val="en-US" w:eastAsia="zh-CN"/>
        </w:rPr>
        <w:t>23、</w:t>
      </w:r>
      <w:r>
        <w:rPr>
          <w:rFonts w:hint="default" w:ascii="Times New Roman" w:hAnsi="Times New Roman" w:cs="Times New Roman" w:eastAsiaTheme="minorEastAsia"/>
          <w:color w:val="auto"/>
          <w:sz w:val="24"/>
          <w:u w:val="single"/>
        </w:rPr>
        <w:t>《内河液化天然气加注站设计规范》（试行）（JTS196-11-2016）；</w:t>
      </w:r>
    </w:p>
    <w:p>
      <w:pPr>
        <w:tabs>
          <w:tab w:val="left" w:pos="900"/>
        </w:tabs>
        <w:snapToGrid w:val="0"/>
        <w:spacing w:line="360" w:lineRule="auto"/>
        <w:ind w:firstLine="480" w:firstLineChars="200"/>
        <w:rPr>
          <w:rFonts w:hint="default" w:ascii="Times New Roman" w:hAnsi="Times New Roman" w:cs="Times New Roman"/>
          <w:color w:val="auto"/>
          <w:u w:val="single"/>
        </w:rPr>
      </w:pPr>
      <w:r>
        <w:rPr>
          <w:rFonts w:hint="default" w:ascii="Times New Roman" w:hAnsi="Times New Roman" w:cs="Times New Roman" w:eastAsiaTheme="minorEastAsia"/>
          <w:color w:val="auto"/>
          <w:sz w:val="24"/>
          <w:u w:val="single"/>
          <w:lang w:val="en-US" w:eastAsia="zh-CN"/>
        </w:rPr>
        <w:t>24、</w:t>
      </w:r>
      <w:r>
        <w:rPr>
          <w:rFonts w:hint="default" w:ascii="Times New Roman" w:hAnsi="Times New Roman" w:cs="Times New Roman" w:eastAsiaTheme="minorEastAsia"/>
          <w:color w:val="auto"/>
          <w:sz w:val="24"/>
          <w:u w:val="single"/>
        </w:rPr>
        <w:t>《船舶液化天然气加注站设计标准》（GB/T 51312-2018）</w:t>
      </w:r>
      <w:r>
        <w:rPr>
          <w:rFonts w:hint="default" w:ascii="Times New Roman" w:hAnsi="Times New Roman" w:cs="Times New Roman" w:eastAsiaTheme="minorEastAsia"/>
          <w:color w:val="auto"/>
          <w:sz w:val="24"/>
          <w:u w:val="single"/>
          <w:lang w:eastAsia="zh-CN"/>
        </w:rPr>
        <w:t>。</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项目设计文件及参考资料</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1、《岳阳港君山港区LNG加注站项目工程可行性研究报告》（2020年8月，送审稿），中交第二航务工程勘察设计院有限有限公司；</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2、岳阳市企业投资项目备案证明；</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3、《湖南省交通运输“十三五”发展规划》，湖南省交通运输厅；</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4、《湖南省环境保护“十三五”规划》，湖南省环境保护厅，2015年9月；</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5、《长江干线京杭运河西江航运干线液化天然气加注码头布局方案》（2017-2025年），交通运输部办公厅，2017年9月；</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6、</w:t>
      </w:r>
      <w:r>
        <w:rPr>
          <w:rFonts w:hint="default" w:ascii="Times New Roman" w:hAnsi="Times New Roman" w:cs="Times New Roman" w:eastAsiaTheme="minorEastAsia"/>
          <w:color w:val="auto"/>
          <w:sz w:val="24"/>
          <w:szCs w:val="24"/>
          <w:u w:val="single"/>
          <w:lang w:val="en-US" w:eastAsia="zh-CN"/>
        </w:rPr>
        <w:fldChar w:fldCharType="begin"/>
      </w:r>
      <w:r>
        <w:rPr>
          <w:rFonts w:hint="default" w:ascii="Times New Roman" w:hAnsi="Times New Roman" w:cs="Times New Roman" w:eastAsiaTheme="minorEastAsia"/>
          <w:color w:val="auto"/>
          <w:sz w:val="24"/>
          <w:szCs w:val="24"/>
          <w:u w:val="single"/>
          <w:lang w:val="en-US" w:eastAsia="zh-CN"/>
        </w:rPr>
        <w:instrText xml:space="preserve"> HYPERLINK "http://jtt.hunan.gov.cn/jjzdgz/jtghyj/ghyj/201903/7778802/files/664822a7d37548a9b4461c776d91defa.pdf" \t "http://jtt.hunan.gov.cn/jjzdgz/jtghyj/ghyj/201903/_blank" </w:instrText>
      </w:r>
      <w:r>
        <w:rPr>
          <w:rFonts w:hint="default" w:ascii="Times New Roman" w:hAnsi="Times New Roman" w:cs="Times New Roman" w:eastAsiaTheme="minorEastAsia"/>
          <w:color w:val="auto"/>
          <w:sz w:val="24"/>
          <w:szCs w:val="24"/>
          <w:u w:val="single"/>
          <w:lang w:val="en-US" w:eastAsia="zh-CN"/>
        </w:rPr>
        <w:fldChar w:fldCharType="separate"/>
      </w:r>
      <w:r>
        <w:rPr>
          <w:rFonts w:hint="default" w:ascii="Times New Roman" w:hAnsi="Times New Roman" w:cs="Times New Roman" w:eastAsiaTheme="minorEastAsia"/>
          <w:color w:val="auto"/>
          <w:sz w:val="24"/>
          <w:szCs w:val="24"/>
          <w:u w:val="single"/>
          <w:lang w:val="en-US" w:eastAsia="zh-CN"/>
        </w:rPr>
        <w:t>《湖南省LNG水上加注站总体布局规划》的通知（湘交综规〔2016〕166号）</w:t>
      </w:r>
      <w:r>
        <w:rPr>
          <w:rFonts w:hint="default" w:ascii="Times New Roman" w:hAnsi="Times New Roman" w:cs="Times New Roman" w:eastAsiaTheme="minorEastAsia"/>
          <w:color w:val="auto"/>
          <w:sz w:val="24"/>
          <w:szCs w:val="24"/>
          <w:u w:val="single"/>
          <w:lang w:val="en-US" w:eastAsia="zh-CN"/>
        </w:rPr>
        <w:fldChar w:fldCharType="end"/>
      </w:r>
      <w:r>
        <w:rPr>
          <w:rFonts w:hint="default" w:ascii="Times New Roman" w:hAnsi="Times New Roman" w:cs="Times New Roman" w:eastAsiaTheme="minorEastAsia"/>
          <w:color w:val="auto"/>
          <w:sz w:val="24"/>
          <w:szCs w:val="24"/>
          <w:u w:val="single"/>
          <w:lang w:val="en-US" w:eastAsia="zh-CN"/>
        </w:rPr>
        <w:t>，湖南省交通运输厅，2016年9月；</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7、《湖南省“十三五”天然气发展规划》，湖南省发展和改革委员会，2018年1月；</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8</w:t>
      </w:r>
      <w:r>
        <w:rPr>
          <w:rFonts w:hint="default" w:ascii="Times New Roman" w:hAnsi="Times New Roman" w:cs="Times New Roman" w:eastAsiaTheme="minorEastAsia"/>
          <w:color w:val="auto"/>
          <w:sz w:val="24"/>
          <w:szCs w:val="24"/>
        </w:rPr>
        <w:t>、《岳阳港总体规划》及审查意见（报批稿，2019年）；</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9</w:t>
      </w:r>
      <w:r>
        <w:rPr>
          <w:rFonts w:hint="default" w:ascii="Times New Roman" w:hAnsi="Times New Roman" w:cs="Times New Roman" w:eastAsiaTheme="minorEastAsia"/>
          <w:color w:val="auto"/>
          <w:sz w:val="24"/>
          <w:szCs w:val="24"/>
        </w:rPr>
        <w:t>、《岳阳港总体规划》的审查意见；</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10</w:t>
      </w:r>
      <w:r>
        <w:rPr>
          <w:rFonts w:hint="default" w:ascii="Times New Roman" w:hAnsi="Times New Roman" w:cs="Times New Roman" w:eastAsiaTheme="minorEastAsia"/>
          <w:color w:val="auto"/>
          <w:sz w:val="24"/>
          <w:szCs w:val="24"/>
        </w:rPr>
        <w:t>、《岳阳港总体规划环境影响报告书》及审查意见；</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11</w:t>
      </w:r>
      <w:r>
        <w:rPr>
          <w:rFonts w:hint="default" w:ascii="Times New Roman" w:hAnsi="Times New Roman" w:cs="Times New Roman" w:eastAsiaTheme="minorEastAsia"/>
          <w:color w:val="auto"/>
          <w:sz w:val="24"/>
          <w:szCs w:val="24"/>
        </w:rPr>
        <w:t>、《湖南东洞庭湖国家级自然保护区总体规划》（2013-2020）；</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12</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eastAsiaTheme="minorEastAsia"/>
          <w:color w:val="auto"/>
          <w:sz w:val="24"/>
          <w:szCs w:val="24"/>
          <w:highlight w:val="none"/>
          <w:lang w:val="zh-CN"/>
        </w:rPr>
        <w:t>岳阳LNG接收站（储备中心）、加注站项目工程对“长江监利段四大家鱼国家级水产种质资源保护区”</w:t>
      </w:r>
      <w:r>
        <w:rPr>
          <w:rFonts w:hint="default" w:ascii="Times New Roman" w:hAnsi="Times New Roman" w:cs="Times New Roman" w:eastAsiaTheme="minorEastAsia"/>
          <w:color w:val="auto"/>
          <w:sz w:val="24"/>
          <w:szCs w:val="24"/>
          <w:highlight w:val="none"/>
        </w:rPr>
        <w:t>影响专题论证报告》（2020年9月，送审稿），中国水产科学研究院长江水产研究所、湖南省水产科学研究所；</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lang w:eastAsia="zh-CN"/>
        </w:rPr>
        <w:t>岳阳LNG接收站（储备中心）项目工程对湖南东洞庭湖国家级自然保护区生物多样性影响评价报告</w:t>
      </w:r>
      <w:r>
        <w:rPr>
          <w:rFonts w:hint="default" w:ascii="Times New Roman" w:hAnsi="Times New Roman" w:cs="Times New Roman" w:eastAsiaTheme="minorEastAsia"/>
          <w:color w:val="auto"/>
          <w:sz w:val="24"/>
          <w:szCs w:val="24"/>
        </w:rPr>
        <w:t>》及批复意见</w:t>
      </w:r>
      <w:r>
        <w:rPr>
          <w:rFonts w:hint="eastAsia"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白城市工程建设咨询有限责任公司；</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val="en-US" w:eastAsia="zh-CN"/>
        </w:rPr>
        <w:t>4</w:t>
      </w:r>
      <w:r>
        <w:rPr>
          <w:rFonts w:hint="default" w:ascii="Times New Roman" w:hAnsi="Times New Roman" w:cs="Times New Roman" w:eastAsiaTheme="minorEastAsia"/>
          <w:color w:val="auto"/>
          <w:sz w:val="24"/>
          <w:szCs w:val="24"/>
        </w:rPr>
        <w:t>、《岳阳港君山港区LNG加注站项目现状环境质量检测报告》，湖南中测湘源检测有限公司，2020年9月。</w:t>
      </w:r>
    </w:p>
    <w:p>
      <w:pPr>
        <w:pStyle w:val="3"/>
        <w:ind w:left="578" w:hanging="578"/>
        <w:rPr>
          <w:rFonts w:hint="default" w:ascii="Times New Roman" w:hAnsi="Times New Roman" w:cs="Times New Roman" w:eastAsiaTheme="minorEastAsia"/>
          <w:b/>
          <w:color w:val="auto"/>
        </w:rPr>
      </w:pPr>
      <w:bookmarkStart w:id="20" w:name="_Toc15067"/>
      <w:bookmarkStart w:id="21" w:name="_Toc21305"/>
      <w:r>
        <w:rPr>
          <w:rFonts w:hint="default" w:ascii="Times New Roman" w:hAnsi="Times New Roman" w:cs="Times New Roman" w:eastAsiaTheme="minorEastAsia"/>
          <w:b/>
          <w:color w:val="auto"/>
        </w:rPr>
        <w:t>环境影响因素识别及评价因子筛选</w:t>
      </w:r>
      <w:bookmarkEnd w:id="20"/>
      <w:bookmarkEnd w:id="21"/>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环境影响因素识别</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根据上述工程概述及工程分析，归纳出环境影响矩阵分析结果见表2.3-1。</w:t>
      </w:r>
    </w:p>
    <w:p>
      <w:pPr>
        <w:adjustRightInd w:val="0"/>
        <w:snapToGrid w:val="0"/>
        <w:spacing w:line="276" w:lineRule="auto"/>
        <w:jc w:val="center"/>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表2.3-1  环境影响矩阵分析</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93"/>
        <w:gridCol w:w="1545"/>
        <w:gridCol w:w="590"/>
        <w:gridCol w:w="1329"/>
        <w:gridCol w:w="684"/>
        <w:gridCol w:w="1243"/>
        <w:gridCol w:w="774"/>
        <w:gridCol w:w="1019"/>
        <w:gridCol w:w="10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340" w:type="pct"/>
            <w:gridSpan w:val="2"/>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项目组成</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水文</w:t>
            </w: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岸线变化</w:t>
            </w: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水质</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空气质量</w:t>
            </w: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噪声</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水域生态</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rPr>
              <w:t>陆域生态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restar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施工期</w:t>
            </w: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码头、引桥平台</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continue"/>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打桩</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continue"/>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材料运输</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continue"/>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施工人员</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continue"/>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施工船舶</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restar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运营期</w:t>
            </w: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码头生产</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pct"/>
            <w:vMerge w:val="continue"/>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p>
        </w:tc>
        <w:tc>
          <w:tcPr>
            <w:tcW w:w="848" w:type="pct"/>
            <w:tcBorders>
              <w:tl2br w:val="nil"/>
              <w:tr2bl w:val="nil"/>
            </w:tcBorders>
            <w:vAlign w:val="center"/>
          </w:tcPr>
          <w:p>
            <w:pPr>
              <w:adjustRightInd w:val="0"/>
              <w:snapToGrid w:val="0"/>
              <w:jc w:val="center"/>
              <w:rPr>
                <w:rFonts w:hint="eastAsia" w:asciiTheme="majorEastAsia" w:hAnsiTheme="majorEastAsia" w:eastAsiaTheme="majorEastAsia" w:cstheme="majorEastAsia"/>
                <w:color w:val="auto"/>
              </w:rPr>
            </w:pPr>
            <w:r>
              <w:rPr>
                <w:rFonts w:hint="eastAsia" w:asciiTheme="majorEastAsia" w:hAnsiTheme="majorEastAsia" w:eastAsiaTheme="majorEastAsia" w:cstheme="majorEastAsia"/>
                <w:color w:val="auto"/>
              </w:rPr>
              <w:t>环境保护工程</w:t>
            </w:r>
          </w:p>
        </w:tc>
        <w:tc>
          <w:tcPr>
            <w:tcW w:w="324"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73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p>
        </w:tc>
        <w:tc>
          <w:tcPr>
            <w:tcW w:w="376"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683"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425"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24"/>
              </w:rPr>
              <w:t>+</w:t>
            </w:r>
            <w:r>
              <w:rPr>
                <w:rFonts w:hint="eastAsia" w:asciiTheme="majorEastAsia" w:hAnsiTheme="majorEastAsia" w:eastAsiaTheme="majorEastAsia" w:cstheme="majorEastAsia"/>
                <w:color w:val="auto"/>
                <w:sz w:val="18"/>
              </w:rPr>
              <w:t>√</w:t>
            </w:r>
          </w:p>
        </w:tc>
        <w:tc>
          <w:tcPr>
            <w:tcW w:w="560" w:type="pct"/>
            <w:tcBorders>
              <w:tl2br w:val="nil"/>
              <w:tr2bl w:val="nil"/>
            </w:tcBorders>
            <w:vAlign w:val="center"/>
          </w:tcPr>
          <w:p>
            <w:pPr>
              <w:adjustRightInd w:val="0"/>
              <w:snapToGrid w:val="0"/>
              <w:jc w:val="center"/>
              <w:rPr>
                <w:rFonts w:hint="eastAsia" w:asciiTheme="majorEastAsia" w:hAnsiTheme="majorEastAsia" w:eastAsiaTheme="majorEastAsia" w:cstheme="majorEastAsia"/>
                <w:b/>
                <w:bCs/>
                <w:color w:val="auto"/>
              </w:rPr>
            </w:pPr>
            <w:r>
              <w:rPr>
                <w:rFonts w:hint="eastAsia" w:asciiTheme="majorEastAsia" w:hAnsiTheme="majorEastAsia" w:eastAsiaTheme="majorEastAsia" w:cstheme="majorEastAsia"/>
                <w:color w:val="auto"/>
                <w:sz w:val="18"/>
              </w:rPr>
              <w:t>+○</w:t>
            </w:r>
          </w:p>
        </w:tc>
      </w:tr>
    </w:tbl>
    <w:p>
      <w:pPr>
        <w:adjustRightInd w:val="0"/>
        <w:snapToGrid w:val="0"/>
        <w:rPr>
          <w:rFonts w:hint="default" w:ascii="Times New Roman" w:hAnsi="Times New Roman" w:cs="Times New Roman" w:eastAsiaTheme="minorEastAsia"/>
          <w:color w:val="auto"/>
        </w:rPr>
      </w:pPr>
      <w:r>
        <w:rPr>
          <w:rFonts w:hint="eastAsia" w:asciiTheme="majorEastAsia" w:hAnsiTheme="majorEastAsia" w:eastAsiaTheme="majorEastAsia" w:cstheme="majorEastAsia"/>
          <w:color w:val="auto"/>
        </w:rPr>
        <w:t>注：“√”有显著影响；“○”有较小影响；“空白”无显著影响；“+”正影响。“-”负影响。</w:t>
      </w:r>
    </w:p>
    <w:p>
      <w:pPr>
        <w:tabs>
          <w:tab w:val="left" w:pos="900"/>
        </w:tabs>
        <w:snapToGrid w:val="0"/>
        <w:spacing w:line="360" w:lineRule="auto"/>
        <w:ind w:firstLine="420" w:firstLineChars="200"/>
        <w:rPr>
          <w:rFonts w:hint="default" w:ascii="Times New Roman" w:hAnsi="Times New Roman" w:cs="Times New Roman"/>
          <w:color w:val="auto"/>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评价因子筛选</w:t>
      </w:r>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根据以上分析，污染因子的识别与评价因子的筛选结果见表2.3-2。</w:t>
      </w:r>
    </w:p>
    <w:p>
      <w:pPr>
        <w:adjustRightInd w:val="0"/>
        <w:snapToGrid w:val="0"/>
        <w:spacing w:line="276" w:lineRule="auto"/>
        <w:jc w:val="center"/>
        <w:rPr>
          <w:rFonts w:hint="default" w:ascii="Times New Roman" w:hAnsi="Times New Roman" w:cs="Times New Roman" w:eastAsiaTheme="minorEastAsia"/>
          <w:b/>
          <w:bCs/>
          <w:color w:val="auto"/>
          <w:sz w:val="24"/>
          <w:lang w:val="zh-CN"/>
        </w:rPr>
      </w:pPr>
      <w:r>
        <w:rPr>
          <w:rFonts w:hint="default" w:ascii="Times New Roman" w:hAnsi="Times New Roman" w:cs="Times New Roman" w:eastAsiaTheme="minorEastAsia"/>
          <w:b/>
          <w:bCs/>
          <w:color w:val="auto"/>
          <w:sz w:val="24"/>
          <w:lang w:val="zh-CN"/>
        </w:rPr>
        <w:t>表</w:t>
      </w:r>
      <w:r>
        <w:rPr>
          <w:rFonts w:hint="default" w:ascii="Times New Roman" w:hAnsi="Times New Roman" w:cs="Times New Roman" w:eastAsiaTheme="minorEastAsia"/>
          <w:b/>
          <w:bCs/>
          <w:color w:val="auto"/>
          <w:sz w:val="24"/>
        </w:rPr>
        <w:t>2.3</w:t>
      </w:r>
      <w:r>
        <w:rPr>
          <w:rFonts w:hint="default" w:ascii="Times New Roman" w:hAnsi="Times New Roman" w:cs="Times New Roman" w:eastAsiaTheme="minorEastAsia"/>
          <w:b/>
          <w:bCs/>
          <w:color w:val="auto"/>
          <w:sz w:val="24"/>
          <w:lang w:val="zh-CN"/>
        </w:rPr>
        <w:t>-2</w:t>
      </w:r>
      <w:r>
        <w:rPr>
          <w:rFonts w:hint="default" w:ascii="Times New Roman" w:hAnsi="Times New Roman" w:cs="Times New Roman" w:eastAsiaTheme="minorEastAsia"/>
          <w:b/>
          <w:bCs/>
          <w:color w:val="auto"/>
          <w:sz w:val="24"/>
        </w:rPr>
        <w:t xml:space="preserve">  </w:t>
      </w:r>
      <w:r>
        <w:rPr>
          <w:rFonts w:hint="default" w:ascii="Times New Roman" w:hAnsi="Times New Roman" w:cs="Times New Roman" w:eastAsiaTheme="minorEastAsia"/>
          <w:b/>
          <w:bCs/>
          <w:color w:val="auto"/>
          <w:sz w:val="24"/>
          <w:lang w:val="zh-CN"/>
        </w:rPr>
        <w:t>污染因子识别与评价因子确定</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79"/>
        <w:gridCol w:w="1079"/>
        <w:gridCol w:w="3538"/>
        <w:gridCol w:w="36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8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b/>
                <w:bCs/>
                <w:color w:val="auto"/>
                <w:lang w:val="zh-CN"/>
              </w:rPr>
              <w:t>评价时段</w:t>
            </w: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b/>
                <w:bCs/>
                <w:color w:val="auto"/>
                <w:lang w:val="zh-CN"/>
              </w:rPr>
              <w:t>环境要素</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b/>
                <w:bCs/>
                <w:color w:val="auto"/>
                <w:lang w:val="zh-CN"/>
              </w:rPr>
              <w:t>污染因子（物）</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b/>
                <w:bCs/>
                <w:color w:val="auto"/>
                <w:lang w:val="zh-CN"/>
              </w:rPr>
              <w:t>评价因子（物）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现状评价</w:t>
            </w: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环境空气</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w:t>
            </w:r>
          </w:p>
        </w:tc>
        <w:tc>
          <w:tcPr>
            <w:tcW w:w="1978" w:type="pct"/>
            <w:tcBorders>
              <w:tl2br w:val="nil"/>
              <w:tr2bl w:val="nil"/>
            </w:tcBorders>
            <w:vAlign w:val="center"/>
          </w:tcPr>
          <w:p>
            <w:pPr>
              <w:adjustRightInd w:val="0"/>
              <w:snapToGrid w:val="0"/>
              <w:jc w:val="left"/>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color w:val="auto"/>
                <w:kern w:val="0"/>
              </w:rPr>
              <w:t>SO</w:t>
            </w:r>
            <w:r>
              <w:rPr>
                <w:rFonts w:hint="default" w:ascii="Times New Roman" w:hAnsi="Times New Roman" w:cs="Times New Roman" w:eastAsiaTheme="minorEastAsia"/>
                <w:color w:val="auto"/>
                <w:kern w:val="0"/>
                <w:sz w:val="13"/>
                <w:szCs w:val="13"/>
              </w:rPr>
              <w:t>2</w:t>
            </w:r>
            <w:r>
              <w:rPr>
                <w:rFonts w:hint="default" w:ascii="Times New Roman" w:hAnsi="Times New Roman" w:cs="Times New Roman" w:eastAsiaTheme="minorEastAsia"/>
                <w:color w:val="auto"/>
                <w:kern w:val="0"/>
              </w:rPr>
              <w:t>、NO</w:t>
            </w:r>
            <w:r>
              <w:rPr>
                <w:rFonts w:hint="default" w:ascii="Times New Roman" w:hAnsi="Times New Roman" w:cs="Times New Roman" w:eastAsiaTheme="minorEastAsia"/>
                <w:color w:val="auto"/>
                <w:kern w:val="0"/>
                <w:sz w:val="13"/>
                <w:szCs w:val="13"/>
              </w:rPr>
              <w:t>2</w:t>
            </w:r>
            <w:r>
              <w:rPr>
                <w:rFonts w:hint="default" w:ascii="Times New Roman" w:hAnsi="Times New Roman" w:cs="Times New Roman" w:eastAsiaTheme="minorEastAsia"/>
                <w:color w:val="auto"/>
                <w:kern w:val="0"/>
              </w:rPr>
              <w:t>、PM</w:t>
            </w:r>
            <w:r>
              <w:rPr>
                <w:rFonts w:hint="default" w:ascii="Times New Roman" w:hAnsi="Times New Roman" w:cs="Times New Roman" w:eastAsiaTheme="minorEastAsia"/>
                <w:color w:val="auto"/>
                <w:kern w:val="0"/>
                <w:vertAlign w:val="subscript"/>
              </w:rPr>
              <w:t>10</w:t>
            </w:r>
            <w:r>
              <w:rPr>
                <w:rFonts w:hint="default" w:ascii="Times New Roman" w:hAnsi="Times New Roman" w:cs="Times New Roman" w:eastAsiaTheme="minorEastAsia"/>
                <w:color w:val="auto"/>
                <w:kern w:val="0"/>
              </w:rPr>
              <w:t>、PM</w:t>
            </w:r>
            <w:r>
              <w:rPr>
                <w:rFonts w:hint="default" w:ascii="Times New Roman" w:hAnsi="Times New Roman" w:cs="Times New Roman" w:eastAsiaTheme="minorEastAsia"/>
                <w:color w:val="auto"/>
                <w:kern w:val="0"/>
                <w:sz w:val="13"/>
                <w:szCs w:val="13"/>
              </w:rPr>
              <w:t>2.5</w:t>
            </w:r>
            <w:r>
              <w:rPr>
                <w:rFonts w:hint="default" w:ascii="Times New Roman" w:hAnsi="Times New Roman" w:cs="Times New Roman" w:eastAsiaTheme="minorEastAsia"/>
                <w:color w:val="auto"/>
                <w:kern w:val="0"/>
              </w:rPr>
              <w:t>、CO、O</w:t>
            </w:r>
            <w:r>
              <w:rPr>
                <w:rFonts w:hint="default" w:ascii="Times New Roman" w:hAnsi="Times New Roman" w:cs="Times New Roman" w:eastAsiaTheme="minorEastAsia"/>
                <w:color w:val="auto"/>
                <w:kern w:val="0"/>
                <w:vertAlign w:val="subscript"/>
              </w:rPr>
              <w:t>3</w:t>
            </w:r>
            <w:r>
              <w:rPr>
                <w:rFonts w:hint="default" w:ascii="Times New Roman" w:hAnsi="Times New Roman" w:cs="Times New Roman" w:eastAsiaTheme="minorEastAsia"/>
                <w:color w:val="auto"/>
                <w:kern w:val="0"/>
              </w:rPr>
              <w:t>、TSP、非甲烷总烃、</w:t>
            </w:r>
            <w:r>
              <w:rPr>
                <w:rFonts w:hint="default" w:ascii="Times New Roman" w:hAnsi="Times New Roman" w:cs="Times New Roman"/>
                <w:color w:val="auto"/>
              </w:rPr>
              <w:t>总挥发性有机物（TVOC）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地表水环境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w:t>
            </w:r>
          </w:p>
        </w:tc>
        <w:tc>
          <w:tcPr>
            <w:tcW w:w="1978" w:type="pct"/>
            <w:tcBorders>
              <w:tl2br w:val="nil"/>
              <w:tr2bl w:val="nil"/>
            </w:tcBorders>
            <w:vAlign w:val="center"/>
          </w:tcPr>
          <w:p>
            <w:pPr>
              <w:adjustRightInd w:val="0"/>
              <w:snapToGrid w:val="0"/>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color w:val="auto"/>
                <w:kern w:val="0"/>
              </w:rPr>
              <w:t>pH（无量纲）、溶解氧（DO）、</w:t>
            </w:r>
            <w:r>
              <w:rPr>
                <w:rFonts w:hint="default" w:ascii="Times New Roman" w:hAnsi="Times New Roman" w:cs="Times New Roman"/>
                <w:color w:val="auto"/>
              </w:rPr>
              <w:t>高锰酸盐指数、</w:t>
            </w:r>
            <w:r>
              <w:rPr>
                <w:rFonts w:hint="default" w:ascii="Times New Roman" w:hAnsi="Times New Roman" w:cs="Times New Roman" w:eastAsiaTheme="minorEastAsia"/>
                <w:color w:val="auto"/>
              </w:rPr>
              <w:t>化学需氧量（COD）、五日生化需氧量（BOD</w:t>
            </w:r>
            <w:r>
              <w:rPr>
                <w:rFonts w:hint="default" w:ascii="Times New Roman" w:hAnsi="Times New Roman" w:cs="Times New Roman" w:eastAsiaTheme="minorEastAsia"/>
                <w:color w:val="auto"/>
                <w:vertAlign w:val="subscript"/>
              </w:rPr>
              <w:t>5</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kern w:val="0"/>
              </w:rPr>
              <w:t>氨氮（NH</w:t>
            </w:r>
            <w:r>
              <w:rPr>
                <w:rFonts w:hint="default" w:ascii="Times New Roman" w:hAnsi="Times New Roman" w:cs="Times New Roman" w:eastAsiaTheme="minorEastAsia"/>
                <w:color w:val="auto"/>
                <w:kern w:val="0"/>
                <w:vertAlign w:val="subscript"/>
              </w:rPr>
              <w:t>3</w:t>
            </w:r>
            <w:r>
              <w:rPr>
                <w:rFonts w:hint="default" w:ascii="Times New Roman" w:hAnsi="Times New Roman" w:cs="Times New Roman" w:eastAsiaTheme="minorEastAsia"/>
                <w:color w:val="auto"/>
                <w:kern w:val="0"/>
              </w:rPr>
              <w:t>-N）</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kern w:val="0"/>
              </w:rPr>
              <w:t>石油类</w:t>
            </w:r>
            <w:r>
              <w:rPr>
                <w:rFonts w:hint="default" w:ascii="Times New Roman" w:hAnsi="Times New Roman" w:cs="Times New Roman" w:eastAsiaTheme="minorEastAsia"/>
                <w:color w:val="auto"/>
              </w:rPr>
              <w:t>和悬浮物（SS）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声环境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color w:val="auto"/>
                <w:kern w:val="0"/>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生态环境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水生、陆生生态和渔业资源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施工期</w:t>
            </w: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环境空气</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TSP、NO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、SO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等</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TSP（施工扬尘）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地表水环境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SS、COD、BOD</w:t>
            </w:r>
            <w:r>
              <w:rPr>
                <w:rFonts w:hint="default" w:ascii="Times New Roman" w:hAnsi="Times New Roman" w:eastAsia="CIDFont+F3" w:cs="Times New Roman"/>
                <w:color w:val="auto"/>
                <w:vertAlign w:val="subscript"/>
              </w:rPr>
              <w:t>5</w:t>
            </w:r>
            <w:r>
              <w:rPr>
                <w:rFonts w:hint="default" w:ascii="Times New Roman" w:hAnsi="Times New Roman" w:eastAsia="CIDFont+F3" w:cs="Times New Roman"/>
                <w:color w:val="auto"/>
              </w:rPr>
              <w:t>、NH</w:t>
            </w:r>
            <w:r>
              <w:rPr>
                <w:rFonts w:hint="default" w:ascii="Times New Roman" w:hAnsi="Times New Roman" w:eastAsia="CIDFont+F3" w:cs="Times New Roman"/>
                <w:color w:val="auto"/>
                <w:vertAlign w:val="subscript"/>
              </w:rPr>
              <w:t>3</w:t>
            </w:r>
            <w:r>
              <w:rPr>
                <w:rFonts w:hint="default" w:ascii="Times New Roman" w:hAnsi="Times New Roman" w:eastAsia="CIDFont+F3" w:cs="Times New Roman"/>
                <w:color w:val="auto"/>
              </w:rPr>
              <w:t>-N、石油类等</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SS、COD、BOD</w:t>
            </w:r>
            <w:r>
              <w:rPr>
                <w:rFonts w:hint="default" w:ascii="Times New Roman" w:hAnsi="Times New Roman" w:eastAsia="CIDFont+F3" w:cs="Times New Roman"/>
                <w:color w:val="auto"/>
                <w:vertAlign w:val="subscript"/>
              </w:rPr>
              <w:t>5</w:t>
            </w:r>
            <w:r>
              <w:rPr>
                <w:rFonts w:hint="default" w:ascii="Times New Roman" w:hAnsi="Times New Roman" w:eastAsia="CIDFont+F3" w:cs="Times New Roman"/>
                <w:color w:val="auto"/>
              </w:rPr>
              <w:t>、NH</w:t>
            </w:r>
            <w:r>
              <w:rPr>
                <w:rFonts w:hint="default" w:ascii="Times New Roman" w:hAnsi="Times New Roman" w:eastAsia="CIDFont+F3" w:cs="Times New Roman"/>
                <w:color w:val="auto"/>
                <w:vertAlign w:val="subscript"/>
              </w:rPr>
              <w:t>3</w:t>
            </w:r>
            <w:r>
              <w:rPr>
                <w:rFonts w:hint="default" w:ascii="Times New Roman" w:hAnsi="Times New Roman" w:eastAsia="CIDFont+F3" w:cs="Times New Roman"/>
                <w:color w:val="auto"/>
              </w:rPr>
              <w:t>-N、石油类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声环境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交通噪声、机械噪声</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color w:val="auto"/>
                <w:kern w:val="0"/>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固体废物</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施工人员生活垃圾、建筑垃圾</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施工人员生活垃圾、建筑垃圾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生态环境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SS等</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水生生态和渔业资源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营运期</w:t>
            </w: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环境空气</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SO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、NO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、颗粒物、非甲烷总烃等</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SO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、NO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、颗粒物、非甲烷总烃</w:t>
            </w:r>
            <w:r>
              <w:rPr>
                <w:rFonts w:hint="default" w:ascii="Times New Roman" w:hAnsi="Times New Roman" w:eastAsia="CIDFont+F3" w:cs="Times New Roman"/>
                <w:color w:val="auto"/>
                <w:lang w:eastAsia="zh-CN"/>
              </w:rPr>
              <w:t>、</w:t>
            </w:r>
            <w:r>
              <w:rPr>
                <w:rFonts w:hint="default" w:ascii="Times New Roman" w:hAnsi="Times New Roman" w:eastAsia="CIDFont+F3" w:cs="Times New Roman"/>
                <w:color w:val="auto"/>
                <w:lang w:val="en-US" w:eastAsia="zh-CN"/>
              </w:rPr>
              <w:t>TVOC</w:t>
            </w:r>
            <w:r>
              <w:rPr>
                <w:rFonts w:hint="default" w:ascii="Times New Roman" w:hAnsi="Times New Roman" w:eastAsia="CIDFont+F3" w:cs="Times New Roman"/>
                <w:color w:val="auto"/>
              </w:rPr>
              <w:t>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地表水环境</w:t>
            </w:r>
          </w:p>
        </w:tc>
        <w:tc>
          <w:tcPr>
            <w:tcW w:w="1944" w:type="pct"/>
            <w:tcBorders>
              <w:tl2br w:val="nil"/>
              <w:tr2bl w:val="nil"/>
            </w:tcBorders>
            <w:vAlign w:val="center"/>
          </w:tcPr>
          <w:p>
            <w:pPr>
              <w:adjustRightInd w:val="0"/>
              <w:snapToGrid w:val="0"/>
              <w:jc w:val="center"/>
              <w:rPr>
                <w:rFonts w:hint="default" w:ascii="Times New Roman" w:hAnsi="Times New Roman" w:eastAsia="CIDFont+F3" w:cs="Times New Roman"/>
                <w:color w:val="auto"/>
                <w:lang w:val="zh-CN"/>
              </w:rPr>
            </w:pPr>
            <w:r>
              <w:rPr>
                <w:rFonts w:hint="default" w:ascii="Times New Roman" w:hAnsi="Times New Roman" w:eastAsia="CIDFont+F3" w:cs="Times New Roman"/>
                <w:color w:val="auto"/>
              </w:rPr>
              <w:t>水文情势、SS、COD、BOD</w:t>
            </w:r>
            <w:r>
              <w:rPr>
                <w:rFonts w:hint="default" w:ascii="Times New Roman" w:hAnsi="Times New Roman" w:eastAsia="CIDFont+F3" w:cs="Times New Roman"/>
                <w:color w:val="auto"/>
                <w:vertAlign w:val="subscript"/>
              </w:rPr>
              <w:t>5</w:t>
            </w:r>
            <w:r>
              <w:rPr>
                <w:rFonts w:hint="default" w:ascii="Times New Roman" w:hAnsi="Times New Roman" w:eastAsia="CIDFont+F3" w:cs="Times New Roman"/>
                <w:color w:val="auto"/>
              </w:rPr>
              <w:t>、NH</w:t>
            </w:r>
            <w:r>
              <w:rPr>
                <w:rFonts w:hint="default" w:ascii="Times New Roman" w:hAnsi="Times New Roman" w:eastAsia="CIDFont+F3" w:cs="Times New Roman"/>
                <w:color w:val="auto"/>
                <w:vertAlign w:val="subscript"/>
              </w:rPr>
              <w:t>3</w:t>
            </w:r>
            <w:r>
              <w:rPr>
                <w:rFonts w:hint="default" w:ascii="Times New Roman" w:hAnsi="Times New Roman" w:eastAsia="CIDFont+F3" w:cs="Times New Roman"/>
                <w:color w:val="auto"/>
              </w:rPr>
              <w:t>-N、石油类</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流速、水位SS、COD、BOD</w:t>
            </w:r>
            <w:r>
              <w:rPr>
                <w:rFonts w:hint="default" w:ascii="Times New Roman" w:hAnsi="Times New Roman" w:eastAsia="CIDFont+F3" w:cs="Times New Roman"/>
                <w:color w:val="auto"/>
                <w:vertAlign w:val="subscript"/>
              </w:rPr>
              <w:t>5</w:t>
            </w:r>
            <w:r>
              <w:rPr>
                <w:rFonts w:hint="default" w:ascii="Times New Roman" w:hAnsi="Times New Roman" w:eastAsia="CIDFont+F3" w:cs="Times New Roman"/>
                <w:color w:val="auto"/>
              </w:rPr>
              <w:t>、NH</w:t>
            </w:r>
            <w:r>
              <w:rPr>
                <w:rFonts w:hint="default" w:ascii="Times New Roman" w:hAnsi="Times New Roman" w:eastAsia="CIDFont+F3" w:cs="Times New Roman"/>
                <w:color w:val="auto"/>
                <w:vertAlign w:val="subscript"/>
              </w:rPr>
              <w:t>3</w:t>
            </w:r>
            <w:r>
              <w:rPr>
                <w:rFonts w:hint="default" w:ascii="Times New Roman" w:hAnsi="Times New Roman" w:eastAsia="CIDFont+F3" w:cs="Times New Roman"/>
                <w:color w:val="auto"/>
              </w:rPr>
              <w:t>-N</w:t>
            </w:r>
            <w:r>
              <w:rPr>
                <w:rFonts w:hint="default" w:ascii="Times New Roman" w:hAnsi="Times New Roman" w:cs="Times New Roman" w:eastAsiaTheme="minorEastAsia"/>
                <w:color w:val="auto"/>
                <w:kern w:val="0"/>
              </w:rPr>
              <w:t>、石油类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声环境</w:t>
            </w:r>
          </w:p>
        </w:tc>
        <w:tc>
          <w:tcPr>
            <w:tcW w:w="1944" w:type="pct"/>
            <w:tcBorders>
              <w:tl2br w:val="nil"/>
              <w:tr2bl w:val="nil"/>
            </w:tcBorders>
            <w:vAlign w:val="center"/>
          </w:tcPr>
          <w:p>
            <w:pPr>
              <w:adjustRightInd w:val="0"/>
              <w:snapToGrid w:val="0"/>
              <w:jc w:val="center"/>
              <w:rPr>
                <w:rFonts w:hint="default" w:ascii="Times New Roman" w:hAnsi="Times New Roman" w:eastAsia="CIDFont+F3" w:cs="Times New Roman"/>
                <w:color w:val="auto"/>
                <w:lang w:val="zh-CN"/>
              </w:rPr>
            </w:pPr>
            <w:r>
              <w:rPr>
                <w:rFonts w:hint="default" w:ascii="Times New Roman" w:hAnsi="Times New Roman" w:eastAsia="CIDFont+F3" w:cs="Times New Roman"/>
                <w:color w:val="auto"/>
              </w:rPr>
              <w:t>船舶噪声、机械噪声</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cs="Times New Roman" w:eastAsiaTheme="minorEastAsia"/>
                <w:color w:val="auto"/>
                <w:kern w:val="0"/>
              </w:rPr>
              <w:t>等效连续A声级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固体废物</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船舶垃圾和工作人员生活垃圾</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船舶垃圾和工作人员生活垃圾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生态环境</w:t>
            </w:r>
          </w:p>
        </w:tc>
        <w:tc>
          <w:tcPr>
            <w:tcW w:w="194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水文情势、生活污水</w:t>
            </w:r>
          </w:p>
        </w:tc>
        <w:tc>
          <w:tcPr>
            <w:tcW w:w="197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r>
              <w:rPr>
                <w:rFonts w:hint="default" w:ascii="Times New Roman" w:hAnsi="Times New Roman" w:eastAsia="CIDFont+F3" w:cs="Times New Roman"/>
                <w:color w:val="auto"/>
              </w:rPr>
              <w:t>水生生态和渔业资源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p>
        </w:tc>
        <w:tc>
          <w:tcPr>
            <w:tcW w:w="593"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突发性事故</w:t>
            </w:r>
          </w:p>
        </w:tc>
        <w:tc>
          <w:tcPr>
            <w:tcW w:w="1944"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事故溢油</w:t>
            </w:r>
          </w:p>
        </w:tc>
        <w:tc>
          <w:tcPr>
            <w:tcW w:w="1978"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燃料油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p>
        </w:tc>
        <w:tc>
          <w:tcPr>
            <w:tcW w:w="593"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lang w:val="zh-CN"/>
              </w:rPr>
            </w:pPr>
          </w:p>
        </w:tc>
        <w:tc>
          <w:tcPr>
            <w:tcW w:w="1944"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泄漏、火灾二次污染</w:t>
            </w:r>
          </w:p>
        </w:tc>
        <w:tc>
          <w:tcPr>
            <w:tcW w:w="1978"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NO</w:t>
            </w:r>
            <w:r>
              <w:rPr>
                <w:rFonts w:hint="default" w:ascii="Times New Roman" w:hAnsi="Times New Roman" w:eastAsia="CIDFont+F3" w:cs="Times New Roman"/>
                <w:color w:val="auto"/>
                <w:vertAlign w:val="subscript"/>
              </w:rPr>
              <w:t>2</w:t>
            </w:r>
            <w:r>
              <w:rPr>
                <w:rFonts w:hint="default" w:ascii="Times New Roman" w:hAnsi="Times New Roman" w:eastAsia="CIDFont+F3" w:cs="Times New Roman"/>
                <w:color w:val="auto"/>
              </w:rPr>
              <w:t>、CO</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pStyle w:val="3"/>
        <w:ind w:left="578" w:hanging="578"/>
        <w:rPr>
          <w:rFonts w:hint="default" w:ascii="Times New Roman" w:hAnsi="Times New Roman" w:cs="Times New Roman" w:eastAsiaTheme="minorEastAsia"/>
          <w:b/>
          <w:color w:val="auto"/>
        </w:rPr>
      </w:pPr>
      <w:bookmarkStart w:id="22" w:name="_Toc30252"/>
      <w:bookmarkStart w:id="23" w:name="_Toc551"/>
      <w:r>
        <w:rPr>
          <w:rFonts w:hint="default" w:ascii="Times New Roman" w:hAnsi="Times New Roman" w:cs="Times New Roman" w:eastAsiaTheme="minorEastAsia"/>
          <w:b/>
          <w:color w:val="auto"/>
        </w:rPr>
        <w:t>环境功能区划及评价标准</w:t>
      </w:r>
      <w:bookmarkEnd w:id="22"/>
      <w:bookmarkEnd w:id="23"/>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环境功能区划</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根据岳阳市的环境功能区划，本项目所在区域环境功能区划如下：</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u w:val="single"/>
        </w:rPr>
      </w:pPr>
      <w:r>
        <w:rPr>
          <w:rFonts w:hint="default" w:ascii="Times New Roman" w:hAnsi="Times New Roman" w:cs="Times New Roman" w:eastAsiaTheme="minorEastAsia"/>
          <w:color w:val="auto"/>
          <w:sz w:val="24"/>
          <w:szCs w:val="24"/>
          <w:highlight w:val="none"/>
          <w:u w:val="single"/>
        </w:rPr>
        <w:t>⑴ 环境空气：涉及湖南东洞庭湖国家级自然保护区</w:t>
      </w:r>
      <w:r>
        <w:rPr>
          <w:rFonts w:hint="eastAsia" w:ascii="Times New Roman" w:hAnsi="Times New Roman" w:cs="Times New Roman" w:eastAsiaTheme="minorEastAsia"/>
          <w:color w:val="auto"/>
          <w:sz w:val="24"/>
          <w:szCs w:val="24"/>
          <w:highlight w:val="none"/>
          <w:u w:val="single"/>
          <w:lang w:val="en-US" w:eastAsia="zh-CN"/>
        </w:rPr>
        <w:t>以</w:t>
      </w:r>
      <w:r>
        <w:rPr>
          <w:rFonts w:hint="default" w:ascii="Times New Roman" w:hAnsi="Times New Roman" w:cs="Times New Roman" w:eastAsiaTheme="minorEastAsia"/>
          <w:color w:val="auto"/>
          <w:sz w:val="24"/>
          <w:szCs w:val="24"/>
          <w:highlight w:val="none"/>
          <w:u w:val="single"/>
        </w:rPr>
        <w:t>内区域执行《环境空气质量标准》（GB3095-2012）中一级标准；湖南东洞庭湖国家级自然保护区</w:t>
      </w:r>
      <w:r>
        <w:rPr>
          <w:rFonts w:hint="eastAsia" w:ascii="Times New Roman" w:hAnsi="Times New Roman" w:cs="Times New Roman" w:eastAsiaTheme="minorEastAsia"/>
          <w:color w:val="auto"/>
          <w:sz w:val="24"/>
          <w:szCs w:val="24"/>
          <w:highlight w:val="none"/>
          <w:u w:val="single"/>
          <w:lang w:val="en-US" w:eastAsia="zh-CN"/>
        </w:rPr>
        <w:t>以</w:t>
      </w:r>
      <w:r>
        <w:rPr>
          <w:rFonts w:hint="default" w:ascii="Times New Roman" w:hAnsi="Times New Roman" w:cs="Times New Roman" w:eastAsiaTheme="minorEastAsia"/>
          <w:color w:val="auto"/>
          <w:sz w:val="24"/>
          <w:szCs w:val="24"/>
          <w:highlight w:val="none"/>
          <w:u w:val="single"/>
        </w:rPr>
        <w:t>外区域执行执行《环境空气质量标准》（GB3095-2012）中二级标准。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u w:val="single"/>
        </w:rPr>
      </w:pPr>
      <w:r>
        <w:rPr>
          <w:rFonts w:hint="default" w:ascii="Times New Roman" w:hAnsi="Times New Roman" w:cs="Times New Roman" w:eastAsiaTheme="minorEastAsia"/>
          <w:color w:val="auto"/>
          <w:sz w:val="24"/>
          <w:szCs w:val="24"/>
          <w:highlight w:val="none"/>
          <w:u w:val="single"/>
        </w:rPr>
        <w:t>⑵ 地表水：根据</w:t>
      </w:r>
      <w:r>
        <w:rPr>
          <w:rFonts w:hint="default" w:ascii="Times New Roman" w:hAnsi="Times New Roman" w:cs="Times New Roman" w:eastAsiaTheme="minorEastAsia"/>
          <w:color w:val="auto"/>
          <w:sz w:val="24"/>
          <w:highlight w:val="none"/>
          <w:u w:val="single"/>
        </w:rPr>
        <w:t>《湖南省主要水系地表水环境功能区划》（DB43/023-2005）</w:t>
      </w:r>
      <w:r>
        <w:rPr>
          <w:rFonts w:hint="default" w:ascii="Times New Roman" w:hAnsi="Times New Roman" w:cs="Times New Roman" w:eastAsiaTheme="minorEastAsia"/>
          <w:color w:val="auto"/>
          <w:sz w:val="24"/>
          <w:szCs w:val="24"/>
          <w:highlight w:val="none"/>
          <w:u w:val="single"/>
        </w:rPr>
        <w:t>，长江干流岳阳段（即“塔市驿（湖北省流入湖南省断面）至黄盖湖（湖南省流入湖北省断面）”）属渔业用水区，执行《地表水环境质量标准》（GB3838-2002）中Ⅲ类标准；君山区自来水公司（岳阳市长江君山段饮用水水源保护区）一级饮用水源保护区执行《地表水环境质量标准》（GB3838-2002）Ⅱ类标准，君山区自来水公司二级饮用水源保护区执行Ⅲ类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u w:val="single"/>
          <w:lang w:eastAsia="zh-CN"/>
        </w:rPr>
      </w:pPr>
      <w:r>
        <w:rPr>
          <w:rFonts w:hint="default" w:ascii="Times New Roman" w:hAnsi="Times New Roman" w:cs="Times New Roman"/>
          <w:color w:val="auto"/>
          <w:sz w:val="24"/>
          <w:szCs w:val="24"/>
          <w:highlight w:val="none"/>
          <w:u w:val="single"/>
          <w:lang w:eastAsia="zh-CN"/>
        </w:rPr>
        <w:t>由于本项目所处河段属于</w:t>
      </w:r>
      <w:r>
        <w:rPr>
          <w:rFonts w:hint="default" w:ascii="Times New Roman" w:hAnsi="Times New Roman" w:cs="Times New Roman" w:eastAsiaTheme="minorEastAsia"/>
          <w:color w:val="auto"/>
          <w:sz w:val="24"/>
          <w:szCs w:val="24"/>
          <w:highlight w:val="none"/>
          <w:u w:val="single"/>
        </w:rPr>
        <w:t>湖南东洞庭湖国家级自然保护区内</w:t>
      </w:r>
      <w:r>
        <w:rPr>
          <w:rFonts w:hint="default" w:ascii="Times New Roman" w:hAnsi="Times New Roman" w:cs="Times New Roman" w:eastAsiaTheme="minorEastAsia"/>
          <w:color w:val="auto"/>
          <w:sz w:val="24"/>
          <w:szCs w:val="24"/>
          <w:highlight w:val="none"/>
          <w:u w:val="single"/>
          <w:lang w:eastAsia="zh-CN"/>
        </w:rPr>
        <w:t>实验区。按照</w:t>
      </w:r>
      <w:r>
        <w:rPr>
          <w:rFonts w:hint="default" w:ascii="Times New Roman" w:hAnsi="Times New Roman" w:cs="Times New Roman" w:eastAsiaTheme="minorEastAsia"/>
          <w:color w:val="auto"/>
          <w:sz w:val="24"/>
          <w:szCs w:val="24"/>
          <w:highlight w:val="none"/>
          <w:u w:val="single"/>
        </w:rPr>
        <w:t>《地表水环境质量标准》（GB3838-2002）</w:t>
      </w:r>
      <w:r>
        <w:rPr>
          <w:rFonts w:hint="default" w:ascii="Times New Roman" w:hAnsi="Times New Roman" w:cs="Times New Roman" w:eastAsiaTheme="minorEastAsia"/>
          <w:color w:val="auto"/>
          <w:sz w:val="24"/>
          <w:szCs w:val="24"/>
          <w:highlight w:val="none"/>
          <w:u w:val="single"/>
          <w:lang w:eastAsia="zh-CN"/>
        </w:rPr>
        <w:t>中“水域功能和标准分类”，属于国家自然保护区内水体，为Ⅰ类水体。</w:t>
      </w:r>
      <w:r>
        <w:rPr>
          <w:rFonts w:hint="eastAsia" w:ascii="Times New Roman" w:hAnsi="Times New Roman" w:cs="Times New Roman" w:eastAsiaTheme="minorEastAsia"/>
          <w:color w:val="auto"/>
          <w:sz w:val="24"/>
          <w:szCs w:val="24"/>
          <w:highlight w:val="none"/>
          <w:u w:val="single"/>
          <w:lang w:val="en-US" w:eastAsia="zh-CN"/>
        </w:rPr>
        <w:t>因此，</w:t>
      </w:r>
      <w:r>
        <w:rPr>
          <w:rFonts w:hint="eastAsia" w:ascii="Times New Roman" w:hAnsi="Times New Roman" w:cs="Times New Roman" w:eastAsiaTheme="minorEastAsia"/>
          <w:color w:val="auto"/>
          <w:sz w:val="24"/>
          <w:szCs w:val="24"/>
          <w:highlight w:val="none"/>
          <w:u w:val="single"/>
        </w:rPr>
        <w:t>评价范围内</w:t>
      </w:r>
      <w:r>
        <w:rPr>
          <w:rFonts w:hint="eastAsia" w:ascii="Times New Roman" w:hAnsi="Times New Roman" w:cs="Times New Roman" w:eastAsiaTheme="minorEastAsia"/>
          <w:color w:val="auto"/>
          <w:sz w:val="24"/>
          <w:szCs w:val="24"/>
          <w:highlight w:val="none"/>
          <w:u w:val="single"/>
          <w:lang w:val="en-US" w:eastAsia="zh-CN"/>
        </w:rPr>
        <w:t>涉及</w:t>
      </w:r>
      <w:r>
        <w:rPr>
          <w:rFonts w:hint="eastAsia" w:ascii="Times New Roman" w:hAnsi="Times New Roman" w:cs="Times New Roman" w:eastAsiaTheme="minorEastAsia"/>
          <w:color w:val="auto"/>
          <w:sz w:val="24"/>
          <w:szCs w:val="24"/>
          <w:highlight w:val="none"/>
          <w:u w:val="single"/>
          <w:lang w:eastAsia="zh-CN"/>
        </w:rPr>
        <w:t>湖南东洞庭湖国家级自然保护区</w:t>
      </w:r>
      <w:r>
        <w:rPr>
          <w:rFonts w:hint="eastAsia" w:ascii="Times New Roman" w:hAnsi="Times New Roman" w:cs="Times New Roman" w:eastAsiaTheme="minorEastAsia"/>
          <w:color w:val="auto"/>
          <w:sz w:val="24"/>
          <w:szCs w:val="24"/>
          <w:highlight w:val="none"/>
          <w:u w:val="single"/>
          <w:lang w:val="en-US" w:eastAsia="zh-CN"/>
        </w:rPr>
        <w:t>的</w:t>
      </w:r>
      <w:r>
        <w:rPr>
          <w:rFonts w:hint="eastAsia" w:ascii="Times New Roman" w:hAnsi="Times New Roman" w:cs="Times New Roman" w:eastAsiaTheme="minorEastAsia"/>
          <w:color w:val="auto"/>
          <w:sz w:val="24"/>
          <w:szCs w:val="24"/>
          <w:highlight w:val="none"/>
          <w:u w:val="single"/>
        </w:rPr>
        <w:t>长江</w:t>
      </w:r>
      <w:r>
        <w:rPr>
          <w:rFonts w:hint="eastAsia" w:ascii="Times New Roman" w:hAnsi="Times New Roman" w:cs="Times New Roman" w:eastAsiaTheme="minorEastAsia"/>
          <w:color w:val="auto"/>
          <w:sz w:val="24"/>
          <w:szCs w:val="24"/>
          <w:highlight w:val="none"/>
          <w:u w:val="single"/>
          <w:lang w:val="en-US" w:eastAsia="zh-CN"/>
        </w:rPr>
        <w:t>河段</w:t>
      </w:r>
      <w:r>
        <w:rPr>
          <w:rFonts w:hint="default" w:ascii="Times New Roman" w:hAnsi="Times New Roman" w:cs="Times New Roman" w:eastAsiaTheme="minorEastAsia"/>
          <w:color w:val="auto"/>
          <w:sz w:val="24"/>
          <w:szCs w:val="24"/>
          <w:highlight w:val="none"/>
          <w:u w:val="single"/>
        </w:rPr>
        <w:t>执行《地表水环境质量标准》（GB3838-2002）</w:t>
      </w:r>
      <w:r>
        <w:rPr>
          <w:rFonts w:hint="eastAsia" w:ascii="Times New Roman" w:hAnsi="Times New Roman" w:cs="Times New Roman" w:eastAsiaTheme="minorEastAsia"/>
          <w:color w:val="auto"/>
          <w:sz w:val="24"/>
          <w:szCs w:val="24"/>
          <w:highlight w:val="none"/>
          <w:u w:val="single"/>
          <w:lang w:eastAsia="zh-CN"/>
        </w:rPr>
        <w:t>Ⅰ</w:t>
      </w:r>
      <w:r>
        <w:rPr>
          <w:rFonts w:hint="default" w:ascii="Times New Roman" w:hAnsi="Times New Roman" w:cs="Times New Roman" w:eastAsiaTheme="minorEastAsia"/>
          <w:color w:val="auto"/>
          <w:sz w:val="24"/>
          <w:szCs w:val="24"/>
          <w:highlight w:val="none"/>
          <w:u w:val="single"/>
        </w:rPr>
        <w:t>类标准</w:t>
      </w:r>
      <w:r>
        <w:rPr>
          <w:rFonts w:hint="eastAsia" w:ascii="Times New Roman" w:hAnsi="Times New Roman" w:cs="Times New Roman" w:eastAsiaTheme="minorEastAsia"/>
          <w:color w:val="auto"/>
          <w:sz w:val="24"/>
          <w:szCs w:val="24"/>
          <w:highlight w:val="none"/>
          <w:u w:val="single"/>
          <w:lang w:eastAsia="zh-CN"/>
        </w:rPr>
        <w:t>，湖南东洞庭湖国家级自然保护区</w:t>
      </w:r>
      <w:r>
        <w:rPr>
          <w:rFonts w:hint="eastAsia" w:ascii="Times New Roman" w:hAnsi="Times New Roman" w:cs="Times New Roman" w:eastAsiaTheme="minorEastAsia"/>
          <w:color w:val="auto"/>
          <w:sz w:val="24"/>
          <w:szCs w:val="24"/>
          <w:highlight w:val="none"/>
          <w:u w:val="single"/>
          <w:lang w:val="en-US" w:eastAsia="zh-CN"/>
        </w:rPr>
        <w:t>以外的</w:t>
      </w:r>
      <w:r>
        <w:rPr>
          <w:rFonts w:hint="eastAsia" w:ascii="Times New Roman" w:hAnsi="Times New Roman" w:cs="Times New Roman" w:eastAsiaTheme="minorEastAsia"/>
          <w:color w:val="auto"/>
          <w:sz w:val="24"/>
          <w:szCs w:val="24"/>
          <w:highlight w:val="none"/>
          <w:u w:val="single"/>
        </w:rPr>
        <w:t>长江</w:t>
      </w:r>
      <w:r>
        <w:rPr>
          <w:rFonts w:hint="eastAsia" w:ascii="Times New Roman" w:hAnsi="Times New Roman" w:cs="Times New Roman" w:eastAsiaTheme="minorEastAsia"/>
          <w:color w:val="auto"/>
          <w:sz w:val="24"/>
          <w:szCs w:val="24"/>
          <w:highlight w:val="none"/>
          <w:u w:val="single"/>
          <w:lang w:val="en-US" w:eastAsia="zh-CN"/>
        </w:rPr>
        <w:t>河段</w:t>
      </w:r>
      <w:r>
        <w:rPr>
          <w:rFonts w:hint="default" w:ascii="Times New Roman" w:hAnsi="Times New Roman" w:cs="Times New Roman" w:eastAsiaTheme="minorEastAsia"/>
          <w:color w:val="auto"/>
          <w:sz w:val="24"/>
          <w:szCs w:val="24"/>
          <w:highlight w:val="none"/>
          <w:u w:val="single"/>
        </w:rPr>
        <w:t>执行《地表水环境质量标准》（GB3838-2002）</w:t>
      </w:r>
      <w:r>
        <w:rPr>
          <w:rFonts w:hint="eastAsia" w:ascii="Times New Roman" w:hAnsi="Times New Roman" w:cs="Times New Roman" w:eastAsiaTheme="minorEastAsia"/>
          <w:color w:val="auto"/>
          <w:sz w:val="24"/>
          <w:szCs w:val="24"/>
          <w:highlight w:val="none"/>
          <w:u w:val="single"/>
          <w:lang w:val="en-US" w:eastAsia="zh-CN"/>
        </w:rPr>
        <w:t>Ⅲ</w:t>
      </w:r>
      <w:r>
        <w:rPr>
          <w:rFonts w:hint="default" w:ascii="Times New Roman" w:hAnsi="Times New Roman" w:cs="Times New Roman" w:eastAsiaTheme="minorEastAsia"/>
          <w:color w:val="auto"/>
          <w:sz w:val="24"/>
          <w:szCs w:val="24"/>
          <w:highlight w:val="none"/>
          <w:u w:val="single"/>
        </w:rPr>
        <w:t>类标准</w:t>
      </w:r>
      <w:r>
        <w:rPr>
          <w:rFonts w:hint="eastAsia" w:ascii="Times New Roman" w:hAnsi="Times New Roman" w:cs="Times New Roman" w:eastAsiaTheme="minorEastAsia"/>
          <w:color w:val="auto"/>
          <w:sz w:val="24"/>
          <w:szCs w:val="24"/>
          <w:highlight w:val="none"/>
          <w:u w:val="single"/>
        </w:rPr>
        <w:t>。</w:t>
      </w:r>
      <w:r>
        <w:rPr>
          <w:rFonts w:hint="default" w:ascii="Times New Roman" w:hAnsi="Times New Roman" w:cs="Times New Roman" w:eastAsiaTheme="minorEastAsia"/>
          <w:color w:val="auto"/>
          <w:sz w:val="24"/>
          <w:szCs w:val="24"/>
          <w:highlight w:val="none"/>
          <w:u w:val="single"/>
          <w:lang w:eastAsia="zh-CN"/>
        </w:rPr>
        <w:t>本项目所</w:t>
      </w:r>
      <w:r>
        <w:rPr>
          <w:rFonts w:hint="eastAsia" w:ascii="Times New Roman" w:hAnsi="Times New Roman" w:cs="Times New Roman" w:eastAsiaTheme="minorEastAsia"/>
          <w:color w:val="auto"/>
          <w:sz w:val="24"/>
          <w:szCs w:val="24"/>
          <w:highlight w:val="none"/>
          <w:u w:val="single"/>
          <w:lang w:val="en-US" w:eastAsia="zh-CN"/>
        </w:rPr>
        <w:t>处</w:t>
      </w:r>
      <w:r>
        <w:rPr>
          <w:rFonts w:hint="default" w:ascii="Times New Roman" w:hAnsi="Times New Roman" w:cs="Times New Roman" w:eastAsiaTheme="minorEastAsia"/>
          <w:color w:val="auto"/>
          <w:sz w:val="24"/>
          <w:szCs w:val="24"/>
          <w:highlight w:val="none"/>
          <w:u w:val="single"/>
          <w:lang w:eastAsia="zh-CN"/>
        </w:rPr>
        <w:t>长江河段水体</w:t>
      </w:r>
      <w:r>
        <w:rPr>
          <w:rFonts w:hint="eastAsia" w:ascii="Times New Roman" w:hAnsi="Times New Roman" w:cs="Times New Roman" w:eastAsiaTheme="minorEastAsia"/>
          <w:color w:val="auto"/>
          <w:sz w:val="24"/>
          <w:szCs w:val="24"/>
          <w:highlight w:val="none"/>
          <w:u w:val="single"/>
          <w:lang w:val="en-US" w:eastAsia="zh-CN"/>
        </w:rPr>
        <w:t>上设置的</w:t>
      </w:r>
      <w:r>
        <w:rPr>
          <w:rFonts w:hint="default" w:ascii="Times New Roman" w:hAnsi="Times New Roman" w:cs="Times New Roman" w:eastAsiaTheme="minorEastAsia"/>
          <w:color w:val="auto"/>
          <w:sz w:val="24"/>
          <w:szCs w:val="24"/>
          <w:highlight w:val="none"/>
          <w:u w:val="single"/>
          <w:lang w:eastAsia="zh-CN"/>
        </w:rPr>
        <w:t>国控、省控</w:t>
      </w:r>
      <w:r>
        <w:rPr>
          <w:rFonts w:hint="eastAsia" w:ascii="Times New Roman" w:hAnsi="Times New Roman" w:cs="Times New Roman" w:eastAsiaTheme="minorEastAsia"/>
          <w:color w:val="auto"/>
          <w:sz w:val="24"/>
          <w:szCs w:val="24"/>
          <w:highlight w:val="none"/>
          <w:u w:val="single"/>
          <w:lang w:val="en-US" w:eastAsia="zh-CN"/>
        </w:rPr>
        <w:t>水质监测</w:t>
      </w:r>
      <w:r>
        <w:rPr>
          <w:rFonts w:hint="default" w:ascii="Times New Roman" w:hAnsi="Times New Roman" w:cs="Times New Roman" w:eastAsiaTheme="minorEastAsia"/>
          <w:color w:val="auto"/>
          <w:sz w:val="24"/>
          <w:szCs w:val="24"/>
          <w:highlight w:val="none"/>
          <w:u w:val="single"/>
          <w:lang w:eastAsia="zh-CN"/>
        </w:rPr>
        <w:t>断面</w:t>
      </w:r>
      <w:r>
        <w:rPr>
          <w:rFonts w:hint="eastAsia" w:ascii="Times New Roman" w:hAnsi="Times New Roman" w:cs="Times New Roman" w:eastAsiaTheme="minorEastAsia"/>
          <w:color w:val="auto"/>
          <w:sz w:val="24"/>
          <w:szCs w:val="24"/>
          <w:highlight w:val="none"/>
          <w:u w:val="single"/>
          <w:lang w:val="en-US" w:eastAsia="zh-CN"/>
        </w:rPr>
        <w:t>按照</w:t>
      </w:r>
      <w:r>
        <w:rPr>
          <w:rFonts w:hint="default" w:ascii="Times New Roman" w:hAnsi="Times New Roman" w:cs="Times New Roman" w:eastAsiaTheme="minorEastAsia"/>
          <w:color w:val="auto"/>
          <w:sz w:val="24"/>
          <w:szCs w:val="24"/>
          <w:highlight w:val="none"/>
          <w:u w:val="single"/>
        </w:rPr>
        <w:t>《地表水环境质量标准》（GB3838-2002）Ⅲ类</w:t>
      </w:r>
      <w:r>
        <w:rPr>
          <w:rFonts w:hint="eastAsia" w:ascii="Times New Roman" w:hAnsi="Times New Roman" w:cs="Times New Roman" w:eastAsiaTheme="minorEastAsia"/>
          <w:color w:val="auto"/>
          <w:sz w:val="24"/>
          <w:szCs w:val="24"/>
          <w:highlight w:val="none"/>
          <w:u w:val="single"/>
          <w:lang w:val="en-US" w:eastAsia="zh-CN"/>
        </w:rPr>
        <w:t>标准要求水体进行考核</w:t>
      </w:r>
      <w:r>
        <w:rPr>
          <w:rFonts w:hint="default" w:ascii="Times New Roman" w:hAnsi="Times New Roman" w:cs="Times New Roman" w:eastAsiaTheme="minorEastAsia"/>
          <w:color w:val="auto"/>
          <w:sz w:val="24"/>
          <w:szCs w:val="24"/>
          <w:highlight w:val="none"/>
          <w:u w:val="single"/>
          <w:lang w:eastAsia="zh-CN"/>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⑶ 地下水</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本项目所在地地下水执行《地下水质量标准》（GB/T14848-2017）</w:t>
      </w:r>
      <w:r>
        <w:rPr>
          <w:rFonts w:hint="default" w:ascii="Times New Roman" w:hAnsi="Times New Roman" w:cs="Times New Roman"/>
          <w:color w:val="auto"/>
          <w:sz w:val="24"/>
          <w:szCs w:val="24"/>
        </w:rPr>
        <w:t>Ⅲ</w:t>
      </w:r>
      <w:r>
        <w:rPr>
          <w:rFonts w:hint="default" w:ascii="Times New Roman" w:hAnsi="Times New Roman" w:cs="Times New Roman" w:eastAsiaTheme="minorEastAsia"/>
          <w:color w:val="auto"/>
          <w:sz w:val="24"/>
          <w:szCs w:val="24"/>
        </w:rPr>
        <w:t>类标准。</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⑷ 声环境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根据《声环境质量标准》（GB3096-2008）的规定，按区域的使用功能特点和环境质量要求，声环境功能区分为以下五种类型：</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0类声环境功能区：指康复疗养区等特别需要安静的区域。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1类声环境功能区：指以居民住宅、医疗卫生、文化教育、科研设计、行政办公为主要功能，需要保持安静的区域。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2类声环境功能区：指以商业金融、集市贸易为主要功能，或者居住、商业、工业混杂，需要维护住宅安静的区域。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3类声环境功能区：指以工业生产、仓储物流为主要功能，需要防止工业噪声对周围环境产生严重影响的区域。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类声环境功能区：指交通干线两侧一定距离之内，需要防止交通噪声对周围环境产生严重影响的区域，包括4a类和4b类两种类型。4a类为高速公路、一级公路、二级公路、城市快速路、城市主干路、城市次干路、城市轨道交通（地面段）、内河航道两侧区域；4b类为铁路干线两侧区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本项目航道两侧35m红线范围内声环境质量执行《声环境质量标准》（GB3096-2008）4a类标准，码头其他区域声环境质量执行《声环境质量标准》（GB3096-2008）</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rPr>
        <w:t>类标准。</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⑸ 土壤</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本项目码头工程区域底泥参考执行《土壤环境质量建设用地土壤污染风险管控标准》（GB36600-2018）中二类用地筛选值限值要求和《土壤环境质量农用地土壤污染风险管控标准》（GB 15618-2018）中用地筛选值限值要求。</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根据本项目所在区域环境功能区划，确定本评价拟采用的评价标准。</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环境空气</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环境质量标准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常规监测因子执行《环境空气质量标准》（GB3095-2012）一级、二级标准，非甲烷总烃参照《大气污染物综合排放标准详解》一次标准值2.0mg/m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执行；</w:t>
      </w:r>
      <w:r>
        <w:rPr>
          <w:rFonts w:hint="default" w:ascii="Times New Roman" w:hAnsi="Times New Roman" w:cs="Times New Roman"/>
          <w:bCs/>
          <w:color w:val="auto"/>
          <w:sz w:val="24"/>
        </w:rPr>
        <w:t>TVOC参考《环境影响评价技术导则 大气环境》（HJ 2.2-2018）附录D执行</w:t>
      </w:r>
      <w:r>
        <w:rPr>
          <w:rFonts w:hint="default" w:ascii="Times New Roman" w:hAnsi="Times New Roman" w:cs="Times New Roman" w:eastAsiaTheme="minorEastAsia"/>
          <w:color w:val="auto"/>
          <w:sz w:val="24"/>
          <w:szCs w:val="24"/>
        </w:rPr>
        <w:t>。各标准值具体见表2.4-1。</w:t>
      </w:r>
    </w:p>
    <w:p>
      <w:pPr>
        <w:adjustRightInd w:val="0"/>
        <w:snapToGrid w:val="0"/>
        <w:spacing w:line="276" w:lineRule="auto"/>
        <w:jc w:val="center"/>
        <w:rPr>
          <w:rFonts w:hint="default" w:ascii="Times New Roman" w:hAnsi="Times New Roman" w:cs="Times New Roman" w:eastAsiaTheme="minorEastAsia"/>
          <w:b/>
          <w:bCs/>
          <w:color w:val="auto"/>
          <w:sz w:val="24"/>
          <w:szCs w:val="24"/>
          <w:vertAlign w:val="superscript"/>
        </w:rPr>
      </w:pPr>
      <w:r>
        <w:rPr>
          <w:rFonts w:hint="default" w:ascii="Times New Roman" w:hAnsi="Times New Roman" w:cs="Times New Roman" w:eastAsiaTheme="minorEastAsia"/>
          <w:b/>
          <w:bCs/>
          <w:color w:val="auto"/>
          <w:sz w:val="24"/>
          <w:szCs w:val="24"/>
        </w:rPr>
        <w:t>表2.4-1  环境空气质量标准</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57"/>
        <w:gridCol w:w="3414"/>
        <w:gridCol w:w="1418"/>
        <w:gridCol w:w="1245"/>
        <w:gridCol w:w="1030"/>
        <w:gridCol w:w="9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81" w:type="pct"/>
            <w:vAlign w:val="center"/>
          </w:tcPr>
          <w:p>
            <w:pPr>
              <w:adjustRightInd w:val="0"/>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kern w:val="0"/>
              </w:rPr>
              <w:t>要素分类</w:t>
            </w:r>
          </w:p>
        </w:tc>
        <w:tc>
          <w:tcPr>
            <w:tcW w:w="1876" w:type="pct"/>
            <w:vAlign w:val="center"/>
          </w:tcPr>
          <w:p>
            <w:pPr>
              <w:adjustRightInd w:val="0"/>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kern w:val="0"/>
              </w:rPr>
              <w:t>标准名称</w:t>
            </w:r>
          </w:p>
        </w:tc>
        <w:tc>
          <w:tcPr>
            <w:tcW w:w="2541" w:type="pct"/>
            <w:gridSpan w:val="4"/>
            <w:vAlign w:val="center"/>
          </w:tcPr>
          <w:p>
            <w:pPr>
              <w:adjustRightInd w:val="0"/>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kern w:val="0"/>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restart"/>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rPr>
              <w:t>环境空气</w:t>
            </w:r>
          </w:p>
        </w:tc>
        <w:tc>
          <w:tcPr>
            <w:tcW w:w="1876" w:type="pct"/>
            <w:vMerge w:val="restart"/>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rPr>
              <w:t>《环境空气质量标准》（GB3095-2012）</w:t>
            </w:r>
          </w:p>
        </w:tc>
        <w:tc>
          <w:tcPr>
            <w:tcW w:w="779" w:type="pct"/>
            <w:vAlign w:val="center"/>
          </w:tcPr>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rPr>
              <w:t>项目</w:t>
            </w:r>
          </w:p>
        </w:tc>
        <w:tc>
          <w:tcPr>
            <w:tcW w:w="684" w:type="pct"/>
            <w:vAlign w:val="center"/>
          </w:tcPr>
          <w:p>
            <w:pPr>
              <w:adjustRightInd w:val="0"/>
              <w:snapToGrid w:val="0"/>
              <w:jc w:val="center"/>
              <w:rPr>
                <w:rFonts w:hint="eastAsia"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指标</w:t>
            </w:r>
          </w:p>
        </w:tc>
        <w:tc>
          <w:tcPr>
            <w:tcW w:w="566"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eastAsia" w:ascii="Times New Roman" w:hAnsi="Times New Roman" w:cs="Times New Roman" w:eastAsiaTheme="minorEastAsia"/>
                <w:color w:val="auto"/>
                <w:kern w:val="0"/>
                <w:lang w:val="en-US" w:eastAsia="zh-CN"/>
              </w:rPr>
              <w:t>一级</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eastAsia" w:ascii="Times New Roman" w:hAnsi="Times New Roman" w:cs="Times New Roman" w:eastAsiaTheme="minorEastAsia"/>
                <w:color w:val="auto"/>
                <w:kern w:val="0"/>
                <w:lang w:val="en-US" w:eastAsia="zh-CN"/>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PM</w:t>
            </w:r>
            <w:r>
              <w:rPr>
                <w:rFonts w:hint="default" w:ascii="Times New Roman" w:hAnsi="Times New Roman" w:cs="Times New Roman" w:eastAsiaTheme="minorEastAsia"/>
                <w:color w:val="auto"/>
                <w:kern w:val="0"/>
                <w:sz w:val="13"/>
                <w:szCs w:val="13"/>
              </w:rPr>
              <w:t>10</w:t>
            </w:r>
          </w:p>
        </w:tc>
        <w:tc>
          <w:tcPr>
            <w:tcW w:w="684" w:type="pct"/>
            <w:vAlign w:val="center"/>
          </w:tcPr>
          <w:p>
            <w:pPr>
              <w:adjustRightInd w:val="0"/>
              <w:snapToGrid w:val="0"/>
              <w:jc w:val="center"/>
              <w:rPr>
                <w:rFonts w:hint="eastAsia" w:ascii="Times New Roman" w:hAnsi="Times New Roman" w:cs="Times New Roman" w:eastAsiaTheme="minorEastAsia"/>
                <w:color w:val="auto"/>
                <w:kern w:val="0"/>
                <w:lang w:val="en-US" w:eastAsia="zh-CN"/>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50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eastAsia" w:ascii="Times New Roman" w:hAnsi="Times New Roman" w:cs="Times New Roman" w:eastAsiaTheme="minorEastAsia"/>
                <w:color w:val="auto"/>
                <w:kern w:val="0"/>
                <w:lang w:val="en-US" w:eastAsia="zh-CN"/>
              </w:rPr>
            </w:pPr>
            <w:r>
              <w:rPr>
                <w:rFonts w:hint="default" w:ascii="Times New Roman" w:hAnsi="Times New Roman" w:cs="Times New Roman" w:eastAsiaTheme="minorEastAsia"/>
                <w:color w:val="auto"/>
                <w:kern w:val="0"/>
              </w:rPr>
              <w:t>150μg/m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年平均值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40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70μg/m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PM</w:t>
            </w:r>
            <w:r>
              <w:rPr>
                <w:rFonts w:hint="default" w:ascii="Times New Roman" w:hAnsi="Times New Roman" w:cs="Times New Roman" w:eastAsiaTheme="minorEastAsia"/>
                <w:color w:val="auto"/>
                <w:kern w:val="0"/>
                <w:sz w:val="13"/>
                <w:szCs w:val="13"/>
              </w:rPr>
              <w:t>2.5</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35</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75μg/m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年平均值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15</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35μg/m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SO</w:t>
            </w:r>
            <w:r>
              <w:rPr>
                <w:rFonts w:hint="default" w:ascii="Times New Roman" w:hAnsi="Times New Roman" w:cs="Times New Roman" w:eastAsiaTheme="minorEastAsia"/>
                <w:color w:val="auto"/>
                <w:kern w:val="0"/>
                <w:vertAlign w:val="subscript"/>
              </w:rPr>
              <w:t>2</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小时平均值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150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0"/>
              </w:rPr>
              <w:t>500μg/m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50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0"/>
              </w:rPr>
              <w:t>150μg/m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年平均值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20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60μg/m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NO</w:t>
            </w:r>
            <w:r>
              <w:rPr>
                <w:rFonts w:hint="default" w:ascii="Times New Roman" w:hAnsi="Times New Roman" w:cs="Times New Roman" w:eastAsiaTheme="minorEastAsia"/>
                <w:color w:val="auto"/>
                <w:kern w:val="0"/>
                <w:vertAlign w:val="subscript"/>
              </w:rPr>
              <w:t>2</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小时平均值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200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200μg/m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80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80μg/m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年平均值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40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40μg/m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CO</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小时平均值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10</w:t>
            </w:r>
            <w:r>
              <w:rPr>
                <w:rFonts w:hint="default" w:ascii="Times New Roman" w:hAnsi="Times New Roman" w:cs="Times New Roman" w:eastAsiaTheme="minorEastAsia"/>
                <w:color w:val="auto"/>
                <w:kern w:val="0"/>
              </w:rPr>
              <w:t>mg/m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10mg/m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4</w:t>
            </w:r>
            <w:r>
              <w:rPr>
                <w:rFonts w:hint="default" w:ascii="Times New Roman" w:hAnsi="Times New Roman" w:cs="Times New Roman" w:eastAsiaTheme="minorEastAsia"/>
                <w:color w:val="auto"/>
                <w:kern w:val="0"/>
              </w:rPr>
              <w:t>mg/m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rPr>
              <w:t>4mg/m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O</w:t>
            </w:r>
            <w:r>
              <w:rPr>
                <w:rFonts w:hint="default" w:ascii="Times New Roman" w:hAnsi="Times New Roman" w:cs="Times New Roman" w:eastAsiaTheme="minorEastAsia"/>
                <w:color w:val="auto"/>
                <w:kern w:val="0"/>
                <w:vertAlign w:val="subscript"/>
              </w:rPr>
              <w:t>3</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小时平均值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160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100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rPr>
            </w:pPr>
            <w:r>
              <w:rPr>
                <w:rFonts w:hint="eastAsia" w:ascii="Times New Roman" w:hAnsi="Times New Roman" w:cs="Times New Roman" w:eastAsiaTheme="minorEastAsia"/>
                <w:color w:val="auto"/>
                <w:kern w:val="0"/>
                <w:lang w:val="en-US" w:eastAsia="zh-CN"/>
              </w:rPr>
              <w:t>16</w:t>
            </w:r>
            <w:r>
              <w:rPr>
                <w:rFonts w:hint="default" w:ascii="Times New Roman" w:hAnsi="Times New Roman" w:cs="Times New Roman" w:eastAsiaTheme="minorEastAsia"/>
                <w:color w:val="auto"/>
                <w:kern w:val="0"/>
              </w:rPr>
              <w:t>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restar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TSP</w:t>
            </w: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日平均值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120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eastAsia" w:ascii="Times New Roman" w:hAnsi="Times New Roman" w:cs="Times New Roman" w:eastAsiaTheme="minorEastAsia"/>
                <w:color w:val="auto"/>
                <w:kern w:val="0"/>
                <w:lang w:val="en-US" w:eastAsia="zh-CN"/>
              </w:rPr>
            </w:pPr>
            <w:r>
              <w:rPr>
                <w:rFonts w:hint="default" w:ascii="Times New Roman" w:hAnsi="Times New Roman" w:cs="Times New Roman" w:eastAsiaTheme="minorEastAsia"/>
                <w:color w:val="auto"/>
                <w:kern w:val="0"/>
              </w:rPr>
              <w:t>300μg/m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1876"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779" w:type="pct"/>
            <w:vMerge w:val="continue"/>
            <w:vAlign w:val="center"/>
          </w:tcPr>
          <w:p>
            <w:pPr>
              <w:adjustRightInd w:val="0"/>
              <w:snapToGrid w:val="0"/>
              <w:jc w:val="center"/>
              <w:rPr>
                <w:rFonts w:hint="default" w:ascii="Times New Roman" w:hAnsi="Times New Roman" w:cs="Times New Roman" w:eastAsiaTheme="minorEastAsia"/>
                <w:color w:val="auto"/>
                <w:kern w:val="0"/>
              </w:rPr>
            </w:pPr>
          </w:p>
        </w:tc>
        <w:tc>
          <w:tcPr>
            <w:tcW w:w="684"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年平均值</w:t>
            </w:r>
          </w:p>
        </w:tc>
        <w:tc>
          <w:tcPr>
            <w:tcW w:w="566"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80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c>
          <w:tcPr>
            <w:tcW w:w="511" w:type="pct"/>
            <w:vAlign w:val="center"/>
          </w:tcPr>
          <w:p>
            <w:pPr>
              <w:adjustRightInd w:val="0"/>
              <w:snapToGrid w:val="0"/>
              <w:jc w:val="center"/>
              <w:rPr>
                <w:rFonts w:hint="default" w:ascii="Times New Roman" w:hAnsi="Times New Roman" w:cs="Times New Roman" w:eastAsiaTheme="minorEastAsia"/>
                <w:color w:val="auto"/>
                <w:kern w:val="0"/>
                <w:lang w:val="en-US" w:eastAsia="zh-CN"/>
              </w:rPr>
            </w:pPr>
            <w:r>
              <w:rPr>
                <w:rFonts w:hint="eastAsia" w:ascii="Times New Roman" w:hAnsi="Times New Roman" w:cs="Times New Roman" w:eastAsiaTheme="minorEastAsia"/>
                <w:color w:val="auto"/>
                <w:kern w:val="0"/>
                <w:lang w:val="en-US" w:eastAsia="zh-CN"/>
              </w:rPr>
              <w:t>200</w:t>
            </w:r>
            <w:r>
              <w:rPr>
                <w:rFonts w:hint="default" w:ascii="Times New Roman" w:hAnsi="Times New Roman" w:cs="Times New Roman" w:eastAsiaTheme="minorEastAsia"/>
                <w:color w:val="auto"/>
                <w:kern w:val="0"/>
              </w:rPr>
              <w:t>μg/m</w:t>
            </w:r>
            <w:r>
              <w:rPr>
                <w:rFonts w:hint="default" w:ascii="Times New Roman" w:hAnsi="Times New Roman" w:cs="Times New Roman" w:eastAsiaTheme="minorEastAsia"/>
                <w:color w:val="auto"/>
                <w:kern w:val="0"/>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sz w:val="24"/>
                <w:szCs w:val="24"/>
              </w:rPr>
            </w:pPr>
          </w:p>
        </w:tc>
        <w:tc>
          <w:tcPr>
            <w:tcW w:w="1876"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《环境影响评价技术导则 大气环境》（HJ2.2-2018）中的附录D</w:t>
            </w:r>
          </w:p>
        </w:tc>
        <w:tc>
          <w:tcPr>
            <w:tcW w:w="779"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总挥发性有机物（TVOC）</w:t>
            </w:r>
          </w:p>
        </w:tc>
        <w:tc>
          <w:tcPr>
            <w:tcW w:w="1762" w:type="pct"/>
            <w:gridSpan w:val="3"/>
            <w:vAlign w:val="center"/>
          </w:tcPr>
          <w:p>
            <w:pPr>
              <w:pStyle w:val="700"/>
              <w:adjustRightInd w:val="0"/>
              <w:snapToGrid w:val="0"/>
              <w:spacing w:beforeLines="0" w:afterLines="0"/>
              <w:jc w:val="both"/>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8小时平均0.6</w:t>
            </w:r>
            <w:r>
              <w:rPr>
                <w:rFonts w:hint="default" w:ascii="Times New Roman" w:hAnsi="Times New Roman" w:cs="Times New Roman" w:eastAsiaTheme="minorEastAsia"/>
                <w:color w:val="auto"/>
                <w:kern w:val="0"/>
                <w:sz w:val="21"/>
                <w:szCs w:val="21"/>
              </w:rPr>
              <w:t>mg/m</w:t>
            </w:r>
            <w:r>
              <w:rPr>
                <w:rFonts w:hint="default" w:ascii="Times New Roman" w:hAnsi="Times New Roman" w:cs="Times New Roman" w:eastAsiaTheme="minorEastAsia"/>
                <w:color w:val="auto"/>
                <w:kern w:val="0"/>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81" w:type="pct"/>
            <w:vMerge w:val="continue"/>
            <w:vAlign w:val="center"/>
          </w:tcPr>
          <w:p>
            <w:pPr>
              <w:adjustRightInd w:val="0"/>
              <w:snapToGrid w:val="0"/>
              <w:jc w:val="center"/>
              <w:rPr>
                <w:rFonts w:hint="default" w:ascii="Times New Roman" w:hAnsi="Times New Roman" w:cs="Times New Roman" w:eastAsiaTheme="minorEastAsia"/>
                <w:color w:val="auto"/>
                <w:sz w:val="24"/>
                <w:szCs w:val="24"/>
              </w:rPr>
            </w:pPr>
          </w:p>
        </w:tc>
        <w:tc>
          <w:tcPr>
            <w:tcW w:w="1876"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《大气污染物综合排放标准详解》</w:t>
            </w:r>
          </w:p>
        </w:tc>
        <w:tc>
          <w:tcPr>
            <w:tcW w:w="779" w:type="pct"/>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非甲烷总烃</w:t>
            </w:r>
          </w:p>
        </w:tc>
        <w:tc>
          <w:tcPr>
            <w:tcW w:w="1762" w:type="pct"/>
            <w:gridSpan w:val="3"/>
            <w:vAlign w:val="center"/>
          </w:tcPr>
          <w:p>
            <w:pPr>
              <w:pStyle w:val="700"/>
              <w:adjustRightInd w:val="0"/>
              <w:snapToGrid w:val="0"/>
              <w:spacing w:beforeLines="0" w:afterLines="0"/>
              <w:jc w:val="both"/>
              <w:rPr>
                <w:rFonts w:hint="default" w:ascii="Times New Roman" w:hAnsi="Times New Roman" w:cs="Times New Roman" w:eastAsiaTheme="minorEastAsia"/>
                <w:color w:val="auto"/>
                <w:kern w:val="0"/>
                <w:sz w:val="21"/>
                <w:szCs w:val="21"/>
              </w:rPr>
            </w:pPr>
            <w:r>
              <w:rPr>
                <w:rFonts w:hint="default" w:ascii="Times New Roman" w:hAnsi="Times New Roman" w:cs="Times New Roman"/>
                <w:color w:val="auto"/>
                <w:sz w:val="21"/>
                <w:szCs w:val="21"/>
              </w:rPr>
              <w:t>小时平均2.0</w:t>
            </w:r>
            <w:r>
              <w:rPr>
                <w:rFonts w:hint="default" w:ascii="Times New Roman" w:hAnsi="Times New Roman" w:cs="Times New Roman" w:eastAsiaTheme="minorEastAsia"/>
                <w:color w:val="auto"/>
                <w:kern w:val="0"/>
                <w:sz w:val="21"/>
                <w:szCs w:val="21"/>
              </w:rPr>
              <w:t>mg/m</w:t>
            </w:r>
            <w:r>
              <w:rPr>
                <w:rFonts w:hint="default" w:ascii="Times New Roman" w:hAnsi="Times New Roman" w:cs="Times New Roman" w:eastAsiaTheme="minorEastAsia"/>
                <w:color w:val="auto"/>
                <w:kern w:val="0"/>
                <w:sz w:val="21"/>
                <w:szCs w:val="21"/>
                <w:vertAlign w:val="superscript"/>
              </w:rPr>
              <w:t>3</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⑵ 污染物排放标准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大气污染物排放执行《大气污染物综合排放标准》（GB16297-1996）表2中无组织排放限值；VOCs排放标准参考执行非甲烷总烃控制要求。具体标准值见表2.4-2。</w:t>
      </w:r>
    </w:p>
    <w:p>
      <w:pPr>
        <w:adjustRightInd w:val="0"/>
        <w:snapToGrid w:val="0"/>
        <w:spacing w:line="276" w:lineRule="auto"/>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表2.4-2  大气污染物排放标准</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76"/>
        <w:gridCol w:w="1423"/>
        <w:gridCol w:w="999"/>
        <w:gridCol w:w="1345"/>
        <w:gridCol w:w="1797"/>
        <w:gridCol w:w="23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4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污染物名称</w:t>
            </w:r>
          </w:p>
        </w:tc>
        <w:tc>
          <w:tcPr>
            <w:tcW w:w="78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最高允许排放浓度（mg/m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4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排气筒高度（m）</w:t>
            </w:r>
          </w:p>
        </w:tc>
        <w:tc>
          <w:tcPr>
            <w:tcW w:w="73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最高允许排放速率（kg/h）</w:t>
            </w:r>
          </w:p>
        </w:tc>
        <w:tc>
          <w:tcPr>
            <w:tcW w:w="987"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无组织排放监控浓度限值（mg/m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129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采用标准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46"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非甲烷总烃</w:t>
            </w:r>
          </w:p>
        </w:tc>
        <w:tc>
          <w:tcPr>
            <w:tcW w:w="782"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120</w:t>
            </w:r>
          </w:p>
        </w:tc>
        <w:tc>
          <w:tcPr>
            <w:tcW w:w="549"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w:t>
            </w:r>
          </w:p>
        </w:tc>
        <w:tc>
          <w:tcPr>
            <w:tcW w:w="739"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w:t>
            </w:r>
          </w:p>
        </w:tc>
        <w:tc>
          <w:tcPr>
            <w:tcW w:w="987" w:type="pct"/>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4.0</w:t>
            </w:r>
          </w:p>
        </w:tc>
        <w:tc>
          <w:tcPr>
            <w:tcW w:w="1294" w:type="pct"/>
            <w:tcBorders>
              <w:tl2br w:val="nil"/>
              <w:tr2bl w:val="nil"/>
            </w:tcBorders>
            <w:vAlign w:val="center"/>
          </w:tcPr>
          <w:p>
            <w:pPr>
              <w:adjustRightInd w:val="0"/>
              <w:snapToGrid w:val="0"/>
              <w:jc w:val="center"/>
              <w:rPr>
                <w:rFonts w:hint="default" w:ascii="Times New Roman" w:hAnsi="Times New Roman" w:cs="Times New Roman"/>
                <w:color w:val="auto"/>
                <w:spacing w:val="-20"/>
              </w:rPr>
            </w:pPr>
            <w:r>
              <w:rPr>
                <w:rFonts w:hint="default" w:ascii="Times New Roman" w:hAnsi="Times New Roman" w:cs="Times New Roman"/>
                <w:color w:val="auto"/>
              </w:rPr>
              <w:t>《大气污染物综合排放标准》（GB16297-1996）</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地表水环境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环境质量标准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根据环境功能区划，长江（岳阳段）水质执行《地表水环境质量标准》（GB3838-2002）以下标准，详见表2.4-3</w:t>
      </w:r>
      <w:r>
        <w:rPr>
          <w:rFonts w:hint="default" w:ascii="Times New Roman" w:hAnsi="Times New Roman" w:cs="Times New Roman" w:eastAsiaTheme="minorEastAsia"/>
          <w:color w:val="auto"/>
          <w:sz w:val="24"/>
          <w:szCs w:val="24"/>
          <w:lang w:eastAsia="zh-CN"/>
        </w:rPr>
        <w:t>。</w:t>
      </w:r>
    </w:p>
    <w:p>
      <w:pPr>
        <w:tabs>
          <w:tab w:val="left" w:pos="900"/>
        </w:tabs>
        <w:wordWrap w:val="0"/>
        <w:snapToGrid w:val="0"/>
        <w:spacing w:line="276" w:lineRule="auto"/>
        <w:jc w:val="righ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 xml:space="preserve">表2.4-3  地表水环境质量评价标准             </w:t>
      </w:r>
      <w:r>
        <w:rPr>
          <w:rFonts w:hint="default" w:ascii="Times New Roman" w:hAnsi="Times New Roman" w:cs="Times New Roman" w:eastAsiaTheme="minorEastAsia"/>
          <w:color w:val="auto"/>
          <w:sz w:val="24"/>
          <w:szCs w:val="24"/>
        </w:rPr>
        <w:t>单位：mg/L</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58"/>
        <w:gridCol w:w="2251"/>
        <w:gridCol w:w="2251"/>
        <w:gridCol w:w="213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项目</w:t>
            </w:r>
          </w:p>
        </w:tc>
        <w:tc>
          <w:tcPr>
            <w:tcW w:w="1237" w:type="pct"/>
            <w:vAlign w:val="center"/>
          </w:tcPr>
          <w:p>
            <w:pPr>
              <w:autoSpaceDE w:val="0"/>
              <w:autoSpaceDN w:val="0"/>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Ⅰ类标准</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b/>
                <w:bCs/>
                <w:color w:val="auto"/>
                <w:kern w:val="0"/>
              </w:rPr>
              <w:t>Ⅲ</w:t>
            </w:r>
            <w:r>
              <w:rPr>
                <w:rFonts w:hint="default" w:ascii="Times New Roman" w:hAnsi="Times New Roman" w:cs="Times New Roman" w:eastAsiaTheme="minorEastAsia"/>
                <w:b/>
                <w:color w:val="auto"/>
                <w:kern w:val="0"/>
              </w:rPr>
              <w:t>类标准</w:t>
            </w:r>
          </w:p>
        </w:tc>
        <w:tc>
          <w:tcPr>
            <w:tcW w:w="1174"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执行标准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pH值（无量纲）</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6~9</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6~9</w:t>
            </w:r>
          </w:p>
        </w:tc>
        <w:tc>
          <w:tcPr>
            <w:tcW w:w="1174" w:type="pct"/>
            <w:vMerge w:val="restart"/>
            <w:vAlign w:val="center"/>
          </w:tcPr>
          <w:p>
            <w:pPr>
              <w:autoSpaceDE w:val="0"/>
              <w:autoSpaceDN w:val="0"/>
              <w:adjustRightInd w:val="0"/>
              <w:snapToGrid w:val="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《地表水环境质量标准》（GB3838-2002）</w:t>
            </w:r>
            <w:r>
              <w:rPr>
                <w:rFonts w:hint="eastAsia" w:ascii="Times New Roman" w:hAnsi="Times New Roman" w:cs="Times New Roman" w:eastAsiaTheme="minorEastAsia"/>
                <w:color w:val="auto"/>
                <w:kern w:val="0"/>
                <w:lang w:val="en-US" w:eastAsia="zh-CN"/>
              </w:rPr>
              <w:t>Ⅰ</w:t>
            </w:r>
            <w:r>
              <w:rPr>
                <w:rFonts w:hint="default" w:ascii="Times New Roman" w:hAnsi="Times New Roman" w:cs="Times New Roman" w:eastAsiaTheme="minorEastAsia"/>
                <w:color w:val="auto"/>
                <w:kern w:val="0"/>
              </w:rPr>
              <w:t>类标准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溶解氧（DO）</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≥7.5</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≥5</w:t>
            </w:r>
          </w:p>
        </w:tc>
        <w:tc>
          <w:tcPr>
            <w:tcW w:w="1174" w:type="pct"/>
            <w:vMerge w:val="continue"/>
            <w:vAlign w:val="center"/>
          </w:tcPr>
          <w:p>
            <w:pPr>
              <w:autoSpaceDE w:val="0"/>
              <w:autoSpaceDN w:val="0"/>
              <w:adjustRightInd w:val="0"/>
              <w:snapToGrid w:val="0"/>
              <w:rPr>
                <w:rFonts w:hint="default" w:ascii="Times New Roman" w:hAnsi="Times New Roman" w:cs="Times New Roman" w:eastAsiaTheme="minorEastAsia"/>
                <w:color w:val="auto"/>
                <w:kern w:val="0"/>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高锰酸盐指数</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kern w:val="0"/>
              </w:rPr>
              <w:t>2</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kern w:val="0"/>
              </w:rPr>
              <w:t>6</w:t>
            </w:r>
          </w:p>
        </w:tc>
        <w:tc>
          <w:tcPr>
            <w:tcW w:w="1174" w:type="pct"/>
            <w:vMerge w:val="continue"/>
            <w:vAlign w:val="center"/>
          </w:tcPr>
          <w:p>
            <w:pPr>
              <w:autoSpaceDE w:val="0"/>
              <w:autoSpaceDN w:val="0"/>
              <w:adjustRightInd w:val="0"/>
              <w:snapToGrid w:val="0"/>
              <w:rPr>
                <w:rFonts w:hint="default" w:ascii="Times New Roman" w:hAnsi="Times New Roman" w:cs="Times New Roman" w:eastAsiaTheme="minorEastAsia"/>
                <w:color w:val="auto"/>
                <w:kern w:val="0"/>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化学需氧量（COD）</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≤15</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w:t>
            </w:r>
          </w:p>
        </w:tc>
        <w:tc>
          <w:tcPr>
            <w:tcW w:w="1174" w:type="pct"/>
            <w:vMerge w:val="continue"/>
            <w:vAlign w:val="center"/>
          </w:tcPr>
          <w:p>
            <w:pPr>
              <w:autoSpaceDE w:val="0"/>
              <w:autoSpaceDN w:val="0"/>
              <w:adjustRightInd w:val="0"/>
              <w:snapToGrid w:val="0"/>
              <w:jc w:val="left"/>
              <w:rPr>
                <w:rFonts w:hint="default" w:ascii="Times New Roman" w:hAnsi="Times New Roman" w:cs="Times New Roman" w:eastAsiaTheme="minorEastAsia"/>
                <w:color w:val="auto"/>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五日生化需氧量（BOD</w:t>
            </w:r>
            <w:r>
              <w:rPr>
                <w:rFonts w:hint="default" w:ascii="Times New Roman" w:hAnsi="Times New Roman" w:cs="Times New Roman" w:eastAsiaTheme="minorEastAsia"/>
                <w:color w:val="auto"/>
                <w:vertAlign w:val="subscript"/>
              </w:rPr>
              <w:t>5</w:t>
            </w:r>
            <w:r>
              <w:rPr>
                <w:rFonts w:hint="default" w:ascii="Times New Roman" w:hAnsi="Times New Roman" w:cs="Times New Roman" w:eastAsiaTheme="minorEastAsia"/>
                <w:color w:val="auto"/>
              </w:rPr>
              <w:t>）</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≤4</w:t>
            </w:r>
          </w:p>
        </w:tc>
        <w:tc>
          <w:tcPr>
            <w:tcW w:w="1174" w:type="pct"/>
            <w:vMerge w:val="continue"/>
            <w:vAlign w:val="center"/>
          </w:tcPr>
          <w:p>
            <w:pPr>
              <w:autoSpaceDE w:val="0"/>
              <w:autoSpaceDN w:val="0"/>
              <w:adjustRightInd w:val="0"/>
              <w:snapToGrid w:val="0"/>
              <w:jc w:val="left"/>
              <w:rPr>
                <w:rFonts w:hint="default" w:ascii="Times New Roman" w:hAnsi="Times New Roman" w:cs="Times New Roman" w:eastAsiaTheme="minorEastAsia"/>
                <w:color w:val="auto"/>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kern w:val="0"/>
              </w:rPr>
              <w:t>氨氮（NH</w:t>
            </w:r>
            <w:r>
              <w:rPr>
                <w:rFonts w:hint="default" w:ascii="Times New Roman" w:hAnsi="Times New Roman" w:cs="Times New Roman" w:eastAsiaTheme="minorEastAsia"/>
                <w:color w:val="auto"/>
                <w:kern w:val="0"/>
                <w:vertAlign w:val="subscript"/>
              </w:rPr>
              <w:t>3</w:t>
            </w:r>
            <w:r>
              <w:rPr>
                <w:rFonts w:hint="default" w:ascii="Times New Roman" w:hAnsi="Times New Roman" w:cs="Times New Roman" w:eastAsiaTheme="minorEastAsia"/>
                <w:color w:val="auto"/>
                <w:kern w:val="0"/>
              </w:rPr>
              <w:t>-N）</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≤0.15</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≤1.0</w:t>
            </w:r>
          </w:p>
        </w:tc>
        <w:tc>
          <w:tcPr>
            <w:tcW w:w="1174" w:type="pct"/>
            <w:vMerge w:val="continue"/>
            <w:vAlign w:val="center"/>
          </w:tcPr>
          <w:p>
            <w:pPr>
              <w:autoSpaceDE w:val="0"/>
              <w:autoSpaceDN w:val="0"/>
              <w:adjustRightInd w:val="0"/>
              <w:snapToGrid w:val="0"/>
              <w:jc w:val="left"/>
              <w:rPr>
                <w:rFonts w:hint="default" w:ascii="Times New Roman" w:hAnsi="Times New Roman" w:cs="Times New Roman" w:eastAsiaTheme="minorEastAsia"/>
                <w:color w:val="auto"/>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石油类</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≤0.05</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≤0.05</w:t>
            </w:r>
          </w:p>
        </w:tc>
        <w:tc>
          <w:tcPr>
            <w:tcW w:w="1174" w:type="pct"/>
            <w:vMerge w:val="continue"/>
            <w:vAlign w:val="center"/>
          </w:tcPr>
          <w:p>
            <w:pPr>
              <w:autoSpaceDE w:val="0"/>
              <w:autoSpaceDN w:val="0"/>
              <w:adjustRightInd w:val="0"/>
              <w:snapToGrid w:val="0"/>
              <w:jc w:val="left"/>
              <w:rPr>
                <w:rFonts w:hint="default" w:ascii="Times New Roman" w:hAnsi="Times New Roman" w:cs="Times New Roman" w:eastAsiaTheme="minorEastAsia"/>
                <w:color w:val="auto"/>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5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悬浮物（SS）</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≤20</w:t>
            </w:r>
          </w:p>
        </w:tc>
        <w:tc>
          <w:tcPr>
            <w:tcW w:w="123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≤30</w:t>
            </w:r>
          </w:p>
        </w:tc>
        <w:tc>
          <w:tcPr>
            <w:tcW w:w="1174" w:type="pct"/>
            <w:vAlign w:val="center"/>
          </w:tcPr>
          <w:p>
            <w:pPr>
              <w:autoSpaceDE w:val="0"/>
              <w:autoSpaceDN w:val="0"/>
              <w:adjustRightInd w:val="0"/>
              <w:snapToGrid w:val="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rPr>
              <w:t>《地表水资源质量标准》（SL63-94）</w:t>
            </w:r>
          </w:p>
        </w:tc>
      </w:tr>
    </w:tbl>
    <w:p>
      <w:pPr>
        <w:pStyle w:val="347"/>
        <w:snapToGrid w:val="0"/>
        <w:spacing w:line="36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注：悬浮物参照《地表水资源质量标准》（SL63-94）中的相应标准值。</w:t>
      </w:r>
    </w:p>
    <w:p>
      <w:pPr>
        <w:pStyle w:val="145"/>
        <w:rPr>
          <w:rFonts w:hint="default" w:ascii="Times New Roman" w:hAnsi="Times New Roman" w:cs="Times New Roman"/>
          <w:color w:val="auto"/>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⑵ 污染物排放标准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本项目生活污水、初期雨水经污水</w:t>
      </w:r>
      <w:r>
        <w:rPr>
          <w:rFonts w:hint="eastAsia" w:ascii="Times New Roman" w:hAnsi="Times New Roman" w:cs="Times New Roman" w:eastAsiaTheme="minorEastAsia"/>
          <w:color w:val="auto"/>
          <w:sz w:val="24"/>
          <w:szCs w:val="24"/>
          <w:u w:val="single"/>
          <w:lang w:val="en-US" w:eastAsia="zh-CN"/>
        </w:rPr>
        <w:t>收集</w:t>
      </w:r>
      <w:r>
        <w:rPr>
          <w:rFonts w:hint="default" w:ascii="Times New Roman" w:hAnsi="Times New Roman" w:cs="Times New Roman" w:eastAsiaTheme="minorEastAsia"/>
          <w:color w:val="auto"/>
          <w:sz w:val="24"/>
          <w:szCs w:val="24"/>
          <w:u w:val="single"/>
        </w:rPr>
        <w:t>箱</w:t>
      </w:r>
      <w:r>
        <w:rPr>
          <w:rFonts w:hint="eastAsia" w:ascii="Times New Roman" w:hAnsi="Times New Roman" w:cs="Times New Roman" w:eastAsiaTheme="minorEastAsia"/>
          <w:color w:val="auto"/>
          <w:sz w:val="24"/>
          <w:szCs w:val="24"/>
          <w:u w:val="single"/>
          <w:lang w:val="en-US" w:eastAsia="zh-CN"/>
        </w:rPr>
        <w:t>收集</w:t>
      </w:r>
      <w:r>
        <w:rPr>
          <w:rFonts w:hint="default" w:ascii="Times New Roman" w:hAnsi="Times New Roman" w:cs="Times New Roman" w:eastAsiaTheme="minorEastAsia"/>
          <w:color w:val="auto"/>
          <w:sz w:val="24"/>
          <w:szCs w:val="24"/>
          <w:u w:val="single"/>
        </w:rPr>
        <w:t>后，再泵送至</w:t>
      </w:r>
      <w:r>
        <w:rPr>
          <w:rFonts w:hint="default" w:ascii="Times New Roman" w:hAnsi="Times New Roman" w:cs="Times New Roman" w:eastAsiaTheme="minorEastAsia"/>
          <w:color w:val="auto"/>
          <w:sz w:val="24"/>
          <w:u w:val="single"/>
        </w:rPr>
        <w:t>岳阳LNG接收站（储备中心）项目</w:t>
      </w:r>
      <w:r>
        <w:rPr>
          <w:rFonts w:hint="eastAsia" w:ascii="Times New Roman" w:hAnsi="Times New Roman" w:cs="Times New Roman" w:eastAsiaTheme="minorEastAsia"/>
          <w:color w:val="auto"/>
          <w:sz w:val="24"/>
          <w:u w:val="single"/>
          <w:lang w:val="en-US" w:eastAsia="zh-CN"/>
        </w:rPr>
        <w:t>一期工程</w:t>
      </w:r>
      <w:r>
        <w:rPr>
          <w:rFonts w:hint="default" w:ascii="Times New Roman" w:hAnsi="Times New Roman" w:cs="Times New Roman" w:eastAsiaTheme="minorEastAsia"/>
          <w:color w:val="auto"/>
          <w:sz w:val="24"/>
          <w:szCs w:val="24"/>
          <w:u w:val="single"/>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u w:val="single"/>
          <w:lang w:val="en-US" w:eastAsia="zh-CN"/>
        </w:rPr>
        <w:t>不外排</w:t>
      </w:r>
      <w:r>
        <w:rPr>
          <w:rFonts w:hint="default" w:ascii="Times New Roman" w:hAnsi="Times New Roman" w:cs="Times New Roman" w:eastAsiaTheme="minorEastAsia"/>
          <w:color w:val="auto"/>
          <w:sz w:val="24"/>
          <w:szCs w:val="24"/>
          <w:u w:val="single"/>
        </w:rPr>
        <w:t>。执行标准见表2.4-4。</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u w:val="single"/>
        </w:rPr>
        <w:t>本项目产生的</w:t>
      </w:r>
      <w:r>
        <w:rPr>
          <w:rFonts w:hint="eastAsia" w:ascii="Times New Roman" w:hAnsi="Times New Roman" w:cs="Times New Roman" w:eastAsiaTheme="minorEastAsia"/>
          <w:color w:val="auto"/>
          <w:sz w:val="24"/>
          <w:szCs w:val="24"/>
          <w:u w:val="single"/>
          <w:lang w:val="en-US" w:eastAsia="zh-CN"/>
        </w:rPr>
        <w:t>机修</w:t>
      </w:r>
      <w:r>
        <w:rPr>
          <w:rFonts w:hint="default" w:ascii="Times New Roman" w:hAnsi="Times New Roman" w:cs="Times New Roman" w:eastAsiaTheme="minorEastAsia"/>
          <w:color w:val="auto"/>
          <w:sz w:val="24"/>
          <w:szCs w:val="24"/>
          <w:u w:val="single"/>
        </w:rPr>
        <w:t>含</w:t>
      </w:r>
      <w:r>
        <w:rPr>
          <w:rFonts w:hint="default" w:ascii="Times New Roman" w:hAnsi="Times New Roman" w:cs="Times New Roman" w:eastAsiaTheme="minorEastAsia"/>
          <w:color w:val="auto"/>
          <w:sz w:val="24"/>
          <w:szCs w:val="24"/>
          <w:u w:val="single"/>
          <w:lang w:val="en-US" w:eastAsia="zh-CN"/>
        </w:rPr>
        <w:t>油污水</w:t>
      </w:r>
      <w:r>
        <w:rPr>
          <w:rFonts w:hint="eastAsia" w:ascii="Times New Roman" w:hAnsi="Times New Roman" w:cs="Times New Roman" w:eastAsiaTheme="minorEastAsia"/>
          <w:color w:val="auto"/>
          <w:sz w:val="24"/>
          <w:szCs w:val="24"/>
          <w:u w:val="single"/>
          <w:lang w:val="en-US" w:eastAsia="zh-CN"/>
        </w:rPr>
        <w:t>及</w:t>
      </w:r>
      <w:r>
        <w:rPr>
          <w:rFonts w:hint="default" w:ascii="Times New Roman" w:hAnsi="Times New Roman" w:cs="Times New Roman" w:eastAsiaTheme="minorEastAsia"/>
          <w:color w:val="auto"/>
          <w:sz w:val="24"/>
          <w:szCs w:val="24"/>
          <w:u w:val="single"/>
          <w:lang w:val="en-US" w:eastAsia="zh-CN"/>
        </w:rPr>
        <w:t>部分事故残液和事故消防液</w:t>
      </w:r>
      <w:r>
        <w:rPr>
          <w:rFonts w:hint="default" w:ascii="Times New Roman" w:hAnsi="Times New Roman" w:cs="Times New Roman" w:eastAsiaTheme="minorEastAsia"/>
          <w:color w:val="auto"/>
          <w:sz w:val="24"/>
          <w:szCs w:val="24"/>
          <w:u w:val="single"/>
        </w:rPr>
        <w:t>经污水收集箱收集后，达到一定量后，通过</w:t>
      </w:r>
      <w:r>
        <w:rPr>
          <w:rFonts w:hint="eastAsia" w:ascii="Times New Roman" w:hAnsi="Times New Roman" w:cs="Times New Roman" w:eastAsiaTheme="minorEastAsia"/>
          <w:color w:val="auto"/>
          <w:sz w:val="24"/>
          <w:szCs w:val="24"/>
          <w:u w:val="single"/>
          <w:lang w:val="en-US" w:eastAsia="zh-CN"/>
        </w:rPr>
        <w:t>专业</w:t>
      </w:r>
      <w:r>
        <w:rPr>
          <w:rFonts w:hint="default" w:ascii="Times New Roman" w:hAnsi="Times New Roman" w:cs="Times New Roman" w:eastAsiaTheme="minorEastAsia"/>
          <w:color w:val="auto"/>
          <w:sz w:val="24"/>
          <w:szCs w:val="24"/>
          <w:u w:val="single"/>
        </w:rPr>
        <w:t>泵车外运至君山区第二污水处理厂处置，本项目采用泵车运输含油废水的次数约2~3次/年，尾水处理达到《城镇污水处理厂污染物排放标准》（GB18918-2002）中一级B标准后沿柳毅西路排入长江。</w:t>
      </w:r>
      <w:r>
        <w:rPr>
          <w:rFonts w:hint="default" w:ascii="Times New Roman" w:hAnsi="Times New Roman" w:cs="Times New Roman" w:eastAsiaTheme="minorEastAsia"/>
          <w:color w:val="auto"/>
          <w:sz w:val="24"/>
          <w:szCs w:val="24"/>
        </w:rPr>
        <w:t>执行标准见表2.4-5。</w:t>
      </w:r>
    </w:p>
    <w:p>
      <w:pPr>
        <w:tabs>
          <w:tab w:val="left" w:pos="900"/>
        </w:tabs>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表2.4-4  城市杂用水水质标准</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901"/>
        <w:gridCol w:w="4161"/>
        <w:gridCol w:w="3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城市绿化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pH</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色/度</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浊度/NTU</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4</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溶解性总固体/（mg/L）</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五日生化需氧量（BOD</w:t>
            </w:r>
            <w:r>
              <w:rPr>
                <w:rFonts w:hint="default" w:ascii="Times New Roman" w:hAnsi="Times New Roman" w:cs="Times New Roman"/>
                <w:color w:val="auto"/>
                <w:vertAlign w:val="subscript"/>
              </w:rPr>
              <w:t>5</w:t>
            </w:r>
            <w:r>
              <w:rPr>
                <w:rFonts w:hint="default" w:ascii="Times New Roman" w:hAnsi="Times New Roman" w:cs="Times New Roman"/>
                <w:color w:val="auto"/>
              </w:rPr>
              <w:t>）/(mg/L）</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7</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氨氮/（mg/L）</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8</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阴离子表面活性剂/（mg/L）</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9</w:t>
            </w:r>
          </w:p>
        </w:tc>
        <w:tc>
          <w:tcPr>
            <w:tcW w:w="228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溶解氧（mg/L）</w:t>
            </w:r>
          </w:p>
        </w:tc>
        <w:tc>
          <w:tcPr>
            <w:tcW w:w="1667"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r>
    </w:tbl>
    <w:p>
      <w:pPr>
        <w:adjustRightInd w:val="0"/>
        <w:snapToGrid w:val="0"/>
        <w:spacing w:line="360" w:lineRule="auto"/>
        <w:rPr>
          <w:rFonts w:hint="default" w:ascii="Times New Roman" w:hAnsi="Times New Roman" w:cs="Times New Roman" w:eastAsiaTheme="minorEastAsia"/>
          <w:color w:val="auto"/>
          <w:sz w:val="24"/>
          <w:szCs w:val="24"/>
        </w:rPr>
      </w:pPr>
    </w:p>
    <w:p>
      <w:pPr>
        <w:tabs>
          <w:tab w:val="left" w:pos="900"/>
        </w:tabs>
        <w:snapToGrid w:val="0"/>
        <w:spacing w:line="276" w:lineRule="auto"/>
        <w:jc w:val="right"/>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 xml:space="preserve">表2.4-5  城镇污水处理厂污染物排放标准一级B标      </w:t>
      </w:r>
      <w:r>
        <w:rPr>
          <w:rFonts w:hint="default" w:ascii="Times New Roman" w:hAnsi="Times New Roman" w:cs="Times New Roman" w:eastAsiaTheme="minorEastAsia"/>
          <w:color w:val="auto"/>
          <w:sz w:val="24"/>
          <w:szCs w:val="24"/>
        </w:rPr>
        <w:t>单位：mg/L</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23"/>
        <w:gridCol w:w="1127"/>
        <w:gridCol w:w="2770"/>
        <w:gridCol w:w="939"/>
        <w:gridCol w:w="1076"/>
        <w:gridCol w:w="1289"/>
        <w:gridCol w:w="11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blHeader/>
          <w:jc w:val="center"/>
        </w:trPr>
        <w:tc>
          <w:tcPr>
            <w:tcW w:w="398"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2141" w:type="pct"/>
            <w:gridSpan w:val="2"/>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基本控制项目</w:t>
            </w:r>
          </w:p>
        </w:tc>
        <w:tc>
          <w:tcPr>
            <w:tcW w:w="1107"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一级标准</w:t>
            </w:r>
          </w:p>
        </w:tc>
        <w:tc>
          <w:tcPr>
            <w:tcW w:w="708"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二级标准</w:t>
            </w:r>
          </w:p>
        </w:tc>
        <w:tc>
          <w:tcPr>
            <w:tcW w:w="644"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98"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p>
        </w:tc>
        <w:tc>
          <w:tcPr>
            <w:tcW w:w="2141" w:type="pct"/>
            <w:gridSpan w:val="2"/>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A标准</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B标准</w:t>
            </w:r>
          </w:p>
        </w:tc>
        <w:tc>
          <w:tcPr>
            <w:tcW w:w="708"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p>
        </w:tc>
        <w:tc>
          <w:tcPr>
            <w:tcW w:w="644"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化学需氧量（COD）</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50</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60</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生化需氧量（BOD</w:t>
            </w:r>
            <w:r>
              <w:rPr>
                <w:rFonts w:hint="default" w:ascii="Times New Roman" w:hAnsi="Times New Roman" w:cs="Times New Roman"/>
                <w:color w:val="auto"/>
                <w:vertAlign w:val="subscript"/>
              </w:rPr>
              <w:t>5</w:t>
            </w:r>
            <w:r>
              <w:rPr>
                <w:rFonts w:hint="default" w:ascii="Times New Roman" w:hAnsi="Times New Roman" w:cs="Times New Roman"/>
                <w:color w:val="auto"/>
              </w:rPr>
              <w:t>）</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悬浮物（SS）</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4</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lang w:bidi="zh-CN"/>
              </w:rPr>
            </w:pPr>
            <w:r>
              <w:rPr>
                <w:rFonts w:hint="default" w:ascii="Times New Roman" w:hAnsi="Times New Roman" w:cs="Times New Roman"/>
                <w:color w:val="auto"/>
              </w:rPr>
              <w:t>动植物油</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lang w:bidi="zh-CN"/>
              </w:rPr>
            </w:pPr>
            <w:r>
              <w:rPr>
                <w:rFonts w:hint="default" w:ascii="Times New Roman" w:hAnsi="Times New Roman" w:cs="Times New Roman"/>
                <w:color w:val="auto"/>
              </w:rPr>
              <w:t>石油类</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lang w:bidi="zh-CN"/>
              </w:rPr>
            </w:pPr>
            <w:r>
              <w:rPr>
                <w:rFonts w:hint="default" w:ascii="Times New Roman" w:hAnsi="Times New Roman" w:cs="Times New Roman"/>
                <w:color w:val="auto"/>
              </w:rPr>
              <w:t>阴离子表面活性剂</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7</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lang w:bidi="zh-CN"/>
              </w:rPr>
            </w:pPr>
            <w:r>
              <w:rPr>
                <w:rFonts w:hint="default" w:ascii="Times New Roman" w:hAnsi="Times New Roman" w:cs="Times New Roman"/>
                <w:color w:val="auto"/>
              </w:rPr>
              <w:t>总氮（以N计）</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15</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8</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lang w:bidi="zh-CN"/>
              </w:rPr>
            </w:pPr>
            <w:r>
              <w:rPr>
                <w:rFonts w:hint="default" w:ascii="Times New Roman" w:hAnsi="Times New Roman" w:cs="Times New Roman"/>
                <w:color w:val="auto"/>
              </w:rPr>
              <w:t>氨氮（以N计）</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5（8）</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8（15）</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25（30）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9</w:t>
            </w:r>
          </w:p>
        </w:tc>
        <w:tc>
          <w:tcPr>
            <w:tcW w:w="619"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总磷（以P计）</w:t>
            </w:r>
          </w:p>
        </w:tc>
        <w:tc>
          <w:tcPr>
            <w:tcW w:w="1522"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05年12月31日前建设</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1.5</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619"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1522"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05年1月1日起建设的</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色度（稀释倍数）</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30</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30</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40</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11</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pH值</w:t>
            </w:r>
          </w:p>
        </w:tc>
        <w:tc>
          <w:tcPr>
            <w:tcW w:w="2459" w:type="pct"/>
            <w:gridSpan w:val="4"/>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12</w:t>
            </w:r>
          </w:p>
        </w:tc>
        <w:tc>
          <w:tcPr>
            <w:tcW w:w="2141" w:type="pct"/>
            <w:gridSpan w:val="2"/>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粪大肠菌群数（个/L）</w:t>
            </w:r>
          </w:p>
        </w:tc>
        <w:tc>
          <w:tcPr>
            <w:tcW w:w="516"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3</w:t>
            </w:r>
          </w:p>
        </w:tc>
        <w:tc>
          <w:tcPr>
            <w:tcW w:w="5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4</w:t>
            </w:r>
          </w:p>
        </w:tc>
        <w:tc>
          <w:tcPr>
            <w:tcW w:w="70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4</w:t>
            </w:r>
          </w:p>
        </w:tc>
        <w:tc>
          <w:tcPr>
            <w:tcW w:w="64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r>
    </w:tbl>
    <w:p>
      <w:pPr>
        <w:adjustRightInd w:val="0"/>
        <w:snapToGrid w:val="0"/>
        <w:spacing w:line="360" w:lineRule="auto"/>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船舶污染物排放执行《船舶水污染物排放控制标准》（GB3552-2018）中对应标准，船舶舱底油污水和船舶生活污水由海事部门指定的具有资质的船舶污染物回收企业接收处理，禁止外排长江。</w:t>
      </w:r>
    </w:p>
    <w:p>
      <w:pPr>
        <w:adjustRightInd w:val="0"/>
        <w:snapToGrid w:val="0"/>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表2.4-6  船舶水污染物排放控制标准（GB3552-2018）</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68"/>
        <w:gridCol w:w="1609"/>
        <w:gridCol w:w="6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22"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884"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污染物</w:t>
            </w:r>
          </w:p>
        </w:tc>
        <w:tc>
          <w:tcPr>
            <w:tcW w:w="3692"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2"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w:t>
            </w:r>
          </w:p>
        </w:tc>
        <w:tc>
          <w:tcPr>
            <w:tcW w:w="88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船舶含油污水</w:t>
            </w:r>
          </w:p>
        </w:tc>
        <w:tc>
          <w:tcPr>
            <w:tcW w:w="3692" w:type="pct"/>
            <w:tcBorders>
              <w:tl2br w:val="nil"/>
              <w:tr2bl w:val="nil"/>
            </w:tcBorders>
            <w:vAlign w:val="center"/>
          </w:tcPr>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内河，机器处所油污水，2021年1月1日之前建造的船舶，执行石油类最高容许浓度二15mg/L或收集并排入接收设施；</w:t>
            </w:r>
          </w:p>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2021年1月1日及以后建造的船舶，收集并排入接收设施。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2"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w:t>
            </w:r>
          </w:p>
        </w:tc>
        <w:tc>
          <w:tcPr>
            <w:tcW w:w="88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船舶生活污水</w:t>
            </w:r>
          </w:p>
        </w:tc>
        <w:tc>
          <w:tcPr>
            <w:tcW w:w="3692" w:type="pct"/>
            <w:tcBorders>
              <w:tl2br w:val="nil"/>
              <w:tr2bl w:val="nil"/>
            </w:tcBorders>
            <w:vAlign w:val="center"/>
          </w:tcPr>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内河，利用船载收集装置收集，排入接收设施。或利用船载生活污水处理装置处理，达到如下标准排放；</w:t>
            </w:r>
          </w:p>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⑴ 2012年1月1日以前安装（含更换）生活污水处理装置的船舶，执行BOD</w:t>
            </w:r>
            <w:r>
              <w:rPr>
                <w:rFonts w:hint="default" w:ascii="Times New Roman" w:hAnsi="Times New Roman" w:cs="Times New Roman"/>
                <w:color w:val="auto"/>
                <w:vertAlign w:val="subscript"/>
              </w:rPr>
              <w:t>5</w:t>
            </w:r>
            <w:r>
              <w:rPr>
                <w:rFonts w:hint="default" w:ascii="Times New Roman" w:hAnsi="Times New Roman" w:cs="Times New Roman"/>
                <w:color w:val="auto"/>
              </w:rPr>
              <w:t>最高容许浓度≤50mg/L；</w:t>
            </w:r>
          </w:p>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⑵ 2012年1月1日及以后安装（含更换）生活污水处理装置的船舶，执行BOD</w:t>
            </w:r>
            <w:r>
              <w:rPr>
                <w:rFonts w:hint="default" w:ascii="Times New Roman" w:hAnsi="Times New Roman" w:cs="Times New Roman"/>
                <w:color w:val="auto"/>
                <w:vertAlign w:val="subscript"/>
              </w:rPr>
              <w:t>5</w:t>
            </w:r>
            <w:r>
              <w:rPr>
                <w:rFonts w:hint="default" w:ascii="Times New Roman" w:hAnsi="Times New Roman" w:cs="Times New Roman"/>
                <w:color w:val="auto"/>
              </w:rPr>
              <w:t>最高容许浓度≤25mg/L、COD</w:t>
            </w:r>
            <w:r>
              <w:rPr>
                <w:rFonts w:hint="default" w:ascii="Times New Roman" w:hAnsi="Times New Roman" w:cs="Times New Roman"/>
                <w:color w:val="auto"/>
                <w:vertAlign w:val="subscript"/>
              </w:rPr>
              <w:t>CR</w:t>
            </w:r>
            <w:r>
              <w:rPr>
                <w:rFonts w:hint="default" w:ascii="Times New Roman" w:hAnsi="Times New Roman" w:cs="Times New Roman"/>
                <w:color w:val="auto"/>
              </w:rPr>
              <w:t>最高容许浓度≤125mg/L。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2"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3</w:t>
            </w:r>
          </w:p>
        </w:tc>
        <w:tc>
          <w:tcPr>
            <w:tcW w:w="884"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船舶垃圾</w:t>
            </w:r>
          </w:p>
        </w:tc>
        <w:tc>
          <w:tcPr>
            <w:tcW w:w="3692" w:type="pct"/>
            <w:tcBorders>
              <w:tl2br w:val="nil"/>
              <w:tr2bl w:val="nil"/>
            </w:tcBorders>
            <w:vAlign w:val="center"/>
          </w:tcPr>
          <w:p>
            <w:pPr>
              <w:pStyle w:val="7"/>
              <w:adjustRightInd w:val="0"/>
              <w:snapToGrid w:val="0"/>
              <w:spacing w:after="0"/>
              <w:ind w:firstLine="420" w:firstLineChars="200"/>
              <w:rPr>
                <w:rFonts w:hint="default" w:ascii="Times New Roman" w:hAnsi="Times New Roman" w:cs="Times New Roman"/>
                <w:color w:val="auto"/>
              </w:rPr>
            </w:pPr>
            <w:r>
              <w:rPr>
                <w:rFonts w:hint="default" w:ascii="Times New Roman" w:hAnsi="Times New Roman" w:cs="Times New Roman"/>
                <w:color w:val="auto"/>
              </w:rPr>
              <w:t>内河禁止倾倒船舶垃圾。</w:t>
            </w:r>
          </w:p>
        </w:tc>
      </w:tr>
    </w:tbl>
    <w:p>
      <w:pPr>
        <w:adjustRightInd w:val="0"/>
        <w:snapToGrid w:val="0"/>
        <w:spacing w:line="360" w:lineRule="auto"/>
        <w:ind w:firstLine="420" w:firstLineChars="200"/>
        <w:rPr>
          <w:rFonts w:hint="default" w:ascii="Times New Roman" w:hAnsi="Times New Roman" w:cs="Times New Roman"/>
          <w:color w:val="auto"/>
        </w:rPr>
      </w:pP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声环境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环境质量标准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本项目位于</w:t>
      </w:r>
      <w:r>
        <w:rPr>
          <w:rFonts w:hint="default" w:ascii="Times New Roman" w:hAnsi="Times New Roman" w:cs="Times New Roman"/>
          <w:color w:val="auto"/>
          <w:sz w:val="24"/>
        </w:rPr>
        <w:t>岳阳市君山区广兴洲作业区</w:t>
      </w:r>
      <w:r>
        <w:rPr>
          <w:rFonts w:hint="default" w:ascii="Times New Roman" w:hAnsi="Times New Roman" w:cs="Times New Roman" w:eastAsiaTheme="minorEastAsia"/>
          <w:color w:val="auto"/>
          <w:sz w:val="24"/>
          <w:szCs w:val="24"/>
        </w:rPr>
        <w:t>岸线。航道两侧35m红线范围内声环境质量执行《声环境质量标准》（GB3096-2008）4a类标准，其他区域声环境质量执行《声环境质量标准》（GB3096-2008）</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rPr>
        <w:t>类标准，具体详见表2.4-7。</w:t>
      </w:r>
    </w:p>
    <w:p>
      <w:pPr>
        <w:tabs>
          <w:tab w:val="left" w:pos="900"/>
        </w:tabs>
        <w:wordWrap w:val="0"/>
        <w:snapToGrid w:val="0"/>
        <w:spacing w:line="276" w:lineRule="auto"/>
        <w:jc w:val="righ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 xml:space="preserve">表2.4-7  声环境质量标准              </w:t>
      </w:r>
      <w:r>
        <w:rPr>
          <w:rFonts w:hint="default" w:ascii="Times New Roman" w:hAnsi="Times New Roman" w:cs="Times New Roman" w:eastAsiaTheme="minorEastAsia"/>
          <w:color w:val="auto"/>
          <w:sz w:val="24"/>
          <w:szCs w:val="24"/>
        </w:rPr>
        <w:t>单位：dB(A)</w:t>
      </w:r>
    </w:p>
    <w:tbl>
      <w:tblPr>
        <w:tblStyle w:val="7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034"/>
        <w:gridCol w:w="3034"/>
        <w:gridCol w:w="303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类别</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昼间</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lang w:val="en-US" w:eastAsia="zh-CN"/>
              </w:rPr>
              <w:t>2</w:t>
            </w:r>
            <w:r>
              <w:rPr>
                <w:rFonts w:hint="default" w:ascii="Times New Roman" w:hAnsi="Times New Roman" w:cs="Times New Roman" w:eastAsiaTheme="minorEastAsia"/>
                <w:color w:val="auto"/>
                <w:kern w:val="0"/>
              </w:rPr>
              <w:t>类</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lang w:eastAsia="zh-CN"/>
              </w:rPr>
            </w:pPr>
            <w:r>
              <w:rPr>
                <w:rFonts w:hint="default" w:ascii="Times New Roman" w:hAnsi="Times New Roman" w:cs="Times New Roman" w:eastAsiaTheme="minorEastAsia"/>
                <w:color w:val="auto"/>
                <w:kern w:val="0"/>
              </w:rPr>
              <w:t>6</w:t>
            </w:r>
            <w:r>
              <w:rPr>
                <w:rFonts w:hint="default" w:ascii="Times New Roman" w:hAnsi="Times New Roman" w:cs="Times New Roman" w:eastAsiaTheme="minorEastAsia"/>
                <w:color w:val="auto"/>
                <w:kern w:val="0"/>
                <w:lang w:val="en-US" w:eastAsia="zh-CN"/>
              </w:rPr>
              <w:t>0</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lang w:val="en-US" w:eastAsia="zh-CN"/>
              </w:rPr>
            </w:pPr>
            <w:r>
              <w:rPr>
                <w:rFonts w:hint="default" w:ascii="Times New Roman" w:hAnsi="Times New Roman" w:cs="Times New Roman" w:eastAsiaTheme="minorEastAsia"/>
                <w:color w:val="auto"/>
                <w:kern w:val="0"/>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4a类</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70</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55</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⑵ 污染物排放标准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营运期项目靠近长江侧边界噪声排放标准执行《工业企业厂界环境噪声排放标准》（GB12348-2008）4类标准，其他厂界</w:t>
      </w:r>
      <w:r>
        <w:rPr>
          <w:rFonts w:hint="default" w:ascii="Times New Roman" w:hAnsi="Times New Roman" w:cs="Times New Roman" w:eastAsiaTheme="minorEastAsia"/>
          <w:color w:val="auto"/>
          <w:sz w:val="24"/>
          <w:szCs w:val="24"/>
          <w:u w:val="single"/>
          <w:lang w:val="en-US" w:eastAsia="zh-CN"/>
        </w:rPr>
        <w:t>外</w:t>
      </w:r>
      <w:r>
        <w:rPr>
          <w:rFonts w:hint="default" w:ascii="Times New Roman" w:hAnsi="Times New Roman" w:cs="Times New Roman" w:eastAsiaTheme="minorEastAsia"/>
          <w:color w:val="auto"/>
          <w:sz w:val="24"/>
          <w:szCs w:val="24"/>
          <w:u w:val="single"/>
        </w:rPr>
        <w:t>执行</w:t>
      </w:r>
      <w:r>
        <w:rPr>
          <w:rFonts w:hint="default" w:ascii="Times New Roman" w:hAnsi="Times New Roman" w:cs="Times New Roman" w:eastAsiaTheme="minorEastAsia"/>
          <w:color w:val="auto"/>
          <w:sz w:val="24"/>
          <w:szCs w:val="24"/>
          <w:u w:val="single"/>
          <w:lang w:val="en-US" w:eastAsia="zh-CN"/>
        </w:rPr>
        <w:t>2</w:t>
      </w:r>
      <w:r>
        <w:rPr>
          <w:rFonts w:hint="default" w:ascii="Times New Roman" w:hAnsi="Times New Roman" w:cs="Times New Roman" w:eastAsiaTheme="minorEastAsia"/>
          <w:color w:val="auto"/>
          <w:sz w:val="24"/>
          <w:szCs w:val="24"/>
          <w:u w:val="single"/>
        </w:rPr>
        <w:t>类标准，具体见表2.4-8；施工期执行《建筑施工场界环境噪声排放标准》（GB12523-2011）的标准，具体见表2.4-9。</w:t>
      </w:r>
    </w:p>
    <w:p>
      <w:pPr>
        <w:tabs>
          <w:tab w:val="left" w:pos="900"/>
        </w:tabs>
        <w:wordWrap w:val="0"/>
        <w:snapToGrid w:val="0"/>
        <w:spacing w:line="276" w:lineRule="auto"/>
        <w:jc w:val="right"/>
        <w:rPr>
          <w:rFonts w:hint="default" w:ascii="Times New Roman" w:hAnsi="Times New Roman" w:cs="Times New Roman" w:eastAsiaTheme="minorEastAsia"/>
          <w:b/>
          <w:color w:val="auto"/>
          <w:sz w:val="24"/>
          <w:szCs w:val="24"/>
          <w:u w:val="single"/>
        </w:rPr>
      </w:pPr>
      <w:r>
        <w:rPr>
          <w:rFonts w:hint="default" w:ascii="Times New Roman" w:hAnsi="Times New Roman" w:cs="Times New Roman" w:eastAsiaTheme="minorEastAsia"/>
          <w:b/>
          <w:color w:val="auto"/>
          <w:sz w:val="24"/>
          <w:szCs w:val="24"/>
          <w:u w:val="single"/>
        </w:rPr>
        <w:t xml:space="preserve">表2.4-8  工业企业厂界环境噪声排放标准         </w:t>
      </w:r>
      <w:r>
        <w:rPr>
          <w:rFonts w:hint="default" w:ascii="Times New Roman" w:hAnsi="Times New Roman" w:cs="Times New Roman" w:eastAsiaTheme="minorEastAsia"/>
          <w:color w:val="auto"/>
          <w:sz w:val="24"/>
          <w:szCs w:val="24"/>
          <w:u w:val="single"/>
        </w:rPr>
        <w:t>单位dB(A)</w:t>
      </w:r>
    </w:p>
    <w:tbl>
      <w:tblPr>
        <w:tblStyle w:val="7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038"/>
        <w:gridCol w:w="3034"/>
        <w:gridCol w:w="30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1669"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u w:val="single"/>
              </w:rPr>
            </w:pPr>
            <w:r>
              <w:rPr>
                <w:rFonts w:hint="default" w:ascii="Times New Roman" w:hAnsi="Times New Roman" w:cs="Times New Roman" w:eastAsiaTheme="minorEastAsia"/>
                <w:b/>
                <w:color w:val="auto"/>
                <w:kern w:val="0"/>
                <w:u w:val="single"/>
              </w:rPr>
              <w:t>类别</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u w:val="single"/>
              </w:rPr>
            </w:pPr>
            <w:r>
              <w:rPr>
                <w:rFonts w:hint="default" w:ascii="Times New Roman" w:hAnsi="Times New Roman" w:cs="Times New Roman" w:eastAsiaTheme="minorEastAsia"/>
                <w:b/>
                <w:color w:val="auto"/>
                <w:kern w:val="0"/>
                <w:u w:val="single"/>
              </w:rPr>
              <w:t>昼间</w:t>
            </w:r>
          </w:p>
        </w:tc>
        <w:tc>
          <w:tcPr>
            <w:tcW w:w="1664"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u w:val="single"/>
              </w:rPr>
            </w:pPr>
            <w:r>
              <w:rPr>
                <w:rFonts w:hint="default" w:ascii="Times New Roman" w:hAnsi="Times New Roman" w:cs="Times New Roman" w:eastAsiaTheme="minorEastAsia"/>
                <w:b/>
                <w:color w:val="auto"/>
                <w:kern w:val="0"/>
                <w:u w:val="single"/>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rPr>
            </w:pPr>
            <w:r>
              <w:rPr>
                <w:rFonts w:hint="default" w:ascii="Times New Roman" w:hAnsi="Times New Roman" w:cs="Times New Roman" w:eastAsiaTheme="minorEastAsia"/>
                <w:color w:val="auto"/>
                <w:kern w:val="0"/>
                <w:u w:val="single"/>
                <w:lang w:val="en-US" w:eastAsia="zh-CN"/>
              </w:rPr>
              <w:t>2</w:t>
            </w:r>
            <w:r>
              <w:rPr>
                <w:rFonts w:hint="default" w:ascii="Times New Roman" w:hAnsi="Times New Roman" w:cs="Times New Roman" w:eastAsiaTheme="minorEastAsia"/>
                <w:color w:val="auto"/>
                <w:kern w:val="0"/>
                <w:u w:val="single"/>
              </w:rPr>
              <w:t>类</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lang w:eastAsia="zh-CN"/>
              </w:rPr>
            </w:pPr>
            <w:r>
              <w:rPr>
                <w:rFonts w:hint="default" w:ascii="Times New Roman" w:hAnsi="Times New Roman" w:cs="Times New Roman" w:eastAsiaTheme="minorEastAsia"/>
                <w:color w:val="auto"/>
                <w:kern w:val="0"/>
                <w:u w:val="single"/>
              </w:rPr>
              <w:t>6</w:t>
            </w:r>
            <w:r>
              <w:rPr>
                <w:rFonts w:hint="default" w:ascii="Times New Roman" w:hAnsi="Times New Roman" w:cs="Times New Roman" w:eastAsiaTheme="minorEastAsia"/>
                <w:color w:val="auto"/>
                <w:kern w:val="0"/>
                <w:u w:val="single"/>
                <w:lang w:val="en-US" w:eastAsia="zh-CN"/>
              </w:rPr>
              <w:t>0</w:t>
            </w:r>
          </w:p>
        </w:tc>
        <w:tc>
          <w:tcPr>
            <w:tcW w:w="1664"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lang w:eastAsia="zh-CN"/>
              </w:rPr>
            </w:pPr>
            <w:r>
              <w:rPr>
                <w:rFonts w:hint="default" w:ascii="Times New Roman" w:hAnsi="Times New Roman" w:cs="Times New Roman" w:eastAsiaTheme="minorEastAsia"/>
                <w:color w:val="auto"/>
                <w:kern w:val="0"/>
                <w:u w:val="single"/>
              </w:rPr>
              <w:t>5</w:t>
            </w:r>
            <w:r>
              <w:rPr>
                <w:rFonts w:hint="default" w:ascii="Times New Roman" w:hAnsi="Times New Roman" w:cs="Times New Roman" w:eastAsiaTheme="minorEastAsia"/>
                <w:color w:val="auto"/>
                <w:kern w:val="0"/>
                <w:u w:val="single"/>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rPr>
            </w:pPr>
            <w:r>
              <w:rPr>
                <w:rFonts w:hint="default" w:ascii="Times New Roman" w:hAnsi="Times New Roman" w:cs="Times New Roman" w:eastAsiaTheme="minorEastAsia"/>
                <w:color w:val="auto"/>
                <w:kern w:val="0"/>
                <w:u w:val="single"/>
              </w:rPr>
              <w:t>4类</w:t>
            </w:r>
          </w:p>
        </w:tc>
        <w:tc>
          <w:tcPr>
            <w:tcW w:w="166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rPr>
            </w:pPr>
            <w:r>
              <w:rPr>
                <w:rFonts w:hint="default" w:ascii="Times New Roman" w:hAnsi="Times New Roman" w:cs="Times New Roman" w:eastAsiaTheme="minorEastAsia"/>
                <w:color w:val="auto"/>
                <w:kern w:val="0"/>
                <w:u w:val="single"/>
              </w:rPr>
              <w:t>70</w:t>
            </w:r>
          </w:p>
        </w:tc>
        <w:tc>
          <w:tcPr>
            <w:tcW w:w="1664"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u w:val="single"/>
              </w:rPr>
            </w:pPr>
            <w:r>
              <w:rPr>
                <w:rFonts w:hint="default" w:ascii="Times New Roman" w:hAnsi="Times New Roman" w:cs="Times New Roman" w:eastAsiaTheme="minorEastAsia"/>
                <w:color w:val="auto"/>
                <w:kern w:val="0"/>
                <w:u w:val="single"/>
              </w:rPr>
              <w:t>55</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tabs>
          <w:tab w:val="left" w:pos="900"/>
        </w:tabs>
        <w:wordWrap w:val="0"/>
        <w:snapToGrid w:val="0"/>
        <w:spacing w:line="276" w:lineRule="auto"/>
        <w:jc w:val="righ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 xml:space="preserve">表2.4-9  建筑施工场界噪声限值标准            </w:t>
      </w:r>
      <w:r>
        <w:rPr>
          <w:rFonts w:hint="default" w:ascii="Times New Roman" w:hAnsi="Times New Roman" w:cs="Times New Roman" w:eastAsiaTheme="minorEastAsia"/>
          <w:color w:val="auto"/>
          <w:sz w:val="24"/>
          <w:szCs w:val="24"/>
        </w:rPr>
        <w:t>单位dB(A)</w:t>
      </w:r>
    </w:p>
    <w:tbl>
      <w:tblPr>
        <w:tblStyle w:val="7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552"/>
        <w:gridCol w:w="45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2"/>
            <w:vAlign w:val="center"/>
          </w:tcPr>
          <w:p>
            <w:pPr>
              <w:autoSpaceDE w:val="0"/>
              <w:autoSpaceDN w:val="0"/>
              <w:adjustRightInd w:val="0"/>
              <w:snapToGrid w:val="0"/>
              <w:jc w:val="center"/>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rPr>
              <w:t>噪声限值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0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昼间</w:t>
            </w:r>
          </w:p>
        </w:tc>
        <w:tc>
          <w:tcPr>
            <w:tcW w:w="249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0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70</w:t>
            </w:r>
          </w:p>
        </w:tc>
        <w:tc>
          <w:tcPr>
            <w:tcW w:w="249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55</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pStyle w:val="3"/>
        <w:ind w:left="578" w:hanging="578"/>
        <w:rPr>
          <w:rFonts w:hint="default" w:ascii="Times New Roman" w:hAnsi="Times New Roman" w:cs="Times New Roman" w:eastAsiaTheme="minorEastAsia"/>
          <w:b/>
          <w:color w:val="auto"/>
        </w:rPr>
      </w:pPr>
      <w:bookmarkStart w:id="24" w:name="_Toc7839"/>
      <w:bookmarkStart w:id="25" w:name="_Toc4865"/>
      <w:r>
        <w:rPr>
          <w:rFonts w:hint="default" w:ascii="Times New Roman" w:hAnsi="Times New Roman" w:cs="Times New Roman" w:eastAsiaTheme="minorEastAsia"/>
          <w:b/>
          <w:color w:val="auto"/>
        </w:rPr>
        <w:t>评价工作等级、评价重点及评价范围</w:t>
      </w:r>
      <w:bookmarkEnd w:id="24"/>
      <w:bookmarkEnd w:id="25"/>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评价工作等级</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根据《建设项目环境影响评价技术导则 总纲》（HJ2.1-2016）、《环境影响评价技术导则 大气环境》（HJ2.2-2018）、《环境影响评价技术导则 地表水环境》（HJ2.3-2018）、《环境影响评价技术导则 地下水环境》（HJ610-2016）、《环境影响评价技术导则 声环境》（HJ 2.4-2009）、《环境影响评价技术导则 生态影响》（HJ19-2011）、《建设项目环境风险评价技术导则》（HJ 169-2018）和《港口建设项目环境影响评价规范》（JTS105-1-2011）中要求，结合工程特征及所在地的环境特征，确定本项目环境影响评价采用如下评价等级：</w:t>
      </w:r>
    </w:p>
    <w:p>
      <w:pPr>
        <w:adjustRightInd w:val="0"/>
        <w:snapToGrid w:val="0"/>
        <w:spacing w:line="360" w:lineRule="auto"/>
        <w:ind w:firstLine="482"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z w:val="24"/>
          <w:szCs w:val="24"/>
        </w:rPr>
        <w:t>1、环境空气</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项目产生的废气主要为LNG接卸、输送等过程中产生的废气无组织排放。根据《环境评价技术导则 大气环境》（HJ2.2-2018），利用AERSCREEN估算模型估算单源在简单平坦地形、全气象组合条件下主要污染物的最大地面空气质量浓度占标率P</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（第i个污染物），及第i个污染物的地面空气质量浓度达标准限值10%时所对应的最远距离D</w:t>
      </w:r>
      <w:r>
        <w:rPr>
          <w:rFonts w:hint="default" w:ascii="Times New Roman" w:hAnsi="Times New Roman" w:cs="Times New Roman" w:eastAsiaTheme="minorEastAsia"/>
          <w:color w:val="auto"/>
          <w:sz w:val="24"/>
          <w:szCs w:val="24"/>
          <w:vertAlign w:val="subscript"/>
        </w:rPr>
        <w:t>10%</w:t>
      </w:r>
      <w:r>
        <w:rPr>
          <w:rFonts w:hint="default" w:ascii="Times New Roman" w:hAnsi="Times New Roman" w:cs="Times New Roman" w:eastAsiaTheme="minorEastAsia"/>
          <w:color w:val="auto"/>
          <w:sz w:val="24"/>
          <w:szCs w:val="24"/>
        </w:rPr>
        <w:t>。污染物的最大地面空气质量浓度占标率P</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 xml:space="preserve"> 计算公式如下：</w:t>
      </w:r>
    </w:p>
    <w:p>
      <w:pPr>
        <w:adjustRightInd w:val="0"/>
        <w:snapToGrid w:val="0"/>
        <w:spacing w:line="360" w:lineRule="auto"/>
        <w:rPr>
          <w:rFonts w:hint="default" w:ascii="Times New Roman" w:hAnsi="Times New Roman" w:cs="Times New Roman"/>
          <w:color w:val="auto"/>
        </w:rPr>
      </w:pPr>
      <m:oMathPara>
        <m:oMath>
          <m:sSub>
            <m:sSubPr>
              <m:ctrlPr>
                <w:rPr>
                  <w:rFonts w:hint="default" w:ascii="Cambria Math" w:hAnsi="Cambria Math" w:cs="Times New Roman"/>
                  <w:color w:val="auto"/>
                  <w:sz w:val="24"/>
                  <w:szCs w:val="24"/>
                </w:rPr>
              </m:ctrlPr>
            </m:sSubPr>
            <m:e>
              <m:r>
                <w:rPr>
                  <w:rFonts w:hint="default" w:ascii="Cambria Math" w:hAnsi="Cambria Math" w:cs="Times New Roman"/>
                  <w:color w:val="auto"/>
                  <w:sz w:val="24"/>
                  <w:szCs w:val="24"/>
                </w:rPr>
                <m:t>P</m:t>
              </m:r>
              <m:ctrlPr>
                <w:rPr>
                  <w:rFonts w:hint="default" w:ascii="Cambria Math" w:hAnsi="Cambria Math" w:cs="Times New Roman"/>
                  <w:color w:val="auto"/>
                  <w:sz w:val="24"/>
                  <w:szCs w:val="24"/>
                </w:rPr>
              </m:ctrlPr>
            </m:e>
            <m:sub>
              <m:r>
                <w:rPr>
                  <w:rFonts w:hint="default" w:ascii="Cambria Math" w:hAnsi="Cambria Math" w:cs="Times New Roman"/>
                  <w:color w:val="auto"/>
                  <w:sz w:val="24"/>
                  <w:szCs w:val="24"/>
                </w:rPr>
                <m:t>i</m:t>
              </m:r>
              <m:ctrlPr>
                <w:rPr>
                  <w:rFonts w:hint="default" w:ascii="Cambria Math" w:hAnsi="Cambria Math" w:cs="Times New Roman"/>
                  <w:color w:val="auto"/>
                  <w:sz w:val="24"/>
                  <w:szCs w:val="24"/>
                </w:rPr>
              </m:ctrlPr>
            </m:sub>
          </m:sSub>
          <m:r>
            <m:rPr>
              <m:sty m:val="p"/>
            </m:rPr>
            <w:rPr>
              <w:rFonts w:hint="default" w:ascii="Cambria Math" w:hAnsi="Cambria Math" w:cs="Times New Roman"/>
              <w:color w:val="auto"/>
              <w:sz w:val="24"/>
              <w:szCs w:val="24"/>
            </w:rPr>
            <m:t>=</m:t>
          </m:r>
          <m:f>
            <m:fPr>
              <m:ctrlPr>
                <w:rPr>
                  <w:rFonts w:hint="default" w:ascii="Cambria Math" w:hAnsi="Cambria Math" w:cs="Times New Roman"/>
                  <w:color w:val="auto"/>
                  <w:sz w:val="24"/>
                  <w:szCs w:val="24"/>
                </w:rPr>
              </m:ctrlPr>
            </m:fPr>
            <m:num>
              <m:sSub>
                <m:sSubPr>
                  <m:ctrlPr>
                    <w:rPr>
                      <w:rFonts w:hint="default" w:ascii="Cambria Math" w:hAnsi="Cambria Math" w:cs="Times New Roman"/>
                      <w:i/>
                      <w:color w:val="auto"/>
                      <w:sz w:val="24"/>
                      <w:szCs w:val="24"/>
                    </w:rPr>
                  </m:ctrlPr>
                </m:sSubPr>
                <m:e>
                  <m:r>
                    <w:rPr>
                      <w:rFonts w:hint="default" w:ascii="Cambria Math" w:hAnsi="Cambria Math" w:cs="Times New Roman"/>
                      <w:color w:val="auto"/>
                      <w:sz w:val="24"/>
                      <w:szCs w:val="24"/>
                    </w:rPr>
                    <m:t>C</m:t>
                  </m:r>
                  <m:ctrlPr>
                    <w:rPr>
                      <w:rFonts w:hint="default" w:ascii="Cambria Math" w:hAnsi="Cambria Math" w:cs="Times New Roman"/>
                      <w:i/>
                      <w:color w:val="auto"/>
                      <w:sz w:val="24"/>
                      <w:szCs w:val="24"/>
                    </w:rPr>
                  </m:ctrlPr>
                </m:e>
                <m:sub>
                  <m:r>
                    <w:rPr>
                      <w:rFonts w:hint="default" w:ascii="Cambria Math" w:hAnsi="Cambria Math" w:cs="Times New Roman"/>
                      <w:color w:val="auto"/>
                      <w:sz w:val="24"/>
                      <w:szCs w:val="24"/>
                    </w:rPr>
                    <m:t>i</m:t>
                  </m:r>
                  <m:ctrlPr>
                    <w:rPr>
                      <w:rFonts w:hint="default" w:ascii="Cambria Math" w:hAnsi="Cambria Math" w:cs="Times New Roman"/>
                      <w:i/>
                      <w:color w:val="auto"/>
                      <w:sz w:val="24"/>
                      <w:szCs w:val="24"/>
                    </w:rPr>
                  </m:ctrlPr>
                </m:sub>
              </m:sSub>
              <m:ctrlPr>
                <w:rPr>
                  <w:rFonts w:hint="default" w:ascii="Cambria Math" w:hAnsi="Cambria Math" w:cs="Times New Roman"/>
                  <w:color w:val="auto"/>
                  <w:sz w:val="24"/>
                  <w:szCs w:val="24"/>
                </w:rPr>
              </m:ctrlPr>
            </m:num>
            <m:den>
              <m:sSub>
                <m:sSubPr>
                  <m:ctrlPr>
                    <w:rPr>
                      <w:rFonts w:hint="default" w:ascii="Cambria Math" w:hAnsi="Cambria Math" w:cs="Times New Roman"/>
                      <w:i/>
                      <w:color w:val="auto"/>
                      <w:sz w:val="24"/>
                      <w:szCs w:val="24"/>
                    </w:rPr>
                  </m:ctrlPr>
                </m:sSubPr>
                <m:e>
                  <m:r>
                    <w:rPr>
                      <w:rFonts w:hint="default" w:ascii="Cambria Math" w:hAnsi="Cambria Math" w:cs="Times New Roman"/>
                      <w:color w:val="auto"/>
                      <w:sz w:val="24"/>
                      <w:szCs w:val="24"/>
                    </w:rPr>
                    <m:t>C</m:t>
                  </m:r>
                  <m:ctrlPr>
                    <w:rPr>
                      <w:rFonts w:hint="default" w:ascii="Cambria Math" w:hAnsi="Cambria Math" w:cs="Times New Roman"/>
                      <w:i/>
                      <w:color w:val="auto"/>
                      <w:sz w:val="24"/>
                      <w:szCs w:val="24"/>
                    </w:rPr>
                  </m:ctrlPr>
                </m:e>
                <m:sub>
                  <m:r>
                    <w:rPr>
                      <w:rFonts w:hint="default" w:ascii="Cambria Math" w:hAnsi="Cambria Math" w:cs="Times New Roman"/>
                      <w:color w:val="auto"/>
                      <w:sz w:val="24"/>
                      <w:szCs w:val="24"/>
                    </w:rPr>
                    <m:t>0i</m:t>
                  </m:r>
                  <m:ctrlPr>
                    <w:rPr>
                      <w:rFonts w:hint="default" w:ascii="Cambria Math" w:hAnsi="Cambria Math" w:cs="Times New Roman"/>
                      <w:i/>
                      <w:color w:val="auto"/>
                      <w:sz w:val="24"/>
                      <w:szCs w:val="24"/>
                    </w:rPr>
                  </m:ctrlPr>
                </m:sub>
              </m:sSub>
              <m:ctrlPr>
                <w:rPr>
                  <w:rFonts w:hint="default" w:ascii="Cambria Math" w:hAnsi="Cambria Math" w:cs="Times New Roman"/>
                  <w:color w:val="auto"/>
                  <w:sz w:val="24"/>
                  <w:szCs w:val="24"/>
                </w:rPr>
              </m:ctrlPr>
            </m:den>
          </m:f>
          <m:r>
            <w:rPr>
              <w:rFonts w:hint="default" w:ascii="Cambria Math" w:hAnsi="Cambria Math" w:cs="Times New Roman"/>
              <w:color w:val="auto"/>
              <w:sz w:val="24"/>
              <w:szCs w:val="24"/>
            </w:rPr>
            <m:t>×100%</m:t>
          </m:r>
        </m:oMath>
      </m:oMathPara>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式中：P</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——第i个污染物的最大地面空气质量浓度占标率，%；</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——采用估算，模型计算出的第i个污染物的最大1h地面空气质量浓度，μg/m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w:t>
      </w:r>
      <w:r>
        <w:rPr>
          <w:rFonts w:hint="default" w:ascii="Times New Roman" w:hAnsi="Times New Roman" w:cs="Times New Roman" w:eastAsiaTheme="minorEastAsia"/>
          <w:color w:val="auto"/>
          <w:sz w:val="24"/>
          <w:szCs w:val="24"/>
          <w:vertAlign w:val="subscript"/>
        </w:rPr>
        <w:t>0i</w:t>
      </w:r>
      <w:r>
        <w:rPr>
          <w:rFonts w:hint="default" w:ascii="Times New Roman" w:hAnsi="Times New Roman" w:cs="Times New Roman" w:eastAsiaTheme="minorEastAsia"/>
          <w:color w:val="auto"/>
          <w:sz w:val="24"/>
          <w:szCs w:val="24"/>
        </w:rPr>
        <w:t>——第i个污染物的环境空气质量浓度标准，μg/m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根据《环境评价技术导则 大气环境》（HJ2.2-2018），利用AERSCREEN估算模型分别计算污染物的下风向轴线浓度及相应的占标率，估算模型参数取值见表2.5-1，计算结果见表2.5-2。</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本项目对主要污染源采用估算模型进行计算，根据计算结果，本项目各污染物最大地面空气质量浓度P</w:t>
      </w:r>
      <w:r>
        <w:rPr>
          <w:rFonts w:hint="default" w:ascii="Times New Roman" w:hAnsi="Times New Roman" w:cs="Times New Roman" w:eastAsiaTheme="minorEastAsia"/>
          <w:color w:val="auto"/>
          <w:sz w:val="24"/>
          <w:szCs w:val="24"/>
          <w:vertAlign w:val="subscript"/>
        </w:rPr>
        <w:t>max</w:t>
      </w:r>
      <w:r>
        <w:rPr>
          <w:rFonts w:hint="default" w:ascii="Times New Roman" w:hAnsi="Times New Roman" w:cs="Times New Roman" w:eastAsiaTheme="minorEastAsia"/>
          <w:color w:val="auto"/>
          <w:sz w:val="24"/>
          <w:szCs w:val="24"/>
        </w:rPr>
        <w:t>=0.05%，确定该项目大气环境影响评价等级为三级。</w:t>
      </w:r>
    </w:p>
    <w:p>
      <w:pPr>
        <w:adjustRightInd w:val="0"/>
        <w:snapToGrid w:val="0"/>
        <w:ind w:firstLine="482" w:firstLineChars="200"/>
        <w:jc w:val="center"/>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表2.5-1  主要污染源估算模型计算结果表</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40"/>
        <w:gridCol w:w="1785"/>
        <w:gridCol w:w="2914"/>
        <w:gridCol w:w="1638"/>
        <w:gridCol w:w="13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5"/>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b/>
                <w:bCs/>
                <w:color w:val="auto"/>
              </w:rPr>
              <w:t>排放源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污染源</w:t>
            </w:r>
          </w:p>
        </w:tc>
        <w:tc>
          <w:tcPr>
            <w:tcW w:w="98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污染因子</w:t>
            </w:r>
          </w:p>
        </w:tc>
        <w:tc>
          <w:tcPr>
            <w:tcW w:w="160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最大浓度（</w:t>
            </w:r>
            <w:r>
              <w:rPr>
                <w:rFonts w:hint="default" w:ascii="Times New Roman" w:hAnsi="Times New Roman" w:cs="Times New Roman" w:eastAsiaTheme="minorEastAsia"/>
                <w:color w:val="auto"/>
              </w:rPr>
              <w:t>μg/m</w:t>
            </w:r>
            <w:r>
              <w:rPr>
                <w:rFonts w:hint="default" w:ascii="Times New Roman" w:hAnsi="Times New Roman" w:cs="Times New Roman" w:eastAsiaTheme="minorEastAsia"/>
                <w:color w:val="auto"/>
                <w:vertAlign w:val="superscript"/>
              </w:rPr>
              <w:t>3</w:t>
            </w:r>
            <w:r>
              <w:rPr>
                <w:rFonts w:hint="default" w:ascii="Times New Roman" w:hAnsi="Times New Roman" w:cs="Times New Roman"/>
                <w:color w:val="auto"/>
              </w:rPr>
              <w:t>）</w:t>
            </w:r>
          </w:p>
        </w:tc>
        <w:tc>
          <w:tcPr>
            <w:tcW w:w="900"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D</w:t>
            </w:r>
            <w:r>
              <w:rPr>
                <w:rFonts w:hint="default" w:ascii="Times New Roman" w:hAnsi="Times New Roman" w:cs="Times New Roman"/>
                <w:color w:val="auto"/>
                <w:vertAlign w:val="subscript"/>
              </w:rPr>
              <w:t>%10</w:t>
            </w:r>
            <w:r>
              <w:rPr>
                <w:rFonts w:hint="default" w:ascii="Times New Roman" w:hAnsi="Times New Roman" w:cs="Times New Roman"/>
                <w:color w:val="auto"/>
              </w:rPr>
              <w:t>(m)</w:t>
            </w:r>
          </w:p>
        </w:tc>
        <w:tc>
          <w:tcPr>
            <w:tcW w:w="72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P</w:t>
            </w:r>
            <w:r>
              <w:rPr>
                <w:rFonts w:hint="default" w:ascii="Times New Roman" w:hAnsi="Times New Roman" w:cs="Times New Roman"/>
                <w:color w:val="auto"/>
                <w:vertAlign w:val="subscript"/>
              </w:rPr>
              <w:t>max</w:t>
            </w: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9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eastAsia" w:ascii="Times New Roman" w:hAnsi="Times New Roman" w:cs="Times New Roman"/>
                <w:color w:val="auto"/>
                <w:lang w:val="en-US" w:eastAsia="zh-CN"/>
              </w:rPr>
              <w:t>加注</w:t>
            </w:r>
            <w:r>
              <w:rPr>
                <w:rFonts w:hint="default" w:ascii="Times New Roman" w:hAnsi="Times New Roman" w:cs="Times New Roman"/>
                <w:color w:val="auto"/>
              </w:rPr>
              <w:t>码头</w:t>
            </w:r>
          </w:p>
        </w:tc>
        <w:tc>
          <w:tcPr>
            <w:tcW w:w="98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非甲烷总烃</w:t>
            </w:r>
          </w:p>
        </w:tc>
        <w:tc>
          <w:tcPr>
            <w:tcW w:w="160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0.55</w:t>
            </w:r>
          </w:p>
        </w:tc>
        <w:tc>
          <w:tcPr>
            <w:tcW w:w="900"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w:t>
            </w:r>
          </w:p>
        </w:tc>
        <w:tc>
          <w:tcPr>
            <w:tcW w:w="725"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0.05</w:t>
            </w:r>
          </w:p>
        </w:tc>
      </w:tr>
    </w:tbl>
    <w:p>
      <w:pPr>
        <w:adjustRightInd w:val="0"/>
        <w:snapToGrid w:val="0"/>
        <w:spacing w:line="360" w:lineRule="auto"/>
        <w:ind w:firstLine="480" w:firstLineChars="200"/>
        <w:rPr>
          <w:rFonts w:hint="default" w:ascii="Times New Roman" w:hAnsi="Times New Roman" w:eastAsia="CIDFont+F3" w:cs="Times New Roman"/>
          <w:color w:val="auto"/>
          <w:sz w:val="24"/>
        </w:rPr>
      </w:pPr>
    </w:p>
    <w:p>
      <w:pPr>
        <w:adjustRightInd w:val="0"/>
        <w:snapToGrid w:val="0"/>
        <w:ind w:firstLine="482" w:firstLineChars="200"/>
        <w:jc w:val="center"/>
        <w:rPr>
          <w:rFonts w:hint="default" w:ascii="Times New Roman" w:hAnsi="Times New Roman" w:eastAsia="CIDFont+F3" w:cs="Times New Roman"/>
          <w:b/>
          <w:bCs/>
          <w:color w:val="auto"/>
          <w:sz w:val="24"/>
        </w:rPr>
      </w:pPr>
      <w:r>
        <w:rPr>
          <w:rFonts w:hint="default" w:ascii="Times New Roman" w:hAnsi="Times New Roman" w:eastAsia="CIDFont+F3" w:cs="Times New Roman"/>
          <w:b/>
          <w:bCs/>
          <w:color w:val="auto"/>
          <w:sz w:val="24"/>
        </w:rPr>
        <w:t>表2.5-2  大气环境影响评价工作级别判据</w:t>
      </w:r>
    </w:p>
    <w:tbl>
      <w:tblPr>
        <w:tblStyle w:val="7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546"/>
        <w:gridCol w:w="45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498"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评价工作等级</w:t>
            </w:r>
          </w:p>
        </w:tc>
        <w:tc>
          <w:tcPr>
            <w:tcW w:w="2501" w:type="pct"/>
            <w:tcBorders>
              <w:tl2br w:val="nil"/>
              <w:tr2bl w:val="nil"/>
            </w:tcBorders>
            <w:vAlign w:val="center"/>
          </w:tcPr>
          <w:p>
            <w:pPr>
              <w:pStyle w:val="7"/>
              <w:adjustRightInd w:val="0"/>
              <w:snapToGrid w:val="0"/>
              <w:spacing w:after="0"/>
              <w:jc w:val="center"/>
              <w:rPr>
                <w:rFonts w:hint="default" w:ascii="Times New Roman" w:hAnsi="Times New Roman" w:cs="Times New Roman"/>
                <w:b/>
                <w:bCs/>
                <w:color w:val="auto"/>
              </w:rPr>
            </w:pPr>
            <w:r>
              <w:rPr>
                <w:rFonts w:hint="default" w:ascii="Times New Roman" w:hAnsi="Times New Roman" w:cs="Times New Roman"/>
                <w:b/>
                <w:bCs/>
                <w:color w:val="auto"/>
              </w:rPr>
              <w:t>评价工作分级依据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一级</w:t>
            </w:r>
          </w:p>
        </w:tc>
        <w:tc>
          <w:tcPr>
            <w:tcW w:w="250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P</w:t>
            </w:r>
            <w:r>
              <w:rPr>
                <w:rFonts w:hint="default" w:ascii="Times New Roman" w:hAnsi="Times New Roman" w:cs="Times New Roman"/>
                <w:color w:val="auto"/>
                <w:vertAlign w:val="subscript"/>
              </w:rPr>
              <w:t>max</w:t>
            </w: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二级</w:t>
            </w:r>
          </w:p>
        </w:tc>
        <w:tc>
          <w:tcPr>
            <w:tcW w:w="250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1%≤P</w:t>
            </w:r>
            <w:r>
              <w:rPr>
                <w:rFonts w:hint="default" w:ascii="Times New Roman" w:hAnsi="Times New Roman" w:cs="Times New Roman"/>
                <w:color w:val="auto"/>
                <w:vertAlign w:val="subscript"/>
              </w:rPr>
              <w:t>max</w:t>
            </w: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98"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三级</w:t>
            </w:r>
          </w:p>
        </w:tc>
        <w:tc>
          <w:tcPr>
            <w:tcW w:w="2501" w:type="pc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P</w:t>
            </w:r>
            <w:r>
              <w:rPr>
                <w:rFonts w:hint="default" w:ascii="Times New Roman" w:hAnsi="Times New Roman" w:cs="Times New Roman"/>
                <w:color w:val="auto"/>
                <w:vertAlign w:val="subscript"/>
              </w:rPr>
              <w:t>max</w:t>
            </w:r>
            <w:r>
              <w:rPr>
                <w:rFonts w:hint="default" w:ascii="Times New Roman" w:hAnsi="Times New Roman" w:cs="Times New Roman"/>
                <w:color w:val="auto"/>
              </w:rPr>
              <w:t>＜1%</w:t>
            </w:r>
          </w:p>
        </w:tc>
      </w:tr>
    </w:tbl>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本项目生活污水、初期雨水经污水收集箱</w:t>
      </w:r>
      <w:r>
        <w:rPr>
          <w:rFonts w:hint="eastAsia" w:ascii="Times New Roman" w:hAnsi="Times New Roman" w:cs="Times New Roman" w:eastAsiaTheme="minorEastAsia"/>
          <w:color w:val="auto"/>
          <w:sz w:val="24"/>
          <w:szCs w:val="24"/>
          <w:lang w:val="en-US" w:eastAsia="zh-CN"/>
        </w:rPr>
        <w:t>收集</w:t>
      </w:r>
      <w:r>
        <w:rPr>
          <w:rFonts w:hint="default" w:ascii="Times New Roman" w:hAnsi="Times New Roman" w:cs="Times New Roman" w:eastAsiaTheme="minorEastAsia"/>
          <w:color w:val="auto"/>
          <w:sz w:val="24"/>
          <w:szCs w:val="24"/>
        </w:rPr>
        <w:t>后，再泵送至陆域罐区污水处理站，处理达到《城市污水再生利用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lang w:val="en-US" w:eastAsia="zh-CN"/>
        </w:rPr>
        <w:t>不外排</w:t>
      </w:r>
      <w:r>
        <w:rPr>
          <w:rFonts w:hint="default" w:ascii="Times New Roman" w:hAnsi="Times New Roman" w:cs="Times New Roman" w:eastAsiaTheme="minorEastAsia"/>
          <w:color w:val="auto"/>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本项目产生的</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经污水收集箱收集后，达到一定量后，通过</w:t>
      </w:r>
      <w:r>
        <w:rPr>
          <w:rFonts w:hint="eastAsia" w:ascii="Times New Roman" w:hAnsi="Times New Roman" w:cs="Times New Roman" w:eastAsiaTheme="minorEastAsia"/>
          <w:color w:val="auto"/>
          <w:sz w:val="24"/>
          <w:szCs w:val="24"/>
          <w:lang w:val="en-US" w:eastAsia="zh-CN"/>
        </w:rPr>
        <w:t>专业</w:t>
      </w:r>
      <w:r>
        <w:rPr>
          <w:rFonts w:hint="default" w:ascii="Times New Roman" w:hAnsi="Times New Roman" w:cs="Times New Roman" w:eastAsiaTheme="minorEastAsia"/>
          <w:color w:val="auto"/>
          <w:sz w:val="24"/>
          <w:szCs w:val="24"/>
        </w:rPr>
        <w:t>泵车外运至君山区第二污水处理厂处置，本项目采用泵车运输含油废水的次数约2~3次/年，尾水处理达到《城镇污水处理厂污染物排放标准》（GB18918-2002）中一级B标准后沿柳毅西路排入长江。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根据《环境影响评价技术导则 地表水环境》（HJ 2.3-2018），本项目营运期废水排放方式为间接排放，依据水污染影响判定评价等级为三级B。</w:t>
      </w:r>
      <w:r>
        <w:rPr>
          <w:rFonts w:hint="eastAsia" w:ascii="Times New Roman" w:hAnsi="Times New Roman" w:cs="Times New Roman" w:eastAsiaTheme="minorEastAsia"/>
          <w:color w:val="auto"/>
          <w:sz w:val="24"/>
          <w:szCs w:val="24"/>
          <w:lang w:val="en-US" w:eastAsia="zh-CN"/>
        </w:rPr>
        <w:t>加注平台</w:t>
      </w:r>
      <w:r>
        <w:rPr>
          <w:rFonts w:hint="default" w:ascii="Times New Roman" w:hAnsi="Times New Roman" w:cs="Times New Roman" w:eastAsiaTheme="minorEastAsia"/>
          <w:color w:val="auto"/>
          <w:sz w:val="24"/>
          <w:szCs w:val="24"/>
        </w:rPr>
        <w:t>及</w:t>
      </w:r>
      <w:r>
        <w:rPr>
          <w:rFonts w:hint="eastAsia" w:ascii="Times New Roman" w:hAnsi="Times New Roman" w:cs="Times New Roman" w:eastAsiaTheme="minorEastAsia"/>
          <w:color w:val="auto"/>
          <w:sz w:val="24"/>
          <w:szCs w:val="24"/>
          <w:lang w:val="en-US" w:eastAsia="zh-CN"/>
        </w:rPr>
        <w:t>卸车平台</w:t>
      </w:r>
      <w:r>
        <w:rPr>
          <w:rFonts w:hint="default" w:ascii="Times New Roman" w:hAnsi="Times New Roman" w:cs="Times New Roman" w:eastAsiaTheme="minorEastAsia"/>
          <w:color w:val="auto"/>
          <w:sz w:val="24"/>
          <w:szCs w:val="24"/>
        </w:rPr>
        <w:t>为透水构筑物，垂直投影面积及外扩范围A1（0.0</w:t>
      </w:r>
      <w:r>
        <w:rPr>
          <w:rFonts w:hint="eastAsia" w:ascii="Times New Roman" w:hAnsi="Times New Roman" w:cs="Times New Roman" w:eastAsiaTheme="minorEastAsia"/>
          <w:color w:val="auto"/>
          <w:sz w:val="24"/>
          <w:szCs w:val="24"/>
          <w:lang w:val="en-US" w:eastAsia="zh-CN"/>
        </w:rPr>
        <w:t>137</w:t>
      </w:r>
      <w:r>
        <w:rPr>
          <w:rFonts w:hint="default" w:ascii="Times New Roman" w:hAnsi="Times New Roman" w:cs="Times New Roman" w:eastAsiaTheme="minorEastAsia"/>
          <w:color w:val="auto"/>
          <w:sz w:val="24"/>
          <w:szCs w:val="24"/>
        </w:rPr>
        <w:t>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）&lt;0.05km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；施工扰动水底面积A2=0.002km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，A2＜0.2km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，过水断面宽度占用比例＜5%。依据水文要素影响范围，判定评价等级为三级。</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3、地下水环境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根据《环境影响评价技术导则 地下水环境》（HJ610-2016），建设项目地下水环境影响评价工作等级的划分应依据建设项目行业分类和地下水环境敏感程度分级进行判定：</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建设项目行业分类：对照《环境影响评价技术导则 地下水环境》（HJ610-2016）附录A，本项目属于Ⅱ类项目。</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地下水环境敏感程度分级：</w:t>
      </w:r>
    </w:p>
    <w:p>
      <w:pPr>
        <w:adjustRightInd w:val="0"/>
        <w:snapToGrid w:val="0"/>
        <w:spacing w:line="360" w:lineRule="auto"/>
        <w:ind w:firstLine="480"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color w:val="auto"/>
          <w:sz w:val="24"/>
          <w:szCs w:val="24"/>
        </w:rPr>
        <w:t>本项目陆域仅设置连接道路、</w:t>
      </w:r>
      <w:r>
        <w:rPr>
          <w:rFonts w:hint="eastAsia" w:ascii="Times New Roman" w:hAnsi="Times New Roman" w:cs="Times New Roman" w:eastAsiaTheme="minorEastAsia"/>
          <w:color w:val="auto"/>
          <w:sz w:val="24"/>
          <w:szCs w:val="24"/>
          <w:lang w:val="en-US" w:eastAsia="zh-CN"/>
        </w:rPr>
        <w:t>钢</w:t>
      </w:r>
      <w:r>
        <w:rPr>
          <w:rFonts w:hint="default" w:ascii="Times New Roman" w:hAnsi="Times New Roman" w:cs="Times New Roman" w:eastAsiaTheme="minorEastAsia"/>
          <w:color w:val="auto"/>
          <w:sz w:val="24"/>
          <w:szCs w:val="24"/>
        </w:rPr>
        <w:t>引桥、</w:t>
      </w:r>
      <w:r>
        <w:rPr>
          <w:rFonts w:hint="eastAsia" w:ascii="Times New Roman" w:hAnsi="Times New Roman" w:cs="Times New Roman" w:eastAsiaTheme="minorEastAsia"/>
          <w:color w:val="auto"/>
          <w:sz w:val="24"/>
          <w:szCs w:val="24"/>
          <w:lang w:val="en-US" w:eastAsia="zh-CN"/>
        </w:rPr>
        <w:t>倒车</w:t>
      </w:r>
      <w:r>
        <w:rPr>
          <w:rFonts w:hint="default" w:ascii="Times New Roman" w:hAnsi="Times New Roman" w:cs="Times New Roman" w:eastAsiaTheme="minorEastAsia"/>
          <w:color w:val="auto"/>
          <w:sz w:val="24"/>
          <w:szCs w:val="24"/>
        </w:rPr>
        <w:t>平台等，不在饮用水源保护区内，也不涉及国家或地方政府设定的与地下水环境相关的其他保护区、环境敏感区等。因此，项目地下水环境敏感程度属不敏感。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具体等级划分见表2.5-3。</w:t>
      </w:r>
    </w:p>
    <w:p>
      <w:pPr>
        <w:adjustRightInd w:val="0"/>
        <w:snapToGrid w:val="0"/>
        <w:spacing w:line="276" w:lineRule="auto"/>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表2.5-3  地下水环境影响评价工作等级划分表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autofit"/>
        <w:tblCellMar>
          <w:top w:w="0" w:type="dxa"/>
          <w:left w:w="0" w:type="dxa"/>
          <w:bottom w:w="0" w:type="dxa"/>
          <w:right w:w="0" w:type="dxa"/>
        </w:tblCellMar>
      </w:tblPr>
      <w:tblGrid>
        <w:gridCol w:w="2336"/>
        <w:gridCol w:w="2336"/>
        <w:gridCol w:w="2336"/>
        <w:gridCol w:w="20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340" w:hRule="atLeast"/>
          <w:tblHeader/>
          <w:jc w:val="center"/>
        </w:trPr>
        <w:tc>
          <w:tcPr>
            <w:tcW w:w="1284" w:type="pct"/>
            <w:tcBorders>
              <w:tl2br w:val="single" w:color="auto" w:sz="4" w:space="0"/>
            </w:tcBorders>
            <w:vAlign w:val="center"/>
          </w:tcPr>
          <w:p>
            <w:pPr>
              <w:pStyle w:val="6"/>
              <w:spacing w:line="240" w:lineRule="auto"/>
              <w:ind w:firstLine="0" w:firstLineChars="0"/>
              <w:jc w:val="right"/>
              <w:rPr>
                <w:rFonts w:hint="default" w:ascii="Times New Roman" w:hAnsi="Times New Roman" w:cs="Times New Roman"/>
                <w:b/>
                <w:bCs/>
                <w:color w:val="auto"/>
                <w:sz w:val="21"/>
              </w:rPr>
            </w:pPr>
            <w:r>
              <w:rPr>
                <w:rFonts w:hint="default" w:ascii="Times New Roman" w:hAnsi="Times New Roman" w:cs="Times New Roman"/>
                <w:b/>
                <w:bCs/>
                <w:color w:val="auto"/>
                <w:sz w:val="21"/>
              </w:rPr>
              <w:t>项目类别</w:t>
            </w:r>
          </w:p>
          <w:p>
            <w:pPr>
              <w:pStyle w:val="6"/>
              <w:spacing w:line="240" w:lineRule="auto"/>
              <w:ind w:firstLine="0" w:firstLineChars="0"/>
              <w:jc w:val="left"/>
              <w:rPr>
                <w:rFonts w:hint="default" w:ascii="Times New Roman" w:hAnsi="Times New Roman" w:cs="Times New Roman"/>
                <w:b/>
                <w:bCs/>
                <w:color w:val="auto"/>
                <w:sz w:val="21"/>
              </w:rPr>
            </w:pPr>
            <w:r>
              <w:rPr>
                <w:rFonts w:hint="default" w:ascii="Times New Roman" w:hAnsi="Times New Roman" w:cs="Times New Roman"/>
                <w:b/>
                <w:bCs/>
                <w:color w:val="auto"/>
                <w:sz w:val="21"/>
              </w:rPr>
              <w:t>环境敏感程度</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Ⅰ类项目</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Ⅱ类项目</w:t>
            </w:r>
          </w:p>
        </w:tc>
        <w:tc>
          <w:tcPr>
            <w:tcW w:w="1147"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Ⅲ类项目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340" w:hRule="atLeast"/>
          <w:jc w:val="center"/>
        </w:trPr>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敏感</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一</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一</w:t>
            </w:r>
          </w:p>
        </w:tc>
        <w:tc>
          <w:tcPr>
            <w:tcW w:w="1147"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340" w:hRule="atLeast"/>
          <w:jc w:val="center"/>
        </w:trPr>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较敏感</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一</w:t>
            </w:r>
          </w:p>
        </w:tc>
        <w:tc>
          <w:tcPr>
            <w:tcW w:w="1284"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二</w:t>
            </w:r>
          </w:p>
        </w:tc>
        <w:tc>
          <w:tcPr>
            <w:tcW w:w="1147" w:type="pct"/>
            <w:tcBorders>
              <w:tl2br w:val="nil"/>
              <w:tr2bl w:val="nil"/>
            </w:tcBorders>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340" w:hRule="atLeast"/>
          <w:jc w:val="center"/>
        </w:trPr>
        <w:tc>
          <w:tcPr>
            <w:tcW w:w="1284" w:type="pct"/>
            <w:tcBorders>
              <w:tl2br w:val="nil"/>
              <w:tr2bl w:val="nil"/>
            </w:tcBorders>
            <w:shd w:val="clear" w:color="auto" w:fill="auto"/>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不敏感</w:t>
            </w:r>
          </w:p>
        </w:tc>
        <w:tc>
          <w:tcPr>
            <w:tcW w:w="1284" w:type="pct"/>
            <w:tcBorders>
              <w:tl2br w:val="nil"/>
              <w:tr2bl w:val="nil"/>
            </w:tcBorders>
            <w:shd w:val="clear" w:color="auto" w:fill="auto"/>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二</w:t>
            </w:r>
          </w:p>
        </w:tc>
        <w:tc>
          <w:tcPr>
            <w:tcW w:w="1284" w:type="pct"/>
            <w:tcBorders>
              <w:tl2br w:val="nil"/>
              <w:tr2bl w:val="nil"/>
            </w:tcBorders>
            <w:shd w:val="clear" w:color="auto" w:fill="auto"/>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b/>
                <w:bCs/>
                <w:color w:val="auto"/>
                <w:sz w:val="21"/>
              </w:rPr>
              <w:t>三</w:t>
            </w:r>
          </w:p>
        </w:tc>
        <w:tc>
          <w:tcPr>
            <w:tcW w:w="1147" w:type="pct"/>
            <w:tcBorders>
              <w:tl2br w:val="nil"/>
              <w:tr2bl w:val="nil"/>
            </w:tcBorders>
            <w:shd w:val="clear" w:color="auto" w:fill="auto"/>
            <w:vAlign w:val="center"/>
          </w:tcPr>
          <w:p>
            <w:pPr>
              <w:pStyle w:val="6"/>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三</w:t>
            </w:r>
          </w:p>
        </w:tc>
      </w:tr>
    </w:tbl>
    <w:p>
      <w:pPr>
        <w:adjustRightInd w:val="0"/>
        <w:snapToGrid w:val="0"/>
        <w:spacing w:line="360" w:lineRule="auto"/>
        <w:ind w:firstLine="480" w:firstLineChars="200"/>
        <w:rPr>
          <w:rFonts w:hint="default" w:ascii="Times New Roman" w:hAnsi="Times New Roman" w:cs="Times New Roman"/>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经以上分析，根据《环境影响评价技术导则 地下水环境》（HJ610-2016）表2中相关规定项目地下水评价等级为三级。</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u w:val="single"/>
        </w:rPr>
      </w:pPr>
      <w:r>
        <w:rPr>
          <w:rFonts w:hint="default" w:ascii="Times New Roman" w:hAnsi="Times New Roman" w:cs="Times New Roman" w:eastAsiaTheme="minorEastAsia"/>
          <w:b/>
          <w:bCs/>
          <w:color w:val="auto"/>
          <w:sz w:val="24"/>
          <w:szCs w:val="24"/>
          <w:u w:val="single"/>
        </w:rPr>
        <w:t>4、声环境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依据HJ2.4-2009，本项目位于湖南省岳阳市君山港区，</w:t>
      </w:r>
      <w:r>
        <w:rPr>
          <w:rFonts w:hint="default" w:ascii="Times New Roman" w:hAnsi="Times New Roman" w:cs="Times New Roman" w:eastAsiaTheme="minorEastAsia"/>
          <w:color w:val="auto"/>
          <w:sz w:val="24"/>
          <w:szCs w:val="24"/>
          <w:u w:val="single"/>
          <w:lang w:eastAsia="zh-CN"/>
        </w:rPr>
        <w:t>项目未建设前，项目区域现状为2类和4a类区；项目建成后，</w:t>
      </w:r>
      <w:r>
        <w:rPr>
          <w:rFonts w:hint="default" w:ascii="Times New Roman" w:hAnsi="Times New Roman" w:cs="Times New Roman" w:eastAsiaTheme="minorEastAsia"/>
          <w:color w:val="auto"/>
          <w:sz w:val="24"/>
          <w:szCs w:val="24"/>
          <w:u w:val="single"/>
        </w:rPr>
        <w:t>厂界</w:t>
      </w:r>
      <w:r>
        <w:rPr>
          <w:rFonts w:hint="eastAsia" w:ascii="Times New Roman" w:hAnsi="Times New Roman" w:cs="Times New Roman" w:eastAsiaTheme="minorEastAsia"/>
          <w:color w:val="auto"/>
          <w:sz w:val="24"/>
          <w:szCs w:val="24"/>
          <w:u w:val="single"/>
          <w:lang w:val="en-US" w:eastAsia="zh-CN"/>
        </w:rPr>
        <w:t>范围内</w:t>
      </w:r>
      <w:r>
        <w:rPr>
          <w:rFonts w:hint="default" w:ascii="Times New Roman" w:hAnsi="Times New Roman" w:cs="Times New Roman" w:eastAsiaTheme="minorEastAsia"/>
          <w:color w:val="auto"/>
          <w:sz w:val="24"/>
          <w:szCs w:val="24"/>
          <w:u w:val="single"/>
          <w:lang w:eastAsia="zh-CN"/>
        </w:rPr>
        <w:t>为3类区，</w:t>
      </w:r>
      <w:r>
        <w:rPr>
          <w:rFonts w:hint="default" w:ascii="Times New Roman" w:hAnsi="Times New Roman" w:cs="Times New Roman" w:eastAsiaTheme="minorEastAsia"/>
          <w:color w:val="auto"/>
          <w:sz w:val="24"/>
          <w:szCs w:val="24"/>
          <w:u w:val="single"/>
        </w:rPr>
        <w:t>厂界</w:t>
      </w:r>
      <w:r>
        <w:rPr>
          <w:rFonts w:hint="eastAsia" w:ascii="Times New Roman" w:hAnsi="Times New Roman" w:cs="Times New Roman" w:eastAsiaTheme="minorEastAsia"/>
          <w:color w:val="auto"/>
          <w:sz w:val="24"/>
          <w:szCs w:val="24"/>
          <w:u w:val="single"/>
          <w:lang w:val="en-US" w:eastAsia="zh-CN"/>
        </w:rPr>
        <w:t>范围外</w:t>
      </w:r>
      <w:r>
        <w:rPr>
          <w:rFonts w:hint="default" w:ascii="Times New Roman" w:hAnsi="Times New Roman" w:cs="Times New Roman" w:eastAsiaTheme="minorEastAsia"/>
          <w:color w:val="auto"/>
          <w:sz w:val="24"/>
          <w:szCs w:val="24"/>
          <w:u w:val="single"/>
          <w:lang w:eastAsia="zh-CN"/>
        </w:rPr>
        <w:t>为</w:t>
      </w:r>
      <w:r>
        <w:rPr>
          <w:rFonts w:hint="eastAsia" w:ascii="Times New Roman" w:hAnsi="Times New Roman" w:cs="Times New Roman" w:eastAsiaTheme="minorEastAsia"/>
          <w:color w:val="auto"/>
          <w:sz w:val="24"/>
          <w:szCs w:val="24"/>
          <w:u w:val="single"/>
          <w:lang w:val="en-US" w:eastAsia="zh-CN"/>
        </w:rPr>
        <w:t>2</w:t>
      </w:r>
      <w:r>
        <w:rPr>
          <w:rFonts w:hint="default" w:ascii="Times New Roman" w:hAnsi="Times New Roman" w:cs="Times New Roman" w:eastAsiaTheme="minorEastAsia"/>
          <w:color w:val="auto"/>
          <w:sz w:val="24"/>
          <w:szCs w:val="24"/>
          <w:u w:val="single"/>
          <w:lang w:eastAsia="zh-CN"/>
        </w:rPr>
        <w:t>类区，由于周边居民较少，港区噪声增量在3分贝以内，因而判定为三级</w:t>
      </w:r>
      <w:r>
        <w:rPr>
          <w:rFonts w:hint="default" w:ascii="Times New Roman" w:hAnsi="Times New Roman" w:cs="Times New Roman" w:eastAsiaTheme="minorEastAsia"/>
          <w:color w:val="auto"/>
          <w:sz w:val="24"/>
          <w:szCs w:val="24"/>
          <w:u w:val="single"/>
        </w:rPr>
        <w:t>。</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5、生态影响</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rPr>
        <w:t>依据HJ19-2011，本项目涉及湖南东洞庭湖国家级自然保护区实验区范围，影响区域生态敏感性为特殊生态敏感区，工程不涉及</w:t>
      </w:r>
      <w:r>
        <w:rPr>
          <w:rFonts w:hint="eastAsia" w:ascii="Times New Roman" w:hAnsi="Times New Roman" w:cs="Times New Roman" w:eastAsiaTheme="minorEastAsia"/>
          <w:color w:val="auto"/>
          <w:sz w:val="24"/>
          <w:szCs w:val="24"/>
          <w:lang w:val="en-US" w:eastAsia="zh-CN"/>
        </w:rPr>
        <w:t>永久</w:t>
      </w:r>
      <w:r>
        <w:rPr>
          <w:rFonts w:hint="default" w:ascii="Times New Roman" w:hAnsi="Times New Roman" w:cs="Times New Roman" w:eastAsiaTheme="minorEastAsia"/>
          <w:color w:val="auto"/>
          <w:sz w:val="24"/>
          <w:szCs w:val="24"/>
        </w:rPr>
        <w:t>征地，前方码头投影面积为0.003km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，小于2km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w:t>
      </w:r>
      <w:r>
        <w:rPr>
          <w:rFonts w:hint="eastAsia" w:ascii="Times New Roman" w:hAnsi="Times New Roman" w:cs="Times New Roman" w:eastAsiaTheme="minorEastAsia"/>
          <w:color w:val="auto"/>
          <w:sz w:val="24"/>
          <w:szCs w:val="24"/>
          <w:lang w:val="en-US" w:eastAsia="zh-CN"/>
        </w:rPr>
        <w:t>因此，生态影响评价等级判定为</w:t>
      </w:r>
      <w:r>
        <w:rPr>
          <w:rFonts w:hint="default" w:ascii="Times New Roman" w:hAnsi="Times New Roman" w:cs="Times New Roman" w:eastAsiaTheme="minorEastAsia"/>
          <w:color w:val="auto"/>
          <w:sz w:val="24"/>
          <w:szCs w:val="24"/>
          <w:lang w:eastAsia="zh-CN"/>
        </w:rPr>
        <w:t>三级</w:t>
      </w:r>
      <w:r>
        <w:rPr>
          <w:rFonts w:hint="eastAsia" w:ascii="Times New Roman" w:hAnsi="Times New Roman" w:cs="Times New Roman" w:eastAsiaTheme="minorEastAsia"/>
          <w:color w:val="auto"/>
          <w:sz w:val="24"/>
          <w:szCs w:val="24"/>
          <w:lang w:eastAsia="zh-CN"/>
        </w:rPr>
        <w:t>。</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6、环境风险</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本项目LNG泄漏后进入环境空气后会迅速完全气化，影响环境的途径主要为大气环境，不会对地表水及地下水产生污染影响，同时考虑船舶溢油后地表水环境。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根据《建设项目环境风险评价技术导则》（HJ169-2018）中规定的方法判断评价等级。</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危险物质及工艺系统危险性（P）分级</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根据危险物质数量与临界量比值（Q）和行业及生产工艺（M），按照导则中表C.2 确定危险物质及工艺系统危险性等级（P），分别以P1、P2、P3、P4表示。</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本项目为LNG码头，</w:t>
      </w:r>
      <w:r>
        <w:rPr>
          <w:rFonts w:hint="default" w:ascii="Times New Roman" w:hAnsi="Times New Roman" w:cs="Times New Roman" w:eastAsiaTheme="minorEastAsia"/>
          <w:color w:val="auto"/>
          <w:sz w:val="24"/>
          <w:szCs w:val="24"/>
          <w:highlight w:val="none"/>
          <w:lang w:val="en-US" w:eastAsia="zh-CN"/>
        </w:rPr>
        <w:t>每个</w:t>
      </w:r>
      <w:r>
        <w:rPr>
          <w:rFonts w:hint="default" w:ascii="Times New Roman" w:hAnsi="Times New Roman" w:cs="Times New Roman" w:eastAsiaTheme="minorEastAsia"/>
          <w:color w:val="auto"/>
          <w:sz w:val="24"/>
          <w:szCs w:val="24"/>
          <w:highlight w:val="none"/>
        </w:rPr>
        <w:t>加注泊位</w:t>
      </w:r>
      <w:r>
        <w:rPr>
          <w:rFonts w:hint="eastAsia" w:ascii="Times New Roman" w:hAnsi="Times New Roman" w:cs="Times New Roman" w:eastAsiaTheme="minorEastAsia"/>
          <w:color w:val="auto"/>
          <w:sz w:val="24"/>
          <w:szCs w:val="24"/>
          <w:highlight w:val="none"/>
          <w:lang w:val="en-US" w:eastAsia="zh-CN"/>
        </w:rPr>
        <w:t>的加注平台</w:t>
      </w:r>
      <w:r>
        <w:rPr>
          <w:rFonts w:hint="default" w:ascii="Times New Roman" w:hAnsi="Times New Roman" w:cs="Times New Roman" w:eastAsiaTheme="minorEastAsia"/>
          <w:color w:val="auto"/>
          <w:sz w:val="24"/>
          <w:szCs w:val="24"/>
          <w:highlight w:val="none"/>
        </w:rPr>
        <w:t>上设置2个2</w:t>
      </w:r>
      <w:r>
        <w:rPr>
          <w:rFonts w:hint="default" w:ascii="Times New Roman" w:hAnsi="Times New Roman" w:cs="Times New Roman" w:eastAsiaTheme="minorEastAsia"/>
          <w:color w:val="auto"/>
          <w:sz w:val="24"/>
          <w:szCs w:val="24"/>
          <w:highlight w:val="none"/>
          <w:lang w:val="en-US" w:eastAsia="zh-CN"/>
        </w:rPr>
        <w:t>0</w:t>
      </w:r>
      <w:r>
        <w:rPr>
          <w:rFonts w:hint="default" w:ascii="Times New Roman" w:hAnsi="Times New Roman" w:cs="Times New Roman" w:eastAsiaTheme="minorEastAsia"/>
          <w:color w:val="auto"/>
          <w:sz w:val="24"/>
          <w:szCs w:val="24"/>
          <w:highlight w:val="none"/>
        </w:rPr>
        <w:t>0m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的LNG储罐。LNG密度按0.4</w:t>
      </w:r>
      <w:r>
        <w:rPr>
          <w:rFonts w:hint="default" w:ascii="Times New Roman" w:hAnsi="Times New Roman" w:cs="Times New Roman" w:eastAsiaTheme="minorEastAsia"/>
          <w:color w:val="auto"/>
          <w:sz w:val="24"/>
          <w:szCs w:val="24"/>
          <w:highlight w:val="none"/>
          <w:lang w:val="en-US" w:eastAsia="zh-CN"/>
        </w:rPr>
        <w:t>5t</w:t>
      </w:r>
      <w:r>
        <w:rPr>
          <w:rFonts w:hint="default" w:ascii="Times New Roman" w:hAnsi="Times New Roman" w:cs="Times New Roman" w:eastAsiaTheme="minorEastAsia"/>
          <w:color w:val="auto"/>
          <w:sz w:val="24"/>
          <w:szCs w:val="24"/>
          <w:highlight w:val="none"/>
        </w:rPr>
        <w:t>/m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计算，则最大储运单元LNG储存量为</w:t>
      </w:r>
      <w:r>
        <w:rPr>
          <w:rFonts w:hint="default" w:ascii="Times New Roman" w:hAnsi="Times New Roman" w:cs="Times New Roman" w:eastAsiaTheme="minorEastAsia"/>
          <w:color w:val="auto"/>
          <w:sz w:val="24"/>
          <w:szCs w:val="24"/>
          <w:highlight w:val="none"/>
          <w:lang w:val="en-US" w:eastAsia="zh-CN"/>
        </w:rPr>
        <w:t>360</w:t>
      </w:r>
      <w:r>
        <w:rPr>
          <w:rFonts w:hint="default" w:ascii="Times New Roman" w:hAnsi="Times New Roman" w:cs="Times New Roman" w:eastAsiaTheme="minorEastAsia"/>
          <w:color w:val="auto"/>
          <w:sz w:val="24"/>
          <w:szCs w:val="24"/>
          <w:highlight w:val="none"/>
        </w:rPr>
        <w:t>t。根据导则本项目运输的LNG（以甲烷计）的临界量为</w:t>
      </w:r>
      <w:r>
        <w:rPr>
          <w:rFonts w:hint="default" w:ascii="Times New Roman" w:hAnsi="Times New Roman" w:cs="Times New Roman" w:eastAsiaTheme="minorEastAsia"/>
          <w:color w:val="auto"/>
          <w:sz w:val="24"/>
          <w:szCs w:val="24"/>
          <w:highlight w:val="none"/>
          <w:lang w:val="en-US" w:eastAsia="zh-CN"/>
        </w:rPr>
        <w:t>10</w:t>
      </w:r>
      <w:r>
        <w:rPr>
          <w:rFonts w:hint="default" w:ascii="Times New Roman" w:hAnsi="Times New Roman" w:cs="Times New Roman" w:eastAsiaTheme="minorEastAsia"/>
          <w:color w:val="auto"/>
          <w:sz w:val="24"/>
          <w:szCs w:val="24"/>
          <w:highlight w:val="none"/>
        </w:rPr>
        <w:t>t，则Q=</w:t>
      </w:r>
      <w:r>
        <w:rPr>
          <w:rFonts w:hint="default" w:ascii="Times New Roman" w:hAnsi="Times New Roman" w:cs="Times New Roman" w:eastAsiaTheme="minorEastAsia"/>
          <w:color w:val="auto"/>
          <w:sz w:val="24"/>
          <w:szCs w:val="24"/>
          <w:highlight w:val="none"/>
          <w:lang w:val="en-US" w:eastAsia="zh-CN"/>
        </w:rPr>
        <w:t>36</w:t>
      </w:r>
      <w:r>
        <w:rPr>
          <w:rFonts w:hint="default" w:ascii="Times New Roman" w:hAnsi="Times New Roman" w:cs="Times New Roman" w:eastAsiaTheme="minorEastAsia"/>
          <w:color w:val="auto"/>
          <w:sz w:val="24"/>
          <w:szCs w:val="24"/>
          <w:highlight w:val="none"/>
        </w:rPr>
        <w:t>，10≤Q＜100。根据导则表C.1，本项目为涉及危险物质运输的码头，M=10，以M</w:t>
      </w:r>
      <w:r>
        <w:rPr>
          <w:rFonts w:hint="default" w:ascii="Times New Roman" w:hAnsi="Times New Roman" w:cs="Times New Roman" w:eastAsiaTheme="minorEastAsia"/>
          <w:color w:val="auto"/>
          <w:sz w:val="24"/>
          <w:szCs w:val="24"/>
          <w:highlight w:val="none"/>
          <w:vertAlign w:val="subscript"/>
        </w:rPr>
        <w:t>3</w:t>
      </w:r>
      <w:r>
        <w:rPr>
          <w:rFonts w:hint="default" w:ascii="Times New Roman" w:hAnsi="Times New Roman" w:cs="Times New Roman" w:eastAsiaTheme="minorEastAsia"/>
          <w:color w:val="auto"/>
          <w:sz w:val="24"/>
          <w:szCs w:val="24"/>
          <w:highlight w:val="none"/>
        </w:rPr>
        <w:t>表示，查询导则表C.2可以判定本项目的危险物质（LNG、燃油）及工艺系统危险性（P）分级为P</w:t>
      </w:r>
      <w:r>
        <w:rPr>
          <w:rFonts w:hint="default" w:ascii="Times New Roman" w:hAnsi="Times New Roman" w:cs="Times New Roman" w:eastAsiaTheme="minorEastAsia"/>
          <w:color w:val="auto"/>
          <w:sz w:val="24"/>
          <w:szCs w:val="24"/>
          <w:highlight w:val="none"/>
          <w:vertAlign w:val="subscript"/>
        </w:rPr>
        <w:t xml:space="preserve">3 </w:t>
      </w:r>
      <w:r>
        <w:rPr>
          <w:rFonts w:hint="default" w:ascii="Times New Roman" w:hAnsi="Times New Roman" w:cs="Times New Roman" w:eastAsiaTheme="minorEastAsia"/>
          <w:color w:val="auto"/>
          <w:sz w:val="24"/>
          <w:szCs w:val="24"/>
          <w:highlight w:val="none"/>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⑵ 环境敏感性（E）分级</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① 大气环境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依据环境敏感目标环境敏感性及人口密度划分环境风险受体的敏感性，本项目周边500m范围内人口总数小于500人，周边5km范围内居住人口总数小于10000人，大气环境敏感程度分级为E3。</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 地表水环境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所在长江水域为Ⅲ类水体，地表水功能敏感性分区为敏感F1，工程所属河段属于湖南东洞庭湖国家级自然保护区水体，环境敏感目标分级为S1。根据导则表D.2，本项目地表水环境敏感程度分级为E1（环境高度敏感区）。</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⑶ 环境风险潜势分级</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根据建设项目涉及的物质和工艺系统的危险性及其所在地的环境敏感程度，结合事故情形下环境影响途径，对建设项目环境风险水平进行概化分析。根据以上分析结果，判定本项目的环境风险潜势分级为：</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大气环境：Ⅱ</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地表水环境：Ⅲ</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⑷ 评价等级确定</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根据建设项目涉及的物质及工艺系统危险性和所在地的环境敏感性确定环境风险潜势，按下表确定评价工作等级。</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z w:val="24"/>
          <w:szCs w:val="24"/>
        </w:rPr>
        <w:t>表2.5-4  环境风险评价工作等级划分</w:t>
      </w:r>
    </w:p>
    <w:tbl>
      <w:tblPr>
        <w:tblStyle w:val="71"/>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016"/>
        <w:gridCol w:w="1865"/>
        <w:gridCol w:w="2063"/>
        <w:gridCol w:w="1686"/>
        <w:gridCol w:w="146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08" w:type="pct"/>
            <w:tcBorders>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环境风险潜势</w:t>
            </w:r>
          </w:p>
        </w:tc>
        <w:tc>
          <w:tcPr>
            <w:tcW w:w="1025"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vertAlign w:val="superscript"/>
              </w:rPr>
            </w:pPr>
            <w:r>
              <w:rPr>
                <w:rFonts w:hint="default" w:ascii="Times New Roman" w:hAnsi="Times New Roman" w:cs="Times New Roman"/>
                <w:b/>
                <w:bCs/>
                <w:color w:val="auto"/>
              </w:rPr>
              <w:t>Ⅳ、Ⅳ</w:t>
            </w:r>
            <w:r>
              <w:rPr>
                <w:rFonts w:hint="default" w:ascii="Times New Roman" w:hAnsi="Times New Roman" w:cs="Times New Roman"/>
                <w:b/>
                <w:bCs/>
                <w:color w:val="auto"/>
                <w:vertAlign w:val="superscript"/>
              </w:rPr>
              <w:t>+</w:t>
            </w:r>
          </w:p>
        </w:tc>
        <w:tc>
          <w:tcPr>
            <w:tcW w:w="1134"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Ⅲ</w:t>
            </w:r>
          </w:p>
        </w:tc>
        <w:tc>
          <w:tcPr>
            <w:tcW w:w="927"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Ⅱ</w:t>
            </w:r>
          </w:p>
        </w:tc>
        <w:tc>
          <w:tcPr>
            <w:tcW w:w="803" w:type="pct"/>
            <w:tcBorders>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108"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评价工作等级</w:t>
            </w:r>
          </w:p>
        </w:tc>
        <w:tc>
          <w:tcPr>
            <w:tcW w:w="102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一</w:t>
            </w:r>
          </w:p>
        </w:tc>
        <w:tc>
          <w:tcPr>
            <w:tcW w:w="1134"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二</w:t>
            </w:r>
          </w:p>
        </w:tc>
        <w:tc>
          <w:tcPr>
            <w:tcW w:w="927"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三</w:t>
            </w:r>
          </w:p>
        </w:tc>
        <w:tc>
          <w:tcPr>
            <w:tcW w:w="803"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color w:val="auto"/>
                <w:position w:val="-1"/>
                <w:vertAlign w:val="superscript"/>
              </w:rPr>
            </w:pPr>
            <w:r>
              <w:rPr>
                <w:rFonts w:hint="default" w:ascii="Times New Roman" w:hAnsi="Times New Roman" w:cs="Times New Roman"/>
                <w:color w:val="auto"/>
                <w:position w:val="-1"/>
              </w:rPr>
              <w:t>简单分析</w:t>
            </w:r>
            <w:r>
              <w:rPr>
                <w:rFonts w:hint="default" w:ascii="Times New Roman" w:hAnsi="Times New Roman" w:cs="Times New Roman"/>
                <w:color w:val="auto"/>
                <w:position w:val="-1"/>
                <w:vertAlign w:val="superscript"/>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000" w:type="pct"/>
            <w:gridSpan w:val="5"/>
            <w:tcBorders>
              <w:top w:val="single" w:color="000000" w:sz="4" w:space="0"/>
              <w:left w:val="single" w:color="000000" w:sz="12" w:space="0"/>
              <w:right w:val="single" w:color="000000" w:sz="12" w:space="0"/>
            </w:tcBorders>
            <w:vAlign w:val="center"/>
          </w:tcPr>
          <w:p>
            <w:pPr>
              <w:adjustRightInd w:val="0"/>
              <w:snapToGrid w:val="0"/>
              <w:jc w:val="left"/>
              <w:rPr>
                <w:rFonts w:hint="default" w:ascii="Times New Roman" w:hAnsi="Times New Roman" w:cs="Times New Roman"/>
                <w:color w:val="auto"/>
                <w:position w:val="-1"/>
              </w:rPr>
            </w:pPr>
            <w:r>
              <w:rPr>
                <w:rFonts w:hint="default" w:ascii="Times New Roman" w:hAnsi="Times New Roman" w:cs="Times New Roman"/>
                <w:color w:val="auto"/>
                <w:position w:val="-1"/>
                <w:vertAlign w:val="superscript"/>
              </w:rPr>
              <w:t>a</w:t>
            </w:r>
            <w:r>
              <w:rPr>
                <w:rFonts w:hint="default" w:ascii="Times New Roman" w:hAnsi="Times New Roman" w:cs="Times New Roman"/>
                <w:color w:val="auto"/>
                <w:position w:val="-1"/>
              </w:rPr>
              <w:t>是相对于详细评价工作内容而言，在描述危险物质、环境影响途径、环境危害后果、风险防范措施等方面给出定性的说明。</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rPr>
        <w:t>根据《建设项目环境风险评价技术导则》（HJ/T169-2018</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中评价工作级别划分原则，确定本项目大气环境风险评价等级均为三级。地表水环境风险评价工作等级为二级。</w:t>
      </w:r>
      <w:r>
        <w:rPr>
          <w:rFonts w:hint="eastAsia" w:ascii="Times New Roman" w:hAnsi="Times New Roman" w:cs="Times New Roman" w:eastAsiaTheme="minorEastAsia"/>
          <w:color w:val="auto"/>
          <w:sz w:val="24"/>
          <w:szCs w:val="24"/>
          <w:highlight w:val="none"/>
          <w:lang w:val="en-US" w:eastAsia="zh-CN"/>
        </w:rPr>
        <w:t>综上</w:t>
      </w:r>
      <w:r>
        <w:rPr>
          <w:rFonts w:hint="default" w:ascii="Times New Roman" w:hAnsi="Times New Roman" w:cs="Times New Roman" w:eastAsiaTheme="minorEastAsia"/>
          <w:color w:val="auto"/>
          <w:sz w:val="24"/>
          <w:szCs w:val="24"/>
          <w:highlight w:val="none"/>
          <w:lang w:eastAsia="zh-CN"/>
        </w:rPr>
        <w:t>，确定本项目风险评价等级为二</w:t>
      </w:r>
      <w:r>
        <w:rPr>
          <w:rFonts w:hint="default" w:ascii="Times New Roman" w:hAnsi="Times New Roman" w:cs="Times New Roman" w:eastAsiaTheme="minorEastAsia"/>
          <w:color w:val="auto"/>
          <w:sz w:val="24"/>
          <w:szCs w:val="24"/>
          <w:highlight w:val="none"/>
        </w:rPr>
        <w:t>级</w:t>
      </w:r>
      <w:r>
        <w:rPr>
          <w:rFonts w:hint="default" w:ascii="Times New Roman" w:hAnsi="Times New Roman" w:cs="Times New Roman" w:eastAsiaTheme="minorEastAsia"/>
          <w:color w:val="auto"/>
          <w:sz w:val="24"/>
          <w:szCs w:val="24"/>
          <w:highlight w:val="none"/>
          <w:lang w:eastAsia="zh-CN"/>
        </w:rPr>
        <w:t>。</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7、土壤环境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根据《环境影响评价技术导则 土壤环境》（HJ964-2018），本项目属于“交通运输仓储邮政类”中“其他”类，按土壤环境影响评价项目类别划分为</w:t>
      </w:r>
      <w:r>
        <w:rPr>
          <w:rFonts w:hint="default" w:ascii="Times New Roman" w:hAnsi="Times New Roman" w:cs="Times New Roman"/>
          <w:color w:val="auto"/>
          <w:sz w:val="24"/>
          <w:szCs w:val="24"/>
        </w:rPr>
        <w:t>Ⅳ</w:t>
      </w:r>
      <w:r>
        <w:rPr>
          <w:rFonts w:hint="default" w:ascii="Times New Roman" w:hAnsi="Times New Roman" w:cs="Times New Roman" w:eastAsiaTheme="minorEastAsia"/>
          <w:color w:val="auto"/>
          <w:sz w:val="24"/>
          <w:szCs w:val="24"/>
        </w:rPr>
        <w:t>类项目，进行简单分析。</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评价范围</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根据《环境影响评价技术导则》（总纲HJ2.1-2016、声环境HJ2.4-2009、地表水环境HJ2.3-2018、大气环境HJ2.2-2018、生态影响HJ19-2011、地下水环境HJ610-2016、土壤环境HJ964-2018），确定项目的评价范围，具体见表2.5-5。</w:t>
      </w:r>
    </w:p>
    <w:p>
      <w:pPr>
        <w:adjustRightInd w:val="0"/>
        <w:snapToGrid w:val="0"/>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表2.5-5  建设项目码头工程评价范围一览表</w:t>
      </w:r>
    </w:p>
    <w:tbl>
      <w:tblPr>
        <w:tblStyle w:val="7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661"/>
        <w:gridCol w:w="1502"/>
        <w:gridCol w:w="69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825" w:type="pct"/>
            <w:tcMar>
              <w:left w:w="17" w:type="dxa"/>
              <w:right w:w="17"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评价项目</w:t>
            </w:r>
          </w:p>
        </w:tc>
        <w:tc>
          <w:tcPr>
            <w:tcW w:w="3810" w:type="pct"/>
            <w:tcBorders>
              <w:righ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地表水环境</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地表水环境影响评价范围主要为本项目施工期和营运期可能对长江的影响区。根据《湖南省主要水系地表水环境功能区划》（DB43/023-2005），</w:t>
            </w:r>
            <w:r>
              <w:rPr>
                <w:rFonts w:hint="eastAsia" w:ascii="Times New Roman" w:hAnsi="Times New Roman" w:cs="Times New Roman"/>
                <w:color w:val="auto"/>
                <w:lang w:val="en-US" w:eastAsia="zh-CN"/>
              </w:rPr>
              <w:t>本项目</w:t>
            </w:r>
            <w:r>
              <w:rPr>
                <w:rFonts w:hint="default" w:ascii="Times New Roman" w:hAnsi="Times New Roman" w:cs="Times New Roman"/>
                <w:color w:val="auto"/>
              </w:rPr>
              <w:t>位于长江塔市驿（湖北省流入湖南省断面）至黄盖湖（湖南省流入湖北省断面）段，水功能区划为渔业用水区。本次地表水评价范围取</w:t>
            </w:r>
            <w:r>
              <w:rPr>
                <w:rFonts w:hint="eastAsia" w:ascii="Times New Roman" w:hAnsi="Times New Roman" w:cs="Times New Roman"/>
                <w:color w:val="auto"/>
                <w:lang w:val="en-US" w:eastAsia="zh-CN"/>
              </w:rPr>
              <w:t>本项目</w:t>
            </w:r>
            <w:r>
              <w:rPr>
                <w:rFonts w:hint="default" w:ascii="Times New Roman" w:hAnsi="Times New Roman" w:cs="Times New Roman"/>
                <w:color w:val="auto"/>
              </w:rPr>
              <w:t>作业区上游1.0km至</w:t>
            </w:r>
            <w:r>
              <w:rPr>
                <w:rFonts w:hint="eastAsia" w:ascii="Times New Roman" w:hAnsi="Times New Roman" w:cs="Times New Roman"/>
                <w:color w:val="auto"/>
                <w:lang w:val="en-US" w:eastAsia="zh-CN"/>
              </w:rPr>
              <w:t>本项目加注平台</w:t>
            </w:r>
            <w:r>
              <w:rPr>
                <w:rFonts w:hint="default" w:ascii="Times New Roman" w:hAnsi="Times New Roman" w:cs="Times New Roman"/>
                <w:color w:val="auto"/>
              </w:rPr>
              <w:t>下游10km，共11.0km江段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大气环境</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eastAsia" w:ascii="Times New Roman" w:hAnsi="Times New Roman" w:cs="Times New Roman" w:eastAsiaTheme="minorEastAsia"/>
                <w:color w:val="auto"/>
                <w:lang w:val="en-US" w:eastAsia="zh-CN"/>
              </w:rPr>
              <w:t>评价等级为三级，无需</w:t>
            </w:r>
            <w:r>
              <w:rPr>
                <w:rFonts w:hint="default" w:ascii="Times New Roman" w:hAnsi="Times New Roman" w:cs="Times New Roman" w:eastAsiaTheme="minorEastAsia"/>
                <w:color w:val="auto"/>
              </w:rPr>
              <w:t>设置评价范围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声环境</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码头四周场界200m范围内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生态环境</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陆域范围：码头边界周围200m以内的范围；</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水域范围：</w:t>
            </w:r>
            <w:r>
              <w:rPr>
                <w:rFonts w:hint="eastAsia" w:ascii="Times New Roman" w:hAnsi="Times New Roman" w:cs="Times New Roman"/>
                <w:color w:val="auto"/>
                <w:lang w:val="en-US" w:eastAsia="zh-CN"/>
              </w:rPr>
              <w:t>本项目</w:t>
            </w:r>
            <w:r>
              <w:rPr>
                <w:rFonts w:hint="default" w:ascii="Times New Roman" w:hAnsi="Times New Roman" w:cs="Times New Roman"/>
                <w:color w:val="auto"/>
              </w:rPr>
              <w:t>泊位作业区上游1.0km至作业区下游10km以内的范围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土壤环境</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占地范围内：全部；</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占地范围外：0.2km范围内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63" w:type="pct"/>
            <w:tcBorders>
              <w:left w:val="single" w:color="auto" w:sz="12" w:space="0"/>
            </w:tcBorders>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825" w:type="pct"/>
            <w:tcMar>
              <w:left w:w="17" w:type="dxa"/>
              <w:right w:w="17"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环境风险</w:t>
            </w:r>
          </w:p>
        </w:tc>
        <w:tc>
          <w:tcPr>
            <w:tcW w:w="3810" w:type="pct"/>
            <w:tcBorders>
              <w:right w:val="single" w:color="auto" w:sz="12" w:space="0"/>
            </w:tcBorders>
            <w:tcMar>
              <w:left w:w="17" w:type="dxa"/>
              <w:right w:w="17" w:type="dxa"/>
            </w:tcMar>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eastAsiaTheme="minorEastAsia"/>
                <w:color w:val="auto"/>
              </w:rPr>
              <w:t>水域风险评价范围与水环境评价范围中水域评价范围一致</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评价重点</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主要进行营运期和施工期的产污环节分析；评述项目建设产生的环境问题，提出切实可行的污染防治措施，实现污染物达标排放；分析项目事故风险环节，类比事故类型、确定事故污染源强，预测事故泄漏对环境的影响，并提出风险防范措施和应急计划。</w:t>
      </w:r>
    </w:p>
    <w:p>
      <w:pPr>
        <w:pStyle w:val="3"/>
        <w:ind w:left="578" w:hanging="578"/>
        <w:rPr>
          <w:rFonts w:hint="default" w:ascii="Times New Roman" w:hAnsi="Times New Roman" w:cs="Times New Roman" w:eastAsiaTheme="minorEastAsia"/>
          <w:b/>
          <w:color w:val="auto"/>
        </w:rPr>
      </w:pPr>
      <w:bookmarkStart w:id="26" w:name="_Toc9101"/>
      <w:bookmarkStart w:id="27" w:name="_Toc32165"/>
      <w:r>
        <w:rPr>
          <w:rFonts w:hint="default" w:ascii="Times New Roman" w:hAnsi="Times New Roman" w:cs="Times New Roman" w:eastAsiaTheme="minorEastAsia"/>
          <w:b/>
          <w:color w:val="auto"/>
        </w:rPr>
        <w:t>环境保护目标</w:t>
      </w:r>
      <w:bookmarkEnd w:id="26"/>
      <w:bookmarkEnd w:id="27"/>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地表水保护目标</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本项目地表水保护目标为评价江段的长江以及周边的农灌沟渠。项目地表水保护目标见表2.6-1，项目码头与饮用水水源保护区位置关系见表2.6-2。</w:t>
      </w:r>
    </w:p>
    <w:p>
      <w:pPr>
        <w:tabs>
          <w:tab w:val="left" w:pos="900"/>
        </w:tabs>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表2.6-1  本项目地表水保护目标</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37"/>
        <w:gridCol w:w="1120"/>
        <w:gridCol w:w="1121"/>
        <w:gridCol w:w="681"/>
        <w:gridCol w:w="3493"/>
        <w:gridCol w:w="803"/>
        <w:gridCol w:w="94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5" w:type="pct"/>
            <w:vMerge w:val="restar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保护目标名称</w:t>
            </w:r>
          </w:p>
        </w:tc>
        <w:tc>
          <w:tcPr>
            <w:tcW w:w="1231" w:type="pct"/>
            <w:gridSpan w:val="2"/>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坐标</w:t>
            </w:r>
          </w:p>
        </w:tc>
        <w:tc>
          <w:tcPr>
            <w:tcW w:w="374" w:type="pct"/>
            <w:vMerge w:val="restar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保护</w:t>
            </w:r>
          </w:p>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内容</w:t>
            </w:r>
          </w:p>
        </w:tc>
        <w:tc>
          <w:tcPr>
            <w:tcW w:w="1919" w:type="pct"/>
            <w:vMerge w:val="restar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环境功能区</w:t>
            </w:r>
          </w:p>
        </w:tc>
        <w:tc>
          <w:tcPr>
            <w:tcW w:w="441" w:type="pct"/>
            <w:vMerge w:val="restar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相对厂址方位</w:t>
            </w:r>
          </w:p>
        </w:tc>
        <w:tc>
          <w:tcPr>
            <w:tcW w:w="517" w:type="pct"/>
            <w:vMerge w:val="restar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相对厂界最近距离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5" w:type="pct"/>
            <w:vMerge w:val="continue"/>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p>
        </w:tc>
        <w:tc>
          <w:tcPr>
            <w:tcW w:w="615"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东经</w:t>
            </w:r>
          </w:p>
        </w:tc>
        <w:tc>
          <w:tcPr>
            <w:tcW w:w="615"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北纬</w:t>
            </w:r>
          </w:p>
        </w:tc>
        <w:tc>
          <w:tcPr>
            <w:tcW w:w="374" w:type="pct"/>
            <w:vMerge w:val="continue"/>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p>
        </w:tc>
        <w:tc>
          <w:tcPr>
            <w:tcW w:w="1919" w:type="pct"/>
            <w:vMerge w:val="continue"/>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p>
        </w:tc>
        <w:tc>
          <w:tcPr>
            <w:tcW w:w="441" w:type="pct"/>
            <w:vMerge w:val="continue"/>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p>
        </w:tc>
        <w:tc>
          <w:tcPr>
            <w:tcW w:w="517" w:type="pct"/>
            <w:vMerge w:val="continue"/>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5"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长江（岳阳段）</w:t>
            </w:r>
          </w:p>
        </w:tc>
        <w:tc>
          <w:tcPr>
            <w:tcW w:w="615"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112°55′2.11″</w:t>
            </w:r>
          </w:p>
        </w:tc>
        <w:tc>
          <w:tcPr>
            <w:tcW w:w="615"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29°34′39.36″</w:t>
            </w:r>
          </w:p>
        </w:tc>
        <w:tc>
          <w:tcPr>
            <w:tcW w:w="374"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水体</w:t>
            </w:r>
          </w:p>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水质</w:t>
            </w:r>
          </w:p>
        </w:tc>
        <w:tc>
          <w:tcPr>
            <w:tcW w:w="191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渔业用水区，执行《地表水环境质量标准》（GB3838-2002）</w:t>
            </w:r>
            <w:r>
              <w:rPr>
                <w:rFonts w:hint="default" w:ascii="Times New Roman" w:hAnsi="Times New Roman" w:cs="Times New Roman" w:eastAsiaTheme="minorEastAsia"/>
                <w:color w:val="auto"/>
                <w:kern w:val="0"/>
                <w:lang w:eastAsia="zh-CN"/>
              </w:rPr>
              <w:t>Ⅲ</w:t>
            </w:r>
            <w:r>
              <w:rPr>
                <w:rFonts w:hint="default" w:ascii="Times New Roman" w:hAnsi="Times New Roman" w:cs="Times New Roman" w:eastAsiaTheme="minorEastAsia"/>
                <w:color w:val="auto"/>
                <w:kern w:val="0"/>
              </w:rPr>
              <w:t>类</w:t>
            </w:r>
          </w:p>
        </w:tc>
        <w:tc>
          <w:tcPr>
            <w:tcW w:w="441"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北侧</w:t>
            </w:r>
          </w:p>
        </w:tc>
        <w:tc>
          <w:tcPr>
            <w:tcW w:w="51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紧邻</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tabs>
          <w:tab w:val="left" w:pos="900"/>
        </w:tabs>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表2.6-2  本项目与水源地保护区的位置关系</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97"/>
        <w:gridCol w:w="1707"/>
        <w:gridCol w:w="4930"/>
        <w:gridCol w:w="176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atLeast"/>
          <w:tblHeader/>
          <w:jc w:val="center"/>
        </w:trPr>
        <w:tc>
          <w:tcPr>
            <w:tcW w:w="38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序号</w:t>
            </w:r>
          </w:p>
        </w:tc>
        <w:tc>
          <w:tcPr>
            <w:tcW w:w="938"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名称</w:t>
            </w:r>
          </w:p>
        </w:tc>
        <w:tc>
          <w:tcPr>
            <w:tcW w:w="2709"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相对位置</w:t>
            </w:r>
          </w:p>
        </w:tc>
        <w:tc>
          <w:tcPr>
            <w:tcW w:w="968"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rPr>
              <w:t>规模与环境特征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3" w:hRule="atLeast"/>
          <w:jc w:val="center"/>
        </w:trPr>
        <w:tc>
          <w:tcPr>
            <w:tcW w:w="38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w:t>
            </w:r>
          </w:p>
        </w:tc>
        <w:tc>
          <w:tcPr>
            <w:tcW w:w="938"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highlight w:val="none"/>
              </w:rPr>
            </w:pPr>
            <w:r>
              <w:rPr>
                <w:rFonts w:hint="default" w:ascii="Times New Roman" w:hAnsi="Times New Roman" w:cs="Times New Roman"/>
                <w:color w:val="auto"/>
                <w:highlight w:val="none"/>
              </w:rPr>
              <w:t>广兴洲镇自来水厂取水口（潭子坑饮用水源取水口）</w:t>
            </w:r>
          </w:p>
        </w:tc>
        <w:tc>
          <w:tcPr>
            <w:tcW w:w="2709" w:type="pct"/>
            <w:tcMar>
              <w:left w:w="0" w:type="dxa"/>
              <w:right w:w="0" w:type="dxa"/>
            </w:tcMar>
            <w:vAlign w:val="center"/>
          </w:tcPr>
          <w:p>
            <w:pPr>
              <w:autoSpaceDE w:val="0"/>
              <w:autoSpaceDN w:val="0"/>
              <w:adjustRightInd w:val="0"/>
              <w:snapToGrid w:val="0"/>
              <w:rPr>
                <w:rFonts w:hint="default" w:ascii="Times New Roman" w:hAnsi="Times New Roman" w:eastAsia="宋体" w:cs="Times New Roman"/>
                <w:color w:val="auto"/>
                <w:kern w:val="0"/>
                <w:highlight w:val="none"/>
                <w:lang w:eastAsia="zh-CN"/>
              </w:rPr>
            </w:pPr>
            <w:r>
              <w:rPr>
                <w:rFonts w:hint="default" w:ascii="Times New Roman" w:hAnsi="Times New Roman" w:cs="Times New Roman" w:eastAsiaTheme="minorEastAsia"/>
                <w:color w:val="auto"/>
                <w:kern w:val="0"/>
                <w:highlight w:val="none"/>
              </w:rPr>
              <w:t>取水口坐标为E：112°54′57.85″，N：29°35′1.10″。该水源地是由2015年5月岳阳市人民政府划定，起于君山区长江右岸潭子坑取水口上游3km，止于潭子坑长江右岸取水口下游200m，全长3.2km。本项目的上边界与取水口相距580m，与水源地二级保护区下边界最近直线距离约380m</w:t>
            </w:r>
            <w:r>
              <w:rPr>
                <w:rFonts w:hint="default" w:ascii="Times New Roman" w:hAnsi="Times New Roman" w:cs="Times New Roman" w:eastAsiaTheme="minorEastAsia"/>
                <w:color w:val="auto"/>
                <w:kern w:val="0"/>
                <w:highlight w:val="none"/>
                <w:lang w:eastAsia="zh-CN"/>
              </w:rPr>
              <w:t>，</w:t>
            </w:r>
            <w:r>
              <w:rPr>
                <w:rFonts w:hint="default" w:ascii="Times New Roman" w:hAnsi="Times New Roman" w:cs="Times New Roman"/>
                <w:color w:val="auto"/>
                <w:highlight w:val="none"/>
              </w:rPr>
              <w:t>见附图13</w:t>
            </w:r>
            <w:r>
              <w:rPr>
                <w:rFonts w:hint="default" w:ascii="Times New Roman" w:hAnsi="Times New Roman" w:cs="Times New Roman"/>
                <w:color w:val="auto"/>
                <w:highlight w:val="none"/>
                <w:lang w:eastAsia="zh-CN"/>
              </w:rPr>
              <w:t>。该取水口现已停止使用</w:t>
            </w:r>
            <w:r>
              <w:rPr>
                <w:rFonts w:hint="eastAsia" w:ascii="Times New Roman" w:hAnsi="Times New Roman" w:cs="Times New Roman"/>
                <w:color w:val="auto"/>
                <w:highlight w:val="none"/>
                <w:lang w:eastAsia="zh-CN"/>
              </w:rPr>
              <w:t>。</w:t>
            </w:r>
          </w:p>
          <w:p>
            <w:pPr>
              <w:autoSpaceDE w:val="0"/>
              <w:autoSpaceDN w:val="0"/>
              <w:adjustRightInd w:val="0"/>
              <w:snapToGrid w:val="0"/>
              <w:rPr>
                <w:rFonts w:hint="default" w:ascii="Times New Roman" w:hAnsi="Times New Roman" w:eastAsia="宋体" w:cs="Times New Roman"/>
                <w:color w:val="auto"/>
                <w:kern w:val="0"/>
                <w:highlight w:val="none"/>
                <w:lang w:eastAsia="zh-CN"/>
              </w:rPr>
            </w:pPr>
            <w:r>
              <w:rPr>
                <w:rFonts w:hint="default" w:ascii="Times New Roman" w:hAnsi="Times New Roman" w:cs="Times New Roman" w:eastAsiaTheme="minorEastAsia"/>
                <w:color w:val="auto"/>
                <w:kern w:val="0"/>
                <w:highlight w:val="none"/>
              </w:rPr>
              <w:t>2020年8月17日，岳阳市生态环境局君山分局以“岳环君分环评批〔2020〕5号”文，将</w:t>
            </w:r>
            <w:r>
              <w:rPr>
                <w:rFonts w:hint="default" w:ascii="Times New Roman" w:hAnsi="Times New Roman" w:cs="Times New Roman" w:eastAsiaTheme="minorEastAsia"/>
                <w:color w:val="auto"/>
                <w:highlight w:val="none"/>
              </w:rPr>
              <w:t>潭子</w:t>
            </w:r>
            <w:r>
              <w:rPr>
                <w:rFonts w:hint="default" w:ascii="Times New Roman" w:hAnsi="Times New Roman" w:cs="Times New Roman"/>
                <w:color w:val="auto"/>
                <w:highlight w:val="none"/>
              </w:rPr>
              <w:t>坑饮用水源取水口上移至洪</w:t>
            </w:r>
            <w:r>
              <w:rPr>
                <w:rFonts w:hint="default" w:ascii="Times New Roman" w:hAnsi="Times New Roman" w:cs="Times New Roman"/>
                <w:color w:val="auto"/>
                <w:highlight w:val="none"/>
                <w:lang w:eastAsia="zh-CN"/>
              </w:rPr>
              <w:t>水</w:t>
            </w:r>
            <w:r>
              <w:rPr>
                <w:rFonts w:hint="default" w:ascii="Times New Roman" w:hAnsi="Times New Roman" w:cs="Times New Roman"/>
                <w:color w:val="auto"/>
                <w:highlight w:val="none"/>
              </w:rPr>
              <w:t>港泵站，饮用水源地范围也做相应调整。本项目与洪</w:t>
            </w:r>
            <w:r>
              <w:rPr>
                <w:rFonts w:hint="default" w:ascii="Times New Roman" w:hAnsi="Times New Roman" w:cs="Times New Roman"/>
                <w:color w:val="auto"/>
                <w:highlight w:val="none"/>
                <w:lang w:eastAsia="zh-CN"/>
              </w:rPr>
              <w:t>水</w:t>
            </w:r>
            <w:r>
              <w:rPr>
                <w:rFonts w:hint="default" w:ascii="Times New Roman" w:hAnsi="Times New Roman" w:cs="Times New Roman"/>
                <w:color w:val="auto"/>
                <w:highlight w:val="none"/>
              </w:rPr>
              <w:t>港泵房取水口相距约3.58km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见附图14</w:t>
            </w:r>
            <w:r>
              <w:rPr>
                <w:rFonts w:hint="default" w:ascii="Times New Roman" w:hAnsi="Times New Roman" w:cs="Times New Roman"/>
                <w:color w:val="auto"/>
                <w:highlight w:val="none"/>
                <w:lang w:eastAsia="zh-CN"/>
              </w:rPr>
              <w:t>。该取水口现已投入使用</w:t>
            </w:r>
          </w:p>
        </w:tc>
        <w:tc>
          <w:tcPr>
            <w:tcW w:w="968"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该取水口主要供给广兴洲镇、许市镇的生活用水</w:t>
            </w:r>
          </w:p>
        </w:tc>
      </w:tr>
    </w:tbl>
    <w:p>
      <w:pPr>
        <w:adjustRightInd w:val="0"/>
        <w:snapToGrid w:val="0"/>
        <w:spacing w:line="360" w:lineRule="auto"/>
        <w:ind w:firstLine="420" w:firstLineChars="200"/>
        <w:rPr>
          <w:rFonts w:hint="default" w:ascii="Times New Roman" w:hAnsi="Times New Roman" w:cs="Times New Roman" w:eastAsiaTheme="minorEastAsia"/>
          <w:color w:val="auto"/>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kern w:val="0"/>
          <w:sz w:val="24"/>
          <w:szCs w:val="24"/>
        </w:rPr>
        <w:t>大气</w:t>
      </w:r>
      <w:r>
        <w:rPr>
          <w:rFonts w:hint="eastAsia" w:ascii="Times New Roman" w:hAnsi="Times New Roman" w:cs="Times New Roman" w:eastAsiaTheme="minorEastAsia"/>
          <w:color w:val="auto"/>
          <w:kern w:val="0"/>
          <w:sz w:val="24"/>
          <w:szCs w:val="24"/>
          <w:lang w:eastAsia="zh-CN"/>
        </w:rPr>
        <w:t>、</w:t>
      </w:r>
      <w:r>
        <w:rPr>
          <w:rFonts w:hint="default" w:ascii="Times New Roman" w:hAnsi="Times New Roman" w:cs="Times New Roman" w:eastAsiaTheme="minorEastAsia"/>
          <w:color w:val="auto"/>
        </w:rPr>
        <w:t>声环境保护目标</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w:t>
      </w:r>
      <w:r>
        <w:rPr>
          <w:rFonts w:hint="default" w:ascii="Times New Roman" w:hAnsi="Times New Roman" w:cs="Times New Roman" w:eastAsiaTheme="minorEastAsia"/>
          <w:color w:val="auto"/>
          <w:kern w:val="0"/>
          <w:sz w:val="24"/>
          <w:szCs w:val="24"/>
        </w:rPr>
        <w:t>大气</w:t>
      </w:r>
      <w:r>
        <w:rPr>
          <w:rFonts w:hint="eastAsia" w:ascii="Times New Roman" w:hAnsi="Times New Roman" w:cs="Times New Roman" w:eastAsiaTheme="minorEastAsia"/>
          <w:color w:val="auto"/>
          <w:kern w:val="0"/>
          <w:sz w:val="24"/>
          <w:szCs w:val="24"/>
          <w:lang w:eastAsia="zh-CN"/>
        </w:rPr>
        <w:t>、</w:t>
      </w:r>
      <w:r>
        <w:rPr>
          <w:rFonts w:hint="default" w:ascii="Times New Roman" w:hAnsi="Times New Roman" w:cs="Times New Roman" w:eastAsiaTheme="minorEastAsia"/>
          <w:color w:val="auto"/>
          <w:sz w:val="24"/>
          <w:szCs w:val="24"/>
        </w:rPr>
        <w:t>声环境评价范围内敏感点见下表。</w:t>
      </w:r>
    </w:p>
    <w:p>
      <w:pPr>
        <w:tabs>
          <w:tab w:val="left" w:pos="900"/>
        </w:tabs>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表2.6-3  评价范围内大气</w:t>
      </w:r>
      <w:r>
        <w:rPr>
          <w:rFonts w:hint="eastAsia" w:ascii="Times New Roman" w:hAnsi="Times New Roman" w:cs="Times New Roman" w:eastAsiaTheme="minorEastAsia"/>
          <w:b/>
          <w:color w:val="auto"/>
          <w:sz w:val="24"/>
          <w:szCs w:val="24"/>
          <w:lang w:eastAsia="zh-CN"/>
        </w:rPr>
        <w:t>、</w:t>
      </w:r>
      <w:r>
        <w:rPr>
          <w:rFonts w:hint="default" w:ascii="Times New Roman" w:hAnsi="Times New Roman" w:cs="Times New Roman" w:eastAsiaTheme="minorEastAsia"/>
          <w:b/>
          <w:color w:val="auto"/>
          <w:sz w:val="24"/>
          <w:szCs w:val="24"/>
        </w:rPr>
        <w:t>声环境保护目标</w:t>
      </w:r>
    </w:p>
    <w:tbl>
      <w:tblPr>
        <w:tblStyle w:val="71"/>
        <w:tblW w:w="5013"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91"/>
        <w:gridCol w:w="1143"/>
        <w:gridCol w:w="643"/>
        <w:gridCol w:w="645"/>
        <w:gridCol w:w="868"/>
        <w:gridCol w:w="868"/>
        <w:gridCol w:w="1006"/>
        <w:gridCol w:w="868"/>
        <w:gridCol w:w="901"/>
        <w:gridCol w:w="15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24" w:type="pct"/>
            <w:tcBorders>
              <w:left w:val="single" w:color="auto" w:sz="12"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626"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c>
          <w:tcPr>
            <w:tcW w:w="705" w:type="pct"/>
            <w:gridSpan w:val="2"/>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*坐标/m</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保护对象</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保护内容</w:t>
            </w:r>
          </w:p>
        </w:tc>
        <w:tc>
          <w:tcPr>
            <w:tcW w:w="551"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环境功能区</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相对方位</w:t>
            </w:r>
          </w:p>
        </w:tc>
        <w:tc>
          <w:tcPr>
            <w:tcW w:w="49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相对距离/m</w:t>
            </w:r>
          </w:p>
        </w:tc>
        <w:tc>
          <w:tcPr>
            <w:tcW w:w="871" w:type="pct"/>
            <w:tcBorders>
              <w:left w:val="single" w:color="auto" w:sz="4" w:space="0"/>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高差及山体阻隔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24" w:type="pct"/>
            <w:tcBorders>
              <w:left w:val="single" w:color="auto" w:sz="12"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626"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上板岭村居民</w:t>
            </w:r>
          </w:p>
        </w:tc>
        <w:tc>
          <w:tcPr>
            <w:tcW w:w="352"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-420</w:t>
            </w:r>
          </w:p>
        </w:tc>
        <w:tc>
          <w:tcPr>
            <w:tcW w:w="35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人群</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居住区</w:t>
            </w:r>
          </w:p>
        </w:tc>
        <w:tc>
          <w:tcPr>
            <w:tcW w:w="551"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二类区</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西南</w:t>
            </w:r>
          </w:p>
        </w:tc>
        <w:tc>
          <w:tcPr>
            <w:tcW w:w="49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430</w:t>
            </w:r>
          </w:p>
        </w:tc>
        <w:tc>
          <w:tcPr>
            <w:tcW w:w="871" w:type="pct"/>
            <w:tcBorders>
              <w:left w:val="single" w:color="auto" w:sz="4" w:space="0"/>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0m，无山体阻隔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24" w:type="pct"/>
            <w:tcBorders>
              <w:left w:val="single" w:color="auto" w:sz="12"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626"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保庆村居民</w:t>
            </w:r>
          </w:p>
        </w:tc>
        <w:tc>
          <w:tcPr>
            <w:tcW w:w="352"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-395</w:t>
            </w:r>
          </w:p>
        </w:tc>
        <w:tc>
          <w:tcPr>
            <w:tcW w:w="35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332</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人群</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居住区</w:t>
            </w:r>
          </w:p>
        </w:tc>
        <w:tc>
          <w:tcPr>
            <w:tcW w:w="551"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二类区</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西北</w:t>
            </w:r>
          </w:p>
        </w:tc>
        <w:tc>
          <w:tcPr>
            <w:tcW w:w="49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496</w:t>
            </w:r>
          </w:p>
        </w:tc>
        <w:tc>
          <w:tcPr>
            <w:tcW w:w="871" w:type="pct"/>
            <w:tcBorders>
              <w:left w:val="single" w:color="auto" w:sz="4" w:space="0"/>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1m，无山体阻隔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24" w:type="pct"/>
            <w:tcBorders>
              <w:left w:val="single" w:color="auto" w:sz="12"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626"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洪家门居民</w:t>
            </w:r>
          </w:p>
        </w:tc>
        <w:tc>
          <w:tcPr>
            <w:tcW w:w="352"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-1080</w:t>
            </w:r>
          </w:p>
        </w:tc>
        <w:tc>
          <w:tcPr>
            <w:tcW w:w="35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人群</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居住区</w:t>
            </w:r>
          </w:p>
        </w:tc>
        <w:tc>
          <w:tcPr>
            <w:tcW w:w="551"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二类区</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西北</w:t>
            </w:r>
          </w:p>
        </w:tc>
        <w:tc>
          <w:tcPr>
            <w:tcW w:w="49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1120</w:t>
            </w:r>
          </w:p>
        </w:tc>
        <w:tc>
          <w:tcPr>
            <w:tcW w:w="871" w:type="pct"/>
            <w:tcBorders>
              <w:left w:val="single" w:color="auto" w:sz="4" w:space="0"/>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1m，无山体阻隔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24" w:type="pct"/>
            <w:tcBorders>
              <w:left w:val="single" w:color="auto" w:sz="12"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626"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保安村居民</w:t>
            </w:r>
          </w:p>
        </w:tc>
        <w:tc>
          <w:tcPr>
            <w:tcW w:w="352"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-1060</w:t>
            </w:r>
          </w:p>
        </w:tc>
        <w:tc>
          <w:tcPr>
            <w:tcW w:w="35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人群</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居住区</w:t>
            </w:r>
          </w:p>
        </w:tc>
        <w:tc>
          <w:tcPr>
            <w:tcW w:w="551"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二类区</w:t>
            </w:r>
          </w:p>
        </w:tc>
        <w:tc>
          <w:tcPr>
            <w:tcW w:w="475"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西</w:t>
            </w:r>
          </w:p>
        </w:tc>
        <w:tc>
          <w:tcPr>
            <w:tcW w:w="493" w:type="pct"/>
            <w:tcBorders>
              <w:left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1060</w:t>
            </w:r>
          </w:p>
        </w:tc>
        <w:tc>
          <w:tcPr>
            <w:tcW w:w="871" w:type="pct"/>
            <w:tcBorders>
              <w:left w:val="single" w:color="auto" w:sz="4" w:space="0"/>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0m，无山体阻隔</w:t>
            </w:r>
          </w:p>
        </w:tc>
      </w:tr>
    </w:tbl>
    <w:p>
      <w:pPr>
        <w:rPr>
          <w:rFonts w:hint="default" w:ascii="Times New Roman" w:hAnsi="Times New Roman" w:cs="Times New Roman"/>
          <w:color w:val="auto"/>
        </w:rPr>
      </w:pPr>
      <w:r>
        <w:rPr>
          <w:rFonts w:hint="default" w:ascii="Times New Roman" w:hAnsi="Times New Roman" w:cs="Times New Roman"/>
          <w:color w:val="auto"/>
        </w:rPr>
        <w:t>注：*项目的中心定义为原点，坐标为相对原点的坐标。保护目标的坐标为保护目标中心的位置坐标。</w:t>
      </w:r>
    </w:p>
    <w:p>
      <w:pPr>
        <w:adjustRightInd w:val="0"/>
        <w:snapToGrid w:val="0"/>
        <w:spacing w:line="276" w:lineRule="auto"/>
        <w:jc w:val="center"/>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rPr>
        <w:drawing>
          <wp:inline distT="0" distB="0" distL="114300" distR="114300">
            <wp:extent cx="5756275" cy="4827270"/>
            <wp:effectExtent l="0" t="0" r="15875" b="1143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11"/>
                    <a:stretch>
                      <a:fillRect/>
                    </a:stretch>
                  </pic:blipFill>
                  <pic:spPr>
                    <a:xfrm>
                      <a:off x="0" y="0"/>
                      <a:ext cx="5756275" cy="4827270"/>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b/>
          <w:color w:val="auto"/>
          <w:sz w:val="24"/>
          <w:szCs w:val="24"/>
        </w:rPr>
        <w:t>表2.6-1  本项目</w:t>
      </w:r>
      <w:r>
        <w:rPr>
          <w:rFonts w:hint="default" w:ascii="Times New Roman" w:hAnsi="Times New Roman" w:cs="Times New Roman" w:eastAsiaTheme="minorEastAsia"/>
          <w:b/>
          <w:color w:val="auto"/>
          <w:sz w:val="24"/>
          <w:szCs w:val="24"/>
          <w:highlight w:val="none"/>
        </w:rPr>
        <w:t>评价范围</w:t>
      </w:r>
      <w:r>
        <w:rPr>
          <w:rFonts w:hint="eastAsia" w:ascii="Times New Roman" w:hAnsi="Times New Roman" w:cs="Times New Roman" w:eastAsiaTheme="minorEastAsia"/>
          <w:b/>
          <w:color w:val="auto"/>
          <w:sz w:val="24"/>
          <w:szCs w:val="24"/>
          <w:highlight w:val="none"/>
          <w:lang w:val="en-US" w:eastAsia="zh-CN"/>
        </w:rPr>
        <w:t>内</w:t>
      </w:r>
      <w:r>
        <w:rPr>
          <w:rFonts w:hint="default" w:ascii="Times New Roman" w:hAnsi="Times New Roman" w:cs="Times New Roman" w:eastAsiaTheme="minorEastAsia"/>
          <w:b/>
          <w:color w:val="auto"/>
          <w:sz w:val="24"/>
          <w:szCs w:val="24"/>
          <w:highlight w:val="none"/>
        </w:rPr>
        <w:t>的</w:t>
      </w:r>
      <w:r>
        <w:rPr>
          <w:rFonts w:hint="eastAsia" w:ascii="Times New Roman" w:hAnsi="Times New Roman" w:cs="Times New Roman" w:eastAsiaTheme="minorEastAsia"/>
          <w:b/>
          <w:color w:val="auto"/>
          <w:sz w:val="24"/>
          <w:szCs w:val="24"/>
          <w:highlight w:val="none"/>
          <w:lang w:val="en-US" w:eastAsia="zh-CN"/>
        </w:rPr>
        <w:t>大气、</w:t>
      </w:r>
      <w:r>
        <w:rPr>
          <w:rFonts w:hint="default" w:ascii="Times New Roman" w:hAnsi="Times New Roman" w:cs="Times New Roman" w:eastAsiaTheme="minorEastAsia"/>
          <w:b/>
          <w:color w:val="auto"/>
          <w:sz w:val="24"/>
          <w:szCs w:val="24"/>
        </w:rPr>
        <w:t>声环境保护目标分布图</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生态环境保护目标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根据现场调查，本项目陆域评价范围内未发现国家级和地方重点保护野生动植物和名木古树分布。</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本项目生态影响保护目标主要为长江监利段四大家鱼国家级水产种质资源保护区和东洞庭国家级自然保护区。本项目不在产卵场、索饵场、越冬场范围内，工程处下游最近的产卵场——反嘴~孙梁洲约22km，距下游江心洲~螺山产卵场47km。此外，</w:t>
      </w:r>
      <w:r>
        <w:rPr>
          <w:rFonts w:hint="eastAsia" w:ascii="Times New Roman" w:hAnsi="Times New Roman" w:cs="Times New Roman" w:eastAsiaTheme="minorEastAsia"/>
          <w:color w:val="auto"/>
          <w:kern w:val="0"/>
          <w:sz w:val="24"/>
          <w:szCs w:val="24"/>
          <w:lang w:val="en-US" w:eastAsia="zh-CN" w:bidi="ar"/>
        </w:rPr>
        <w:t>项目岸线占用</w:t>
      </w:r>
      <w:r>
        <w:rPr>
          <w:rFonts w:hint="default" w:ascii="Times New Roman" w:hAnsi="Times New Roman" w:cs="Times New Roman" w:eastAsiaTheme="minorEastAsia"/>
          <w:color w:val="auto"/>
          <w:kern w:val="0"/>
          <w:sz w:val="24"/>
          <w:szCs w:val="24"/>
          <w:lang w:bidi="ar"/>
        </w:rPr>
        <w:t>不涉及生态保护红线范围</w:t>
      </w:r>
      <w:r>
        <w:rPr>
          <w:rFonts w:hint="default" w:ascii="Times New Roman" w:hAnsi="Times New Roman" w:cs="Times New Roman" w:eastAsiaTheme="minorEastAsia"/>
          <w:bCs/>
          <w:color w:val="auto"/>
          <w:sz w:val="24"/>
        </w:rPr>
        <w:t>。</w:t>
      </w:r>
    </w:p>
    <w:p>
      <w:pPr>
        <w:tabs>
          <w:tab w:val="left" w:pos="900"/>
        </w:tabs>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表2.6-4  评价范围内生态环境保护目标</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65"/>
        <w:gridCol w:w="2236"/>
        <w:gridCol w:w="53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blHeader/>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敏感点</w:t>
            </w:r>
          </w:p>
        </w:tc>
        <w:tc>
          <w:tcPr>
            <w:tcW w:w="1229" w:type="pct"/>
            <w:vAlign w:val="center"/>
          </w:tcPr>
          <w:p>
            <w:pPr>
              <w:pStyle w:val="174"/>
              <w:adjustRightInd w:val="0"/>
              <w:snapToGrid w:val="0"/>
              <w:spacing w:line="240" w:lineRule="auto"/>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与项目相对位置</w:t>
            </w:r>
          </w:p>
        </w:tc>
        <w:tc>
          <w:tcPr>
            <w:tcW w:w="2965" w:type="pct"/>
            <w:vAlign w:val="center"/>
          </w:tcPr>
          <w:p>
            <w:pPr>
              <w:pStyle w:val="174"/>
              <w:adjustRightInd w:val="0"/>
              <w:snapToGrid w:val="0"/>
              <w:spacing w:line="240" w:lineRule="auto"/>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规模与环境特征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野生动植物资源</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分布于码头作业区边缘影响区域内</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植被类型单一，主要是常见的人工植被为主，另外还有大量的灌草丛；野生动物较少，多为鸟类、蛇类、青蛙、鼠类等常见物种，无珍稀濒危物种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水生生物资源</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评价长江江段</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水生生物丰富，浮游植物有64种，浮游动物有58种，底栖动物约有20种。有鱼类115种，以鲤科为大宗，是淡水鱼类主要集散地，且洄游性鱼类较多，其他水生动物有软体类、甲壳类、爬行类等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农田</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分布于码头作业区外</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主要作物为水稻、玉米、棉花等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eastAsia="宋体" w:cs="Times New Roman"/>
                <w:color w:val="auto"/>
                <w:sz w:val="21"/>
                <w:szCs w:val="21"/>
                <w:lang w:eastAsia="zh-CN"/>
              </w:rPr>
            </w:pPr>
            <w:r>
              <w:rPr>
                <w:rFonts w:hint="default" w:ascii="Times New Roman" w:hAnsi="Times New Roman" w:cs="Times New Roman" w:eastAsiaTheme="minorEastAsia"/>
                <w:color w:val="auto"/>
                <w:sz w:val="21"/>
                <w:szCs w:val="21"/>
              </w:rPr>
              <w:t>湖南东洞庭湖国家级自然保护区</w:t>
            </w:r>
            <w:r>
              <w:rPr>
                <w:rStyle w:val="84"/>
                <w:rFonts w:hint="default" w:ascii="Times New Roman" w:hAnsi="Times New Roman" w:cs="Times New Roman"/>
                <w:color w:val="auto"/>
                <w:kern w:val="2"/>
                <w:lang w:eastAsia="zh-CN"/>
              </w:rPr>
              <w:t>（东洞庭湖湖泊湿地保护区）</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本项目位于自然保护区的为实验区，不涉及缓冲区和核心区范围，与缓冲区及核心区相距11km以上，见附图8</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东洞庭湖国家级自然保护区位于</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"https://baike.so.com/doc/899615-950884.html" \t "_blank" </w:instrText>
            </w:r>
            <w:r>
              <w:rPr>
                <w:rFonts w:hint="default" w:ascii="Times New Roman" w:hAnsi="Times New Roman" w:cs="Times New Roman"/>
                <w:color w:val="auto"/>
              </w:rPr>
              <w:fldChar w:fldCharType="separate"/>
            </w:r>
            <w:r>
              <w:rPr>
                <w:rFonts w:hint="default" w:ascii="Times New Roman" w:hAnsi="Times New Roman" w:cs="Times New Roman" w:eastAsiaTheme="minorEastAsia"/>
                <w:color w:val="auto"/>
                <w:sz w:val="21"/>
                <w:szCs w:val="21"/>
              </w:rPr>
              <w:t>洞庭湖</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东部，处于长江中下游、湖南省北部，是生物多样性极为丰富的国际重要湿地。总面积19万hm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，其中水域面积6.54万hm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，核心区面积2.9万hm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保护区内有鸟类303种，鱼类114种，水生动物68种，水生植物近400种，国家重点保护的水生哺乳动物江豚和白豚2种，其中国家一级保护鸟类7种、鱼类2种、水生哺乳动物1种、保护植物3种。国家二级保护鸟类37种、鱼类3种、水生哺乳动物1种</w:t>
            </w:r>
            <w:r>
              <w:rPr>
                <w:rFonts w:hint="default" w:ascii="Times New Roman" w:hAnsi="Times New Roman" w:cs="Times New Roman" w:eastAsiaTheme="minorEastAsia"/>
                <w:color w:val="auto"/>
                <w:sz w:val="21"/>
                <w:szCs w:val="21"/>
                <w:lang w:eastAsia="zh-CN"/>
              </w:rPr>
              <w:t>。</w:t>
            </w:r>
          </w:p>
          <w:p>
            <w:pPr>
              <w:pStyle w:val="174"/>
              <w:adjustRightInd w:val="0"/>
              <w:snapToGrid w:val="0"/>
              <w:spacing w:line="240" w:lineRule="auto"/>
              <w:jc w:val="both"/>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本项目所处位置也位于</w:t>
            </w:r>
            <w:r>
              <w:rPr>
                <w:rStyle w:val="84"/>
                <w:rFonts w:hint="default" w:ascii="Times New Roman" w:hAnsi="Times New Roman" w:cs="Times New Roman"/>
                <w:color w:val="auto"/>
                <w:kern w:val="2"/>
                <w:lang w:eastAsia="zh-CN"/>
              </w:rPr>
              <w:t>东洞庭湖湖泊湿地保护区范围内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kern w:val="0"/>
                <w:sz w:val="21"/>
                <w:szCs w:val="21"/>
                <w:lang w:bidi="ar"/>
              </w:rPr>
              <w:t>长</w:t>
            </w:r>
            <w:r>
              <w:rPr>
                <w:rFonts w:hint="default" w:ascii="Times New Roman" w:hAnsi="Times New Roman" w:cs="Times New Roman"/>
                <w:color w:val="auto"/>
                <w:sz w:val="21"/>
                <w:szCs w:val="21"/>
              </w:rPr>
              <w:t>江监利段四大家鱼国家级水产种质资源保护区</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本项目位于该水产种质自然保护区的实验区内，距上游杨家湾至沙咀轮渡码头核心区16km，距下游盐船轮渡口至上沙村核心区4km，见附图11</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保护区主要保护对象为青鱼、草鱼、鲢、鳙“四大家鱼”，其他保护对象为保护区内的其它水生生物。</w:t>
            </w:r>
            <w:r>
              <w:rPr>
                <w:rFonts w:hint="default" w:ascii="Times New Roman" w:hAnsi="Times New Roman" w:cs="Times New Roman" w:eastAsiaTheme="minorEastAsia"/>
                <w:color w:val="auto"/>
                <w:kern w:val="0"/>
                <w:sz w:val="21"/>
                <w:szCs w:val="21"/>
                <w:lang w:bidi="ar"/>
              </w:rPr>
              <w:t>本项目不在产卵场、索饵场、越冬场范围内，工程处下游最近的产卵场——反嘴~孙梁洲约22km，距下游江心洲~螺山产卵场47km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174"/>
              <w:adjustRightInd w:val="0"/>
              <w:snapToGrid w:val="0"/>
              <w:spacing w:line="240" w:lineRule="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岳阳市华容县集成长江故道江豚省级自然保护区</w:t>
            </w:r>
          </w:p>
        </w:tc>
        <w:tc>
          <w:tcPr>
            <w:tcW w:w="1229"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本项目位于自然保护区边界下游约9.0km，不涉及自然保护区范围，见附图12</w:t>
            </w:r>
          </w:p>
        </w:tc>
        <w:tc>
          <w:tcPr>
            <w:tcW w:w="2965" w:type="pct"/>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2015年8月，湖南省政府已批准成立岳阳市华容县集成长江故道江豚省级自然保护区，主要保护珍稀濒危物种长江江豚。华容集成长江故道保护区位于东洞庭湖华容县北部，于1968年人工取直改道形成，与长江相连，年平均水位27.64m。水域内有鱼类资源109种、浮游动物80种、底栖动物40种。水域水质优良，饵料资源丰富，非常适宜江豚的生长和繁衍。自然保护区总面积为2747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，其中核心区域874hm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，缓冲区948hm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，实验区725hm</w:t>
            </w:r>
            <w:r>
              <w:rPr>
                <w:rFonts w:hint="default" w:ascii="Times New Roman" w:hAnsi="Times New Roman" w:cs="Times New Roman" w:eastAsiaTheme="minorEastAsia"/>
                <w:color w:val="auto"/>
                <w:sz w:val="21"/>
                <w:szCs w:val="21"/>
                <w:vertAlign w:val="superscript"/>
              </w:rPr>
              <w:t>2</w:t>
            </w:r>
          </w:p>
        </w:tc>
      </w:tr>
    </w:tbl>
    <w:p>
      <w:pPr>
        <w:adjustRightInd w:val="0"/>
        <w:snapToGrid w:val="0"/>
        <w:spacing w:line="360" w:lineRule="auto"/>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注：本项目不涉及生态保护红线范围，与生态保护红线边界的最近距离约170m。</w:t>
      </w:r>
    </w:p>
    <w:p>
      <w:pPr>
        <w:adjustRightInd w:val="0"/>
        <w:snapToGrid w:val="0"/>
        <w:spacing w:line="360" w:lineRule="auto"/>
        <w:rPr>
          <w:rFonts w:hint="default" w:ascii="Times New Roman" w:hAnsi="Times New Roman" w:cs="Times New Roman" w:eastAsiaTheme="minorEastAsia"/>
          <w:color w:val="auto"/>
          <w:kern w:val="0"/>
          <w:lang w:bidi="ar"/>
        </w:rPr>
      </w:pPr>
    </w:p>
    <w:p>
      <w:pPr>
        <w:adjustRightInd w:val="0"/>
        <w:snapToGrid w:val="0"/>
        <w:spacing w:line="360" w:lineRule="auto"/>
        <w:rPr>
          <w:rFonts w:hint="eastAsia" w:ascii="Times New Roman" w:hAnsi="Times New Roman" w:cs="Times New Roman" w:eastAsiaTheme="minorEastAsia"/>
          <w:color w:val="auto"/>
          <w:kern w:val="0"/>
          <w:lang w:eastAsia="zh-CN" w:bidi="ar"/>
        </w:rPr>
      </w:pPr>
      <w:r>
        <w:rPr>
          <w:rFonts w:hint="eastAsia" w:ascii="Times New Roman" w:hAnsi="Times New Roman" w:cs="Times New Roman" w:eastAsiaTheme="minorEastAsia"/>
          <w:color w:val="auto"/>
          <w:kern w:val="0"/>
          <w:lang w:eastAsia="zh-CN" w:bidi="ar"/>
        </w:rPr>
        <w:drawing>
          <wp:inline distT="0" distB="0" distL="114300" distR="114300">
            <wp:extent cx="5756275" cy="3800475"/>
            <wp:effectExtent l="0" t="0" r="15875" b="9525"/>
            <wp:docPr id="50" name="图片 50" descr="插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插图2"/>
                    <pic:cNvPicPr>
                      <a:picLocks noChangeAspect="1"/>
                    </pic:cNvPicPr>
                  </pic:nvPicPr>
                  <pic:blipFill>
                    <a:blip r:embed="rId12"/>
                    <a:stretch>
                      <a:fillRect/>
                    </a:stretch>
                  </pic:blipFill>
                  <pic:spPr>
                    <a:xfrm>
                      <a:off x="0" y="0"/>
                      <a:ext cx="5756275" cy="3800475"/>
                    </a:xfrm>
                    <a:prstGeom prst="rect">
                      <a:avLst/>
                    </a:prstGeom>
                  </pic:spPr>
                </pic:pic>
              </a:graphicData>
            </a:graphic>
          </wp:inline>
        </w:drawing>
      </w:r>
    </w:p>
    <w:p>
      <w:pPr>
        <w:adjustRightInd w:val="0"/>
        <w:snapToGrid w:val="0"/>
        <w:spacing w:line="360" w:lineRule="auto"/>
        <w:jc w:val="center"/>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b/>
          <w:color w:val="auto"/>
          <w:sz w:val="24"/>
          <w:szCs w:val="24"/>
          <w:u w:val="single"/>
        </w:rPr>
        <w:t>表2.6-</w:t>
      </w:r>
      <w:r>
        <w:rPr>
          <w:rFonts w:hint="eastAsia" w:ascii="Times New Roman" w:hAnsi="Times New Roman" w:cs="Times New Roman" w:eastAsiaTheme="minorEastAsia"/>
          <w:b/>
          <w:color w:val="auto"/>
          <w:sz w:val="24"/>
          <w:szCs w:val="24"/>
          <w:u w:val="single"/>
          <w:lang w:val="en-US" w:eastAsia="zh-CN"/>
        </w:rPr>
        <w:t>2</w:t>
      </w:r>
      <w:r>
        <w:rPr>
          <w:rFonts w:hint="default" w:ascii="Times New Roman" w:hAnsi="Times New Roman" w:cs="Times New Roman" w:eastAsiaTheme="minorEastAsia"/>
          <w:b/>
          <w:color w:val="auto"/>
          <w:sz w:val="24"/>
          <w:szCs w:val="24"/>
          <w:u w:val="single"/>
        </w:rPr>
        <w:t xml:space="preserve">  本项目</w:t>
      </w:r>
      <w:r>
        <w:rPr>
          <w:rFonts w:hint="eastAsia" w:ascii="Times New Roman" w:hAnsi="Times New Roman" w:cs="Times New Roman" w:eastAsiaTheme="minorEastAsia"/>
          <w:b/>
          <w:color w:val="auto"/>
          <w:sz w:val="24"/>
          <w:szCs w:val="24"/>
          <w:highlight w:val="none"/>
          <w:u w:val="single"/>
          <w:lang w:val="en-US" w:eastAsia="zh-CN"/>
        </w:rPr>
        <w:t>与生态保护红线的位置关系</w:t>
      </w:r>
      <w:r>
        <w:rPr>
          <w:rFonts w:hint="default" w:ascii="Times New Roman" w:hAnsi="Times New Roman" w:cs="Times New Roman" w:eastAsiaTheme="minorEastAsia"/>
          <w:b/>
          <w:color w:val="auto"/>
          <w:sz w:val="24"/>
          <w:szCs w:val="24"/>
          <w:u w:val="single"/>
        </w:rPr>
        <w:t>图</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风险环境保护目标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本项目风险环境保护目标即为地表水保护目标和生态环境保护目标，详见下表。</w:t>
      </w:r>
    </w:p>
    <w:p>
      <w:pPr>
        <w:tabs>
          <w:tab w:val="left" w:pos="900"/>
        </w:tabs>
        <w:snapToGrid w:val="0"/>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表2.6-5  评价范围内风险环境保护目标</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32"/>
        <w:gridCol w:w="1369"/>
        <w:gridCol w:w="2419"/>
        <w:gridCol w:w="477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29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序号</w:t>
            </w:r>
          </w:p>
        </w:tc>
        <w:tc>
          <w:tcPr>
            <w:tcW w:w="752"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名称</w:t>
            </w:r>
          </w:p>
        </w:tc>
        <w:tc>
          <w:tcPr>
            <w:tcW w:w="1329"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相对位置</w:t>
            </w:r>
          </w:p>
        </w:tc>
        <w:tc>
          <w:tcPr>
            <w:tcW w:w="2624"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rPr>
              <w:t>规模与环境特征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w:t>
            </w:r>
          </w:p>
        </w:tc>
        <w:tc>
          <w:tcPr>
            <w:tcW w:w="752"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highlight w:val="yellow"/>
              </w:rPr>
            </w:pPr>
            <w:r>
              <w:rPr>
                <w:rFonts w:hint="default" w:ascii="Times New Roman" w:hAnsi="Times New Roman" w:cs="Times New Roman" w:eastAsiaTheme="minorEastAsia"/>
                <w:color w:val="auto"/>
                <w:kern w:val="0"/>
              </w:rPr>
              <w:t>长江（岳阳段）</w:t>
            </w:r>
          </w:p>
        </w:tc>
        <w:tc>
          <w:tcPr>
            <w:tcW w:w="1329"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北侧紧邻</w:t>
            </w:r>
          </w:p>
        </w:tc>
        <w:tc>
          <w:tcPr>
            <w:tcW w:w="2624"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长江属大型河流，多年平均流量为20400m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w:t>
            </w:r>
          </w:p>
        </w:tc>
        <w:tc>
          <w:tcPr>
            <w:tcW w:w="752" w:type="pct"/>
            <w:tcMar>
              <w:left w:w="0" w:type="dxa"/>
              <w:right w:w="0" w:type="dxa"/>
            </w:tcMar>
            <w:vAlign w:val="center"/>
          </w:tcPr>
          <w:p>
            <w:pPr>
              <w:pStyle w:val="174"/>
              <w:adjustRightInd w:val="0"/>
              <w:snapToGrid w:val="0"/>
              <w:spacing w:line="240" w:lineRule="auto"/>
              <w:rPr>
                <w:rFonts w:hint="default" w:ascii="Times New Roman" w:hAnsi="Times New Roman" w:cs="Times New Roman" w:eastAsiaTheme="minorEastAsia"/>
                <w:color w:val="auto"/>
                <w:kern w:val="0"/>
                <w:highlight w:val="yellow"/>
                <w:lang w:eastAsia="zh-CN"/>
              </w:rPr>
            </w:pPr>
            <w:r>
              <w:rPr>
                <w:rFonts w:hint="default" w:ascii="Times New Roman" w:hAnsi="Times New Roman" w:cs="Times New Roman" w:eastAsiaTheme="minorEastAsia"/>
                <w:color w:val="auto"/>
                <w:sz w:val="21"/>
                <w:szCs w:val="21"/>
              </w:rPr>
              <w:t>湖南东洞庭湖国家级自然保护区</w:t>
            </w:r>
            <w:r>
              <w:rPr>
                <w:rStyle w:val="84"/>
                <w:rFonts w:hint="default" w:ascii="Times New Roman" w:hAnsi="Times New Roman" w:cs="Times New Roman"/>
                <w:color w:val="auto"/>
                <w:kern w:val="2"/>
                <w:lang w:eastAsia="zh-CN"/>
              </w:rPr>
              <w:t>（东洞庭湖湖泊湿地保护区）</w:t>
            </w:r>
          </w:p>
        </w:tc>
        <w:tc>
          <w:tcPr>
            <w:tcW w:w="1329" w:type="pct"/>
            <w:tcMar>
              <w:left w:w="0" w:type="dxa"/>
              <w:right w:w="0" w:type="dxa"/>
            </w:tcMar>
            <w:vAlign w:val="center"/>
          </w:tcPr>
          <w:p>
            <w:pPr>
              <w:pStyle w:val="174"/>
              <w:adjustRightInd w:val="0"/>
              <w:snapToGrid w:val="0"/>
              <w:spacing w:line="240" w:lineRule="auto"/>
              <w:jc w:val="both"/>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sz w:val="21"/>
                <w:szCs w:val="21"/>
              </w:rPr>
              <w:t>本项目位于自然保护区的为实验区，不涉及缓冲区和核心区范围，与缓冲区及核心区相距11km以上，见附图8</w:t>
            </w:r>
          </w:p>
        </w:tc>
        <w:tc>
          <w:tcPr>
            <w:tcW w:w="2624" w:type="pct"/>
            <w:tcMar>
              <w:left w:w="0" w:type="dxa"/>
              <w:right w:w="0" w:type="dxa"/>
            </w:tcMar>
            <w:vAlign w:val="center"/>
          </w:tcPr>
          <w:p>
            <w:pPr>
              <w:pStyle w:val="174"/>
              <w:adjustRightInd w:val="0"/>
              <w:snapToGrid w:val="0"/>
              <w:spacing w:line="240" w:lineRule="auto"/>
              <w:jc w:val="both"/>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东洞庭湖国家级自然保护区位于</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"https://baike.so.com/doc/899615-950884.html" \t "_blank" </w:instrText>
            </w:r>
            <w:r>
              <w:rPr>
                <w:rFonts w:hint="default" w:ascii="Times New Roman" w:hAnsi="Times New Roman" w:cs="Times New Roman"/>
                <w:color w:val="auto"/>
              </w:rPr>
              <w:fldChar w:fldCharType="separate"/>
            </w:r>
            <w:r>
              <w:rPr>
                <w:rFonts w:hint="default" w:ascii="Times New Roman" w:hAnsi="Times New Roman" w:cs="Times New Roman" w:eastAsiaTheme="minorEastAsia"/>
                <w:color w:val="auto"/>
                <w:sz w:val="21"/>
                <w:szCs w:val="21"/>
              </w:rPr>
              <w:t>洞庭湖</w:t>
            </w:r>
            <w:r>
              <w:rPr>
                <w:rFonts w:hint="default" w:ascii="Times New Roman" w:hAnsi="Times New Roman" w:cs="Times New Roman" w:eastAsiaTheme="minorEastAsia"/>
                <w:color w:val="auto"/>
                <w:sz w:val="21"/>
                <w:szCs w:val="21"/>
              </w:rPr>
              <w:fldChar w:fldCharType="end"/>
            </w:r>
            <w:r>
              <w:rPr>
                <w:rFonts w:hint="default" w:ascii="Times New Roman" w:hAnsi="Times New Roman" w:cs="Times New Roman" w:eastAsiaTheme="minorEastAsia"/>
                <w:color w:val="auto"/>
                <w:sz w:val="21"/>
                <w:szCs w:val="21"/>
              </w:rPr>
              <w:t>东部，处于长江中下游、湖南省北部，是生物多样性极为丰富的国际重要湿地。总面积19万hm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，其中水域面积6.54万hm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，核心区面积2.9万hm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保护区内有鸟类303种，鱼类114种，水生动物68种，水生植物近400种，国家重点保护的水生哺乳动物江豚和白豚2种，其中国家一级保护鸟类7种、鱼类2种、水生哺乳动物1种、保护植物3种。国家二级保护鸟类37种、鱼类3种、水生哺乳动物1种</w:t>
            </w:r>
            <w:r>
              <w:rPr>
                <w:rFonts w:hint="default" w:ascii="Times New Roman" w:hAnsi="Times New Roman" w:cs="Times New Roman" w:eastAsiaTheme="minorEastAsia"/>
                <w:color w:val="auto"/>
                <w:sz w:val="21"/>
                <w:szCs w:val="21"/>
                <w:lang w:eastAsia="zh-CN"/>
              </w:rPr>
              <w:t>。</w:t>
            </w:r>
          </w:p>
          <w:p>
            <w:pPr>
              <w:pStyle w:val="174"/>
              <w:adjustRightInd w:val="0"/>
              <w:snapToGrid w:val="0"/>
              <w:spacing w:line="240" w:lineRule="auto"/>
              <w:jc w:val="both"/>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本项目所处位置也位于</w:t>
            </w:r>
            <w:r>
              <w:rPr>
                <w:rStyle w:val="84"/>
                <w:rFonts w:hint="default" w:ascii="Times New Roman" w:hAnsi="Times New Roman" w:cs="Times New Roman"/>
                <w:color w:val="auto"/>
                <w:kern w:val="2"/>
                <w:lang w:eastAsia="zh-CN"/>
              </w:rPr>
              <w:t>东洞庭湖湖泊湿地保护区范围内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3" w:type="pct"/>
            <w:tcMar>
              <w:left w:w="0" w:type="dxa"/>
              <w:right w:w="0" w:type="dxa"/>
            </w:tcMar>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w:t>
            </w:r>
          </w:p>
        </w:tc>
        <w:tc>
          <w:tcPr>
            <w:tcW w:w="752" w:type="pct"/>
            <w:tcMar>
              <w:left w:w="0" w:type="dxa"/>
              <w:right w:w="0" w:type="dxa"/>
            </w:tcMar>
            <w:vAlign w:val="center"/>
          </w:tcPr>
          <w:p>
            <w:pPr>
              <w:pStyle w:val="174"/>
              <w:adjustRightInd w:val="0"/>
              <w:snapToGrid w:val="0"/>
              <w:spacing w:line="240" w:lineRule="auto"/>
              <w:rPr>
                <w:rFonts w:hint="default" w:ascii="Times New Roman" w:hAnsi="Times New Roman" w:cs="Times New Roman" w:eastAsiaTheme="minorEastAsia"/>
                <w:bCs/>
                <w:color w:val="auto"/>
              </w:rPr>
            </w:pPr>
            <w:r>
              <w:rPr>
                <w:rFonts w:hint="default" w:ascii="Times New Roman" w:hAnsi="Times New Roman" w:cs="Times New Roman" w:eastAsiaTheme="minorEastAsia"/>
                <w:color w:val="auto"/>
                <w:kern w:val="0"/>
                <w:sz w:val="21"/>
                <w:szCs w:val="21"/>
                <w:lang w:bidi="ar"/>
              </w:rPr>
              <w:t>长</w:t>
            </w:r>
            <w:r>
              <w:rPr>
                <w:rFonts w:hint="default" w:ascii="Times New Roman" w:hAnsi="Times New Roman" w:cs="Times New Roman"/>
                <w:color w:val="auto"/>
                <w:sz w:val="21"/>
                <w:szCs w:val="21"/>
              </w:rPr>
              <w:t>江监利段四大家鱼国家级水产种质资源保护区</w:t>
            </w:r>
          </w:p>
        </w:tc>
        <w:tc>
          <w:tcPr>
            <w:tcW w:w="1329" w:type="pct"/>
            <w:tcMar>
              <w:left w:w="0" w:type="dxa"/>
              <w:right w:w="0" w:type="dxa"/>
            </w:tcMar>
            <w:vAlign w:val="center"/>
          </w:tcPr>
          <w:p>
            <w:pPr>
              <w:pStyle w:val="174"/>
              <w:adjustRightInd w:val="0"/>
              <w:snapToGrid w:val="0"/>
              <w:spacing w:line="240" w:lineRule="auto"/>
              <w:jc w:val="both"/>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sz w:val="21"/>
                <w:szCs w:val="21"/>
              </w:rPr>
              <w:t>本项目位于该水产种质自然保护区的实验区内，距上游杨家湾至沙咀轮渡码头核心区16km，距下游盐船轮渡口至上沙村核心区5km，见附图11</w:t>
            </w:r>
          </w:p>
        </w:tc>
        <w:tc>
          <w:tcPr>
            <w:tcW w:w="2624" w:type="pct"/>
            <w:tcMar>
              <w:left w:w="0" w:type="dxa"/>
              <w:right w:w="0" w:type="dxa"/>
            </w:tcMar>
            <w:vAlign w:val="center"/>
          </w:tcPr>
          <w:p>
            <w:pPr>
              <w:pStyle w:val="174"/>
              <w:adjustRightInd w:val="0"/>
              <w:snapToGrid w:val="0"/>
              <w:spacing w:line="240" w:lineRule="auto"/>
              <w:jc w:val="both"/>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sz w:val="21"/>
                <w:szCs w:val="21"/>
              </w:rPr>
              <w:t>保护区主要保护对象为青鱼、草鱼、鲢、鳙“四大家鱼”，其他保护对象为保护区内的其它水生生物。</w:t>
            </w:r>
            <w:r>
              <w:rPr>
                <w:rFonts w:hint="default" w:ascii="Times New Roman" w:hAnsi="Times New Roman" w:cs="Times New Roman" w:eastAsiaTheme="minorEastAsia"/>
                <w:color w:val="auto"/>
                <w:kern w:val="0"/>
                <w:sz w:val="21"/>
                <w:szCs w:val="21"/>
                <w:lang w:bidi="ar"/>
              </w:rPr>
              <w:t>本项目不在产卵场、索饵场、越冬场范围内，工程处下游最近的产卵场——反嘴~孙梁洲约22km，距下游江心洲~螺山产卵场47km</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pStyle w:val="3"/>
        <w:ind w:left="578" w:hanging="578"/>
        <w:rPr>
          <w:rFonts w:hint="default" w:ascii="Times New Roman" w:hAnsi="Times New Roman" w:cs="Times New Roman" w:eastAsiaTheme="minorEastAsia"/>
          <w:b/>
          <w:color w:val="auto"/>
        </w:rPr>
      </w:pPr>
      <w:bookmarkStart w:id="28" w:name="_Toc17343"/>
      <w:bookmarkStart w:id="29" w:name="_Toc12654"/>
      <w:r>
        <w:rPr>
          <w:rFonts w:hint="default" w:ascii="Times New Roman" w:hAnsi="Times New Roman" w:cs="Times New Roman" w:eastAsiaTheme="minorEastAsia"/>
          <w:b/>
          <w:color w:val="auto"/>
        </w:rPr>
        <w:t>评价时段</w:t>
      </w:r>
      <w:bookmarkEnd w:id="28"/>
      <w:bookmarkEnd w:id="29"/>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评价时段</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本项目的环境影响评价包括施工期和营运期。</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评价采用模式计算、类比法和调研分析等方法进行评价。环境空气、声环境和风险评价采用模式计算法进行评价，社会评价主要采取调查分析方法进行评价，生态评价采用调查分析和资料引用法进行评价，水环境评价采用定性和定量分析结合进行评价。</w:t>
      </w:r>
    </w:p>
    <w:p>
      <w:pPr>
        <w:pStyle w:val="3"/>
        <w:ind w:left="578" w:hanging="578"/>
        <w:rPr>
          <w:rFonts w:hint="default" w:ascii="Times New Roman" w:hAnsi="Times New Roman" w:cs="Times New Roman" w:eastAsiaTheme="minorEastAsia"/>
          <w:b/>
          <w:color w:val="auto"/>
        </w:rPr>
      </w:pPr>
      <w:bookmarkStart w:id="30" w:name="_Toc28348"/>
      <w:bookmarkStart w:id="31" w:name="_Toc17168"/>
      <w:r>
        <w:rPr>
          <w:rFonts w:hint="default" w:ascii="Times New Roman" w:hAnsi="Times New Roman" w:cs="Times New Roman" w:eastAsiaTheme="minorEastAsia"/>
          <w:b/>
          <w:color w:val="auto"/>
        </w:rPr>
        <w:t>评价技术路线</w:t>
      </w:r>
      <w:bookmarkEnd w:id="30"/>
      <w:bookmarkEnd w:id="31"/>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本次评价技术路线见图2.9-1。</w:t>
      </w:r>
    </w:p>
    <w:p>
      <w:pPr>
        <w:adjustRightInd w:val="0"/>
        <w:snapToGrid w:val="0"/>
        <w:spacing w:line="360" w:lineRule="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rPr>
        <w:drawing>
          <wp:inline distT="0" distB="0" distL="0" distR="0">
            <wp:extent cx="5537200" cy="5768340"/>
            <wp:effectExtent l="0" t="0" r="381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3"/>
                    <a:stretch>
                      <a:fillRect/>
                    </a:stretch>
                  </pic:blipFill>
                  <pic:spPr>
                    <a:xfrm rot="16200000">
                      <a:off x="0" y="0"/>
                      <a:ext cx="5541929" cy="5772893"/>
                    </a:xfrm>
                    <a:prstGeom prst="rect">
                      <a:avLst/>
                    </a:prstGeom>
                  </pic:spPr>
                </pic:pic>
              </a:graphicData>
            </a:graphic>
          </wp:inline>
        </w:drawing>
      </w:r>
    </w:p>
    <w:p>
      <w:pPr>
        <w:adjustRightInd w:val="0"/>
        <w:snapToGrid w:val="0"/>
        <w:spacing w:line="360" w:lineRule="auto"/>
        <w:ind w:firstLine="482" w:firstLineChars="200"/>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图2.9-1  评价技术路线</w:t>
      </w:r>
    </w:p>
    <w:p>
      <w:pPr>
        <w:adjustRightInd w:val="0"/>
        <w:snapToGrid w:val="0"/>
        <w:spacing w:line="360" w:lineRule="auto"/>
        <w:rPr>
          <w:rFonts w:hint="default" w:ascii="Times New Roman" w:hAnsi="Times New Roman" w:cs="Times New Roman" w:eastAsiaTheme="minorEastAsia"/>
          <w:color w:val="auto"/>
          <w:sz w:val="24"/>
          <w:szCs w:val="24"/>
        </w:rPr>
        <w:sectPr>
          <w:headerReference r:id="rId8" w:type="default"/>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32" w:name="_Toc25900"/>
      <w:bookmarkStart w:id="33" w:name="_Toc2866"/>
      <w:r>
        <w:rPr>
          <w:rFonts w:hint="default" w:ascii="Times New Roman" w:hAnsi="Times New Roman" w:cs="Times New Roman" w:eastAsiaTheme="minorEastAsia"/>
          <w:b/>
          <w:color w:val="auto"/>
          <w:sz w:val="32"/>
          <w:szCs w:val="32"/>
        </w:rPr>
        <w:t>工程概况</w:t>
      </w:r>
      <w:bookmarkEnd w:id="32"/>
      <w:bookmarkEnd w:id="33"/>
    </w:p>
    <w:p>
      <w:pPr>
        <w:pStyle w:val="3"/>
        <w:ind w:left="578" w:hanging="578"/>
        <w:rPr>
          <w:rFonts w:hint="default" w:ascii="Times New Roman" w:hAnsi="Times New Roman" w:cs="Times New Roman" w:eastAsiaTheme="minorEastAsia"/>
          <w:b/>
          <w:bCs w:val="0"/>
          <w:color w:val="auto"/>
        </w:rPr>
      </w:pPr>
      <w:bookmarkStart w:id="34" w:name="_Toc8156"/>
      <w:bookmarkStart w:id="35" w:name="_Toc23844"/>
      <w:r>
        <w:rPr>
          <w:rFonts w:hint="default" w:ascii="Times New Roman" w:hAnsi="Times New Roman" w:cs="Times New Roman" w:eastAsiaTheme="minorEastAsia"/>
          <w:b/>
          <w:bCs w:val="0"/>
          <w:color w:val="auto"/>
        </w:rPr>
        <w:t>工程地理位置</w:t>
      </w:r>
      <w:bookmarkEnd w:id="34"/>
      <w:bookmarkEnd w:id="35"/>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君山区位于岳阳市西北部，北枕荆江居长江之肾，南绕洞庭锁“四水”（湘、资、沅、澧）之咽，东与岳阳楼区隔湖相望，西与华容东部镇村相连。地处东经112°37′~113°05′，北纬29°23′~29°36′之间，东西最宽约48km，南北最长约32km，总面积670.82k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p>
    <w:p>
      <w:pPr>
        <w:widowControl/>
        <w:adjustRightInd w:val="0"/>
        <w:snapToGrid w:val="0"/>
        <w:spacing w:line="360" w:lineRule="auto"/>
        <w:ind w:firstLine="480" w:firstLineChars="200"/>
        <w:rPr>
          <w:rFonts w:hint="default" w:ascii="Times New Roman" w:hAnsi="Times New Roman" w:cs="Times New Roman"/>
          <w:bCs/>
          <w:color w:val="auto"/>
          <w:kern w:val="0"/>
          <w:sz w:val="24"/>
          <w:szCs w:val="24"/>
        </w:rPr>
      </w:pPr>
      <w:r>
        <w:rPr>
          <w:rFonts w:hint="default" w:ascii="Times New Roman" w:hAnsi="Times New Roman" w:cs="Times New Roman"/>
          <w:color w:val="auto"/>
          <w:sz w:val="24"/>
        </w:rPr>
        <w:t>本项目位于岳阳市君山区广兴洲作业区预留岸线段，长江中游铁铺水道右岸上板岭一带，中游航道里程约为285.0km。</w:t>
      </w:r>
      <w:r>
        <w:rPr>
          <w:rFonts w:hint="default" w:ascii="Times New Roman" w:hAnsi="Times New Roman" w:cs="Times New Roman"/>
          <w:bCs/>
          <w:color w:val="auto"/>
          <w:kern w:val="0"/>
          <w:sz w:val="24"/>
          <w:szCs w:val="24"/>
        </w:rPr>
        <w:t>工程地理位置详见附图1。</w:t>
      </w:r>
    </w:p>
    <w:p>
      <w:pPr>
        <w:pStyle w:val="3"/>
        <w:ind w:left="578" w:hanging="578"/>
        <w:rPr>
          <w:rFonts w:hint="default" w:ascii="Times New Roman" w:hAnsi="Times New Roman" w:cs="Times New Roman" w:eastAsiaTheme="minorEastAsia"/>
          <w:b/>
          <w:bCs w:val="0"/>
          <w:color w:val="auto"/>
        </w:rPr>
      </w:pPr>
      <w:bookmarkStart w:id="36" w:name="_Toc17406"/>
      <w:bookmarkStart w:id="37" w:name="_Toc18737"/>
      <w:r>
        <w:rPr>
          <w:rFonts w:hint="default" w:ascii="Times New Roman" w:hAnsi="Times New Roman" w:cs="Times New Roman" w:eastAsiaTheme="minorEastAsia"/>
          <w:b/>
          <w:bCs w:val="0"/>
          <w:color w:val="auto"/>
        </w:rPr>
        <w:t>港口现状</w:t>
      </w:r>
      <w:bookmarkEnd w:id="36"/>
      <w:bookmarkEnd w:id="37"/>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岳阳建港历史悠久，春秋战国时即为湘水入江之古港，清末时期城陵矶港开埠，成为设有海关的通商口岸，依托“鱼米之乡”、“商贸重镇”、“诗意之城”，几经发展和衰落，曾带动岳阳发展成为中部地区煤、油、盐、米、茶、棉花等重要物资的商贸流通中心。新中国成立后，分设有隶属中央管理的城陵矶港和地方管理的岳阳港。2004年1月1日《中华人民共和国港口法》施行后，岳阳市域范围内港口合并统称为岳阳港。同年原交通部发布全国内河主要港口名录，岳阳港被确定为全国28个内河主要港口之一。</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岳阳港尚未建设LNG加注站，不能适应未来水运行业节能减排的发展需要。据介绍LNG燃料动力船舶的排放与使用柴油相比，硫氧化合物和碳烟排放降低70%以上，氮氧化合物减排35%至40%，无颗粒物排放，二氧化碳也减排至20%至25%，同时经济效益也十分突出。根据交通部相关规划，柴油/LNG混合燃料动力船舶是水运节能减排未来主要推广的技术之一。</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促进水运行业转变发展方式，配合LNG燃料动力船舶推广，提高节能减排水平，江苏、安徽、湖北、江西、重庆等沿江各省市均进行了LNG加注站布局与建设，四川宜都、江苏南京及重庆等地的LNG水上加注站均已建成投入使用。而岳阳港作为湖南省唯一长江口岸，尚未建设LNG加注站及其配套工程，无法适应未来水运行业节能减排的发展需要。</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岸线利用现状</w:t>
      </w:r>
    </w:p>
    <w:p>
      <w:pPr>
        <w:widowControl/>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岳阳市流域面积100km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以上的河流有27条，大小湖泊165个，均属长江流域洞庭湖水系。主要河流有新墙河、汨罗江、湘江、资江、沅江、澧水、松滋河、虎渡河、藕池河等，洞庭湖接纳这些河流来水，并于城陵矶注入长江，形成以洞庭湖为中心的辐射状水系。目前岳阳港已利用岸线主要分布在长江和湘江。岳阳港岸线利用现状表见表3.2-1。</w:t>
      </w:r>
    </w:p>
    <w:p>
      <w:pPr>
        <w:widowControl/>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长江港口岸线占比较小，集中分布在市区段。岳阳港长江岸线总长约163km，2017年经非法码头整治后，已开发利用约19km，利用率11.7%，其中港口码头开发利用岸线14km，占岸线总长的8.6%，总体来看利用程度不高，特别是君山区、临湘市受腹地经济发展水平、产业布局和综合交通方面的限制，港口占用岸线率约为1%。而岳阳楼区、云溪区岸线开发利用程度较高，港口占用岸线率约为30%。已利用的长江港口岸线中，公用码头占用岸线少，企业自用码头占有岸线多。沿江港口岸线大部分被临港企业利用，企业码头多数为自用，大型企业沿江布局，占用岸线较长，岸线利用率较低。目前岳阳港仅有城陵矶港务、城陵矶新港等规模较大的公用码头，还没形成规模化的公用港区。此外，多数码头规模偏小，且布局分散，一些简易码头占用了较多的可建港岸线资源，沿江岸线资源整合和港口岸线资源的集约化利用有待加强。</w:t>
      </w:r>
    </w:p>
    <w:p>
      <w:pPr>
        <w:widowControl/>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湘江等其他岸线大部分处于自然状态，港口占用岸线功能布局欠合理。洞庭湖洪枯水水位变幅大，滨湖区地势平坦，大部分湖泊水域近岸洲体发育，洲体宽度达数百米至数千米，不宜建港；同时洞庭湖湖区内有国家级、省级各类自然保护区，受岸线资源条件和自然保护区限制，湘江及湖区岸线多处于自然状态，仅湘阴城区、岳阳县鹿角镇等条件较好的岸线被开发利用。已开发利用的港口岸线主要以小型简易码头或装卸点为主，多为货主码头。除个别码头建设较规范，生产条件较好外，大部分码头设施设备简陋，码头分布零散，功能布局不合理，占用岸线多，岸线利用率不高。部分港区洁净的集装箱、件杂货码头功能区与煤炭、水泥等粉尘污染重的大宗散货码头功能区，以及危险性较高的油品、液体化工品功能区互为交叉、干扰，例如七里山港区洞庭湖特大桥上游600m至下游1000m范围内，就有件杂货泊位、煤炭泊位、液体化工品泊位、油品泊位、加油泊位、海事工作泊位等多个种类的泊位。</w:t>
      </w:r>
    </w:p>
    <w:p>
      <w:pPr>
        <w:widowControl/>
        <w:adjustRightInd w:val="0"/>
        <w:snapToGrid w:val="0"/>
        <w:spacing w:line="360" w:lineRule="auto"/>
        <w:rPr>
          <w:rFonts w:hint="default" w:ascii="Times New Roman" w:hAnsi="Times New Roman" w:cs="Times New Roman"/>
          <w:color w:val="auto"/>
          <w:sz w:val="24"/>
        </w:rPr>
      </w:pPr>
    </w:p>
    <w:p>
      <w:pPr>
        <w:widowControl/>
        <w:adjustRightInd w:val="0"/>
        <w:snapToGrid w:val="0"/>
        <w:spacing w:line="360" w:lineRule="auto"/>
        <w:ind w:firstLine="480" w:firstLineChars="200"/>
        <w:rPr>
          <w:rFonts w:hint="default" w:ascii="Times New Roman" w:hAnsi="Times New Roman" w:cs="Times New Roman"/>
          <w:bCs/>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adjustRightInd w:val="0"/>
        <w:snapToGrid w:val="0"/>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sz w:val="24"/>
          <w:szCs w:val="24"/>
        </w:rPr>
        <w:t>表3.2-1  岳阳港岸线利用现状表</w:t>
      </w:r>
    </w:p>
    <w:tbl>
      <w:tblPr>
        <w:tblStyle w:val="7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903"/>
        <w:gridCol w:w="1835"/>
        <w:gridCol w:w="2264"/>
        <w:gridCol w:w="1695"/>
        <w:gridCol w:w="1554"/>
        <w:gridCol w:w="3249"/>
        <w:gridCol w:w="1554"/>
        <w:gridCol w:w="9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22" w:type="pct"/>
            <w:vMerge w:val="restart"/>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654"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港区名称</w:t>
            </w:r>
          </w:p>
        </w:tc>
        <w:tc>
          <w:tcPr>
            <w:tcW w:w="806"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自然岸线起讫点</w:t>
            </w:r>
          </w:p>
        </w:tc>
        <w:tc>
          <w:tcPr>
            <w:tcW w:w="604"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自然岸线（m）</w:t>
            </w:r>
          </w:p>
        </w:tc>
        <w:tc>
          <w:tcPr>
            <w:tcW w:w="554"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已利用岸线（m）</w:t>
            </w:r>
          </w:p>
        </w:tc>
        <w:tc>
          <w:tcPr>
            <w:tcW w:w="1158"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利用状况</w:t>
            </w:r>
          </w:p>
        </w:tc>
        <w:tc>
          <w:tcPr>
            <w:tcW w:w="554"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已利用港口岸线（m）</w:t>
            </w:r>
          </w:p>
        </w:tc>
        <w:tc>
          <w:tcPr>
            <w:tcW w:w="346" w:type="pct"/>
            <w:vMerge w:val="restart"/>
            <w:tcBorders>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22" w:type="pct"/>
            <w:vMerge w:val="continue"/>
            <w:tcBorders>
              <w:left w:val="single" w:color="auto" w:sz="12" w:space="0"/>
            </w:tcBorders>
            <w:vAlign w:val="center"/>
          </w:tcPr>
          <w:p>
            <w:pPr>
              <w:widowControl/>
              <w:adjustRightInd w:val="0"/>
              <w:snapToGrid w:val="0"/>
              <w:jc w:val="left"/>
              <w:rPr>
                <w:rFonts w:hint="default" w:ascii="Times New Roman" w:hAnsi="Times New Roman" w:cs="Times New Roman"/>
                <w:color w:val="auto"/>
              </w:rPr>
            </w:pPr>
          </w:p>
        </w:tc>
        <w:tc>
          <w:tcPr>
            <w:tcW w:w="654" w:type="pct"/>
            <w:vMerge w:val="continue"/>
            <w:vAlign w:val="center"/>
          </w:tcPr>
          <w:p>
            <w:pPr>
              <w:widowControl/>
              <w:adjustRightInd w:val="0"/>
              <w:snapToGrid w:val="0"/>
              <w:jc w:val="left"/>
              <w:rPr>
                <w:rFonts w:hint="default" w:ascii="Times New Roman" w:hAnsi="Times New Roman" w:cs="Times New Roman"/>
                <w:color w:val="auto"/>
              </w:rPr>
            </w:pPr>
          </w:p>
        </w:tc>
        <w:tc>
          <w:tcPr>
            <w:tcW w:w="806" w:type="pct"/>
            <w:vMerge w:val="continue"/>
            <w:vAlign w:val="center"/>
          </w:tcPr>
          <w:p>
            <w:pPr>
              <w:widowControl/>
              <w:adjustRightInd w:val="0"/>
              <w:snapToGrid w:val="0"/>
              <w:jc w:val="left"/>
              <w:rPr>
                <w:rFonts w:hint="default" w:ascii="Times New Roman" w:hAnsi="Times New Roman" w:cs="Times New Roman"/>
                <w:color w:val="auto"/>
              </w:rPr>
            </w:pPr>
          </w:p>
        </w:tc>
        <w:tc>
          <w:tcPr>
            <w:tcW w:w="604" w:type="pct"/>
            <w:vMerge w:val="continue"/>
            <w:vAlign w:val="center"/>
          </w:tcPr>
          <w:p>
            <w:pPr>
              <w:widowControl/>
              <w:adjustRightInd w:val="0"/>
              <w:snapToGrid w:val="0"/>
              <w:jc w:val="left"/>
              <w:rPr>
                <w:rFonts w:hint="default" w:ascii="Times New Roman" w:hAnsi="Times New Roman" w:cs="Times New Roman"/>
                <w:color w:val="auto"/>
              </w:rPr>
            </w:pPr>
          </w:p>
        </w:tc>
        <w:tc>
          <w:tcPr>
            <w:tcW w:w="554" w:type="pct"/>
            <w:vMerge w:val="continue"/>
            <w:vAlign w:val="center"/>
          </w:tcPr>
          <w:p>
            <w:pPr>
              <w:widowControl/>
              <w:adjustRightInd w:val="0"/>
              <w:snapToGrid w:val="0"/>
              <w:jc w:val="left"/>
              <w:rPr>
                <w:rFonts w:hint="default" w:ascii="Times New Roman" w:hAnsi="Times New Roman" w:cs="Times New Roman"/>
                <w:color w:val="auto"/>
              </w:rPr>
            </w:pPr>
          </w:p>
        </w:tc>
        <w:tc>
          <w:tcPr>
            <w:tcW w:w="1158" w:type="pct"/>
            <w:vMerge w:val="continue"/>
            <w:vAlign w:val="center"/>
          </w:tcPr>
          <w:p>
            <w:pPr>
              <w:widowControl/>
              <w:adjustRightInd w:val="0"/>
              <w:snapToGrid w:val="0"/>
              <w:jc w:val="left"/>
              <w:rPr>
                <w:rFonts w:hint="default" w:ascii="Times New Roman" w:hAnsi="Times New Roman" w:cs="Times New Roman"/>
                <w:color w:val="auto"/>
              </w:rPr>
            </w:pPr>
          </w:p>
        </w:tc>
        <w:tc>
          <w:tcPr>
            <w:tcW w:w="554" w:type="pct"/>
            <w:vMerge w:val="continue"/>
            <w:vAlign w:val="center"/>
          </w:tcPr>
          <w:p>
            <w:pPr>
              <w:widowControl/>
              <w:adjustRightInd w:val="0"/>
              <w:snapToGrid w:val="0"/>
              <w:jc w:val="left"/>
              <w:rPr>
                <w:rFonts w:hint="default" w:ascii="Times New Roman" w:hAnsi="Times New Roman" w:cs="Times New Roman"/>
                <w:color w:val="auto"/>
              </w:rPr>
            </w:pPr>
          </w:p>
        </w:tc>
        <w:tc>
          <w:tcPr>
            <w:tcW w:w="346" w:type="pct"/>
            <w:vMerge w:val="continue"/>
            <w:tcBorders>
              <w:right w:val="single" w:color="auto" w:sz="12" w:space="0"/>
            </w:tcBorders>
            <w:vAlign w:val="center"/>
          </w:tcPr>
          <w:p>
            <w:pPr>
              <w:widowControl/>
              <w:adjustRightInd w:val="0"/>
              <w:snapToGrid w:val="0"/>
              <w:jc w:val="left"/>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城市闸~洪水港</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32390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塔市驿件杂、散货码头、塔市驿综合码头、航道、海事码头、取水口</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939</w:t>
            </w:r>
          </w:p>
        </w:tc>
        <w:tc>
          <w:tcPr>
            <w:tcW w:w="346" w:type="pct"/>
            <w:vMerge w:val="restar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君山港区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洪水港~洞庭湖湖口</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50450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1730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渡口，荆江门煤炭码头、件杂码头、支持系统码头、取水口</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576</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蒙华铁路大桥~岳港粮油下游侧</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7187</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华粮、城陵矶老港、纸厂、华新水泥、松阳湖多用途</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6676</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道仁矶港区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岳港粮油下游侧~禾场咀</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12460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华新水泥码头、中海油、恒阳化工码头、兴达危化、散货、富润油库、荆岳大桥保护岸线</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3420</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陆城港区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禾场咀~儒溪</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6430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福强、顺帆、长岭炼油厂</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临湘港区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儒溪~铁山咀</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37900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鸭栏码头</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360</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七里山港区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蒙华铁路大桥~岳阳航道码头下游侧</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1400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巴陵石化、海事、航道码头</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780</w:t>
            </w:r>
          </w:p>
        </w:tc>
        <w:tc>
          <w:tcPr>
            <w:tcW w:w="346" w:type="pct"/>
            <w:vMerge w:val="restar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湘江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岳阳楼港区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岳阳航道码头下游侧~太平咀</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18000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18000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华菱码头、石英滤料码头、战备码头、城市休闲，工作船及客运码头</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1360</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岳阳县港区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太平咀~长湖村</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45970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2100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国储能源、丰利纸业、南方水泥码头、交通航道码头等</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2100</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汨罗港区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长湖村~营田闸</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36300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4500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城市、码头、加油站、取水口等</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2542</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22"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6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湘阴港区</w:t>
            </w:r>
          </w:p>
        </w:tc>
        <w:tc>
          <w:tcPr>
            <w:tcW w:w="80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营田闸~市界</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131740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2660</w:t>
            </w:r>
          </w:p>
        </w:tc>
        <w:tc>
          <w:tcPr>
            <w:tcW w:w="1158"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漕溪一期、二期、斜坡码头、建华码头、青山岛码头、加油站、取水口、桥梁等</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1065</w:t>
            </w:r>
          </w:p>
        </w:tc>
        <w:tc>
          <w:tcPr>
            <w:tcW w:w="346" w:type="pct"/>
            <w:vMerge w:val="continue"/>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783" w:type="pct"/>
            <w:gridSpan w:val="3"/>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长江岸线小计</w:t>
            </w:r>
          </w:p>
        </w:tc>
        <w:tc>
          <w:tcPr>
            <w:tcW w:w="60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149630</w:t>
            </w: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19377</w:t>
            </w:r>
          </w:p>
        </w:tc>
        <w:tc>
          <w:tcPr>
            <w:tcW w:w="1158" w:type="pct"/>
            <w:vAlign w:val="center"/>
          </w:tcPr>
          <w:p>
            <w:pPr>
              <w:adjustRightInd w:val="0"/>
              <w:snapToGrid w:val="0"/>
              <w:jc w:val="center"/>
              <w:rPr>
                <w:rFonts w:hint="default" w:ascii="Times New Roman" w:hAnsi="Times New Roman" w:cs="Times New Roman"/>
                <w:color w:val="auto"/>
              </w:rPr>
            </w:pPr>
          </w:p>
        </w:tc>
        <w:tc>
          <w:tcPr>
            <w:tcW w:w="554"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13971</w:t>
            </w:r>
          </w:p>
        </w:tc>
        <w:tc>
          <w:tcPr>
            <w:tcW w:w="346" w:type="pct"/>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783" w:type="pct"/>
            <w:gridSpan w:val="3"/>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湘江岸线小计</w:t>
            </w:r>
          </w:p>
        </w:tc>
        <w:tc>
          <w:tcPr>
            <w:tcW w:w="60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233410</w:t>
            </w:r>
          </w:p>
        </w:tc>
        <w:tc>
          <w:tcPr>
            <w:tcW w:w="55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28660</w:t>
            </w:r>
          </w:p>
        </w:tc>
        <w:tc>
          <w:tcPr>
            <w:tcW w:w="1158" w:type="pct"/>
            <w:vAlign w:val="center"/>
          </w:tcPr>
          <w:p>
            <w:pPr>
              <w:adjustRightInd w:val="0"/>
              <w:snapToGrid w:val="0"/>
              <w:jc w:val="center"/>
              <w:rPr>
                <w:rFonts w:hint="default" w:ascii="Times New Roman" w:hAnsi="Times New Roman" w:cs="Times New Roman"/>
                <w:b/>
                <w:bCs/>
                <w:color w:val="auto"/>
              </w:rPr>
            </w:pPr>
          </w:p>
        </w:tc>
        <w:tc>
          <w:tcPr>
            <w:tcW w:w="55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7847</w:t>
            </w:r>
          </w:p>
        </w:tc>
        <w:tc>
          <w:tcPr>
            <w:tcW w:w="346" w:type="pct"/>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783" w:type="pct"/>
            <w:gridSpan w:val="3"/>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合计</w:t>
            </w:r>
          </w:p>
        </w:tc>
        <w:tc>
          <w:tcPr>
            <w:tcW w:w="60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383040</w:t>
            </w:r>
          </w:p>
        </w:tc>
        <w:tc>
          <w:tcPr>
            <w:tcW w:w="55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48037</w:t>
            </w:r>
          </w:p>
        </w:tc>
        <w:tc>
          <w:tcPr>
            <w:tcW w:w="1158" w:type="pct"/>
            <w:vAlign w:val="center"/>
          </w:tcPr>
          <w:p>
            <w:pPr>
              <w:adjustRightInd w:val="0"/>
              <w:snapToGrid w:val="0"/>
              <w:jc w:val="center"/>
              <w:rPr>
                <w:rFonts w:hint="default" w:ascii="Times New Roman" w:hAnsi="Times New Roman" w:cs="Times New Roman"/>
                <w:b/>
                <w:bCs/>
                <w:color w:val="auto"/>
              </w:rPr>
            </w:pPr>
          </w:p>
        </w:tc>
        <w:tc>
          <w:tcPr>
            <w:tcW w:w="554"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21818</w:t>
            </w:r>
          </w:p>
        </w:tc>
        <w:tc>
          <w:tcPr>
            <w:tcW w:w="346" w:type="pct"/>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bl>
    <w:p>
      <w:pPr>
        <w:adjustRightInd w:val="0"/>
        <w:snapToGrid w:val="0"/>
        <w:spacing w:line="360" w:lineRule="auto"/>
        <w:jc w:val="left"/>
        <w:rPr>
          <w:rFonts w:hint="default" w:ascii="Times New Roman" w:hAnsi="Times New Roman" w:cs="Times New Roman" w:eastAsiaTheme="minorEastAsia"/>
          <w:color w:val="auto"/>
          <w:spacing w:val="4"/>
          <w:kern w:val="0"/>
          <w:sz w:val="24"/>
          <w:szCs w:val="24"/>
          <w:lang w:val="zh-CN"/>
        </w:rPr>
      </w:pPr>
    </w:p>
    <w:p>
      <w:pPr>
        <w:adjustRightInd w:val="0"/>
        <w:snapToGrid w:val="0"/>
        <w:spacing w:line="360" w:lineRule="auto"/>
        <w:ind w:firstLine="496" w:firstLineChars="200"/>
        <w:jc w:val="left"/>
        <w:rPr>
          <w:rFonts w:hint="default" w:ascii="Times New Roman" w:hAnsi="Times New Roman" w:cs="Times New Roman" w:eastAsiaTheme="minorEastAsia"/>
          <w:color w:val="auto"/>
          <w:spacing w:val="4"/>
          <w:kern w:val="0"/>
          <w:sz w:val="24"/>
          <w:szCs w:val="24"/>
          <w:lang w:val="zh-CN"/>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码头现状</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目前岳阳港划分为11个港区，其中长江干线自上而下分布有华容、君山（在湘江分布有码头作业点）、城陵矶、道仁矶、陆城、临湘等6个港区，湘江分布有湘阴、汨罗、岳阳县、岳阳楼、七里山等5个港区。此外，华容河、新墙河等支流航道上分布有零星的码头作业点。</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截至2017年，岳阳港（含在建的20个）共有码头泊位143个，其中生产性泊位110个（1000吨以下32个，1000~3000吨级以下27个，3000吨级及以上51个）、非生产性泊位33个。生产性泊位通过能力共计5572万吨、75.3万TEU、10万辆、422万人。占用岸线21659m（含在建2478m）。</w:t>
      </w:r>
    </w:p>
    <w:p>
      <w:pPr>
        <w:adjustRightInd w:val="0"/>
        <w:snapToGrid w:val="0"/>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表3.2-2  岳阳港各港区码头泊位现状汇总表</w:t>
      </w:r>
    </w:p>
    <w:tbl>
      <w:tblPr>
        <w:tblStyle w:val="7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9"/>
        <w:gridCol w:w="1387"/>
        <w:gridCol w:w="1920"/>
        <w:gridCol w:w="830"/>
        <w:gridCol w:w="1529"/>
        <w:gridCol w:w="29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港区名称</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主要货类</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泊位数</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（个）</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生产性泊位数</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（个）</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通过能力（万吨）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件杂货、干散货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159万吨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u w:val="single"/>
              </w:rPr>
            </w:pPr>
            <w:r>
              <w:rPr>
                <w:rFonts w:hint="default" w:ascii="Times New Roman" w:hAnsi="Times New Roman" w:cs="Times New Roman"/>
                <w:b/>
                <w:bCs/>
                <w:color w:val="auto"/>
                <w:u w:val="single"/>
              </w:rPr>
              <w:t>君山港区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u w:val="single"/>
              </w:rPr>
            </w:pPr>
            <w:r>
              <w:rPr>
                <w:rFonts w:hint="default" w:ascii="Times New Roman" w:hAnsi="Times New Roman" w:cs="Times New Roman"/>
                <w:b/>
                <w:bCs/>
                <w:color w:val="auto"/>
                <w:u w:val="single"/>
              </w:rPr>
              <w:t>件杂货、干散货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5</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2</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150万吨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集装箱、件杂货、干散货、滚装</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42</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33</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1470万吨、73万TEU、400万人、10万辆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道仁矶港区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液体化工品、危险品</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22</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1328万吨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陆城港区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油品和干散货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889万吨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临湘港区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件杂货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147.4万吨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湘阴港区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干散货、件杂货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108万吨、2.3万TEU、10万人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汨罗港区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件杂货、干散货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385万吨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岳阳县港区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件杂货、干散货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225万吨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岳阳楼港区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干散货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252万吨、12万人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63"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762"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七里山港区</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油品、液体化工品、煤炭、件杂货</w:t>
            </w: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258万吨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5" w:type="pct"/>
            <w:gridSpan w:val="2"/>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合计</w:t>
            </w:r>
          </w:p>
        </w:tc>
        <w:tc>
          <w:tcPr>
            <w:tcW w:w="1055"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456"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143</w:t>
            </w:r>
          </w:p>
        </w:tc>
        <w:tc>
          <w:tcPr>
            <w:tcW w:w="840"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110</w:t>
            </w:r>
          </w:p>
        </w:tc>
        <w:tc>
          <w:tcPr>
            <w:tcW w:w="1621" w:type="pc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r>
    </w:tbl>
    <w:p>
      <w:pPr>
        <w:autoSpaceDE w:val="0"/>
        <w:autoSpaceDN w:val="0"/>
        <w:adjustRightInd w:val="0"/>
        <w:snapToGrid w:val="0"/>
        <w:spacing w:line="360" w:lineRule="auto"/>
        <w:ind w:firstLine="480" w:firstLineChars="200"/>
        <w:rPr>
          <w:rFonts w:hint="default" w:ascii="Times New Roman" w:hAnsi="Times New Roman" w:cs="Times New Roman"/>
          <w:color w:val="auto"/>
          <w:sz w:val="24"/>
          <w:lang w:val="zh-CN"/>
        </w:rPr>
      </w:pPr>
    </w:p>
    <w:p>
      <w:pPr>
        <w:autoSpaceDE w:val="0"/>
        <w:autoSpaceDN w:val="0"/>
        <w:adjustRightInd w:val="0"/>
        <w:snapToGrid w:val="0"/>
        <w:spacing w:line="360" w:lineRule="auto"/>
        <w:ind w:firstLine="480" w:firstLineChars="200"/>
        <w:rPr>
          <w:rFonts w:hint="default" w:ascii="Times New Roman" w:hAnsi="Times New Roman" w:cs="Times New Roman"/>
          <w:color w:val="auto"/>
          <w:lang w:val="zh-CN"/>
        </w:rPr>
      </w:pPr>
      <w:r>
        <w:rPr>
          <w:rFonts w:hint="default" w:ascii="Times New Roman" w:hAnsi="Times New Roman" w:cs="Times New Roman"/>
          <w:color w:val="auto"/>
          <w:sz w:val="24"/>
          <w:lang w:val="zh-CN"/>
        </w:rPr>
        <w:t>其中君山港区位于长江右岸和湘江左岸，占用岸线576</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lang w:val="zh-CN"/>
        </w:rPr>
        <w:t>，以件杂货和干散货运输为主。经非法码头专项整治后，仅有生产性泊位3个（含在建2个），设计通过能力150万吨。</w:t>
      </w:r>
    </w:p>
    <w:p>
      <w:pPr>
        <w:pStyle w:val="4"/>
        <w:ind w:left="578" w:hanging="578"/>
        <w:rPr>
          <w:rFonts w:hint="default" w:ascii="Times New Roman" w:hAnsi="Times New Roman" w:cs="Times New Roman"/>
          <w:color w:val="auto"/>
          <w:lang w:val="zh-CN"/>
        </w:rPr>
      </w:pPr>
      <w:r>
        <w:rPr>
          <w:rFonts w:hint="default" w:ascii="Times New Roman" w:hAnsi="Times New Roman" w:cs="Times New Roman"/>
          <w:color w:val="auto"/>
        </w:rPr>
        <w:t>货物吞吐量现状</w:t>
      </w:r>
    </w:p>
    <w:p>
      <w:pPr>
        <w:adjustRightInd w:val="0"/>
        <w:snapToGrid w:val="0"/>
        <w:spacing w:line="360" w:lineRule="auto"/>
        <w:ind w:firstLine="480" w:firstLineChars="200"/>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color w:val="auto"/>
          <w:sz w:val="24"/>
        </w:rPr>
        <w:t>岳阳港货物吞吐量持续快速增长。</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十一五</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期以来，包括洞庭湖及其主要支流港区在内的岳阳港全港货物吞吐量，由</w:t>
      </w:r>
      <w:r>
        <w:rPr>
          <w:rFonts w:hint="default" w:ascii="Times New Roman" w:hAnsi="Times New Roman" w:eastAsia="Times New Roman" w:cs="Times New Roman"/>
          <w:color w:val="auto"/>
          <w:sz w:val="24"/>
        </w:rPr>
        <w:t>2005</w:t>
      </w:r>
      <w:r>
        <w:rPr>
          <w:rFonts w:hint="default" w:ascii="Times New Roman" w:hAnsi="Times New Roman" w:cs="Times New Roman"/>
          <w:color w:val="auto"/>
          <w:sz w:val="24"/>
        </w:rPr>
        <w:t>年的</w:t>
      </w:r>
      <w:r>
        <w:rPr>
          <w:rFonts w:hint="default" w:ascii="Times New Roman" w:hAnsi="Times New Roman" w:eastAsia="Times New Roman" w:cs="Times New Roman"/>
          <w:color w:val="auto"/>
          <w:sz w:val="24"/>
        </w:rPr>
        <w:t>1418</w:t>
      </w:r>
      <w:r>
        <w:rPr>
          <w:rFonts w:hint="default" w:ascii="Times New Roman" w:hAnsi="Times New Roman" w:cs="Times New Roman"/>
          <w:color w:val="auto"/>
          <w:sz w:val="24"/>
        </w:rPr>
        <w:t>万吨增长到</w:t>
      </w:r>
      <w:r>
        <w:rPr>
          <w:rFonts w:hint="default" w:ascii="Times New Roman" w:hAnsi="Times New Roman" w:eastAsia="Times New Roman" w:cs="Times New Roman"/>
          <w:color w:val="auto"/>
          <w:sz w:val="24"/>
        </w:rPr>
        <w:t>2017</w:t>
      </w:r>
      <w:r>
        <w:rPr>
          <w:rFonts w:hint="default" w:ascii="Times New Roman" w:hAnsi="Times New Roman" w:cs="Times New Roman"/>
          <w:color w:val="auto"/>
          <w:sz w:val="24"/>
        </w:rPr>
        <w:t>年的</w:t>
      </w:r>
      <w:r>
        <w:rPr>
          <w:rFonts w:hint="default" w:ascii="Times New Roman" w:hAnsi="Times New Roman" w:eastAsia="Times New Roman" w:cs="Times New Roman"/>
          <w:color w:val="auto"/>
          <w:sz w:val="24"/>
        </w:rPr>
        <w:t>1.2</w:t>
      </w:r>
      <w:r>
        <w:rPr>
          <w:rFonts w:hint="default" w:ascii="Times New Roman" w:hAnsi="Times New Roman" w:cs="Times New Roman"/>
          <w:color w:val="auto"/>
          <w:sz w:val="24"/>
        </w:rPr>
        <w:t>亿吨，</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十一五</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期以来的年均增速为</w:t>
      </w:r>
      <w:r>
        <w:rPr>
          <w:rFonts w:hint="default" w:ascii="Times New Roman" w:hAnsi="Times New Roman" w:eastAsia="Times New Roman" w:cs="Times New Roman"/>
          <w:color w:val="auto"/>
          <w:sz w:val="24"/>
        </w:rPr>
        <w:t>19.4%</w:t>
      </w:r>
      <w:r>
        <w:rPr>
          <w:rFonts w:hint="default" w:ascii="Times New Roman" w:hAnsi="Times New Roman" w:cs="Times New Roman"/>
          <w:color w:val="auto"/>
          <w:sz w:val="24"/>
        </w:rPr>
        <w:t>，长江沿线港区和洞庭湖区港区分别完成</w:t>
      </w:r>
      <w:r>
        <w:rPr>
          <w:rFonts w:hint="default" w:ascii="Times New Roman" w:hAnsi="Times New Roman" w:eastAsia="Times New Roman" w:cs="Times New Roman"/>
          <w:color w:val="auto"/>
          <w:sz w:val="24"/>
        </w:rPr>
        <w:t>7354</w:t>
      </w:r>
      <w:r>
        <w:rPr>
          <w:rFonts w:hint="default" w:ascii="Times New Roman" w:hAnsi="Times New Roman" w:cs="Times New Roman"/>
          <w:color w:val="auto"/>
          <w:sz w:val="24"/>
        </w:rPr>
        <w:t>万吨和</w:t>
      </w:r>
      <w:r>
        <w:rPr>
          <w:rFonts w:hint="default" w:ascii="Times New Roman" w:hAnsi="Times New Roman" w:eastAsia="Times New Roman" w:cs="Times New Roman"/>
          <w:color w:val="auto"/>
          <w:sz w:val="24"/>
        </w:rPr>
        <w:t>4578</w:t>
      </w:r>
      <w:r>
        <w:rPr>
          <w:rFonts w:hint="default" w:ascii="Times New Roman" w:hAnsi="Times New Roman" w:cs="Times New Roman"/>
          <w:color w:val="auto"/>
          <w:sz w:val="24"/>
        </w:rPr>
        <w:t>万吨，其中水水过驳占比约</w:t>
      </w:r>
      <w:r>
        <w:rPr>
          <w:rFonts w:hint="default" w:ascii="Times New Roman" w:hAnsi="Times New Roman" w:eastAsia="Times New Roman" w:cs="Times New Roman"/>
          <w:color w:val="auto"/>
          <w:sz w:val="24"/>
        </w:rPr>
        <w:t>50%</w:t>
      </w:r>
      <w:r>
        <w:rPr>
          <w:rFonts w:hint="default" w:ascii="Times New Roman" w:hAnsi="Times New Roman" w:cs="Times New Roman"/>
          <w:color w:val="auto"/>
          <w:sz w:val="24"/>
        </w:rPr>
        <w:t>。</w:t>
      </w:r>
      <w:r>
        <w:rPr>
          <w:rFonts w:hint="default" w:ascii="Times New Roman" w:hAnsi="Times New Roman" w:eastAsia="Times New Roman" w:cs="Times New Roman"/>
          <w:color w:val="auto"/>
          <w:sz w:val="24"/>
        </w:rPr>
        <w:t>2016</w:t>
      </w:r>
      <w:r>
        <w:rPr>
          <w:rFonts w:hint="default" w:ascii="Times New Roman" w:hAnsi="Times New Roman" w:cs="Times New Roman"/>
          <w:color w:val="auto"/>
          <w:sz w:val="24"/>
        </w:rPr>
        <w:t>年全港货物吞吐量达到历史新高的</w:t>
      </w:r>
      <w:r>
        <w:rPr>
          <w:rFonts w:hint="default" w:ascii="Times New Roman" w:hAnsi="Times New Roman" w:eastAsia="Times New Roman" w:cs="Times New Roman"/>
          <w:color w:val="auto"/>
          <w:sz w:val="24"/>
        </w:rPr>
        <w:t>1.4</w:t>
      </w:r>
      <w:r>
        <w:rPr>
          <w:rFonts w:hint="default" w:ascii="Times New Roman" w:hAnsi="Times New Roman" w:cs="Times New Roman"/>
          <w:color w:val="auto"/>
          <w:sz w:val="24"/>
        </w:rPr>
        <w:t>亿吨。</w:t>
      </w:r>
      <w:r>
        <w:rPr>
          <w:rFonts w:hint="default" w:ascii="Times New Roman" w:hAnsi="Times New Roman" w:eastAsia="Times New Roman" w:cs="Times New Roman"/>
          <w:color w:val="auto"/>
          <w:sz w:val="24"/>
        </w:rPr>
        <w:t>2017</w:t>
      </w:r>
      <w:r>
        <w:rPr>
          <w:rFonts w:hint="default" w:ascii="Times New Roman" w:hAnsi="Times New Roman" w:cs="Times New Roman"/>
          <w:color w:val="auto"/>
          <w:sz w:val="24"/>
        </w:rPr>
        <w:t>年岳阳港货物吞吐量下滑的主要原因是长江干线非法码头、非法采砂专项整治工作实施后，全港的矿建材料吞吐量由</w:t>
      </w:r>
      <w:r>
        <w:rPr>
          <w:rFonts w:hint="default" w:ascii="Times New Roman" w:hAnsi="Times New Roman" w:eastAsia="Times New Roman" w:cs="Times New Roman"/>
          <w:color w:val="auto"/>
          <w:sz w:val="24"/>
        </w:rPr>
        <w:t>2016</w:t>
      </w:r>
      <w:r>
        <w:rPr>
          <w:rFonts w:hint="default" w:ascii="Times New Roman" w:hAnsi="Times New Roman" w:cs="Times New Roman"/>
          <w:color w:val="auto"/>
          <w:sz w:val="24"/>
        </w:rPr>
        <w:t>年大幅</w:t>
      </w:r>
      <w:r>
        <w:rPr>
          <w:rFonts w:hint="default" w:ascii="Times New Roman" w:hAnsi="Times New Roman" w:eastAsia="Times New Roman" w:cs="Times New Roman"/>
          <w:color w:val="auto"/>
          <w:sz w:val="24"/>
        </w:rPr>
        <w:t>11319</w:t>
      </w:r>
      <w:r>
        <w:rPr>
          <w:rFonts w:hint="default" w:ascii="Times New Roman" w:hAnsi="Times New Roman" w:cs="Times New Roman"/>
          <w:color w:val="auto"/>
          <w:sz w:val="24"/>
        </w:rPr>
        <w:t>万吨下降到</w:t>
      </w:r>
      <w:r>
        <w:rPr>
          <w:rFonts w:hint="default" w:ascii="Times New Roman" w:hAnsi="Times New Roman" w:eastAsia="Times New Roman" w:cs="Times New Roman"/>
          <w:color w:val="auto"/>
          <w:sz w:val="24"/>
        </w:rPr>
        <w:t>2017</w:t>
      </w:r>
      <w:r>
        <w:rPr>
          <w:rFonts w:hint="default" w:ascii="Times New Roman" w:hAnsi="Times New Roman" w:cs="Times New Roman"/>
          <w:color w:val="auto"/>
          <w:sz w:val="24"/>
        </w:rPr>
        <w:t>年的</w:t>
      </w:r>
      <w:r>
        <w:rPr>
          <w:rFonts w:hint="default" w:ascii="Times New Roman" w:hAnsi="Times New Roman" w:eastAsia="Times New Roman" w:cs="Times New Roman"/>
          <w:color w:val="auto"/>
          <w:sz w:val="24"/>
        </w:rPr>
        <w:t>5813</w:t>
      </w:r>
      <w:r>
        <w:rPr>
          <w:rFonts w:hint="default" w:ascii="Times New Roman" w:hAnsi="Times New Roman" w:cs="Times New Roman"/>
          <w:color w:val="auto"/>
          <w:sz w:val="24"/>
        </w:rPr>
        <w:t>万吨，大幅减少了</w:t>
      </w:r>
      <w:r>
        <w:rPr>
          <w:rFonts w:hint="default" w:ascii="Times New Roman" w:hAnsi="Times New Roman" w:eastAsia="Times New Roman" w:cs="Times New Roman"/>
          <w:color w:val="auto"/>
          <w:sz w:val="24"/>
        </w:rPr>
        <w:t>5506</w:t>
      </w:r>
      <w:r>
        <w:rPr>
          <w:rFonts w:hint="default" w:ascii="Times New Roman" w:hAnsi="Times New Roman" w:cs="Times New Roman"/>
          <w:color w:val="auto"/>
          <w:sz w:val="24"/>
        </w:rPr>
        <w:t>万吨。</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到港船型现状</w:t>
      </w:r>
    </w:p>
    <w:p>
      <w:pPr>
        <w:adjustRightInd w:val="0"/>
        <w:snapToGrid w:val="0"/>
        <w:spacing w:line="360" w:lineRule="auto"/>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rPr>
        <w:t>岳阳港到港船舶绝大部分为内河船舶，有少量江海直达船。根据长江岳阳海事局和岳阳市地方海事局统计资料，近年来岳阳港到港船舶发展变化情况见下表。</w:t>
      </w:r>
    </w:p>
    <w:p>
      <w:pPr>
        <w:adjustRightInd w:val="0"/>
        <w:snapToGrid w:val="0"/>
        <w:spacing w:line="276" w:lineRule="auto"/>
        <w:jc w:val="right"/>
        <w:rPr>
          <w:rFonts w:hint="default" w:ascii="Times New Roman" w:hAnsi="Times New Roman" w:cs="Times New Roman"/>
          <w:color w:val="auto"/>
          <w:sz w:val="24"/>
          <w:lang w:val="zh-CN"/>
        </w:rPr>
      </w:pPr>
      <w:r>
        <w:rPr>
          <w:rFonts w:hint="default" w:ascii="Times New Roman" w:hAnsi="Times New Roman" w:cs="Times New Roman"/>
          <w:b/>
          <w:bCs/>
          <w:color w:val="auto"/>
          <w:sz w:val="24"/>
        </w:rPr>
        <w:t>表3.2-3  岳阳港到港船舶变化情况表</w:t>
      </w:r>
      <w:r>
        <w:rPr>
          <w:rFonts w:hint="default" w:ascii="Times New Roman" w:hAnsi="Times New Roman" w:cs="Times New Roman"/>
          <w:color w:val="auto"/>
          <w:sz w:val="24"/>
        </w:rPr>
        <w:t xml:space="preserve">          单位：艘次</w:t>
      </w:r>
    </w:p>
    <w:tbl>
      <w:tblPr>
        <w:tblStyle w:val="71"/>
        <w:tblW w:w="4999" w:type="pct"/>
        <w:tblInd w:w="0" w:type="dxa"/>
        <w:tblLayout w:type="autofit"/>
        <w:tblCellMar>
          <w:top w:w="0" w:type="dxa"/>
          <w:left w:w="0" w:type="dxa"/>
          <w:bottom w:w="0" w:type="dxa"/>
          <w:right w:w="0" w:type="dxa"/>
        </w:tblCellMar>
      </w:tblPr>
      <w:tblGrid>
        <w:gridCol w:w="4911"/>
        <w:gridCol w:w="1046"/>
        <w:gridCol w:w="1047"/>
        <w:gridCol w:w="1047"/>
        <w:gridCol w:w="1047"/>
      </w:tblGrid>
      <w:tr>
        <w:tblPrEx>
          <w:tblCellMar>
            <w:top w:w="0" w:type="dxa"/>
            <w:left w:w="0" w:type="dxa"/>
            <w:bottom w:w="0" w:type="dxa"/>
            <w:right w:w="0" w:type="dxa"/>
          </w:tblCellMar>
        </w:tblPrEx>
        <w:trPr>
          <w:trHeight w:val="340" w:hRule="atLeast"/>
        </w:trPr>
        <w:tc>
          <w:tcPr>
            <w:tcW w:w="2699" w:type="pc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船舶</w:t>
            </w:r>
          </w:p>
        </w:tc>
        <w:tc>
          <w:tcPr>
            <w:tcW w:w="575"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eastAsia="Times New Roman" w:cs="Times New Roman"/>
                <w:b/>
                <w:bCs/>
                <w:color w:val="auto"/>
              </w:rPr>
              <w:t>2006</w:t>
            </w:r>
            <w:r>
              <w:rPr>
                <w:rFonts w:hint="default" w:ascii="Times New Roman" w:hAnsi="Times New Roman" w:cs="Times New Roman"/>
                <w:b/>
                <w:bCs/>
                <w:color w:val="auto"/>
              </w:rPr>
              <w:t>年</w:t>
            </w:r>
          </w:p>
        </w:tc>
        <w:tc>
          <w:tcPr>
            <w:tcW w:w="575"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eastAsia="Times New Roman" w:cs="Times New Roman"/>
                <w:b/>
                <w:bCs/>
                <w:color w:val="auto"/>
              </w:rPr>
              <w:t>2010</w:t>
            </w:r>
            <w:r>
              <w:rPr>
                <w:rFonts w:hint="default" w:ascii="Times New Roman" w:hAnsi="Times New Roman" w:cs="Times New Roman"/>
                <w:b/>
                <w:bCs/>
                <w:color w:val="auto"/>
              </w:rPr>
              <w:t>年</w:t>
            </w:r>
          </w:p>
        </w:tc>
        <w:tc>
          <w:tcPr>
            <w:tcW w:w="575"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eastAsia="Times New Roman" w:cs="Times New Roman"/>
                <w:b/>
                <w:bCs/>
                <w:color w:val="auto"/>
              </w:rPr>
              <w:t>2015</w:t>
            </w:r>
            <w:r>
              <w:rPr>
                <w:rFonts w:hint="default" w:ascii="Times New Roman" w:hAnsi="Times New Roman" w:cs="Times New Roman"/>
                <w:b/>
                <w:bCs/>
                <w:color w:val="auto"/>
              </w:rPr>
              <w:t>年</w:t>
            </w:r>
          </w:p>
        </w:tc>
        <w:tc>
          <w:tcPr>
            <w:tcW w:w="575" w:type="pct"/>
            <w:tcBorders>
              <w:top w:val="single" w:color="auto" w:sz="12"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b/>
                <w:bCs/>
                <w:color w:val="auto"/>
              </w:rPr>
              <w:t>2016</w:t>
            </w:r>
            <w:r>
              <w:rPr>
                <w:rFonts w:hint="default" w:ascii="Times New Roman" w:hAnsi="Times New Roman" w:cs="Times New Roman"/>
                <w:b/>
                <w:bCs/>
                <w:color w:val="auto"/>
              </w:rPr>
              <w:t>年</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内河船</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24775</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61526</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35752</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28868</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其中：一等船舶（</w:t>
            </w:r>
            <w:r>
              <w:rPr>
                <w:rFonts w:hint="default" w:ascii="Times New Roman" w:hAnsi="Times New Roman" w:eastAsia="Times New Roman" w:cs="Times New Roman"/>
                <w:color w:val="auto"/>
              </w:rPr>
              <w:t>1600</w:t>
            </w:r>
            <w:r>
              <w:rPr>
                <w:rFonts w:hint="default" w:ascii="Times New Roman" w:hAnsi="Times New Roman" w:cs="Times New Roman"/>
                <w:color w:val="auto"/>
              </w:rPr>
              <w:t>总吨以上）</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2091</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10873</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15275</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12611</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二等船舶（</w:t>
            </w:r>
            <w:r>
              <w:rPr>
                <w:rFonts w:hint="default" w:ascii="Times New Roman" w:hAnsi="Times New Roman" w:eastAsia="Times New Roman" w:cs="Times New Roman"/>
                <w:color w:val="auto"/>
              </w:rPr>
              <w:t>600</w:t>
            </w:r>
            <w:r>
              <w:rPr>
                <w:rFonts w:hint="default" w:ascii="Times New Roman" w:hAnsi="Times New Roman" w:cs="Times New Roman"/>
                <w:color w:val="auto"/>
              </w:rPr>
              <w:t>~</w:t>
            </w:r>
            <w:r>
              <w:rPr>
                <w:rFonts w:hint="default" w:ascii="Times New Roman" w:hAnsi="Times New Roman" w:eastAsia="Times New Roman" w:cs="Times New Roman"/>
                <w:color w:val="auto"/>
              </w:rPr>
              <w:t>1600</w:t>
            </w:r>
            <w:r>
              <w:rPr>
                <w:rFonts w:hint="default" w:ascii="Times New Roman" w:hAnsi="Times New Roman" w:cs="Times New Roman"/>
                <w:color w:val="auto"/>
              </w:rPr>
              <w:t>总吨）</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6373</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13454</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6019</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4127</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三等船舶（</w:t>
            </w:r>
            <w:r>
              <w:rPr>
                <w:rFonts w:hint="default" w:ascii="Times New Roman" w:hAnsi="Times New Roman" w:eastAsia="Times New Roman" w:cs="Times New Roman"/>
                <w:color w:val="auto"/>
              </w:rPr>
              <w:t>200</w:t>
            </w:r>
            <w:r>
              <w:rPr>
                <w:rFonts w:hint="default" w:ascii="Times New Roman" w:hAnsi="Times New Roman" w:cs="Times New Roman"/>
                <w:color w:val="auto"/>
              </w:rPr>
              <w:t>~</w:t>
            </w:r>
            <w:r>
              <w:rPr>
                <w:rFonts w:hint="default" w:ascii="Times New Roman" w:hAnsi="Times New Roman" w:eastAsia="Times New Roman" w:cs="Times New Roman"/>
                <w:color w:val="auto"/>
              </w:rPr>
              <w:t>600</w:t>
            </w:r>
            <w:r>
              <w:rPr>
                <w:rFonts w:hint="default" w:ascii="Times New Roman" w:hAnsi="Times New Roman" w:cs="Times New Roman"/>
                <w:color w:val="auto"/>
              </w:rPr>
              <w:t>总吨）</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8174</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18538</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6697</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5752</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四等船舶（</w:t>
            </w:r>
            <w:r>
              <w:rPr>
                <w:rFonts w:hint="default" w:ascii="Times New Roman" w:hAnsi="Times New Roman" w:eastAsia="Times New Roman" w:cs="Times New Roman"/>
                <w:color w:val="auto"/>
              </w:rPr>
              <w:t>50</w:t>
            </w:r>
            <w:r>
              <w:rPr>
                <w:rFonts w:hint="default" w:ascii="Times New Roman" w:hAnsi="Times New Roman" w:cs="Times New Roman"/>
                <w:color w:val="auto"/>
              </w:rPr>
              <w:t>~</w:t>
            </w:r>
            <w:r>
              <w:rPr>
                <w:rFonts w:hint="default" w:ascii="Times New Roman" w:hAnsi="Times New Roman" w:eastAsia="Times New Roman" w:cs="Times New Roman"/>
                <w:color w:val="auto"/>
              </w:rPr>
              <w:t>200</w:t>
            </w:r>
            <w:r>
              <w:rPr>
                <w:rFonts w:hint="default" w:ascii="Times New Roman" w:hAnsi="Times New Roman" w:cs="Times New Roman"/>
                <w:color w:val="auto"/>
              </w:rPr>
              <w:t>总吨）</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1872</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2306</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4402</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3591</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五等船舶（</w:t>
            </w:r>
            <w:r>
              <w:rPr>
                <w:rFonts w:hint="default" w:ascii="Times New Roman" w:hAnsi="Times New Roman" w:eastAsia="Times New Roman" w:cs="Times New Roman"/>
                <w:color w:val="auto"/>
              </w:rPr>
              <w:t>50</w:t>
            </w:r>
            <w:r>
              <w:rPr>
                <w:rFonts w:hint="default" w:ascii="Times New Roman" w:hAnsi="Times New Roman" w:cs="Times New Roman"/>
                <w:color w:val="auto"/>
              </w:rPr>
              <w:t>总吨以下）</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594</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16355</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3359</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2787</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海船</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25</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27</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28</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69</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其中：</w:t>
            </w:r>
            <w:r>
              <w:rPr>
                <w:rFonts w:hint="default" w:ascii="Times New Roman" w:hAnsi="Times New Roman" w:eastAsia="Times New Roman" w:cs="Times New Roman"/>
                <w:color w:val="auto"/>
              </w:rPr>
              <w:t>999</w:t>
            </w:r>
            <w:r>
              <w:rPr>
                <w:rFonts w:hint="default" w:ascii="Times New Roman" w:hAnsi="Times New Roman" w:cs="Times New Roman"/>
                <w:color w:val="auto"/>
              </w:rPr>
              <w:t>总吨以下</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14</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1,000</w:t>
            </w:r>
            <w:r>
              <w:rPr>
                <w:rFonts w:hint="default" w:ascii="Times New Roman" w:hAnsi="Times New Roman" w:cs="Times New Roman"/>
                <w:color w:val="auto"/>
              </w:rPr>
              <w:t>~</w:t>
            </w:r>
            <w:r>
              <w:rPr>
                <w:rFonts w:hint="default" w:ascii="Times New Roman" w:hAnsi="Times New Roman" w:eastAsia="Times New Roman" w:cs="Times New Roman"/>
                <w:color w:val="auto"/>
              </w:rPr>
              <w:t>2,999</w:t>
            </w:r>
            <w:r>
              <w:rPr>
                <w:rFonts w:hint="default" w:ascii="Times New Roman" w:hAnsi="Times New Roman" w:cs="Times New Roman"/>
                <w:color w:val="auto"/>
              </w:rPr>
              <w:t>总吨</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11</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16</w:t>
            </w:r>
          </w:p>
        </w:tc>
        <w:tc>
          <w:tcPr>
            <w:tcW w:w="575"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w:t>
            </w:r>
          </w:p>
        </w:tc>
        <w:tc>
          <w:tcPr>
            <w:tcW w:w="575" w:type="pct"/>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w:t>
            </w:r>
          </w:p>
        </w:tc>
      </w:tr>
      <w:tr>
        <w:tblPrEx>
          <w:tblCellMar>
            <w:top w:w="0" w:type="dxa"/>
            <w:left w:w="0" w:type="dxa"/>
            <w:bottom w:w="0" w:type="dxa"/>
            <w:right w:w="0" w:type="dxa"/>
          </w:tblCellMar>
        </w:tblPrEx>
        <w:trPr>
          <w:trHeight w:val="340" w:hRule="atLeast"/>
        </w:trPr>
        <w:tc>
          <w:tcPr>
            <w:tcW w:w="2699" w:type="pct"/>
            <w:tcBorders>
              <w:top w:val="single" w:color="auto" w:sz="4" w:space="0"/>
              <w:left w:val="single" w:color="auto" w:sz="12" w:space="0"/>
              <w:bottom w:val="single" w:color="auto" w:sz="12"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3,000</w:t>
            </w:r>
            <w:r>
              <w:rPr>
                <w:rFonts w:hint="default" w:ascii="Times New Roman" w:hAnsi="Times New Roman" w:cs="Times New Roman"/>
                <w:color w:val="auto"/>
              </w:rPr>
              <w:t>总吨以上</w:t>
            </w:r>
          </w:p>
        </w:tc>
        <w:tc>
          <w:tcPr>
            <w:tcW w:w="575"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0</w:t>
            </w:r>
          </w:p>
        </w:tc>
        <w:tc>
          <w:tcPr>
            <w:tcW w:w="575"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w:t>
            </w:r>
          </w:p>
        </w:tc>
        <w:tc>
          <w:tcPr>
            <w:tcW w:w="575"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21</w:t>
            </w:r>
          </w:p>
        </w:tc>
        <w:tc>
          <w:tcPr>
            <w:tcW w:w="575" w:type="pct"/>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58</w:t>
            </w:r>
          </w:p>
        </w:tc>
      </w:tr>
    </w:tbl>
    <w:p>
      <w:pPr>
        <w:jc w:val="left"/>
        <w:rPr>
          <w:rFonts w:hint="default" w:ascii="Times New Roman" w:hAnsi="Times New Roman" w:cs="Times New Roman" w:eastAsiaTheme="minorEastAsia"/>
          <w:color w:val="auto"/>
          <w:spacing w:val="4"/>
          <w:kern w:val="0"/>
          <w:sz w:val="21"/>
          <w:szCs w:val="21"/>
          <w:lang w:val="zh-CN"/>
        </w:rPr>
      </w:pPr>
      <w:r>
        <w:rPr>
          <w:rFonts w:hint="default" w:ascii="Times New Roman" w:hAnsi="Times New Roman" w:cs="Times New Roman"/>
          <w:color w:val="auto"/>
          <w:sz w:val="21"/>
          <w:szCs w:val="21"/>
        </w:rPr>
        <w:t>注：海事部门对到港船舶按照总吨进行统计，内河船按普通干散货船测算，</w:t>
      </w:r>
      <w:r>
        <w:rPr>
          <w:rFonts w:hint="default" w:ascii="Times New Roman" w:hAnsi="Times New Roman" w:eastAsia="Times New Roman" w:cs="Times New Roman"/>
          <w:color w:val="auto"/>
          <w:sz w:val="21"/>
          <w:szCs w:val="21"/>
        </w:rPr>
        <w:t>1600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2500</w:t>
      </w:r>
      <w:r>
        <w:rPr>
          <w:rFonts w:hint="default" w:ascii="Times New Roman" w:hAnsi="Times New Roman" w:cs="Times New Roman"/>
          <w:color w:val="auto"/>
          <w:sz w:val="21"/>
          <w:szCs w:val="21"/>
        </w:rPr>
        <w:t>载重吨，</w:t>
      </w:r>
      <w:r>
        <w:rPr>
          <w:rFonts w:hint="default" w:ascii="Times New Roman" w:hAnsi="Times New Roman" w:eastAsia="Times New Roman" w:cs="Times New Roman"/>
          <w:color w:val="auto"/>
          <w:sz w:val="21"/>
          <w:szCs w:val="21"/>
        </w:rPr>
        <w:t>600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900</w:t>
      </w:r>
      <w:r>
        <w:rPr>
          <w:rFonts w:hint="default" w:ascii="Times New Roman" w:hAnsi="Times New Roman" w:cs="Times New Roman"/>
          <w:color w:val="auto"/>
          <w:sz w:val="21"/>
          <w:szCs w:val="21"/>
        </w:rPr>
        <w:t>载重吨，</w:t>
      </w:r>
      <w:r>
        <w:rPr>
          <w:rFonts w:hint="default" w:ascii="Times New Roman" w:hAnsi="Times New Roman" w:eastAsia="Times New Roman" w:cs="Times New Roman"/>
          <w:color w:val="auto"/>
          <w:sz w:val="21"/>
          <w:szCs w:val="21"/>
        </w:rPr>
        <w:t>200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300</w:t>
      </w:r>
      <w:r>
        <w:rPr>
          <w:rFonts w:hint="default" w:ascii="Times New Roman" w:hAnsi="Times New Roman" w:cs="Times New Roman"/>
          <w:color w:val="auto"/>
          <w:sz w:val="21"/>
          <w:szCs w:val="21"/>
        </w:rPr>
        <w:t>载重吨，</w:t>
      </w:r>
      <w:r>
        <w:rPr>
          <w:rFonts w:hint="default" w:ascii="Times New Roman" w:hAnsi="Times New Roman" w:eastAsia="Times New Roman" w:cs="Times New Roman"/>
          <w:color w:val="auto"/>
          <w:sz w:val="21"/>
          <w:szCs w:val="21"/>
        </w:rPr>
        <w:t>50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70</w:t>
      </w:r>
      <w:r>
        <w:rPr>
          <w:rFonts w:hint="default" w:ascii="Times New Roman" w:hAnsi="Times New Roman" w:cs="Times New Roman"/>
          <w:color w:val="auto"/>
          <w:sz w:val="21"/>
          <w:szCs w:val="21"/>
        </w:rPr>
        <w:t>载重吨；海船按普通散货船和杂货船测算，</w:t>
      </w:r>
      <w:r>
        <w:rPr>
          <w:rFonts w:hint="default" w:ascii="Times New Roman" w:hAnsi="Times New Roman" w:eastAsia="Times New Roman" w:cs="Times New Roman"/>
          <w:color w:val="auto"/>
          <w:sz w:val="21"/>
          <w:szCs w:val="21"/>
        </w:rPr>
        <w:t>1000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1500</w:t>
      </w:r>
      <w:r>
        <w:rPr>
          <w:rFonts w:hint="default" w:ascii="Times New Roman" w:hAnsi="Times New Roman" w:cs="Times New Roman"/>
          <w:color w:val="auto"/>
          <w:sz w:val="21"/>
          <w:szCs w:val="21"/>
        </w:rPr>
        <w:t>载重吨，</w:t>
      </w:r>
      <w:r>
        <w:rPr>
          <w:rFonts w:hint="default" w:ascii="Times New Roman" w:hAnsi="Times New Roman" w:eastAsia="Times New Roman" w:cs="Times New Roman"/>
          <w:color w:val="auto"/>
          <w:sz w:val="21"/>
          <w:szCs w:val="21"/>
        </w:rPr>
        <w:t>3000</w:t>
      </w:r>
      <w:r>
        <w:rPr>
          <w:rFonts w:hint="default" w:ascii="Times New Roman" w:hAnsi="Times New Roman" w:cs="Times New Roman"/>
          <w:color w:val="auto"/>
          <w:sz w:val="21"/>
          <w:szCs w:val="21"/>
        </w:rPr>
        <w:t>总吨约相当于</w:t>
      </w:r>
      <w:r>
        <w:rPr>
          <w:rFonts w:hint="default" w:ascii="Times New Roman" w:hAnsi="Times New Roman" w:eastAsia="Times New Roman" w:cs="Times New Roman"/>
          <w:color w:val="auto"/>
          <w:sz w:val="21"/>
          <w:szCs w:val="21"/>
        </w:rPr>
        <w:t>5000</w:t>
      </w:r>
      <w:r>
        <w:rPr>
          <w:rFonts w:hint="default" w:ascii="Times New Roman" w:hAnsi="Times New Roman" w:cs="Times New Roman"/>
          <w:color w:val="auto"/>
          <w:sz w:val="21"/>
          <w:szCs w:val="21"/>
        </w:rPr>
        <w:t>载重吨。</w:t>
      </w:r>
    </w:p>
    <w:p>
      <w:pPr>
        <w:adjustRightInd w:val="0"/>
        <w:snapToGrid w:val="0"/>
        <w:spacing w:line="360" w:lineRule="auto"/>
        <w:ind w:firstLine="496" w:firstLineChars="200"/>
        <w:jc w:val="left"/>
        <w:rPr>
          <w:rFonts w:hint="default" w:ascii="Times New Roman" w:hAnsi="Times New Roman" w:cs="Times New Roman" w:eastAsiaTheme="minorEastAsia"/>
          <w:color w:val="auto"/>
          <w:spacing w:val="4"/>
          <w:kern w:val="0"/>
          <w:sz w:val="24"/>
          <w:szCs w:val="24"/>
          <w:lang w:val="zh-CN"/>
        </w:rPr>
      </w:pPr>
    </w:p>
    <w:p>
      <w:pPr>
        <w:adjustRightInd w:val="0"/>
        <w:snapToGrid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岳阳港到港船舶特点主要有：</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十一五</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期末的到港船舶规模达到高。</w:t>
      </w:r>
      <w:r>
        <w:rPr>
          <w:rFonts w:hint="default" w:ascii="Times New Roman" w:hAnsi="Times New Roman" w:eastAsia="Times New Roman" w:cs="Times New Roman"/>
          <w:color w:val="auto"/>
          <w:sz w:val="24"/>
        </w:rPr>
        <w:t>2006</w:t>
      </w:r>
      <w:r>
        <w:rPr>
          <w:rFonts w:hint="default" w:ascii="Times New Roman" w:hAnsi="Times New Roman" w:cs="Times New Roman"/>
          <w:color w:val="auto"/>
          <w:sz w:val="24"/>
        </w:rPr>
        <w:t>年至</w:t>
      </w:r>
      <w:r>
        <w:rPr>
          <w:rFonts w:hint="default" w:ascii="Times New Roman" w:hAnsi="Times New Roman" w:eastAsia="Times New Roman" w:cs="Times New Roman"/>
          <w:color w:val="auto"/>
          <w:sz w:val="24"/>
        </w:rPr>
        <w:t>2010</w:t>
      </w:r>
      <w:r>
        <w:rPr>
          <w:rFonts w:hint="default" w:ascii="Times New Roman" w:hAnsi="Times New Roman" w:cs="Times New Roman"/>
          <w:color w:val="auto"/>
          <w:sz w:val="24"/>
        </w:rPr>
        <w:t>年，到港船舶艘次从</w:t>
      </w:r>
      <w:r>
        <w:rPr>
          <w:rFonts w:hint="default" w:ascii="Times New Roman" w:hAnsi="Times New Roman" w:eastAsia="Times New Roman" w:cs="Times New Roman"/>
          <w:color w:val="auto"/>
          <w:sz w:val="24"/>
        </w:rPr>
        <w:t>2.48</w:t>
      </w:r>
      <w:r>
        <w:rPr>
          <w:rFonts w:hint="default" w:ascii="Times New Roman" w:hAnsi="Times New Roman" w:cs="Times New Roman"/>
          <w:color w:val="auto"/>
          <w:sz w:val="24"/>
        </w:rPr>
        <w:t>万艘次迅速增长到</w:t>
      </w:r>
      <w:r>
        <w:rPr>
          <w:rFonts w:hint="default" w:ascii="Times New Roman" w:hAnsi="Times New Roman" w:eastAsia="Times New Roman" w:cs="Times New Roman"/>
          <w:color w:val="auto"/>
          <w:sz w:val="24"/>
        </w:rPr>
        <w:t>6.15</w:t>
      </w:r>
      <w:r>
        <w:rPr>
          <w:rFonts w:hint="default" w:ascii="Times New Roman" w:hAnsi="Times New Roman" w:cs="Times New Roman"/>
          <w:color w:val="auto"/>
          <w:sz w:val="24"/>
        </w:rPr>
        <w:t>万艘次，此后呈快速递减态势，到</w:t>
      </w:r>
      <w:r>
        <w:rPr>
          <w:rFonts w:hint="default" w:ascii="Times New Roman" w:hAnsi="Times New Roman" w:eastAsia="Times New Roman" w:cs="Times New Roman"/>
          <w:color w:val="auto"/>
          <w:sz w:val="24"/>
        </w:rPr>
        <w:t>2016</w:t>
      </w:r>
      <w:r>
        <w:rPr>
          <w:rFonts w:hint="default" w:ascii="Times New Roman" w:hAnsi="Times New Roman" w:cs="Times New Roman"/>
          <w:color w:val="auto"/>
          <w:sz w:val="24"/>
        </w:rPr>
        <w:t>年已减少到</w:t>
      </w:r>
      <w:r>
        <w:rPr>
          <w:rFonts w:hint="default" w:ascii="Times New Roman" w:hAnsi="Times New Roman" w:eastAsia="Times New Roman" w:cs="Times New Roman"/>
          <w:color w:val="auto"/>
          <w:sz w:val="24"/>
        </w:rPr>
        <w:t>2.89</w:t>
      </w:r>
      <w:r>
        <w:rPr>
          <w:rFonts w:hint="default" w:ascii="Times New Roman" w:hAnsi="Times New Roman" w:cs="Times New Roman"/>
          <w:color w:val="auto"/>
          <w:sz w:val="24"/>
        </w:rPr>
        <w:t>万艘次。统计表明，前期到港船舶发展以数量增长为主，主要依靠小船数量的增加；后期发展则逐渐向集约化方向发展，主要以大船代替小船，船舶数量快速减少。</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到港船舶大型化趋势明显。</w:t>
      </w:r>
      <w:r>
        <w:rPr>
          <w:rFonts w:hint="default" w:ascii="Times New Roman" w:hAnsi="Times New Roman" w:eastAsia="Times New Roman" w:cs="Times New Roman"/>
          <w:color w:val="auto"/>
          <w:sz w:val="24"/>
        </w:rPr>
        <w:t>2006</w:t>
      </w:r>
      <w:r>
        <w:rPr>
          <w:rFonts w:hint="default" w:ascii="Times New Roman" w:hAnsi="Times New Roman" w:cs="Times New Roman"/>
          <w:color w:val="auto"/>
          <w:sz w:val="24"/>
        </w:rPr>
        <w:t>年到港船舶中，</w:t>
      </w:r>
      <w:r>
        <w:rPr>
          <w:rFonts w:hint="default" w:ascii="Times New Roman" w:hAnsi="Times New Roman" w:eastAsia="Times New Roman" w:cs="Times New Roman"/>
          <w:color w:val="auto"/>
          <w:sz w:val="24"/>
        </w:rPr>
        <w:t>500</w:t>
      </w:r>
      <w:r>
        <w:rPr>
          <w:rFonts w:hint="default" w:ascii="Times New Roman" w:hAnsi="Times New Roman" w:cs="Times New Roman"/>
          <w:color w:val="auto"/>
          <w:sz w:val="24"/>
        </w:rPr>
        <w:t>载重吨级船舶即三等船舶的艘次占比最大，</w:t>
      </w:r>
      <w:r>
        <w:rPr>
          <w:rFonts w:hint="default" w:ascii="Times New Roman" w:hAnsi="Times New Roman" w:eastAsia="Times New Roman" w:cs="Times New Roman"/>
          <w:color w:val="auto"/>
          <w:sz w:val="24"/>
        </w:rPr>
        <w:t>1000</w:t>
      </w:r>
      <w:r>
        <w:rPr>
          <w:rFonts w:hint="default" w:ascii="Times New Roman" w:hAnsi="Times New Roman" w:cs="Times New Roman"/>
          <w:color w:val="auto"/>
          <w:sz w:val="24"/>
        </w:rPr>
        <w:t>吨级和</w:t>
      </w:r>
      <w:r>
        <w:rPr>
          <w:rFonts w:hint="default" w:ascii="Times New Roman" w:hAnsi="Times New Roman" w:eastAsia="Times New Roman" w:cs="Times New Roman"/>
          <w:color w:val="auto"/>
          <w:sz w:val="24"/>
        </w:rPr>
        <w:t>2000</w:t>
      </w:r>
      <w:r>
        <w:rPr>
          <w:rFonts w:hint="default" w:ascii="Times New Roman" w:hAnsi="Times New Roman" w:cs="Times New Roman"/>
          <w:color w:val="auto"/>
          <w:sz w:val="24"/>
        </w:rPr>
        <w:t>吨级船舶即二等船舶的载重吨位占比最大；到</w:t>
      </w:r>
      <w:r>
        <w:rPr>
          <w:rFonts w:hint="default" w:ascii="Times New Roman" w:hAnsi="Times New Roman" w:eastAsia="Times New Roman" w:cs="Times New Roman"/>
          <w:color w:val="auto"/>
          <w:sz w:val="24"/>
        </w:rPr>
        <w:t>2016</w:t>
      </w:r>
      <w:r>
        <w:rPr>
          <w:rFonts w:hint="default" w:ascii="Times New Roman" w:hAnsi="Times New Roman" w:cs="Times New Roman"/>
          <w:color w:val="auto"/>
          <w:sz w:val="24"/>
        </w:rPr>
        <w:t>年，无论从船舶艘次指标看，还是从载重吨位指标看，</w:t>
      </w:r>
      <w:r>
        <w:rPr>
          <w:rFonts w:hint="default" w:ascii="Times New Roman" w:hAnsi="Times New Roman" w:eastAsia="Times New Roman" w:cs="Times New Roman"/>
          <w:color w:val="auto"/>
          <w:sz w:val="24"/>
        </w:rPr>
        <w:t>3000</w:t>
      </w:r>
      <w:r>
        <w:rPr>
          <w:rFonts w:hint="default" w:ascii="Times New Roman" w:hAnsi="Times New Roman" w:cs="Times New Roman"/>
          <w:color w:val="auto"/>
          <w:sz w:val="24"/>
        </w:rPr>
        <w:t>吨级以上船舶即一等船舶均位居第一位，一等船舶的载重吨位已占岳阳港到港船舶的总载重吨位的</w:t>
      </w:r>
      <w:r>
        <w:rPr>
          <w:rFonts w:hint="default" w:ascii="Times New Roman" w:hAnsi="Times New Roman" w:eastAsia="Times New Roman" w:cs="Times New Roman"/>
          <w:color w:val="auto"/>
          <w:sz w:val="24"/>
        </w:rPr>
        <w:t>80%</w:t>
      </w:r>
      <w:r>
        <w:rPr>
          <w:rFonts w:hint="default" w:ascii="Times New Roman" w:hAnsi="Times New Roman" w:cs="Times New Roman"/>
          <w:color w:val="auto"/>
          <w:sz w:val="24"/>
        </w:rPr>
        <w:t>以上，平均吨位超过</w:t>
      </w:r>
      <w:r>
        <w:rPr>
          <w:rFonts w:hint="default" w:ascii="Times New Roman" w:hAnsi="Times New Roman" w:eastAsia="Times New Roman" w:cs="Times New Roman"/>
          <w:color w:val="auto"/>
          <w:sz w:val="24"/>
        </w:rPr>
        <w:t>7000</w:t>
      </w:r>
      <w:r>
        <w:rPr>
          <w:rFonts w:hint="default" w:ascii="Times New Roman" w:hAnsi="Times New Roman" w:cs="Times New Roman"/>
          <w:color w:val="auto"/>
          <w:sz w:val="24"/>
        </w:rPr>
        <w:t>吨</w:t>
      </w:r>
      <w:r>
        <w:rPr>
          <w:rFonts w:hint="default" w:ascii="Times New Roman" w:hAnsi="Times New Roman" w:eastAsia="Times New Roman" w:cs="Times New Roman"/>
          <w:color w:val="auto"/>
          <w:sz w:val="24"/>
        </w:rPr>
        <w:t>/</w:t>
      </w:r>
      <w:r>
        <w:rPr>
          <w:rFonts w:hint="default" w:ascii="Times New Roman" w:hAnsi="Times New Roman" w:cs="Times New Roman"/>
          <w:color w:val="auto"/>
          <w:sz w:val="24"/>
        </w:rPr>
        <w:t>艘。到港海船情况也类似。</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长江主力船型为</w:t>
      </w:r>
      <w:r>
        <w:rPr>
          <w:rFonts w:hint="default" w:ascii="Times New Roman" w:hAnsi="Times New Roman" w:eastAsia="Times New Roman" w:cs="Times New Roman"/>
          <w:color w:val="auto"/>
          <w:sz w:val="24"/>
        </w:rPr>
        <w:t>5000</w:t>
      </w:r>
      <w:r>
        <w:rPr>
          <w:rFonts w:hint="default" w:ascii="Times New Roman" w:hAnsi="Times New Roman" w:cs="Times New Roman"/>
          <w:color w:val="auto"/>
          <w:sz w:val="24"/>
        </w:rPr>
        <w:t>吨级以上船舶。岳阳港运输货物以干散货为主，长江干线的主力运输船型已从十年前的</w:t>
      </w:r>
      <w:r>
        <w:rPr>
          <w:rFonts w:hint="default" w:ascii="Times New Roman" w:hAnsi="Times New Roman" w:eastAsia="Times New Roman" w:cs="Times New Roman"/>
          <w:color w:val="auto"/>
          <w:sz w:val="24"/>
        </w:rPr>
        <w:t>1000</w:t>
      </w:r>
      <w:r>
        <w:rPr>
          <w:rFonts w:hint="default" w:ascii="Times New Roman" w:hAnsi="Times New Roman" w:cs="Times New Roman"/>
          <w:color w:val="auto"/>
          <w:sz w:val="24"/>
        </w:rPr>
        <w:t>到</w:t>
      </w:r>
      <w:r>
        <w:rPr>
          <w:rFonts w:hint="default" w:ascii="Times New Roman" w:hAnsi="Times New Roman" w:eastAsia="Times New Roman" w:cs="Times New Roman"/>
          <w:color w:val="auto"/>
          <w:sz w:val="24"/>
        </w:rPr>
        <w:t>3000</w:t>
      </w:r>
      <w:r>
        <w:rPr>
          <w:rFonts w:hint="default" w:ascii="Times New Roman" w:hAnsi="Times New Roman" w:cs="Times New Roman"/>
          <w:color w:val="auto"/>
          <w:sz w:val="24"/>
        </w:rPr>
        <w:t>吨级船舶发展到以</w:t>
      </w:r>
      <w:r>
        <w:rPr>
          <w:rFonts w:hint="default" w:ascii="Times New Roman" w:hAnsi="Times New Roman" w:eastAsia="Times New Roman" w:cs="Times New Roman"/>
          <w:color w:val="auto"/>
          <w:sz w:val="24"/>
        </w:rPr>
        <w:t>5000</w:t>
      </w:r>
      <w:r>
        <w:rPr>
          <w:rFonts w:hint="default" w:ascii="Times New Roman" w:hAnsi="Times New Roman" w:cs="Times New Roman"/>
          <w:color w:val="auto"/>
          <w:sz w:val="24"/>
        </w:rPr>
        <w:t>吨级以上为主，其中集装箱运输船型主要以</w:t>
      </w:r>
      <w:r>
        <w:rPr>
          <w:rFonts w:hint="default" w:ascii="Times New Roman" w:hAnsi="Times New Roman" w:eastAsia="Times New Roman" w:cs="Times New Roman"/>
          <w:color w:val="auto"/>
          <w:sz w:val="24"/>
        </w:rPr>
        <w:t>300TEU</w:t>
      </w:r>
      <w:r>
        <w:rPr>
          <w:rFonts w:hint="default" w:ascii="Times New Roman" w:hAnsi="Times New Roman" w:cs="Times New Roman"/>
          <w:color w:val="auto"/>
          <w:sz w:val="24"/>
        </w:rPr>
        <w:t>以上船舶为主。</w:t>
      </w:r>
    </w:p>
    <w:p>
      <w:pPr>
        <w:adjustRightInd w:val="0"/>
        <w:snapToGrid w:val="0"/>
        <w:spacing w:line="360" w:lineRule="auto"/>
        <w:ind w:firstLine="480" w:firstLineChars="200"/>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color w:val="auto"/>
          <w:sz w:val="24"/>
        </w:rPr>
        <w:t>湘江及湖区主力船型为</w:t>
      </w:r>
      <w:r>
        <w:rPr>
          <w:rFonts w:hint="default" w:ascii="Times New Roman" w:hAnsi="Times New Roman" w:eastAsia="Times New Roman" w:cs="Times New Roman"/>
          <w:color w:val="auto"/>
          <w:sz w:val="24"/>
        </w:rPr>
        <w:t>500</w:t>
      </w:r>
      <w:r>
        <w:rPr>
          <w:rFonts w:hint="default" w:ascii="Times New Roman" w:hAnsi="Times New Roman" w:cs="Times New Roman"/>
          <w:color w:val="auto"/>
          <w:sz w:val="24"/>
        </w:rPr>
        <w:t>至</w:t>
      </w:r>
      <w:r>
        <w:rPr>
          <w:rFonts w:hint="default" w:ascii="Times New Roman" w:hAnsi="Times New Roman" w:eastAsia="Times New Roman" w:cs="Times New Roman"/>
          <w:color w:val="auto"/>
          <w:sz w:val="24"/>
        </w:rPr>
        <w:t>2000</w:t>
      </w:r>
      <w:r>
        <w:rPr>
          <w:rFonts w:hint="default" w:ascii="Times New Roman" w:hAnsi="Times New Roman" w:cs="Times New Roman"/>
          <w:color w:val="auto"/>
          <w:sz w:val="24"/>
        </w:rPr>
        <w:t>吨级船舶。受洞庭湖区及湘江等支流航道条件限制，岳阳港的到港运输船型显著小于长江沿线运输船舶，主力船型基本为</w:t>
      </w:r>
      <w:r>
        <w:rPr>
          <w:rFonts w:hint="default" w:ascii="Times New Roman" w:hAnsi="Times New Roman" w:eastAsia="Times New Roman" w:cs="Times New Roman"/>
          <w:color w:val="auto"/>
          <w:sz w:val="24"/>
        </w:rPr>
        <w:t>500</w:t>
      </w:r>
      <w:r>
        <w:rPr>
          <w:rFonts w:hint="default" w:ascii="Times New Roman" w:hAnsi="Times New Roman" w:cs="Times New Roman"/>
          <w:color w:val="auto"/>
          <w:sz w:val="24"/>
        </w:rPr>
        <w:t>吨级至</w:t>
      </w:r>
      <w:r>
        <w:rPr>
          <w:rFonts w:hint="default" w:ascii="Times New Roman" w:hAnsi="Times New Roman" w:eastAsia="Times New Roman" w:cs="Times New Roman"/>
          <w:color w:val="auto"/>
          <w:sz w:val="24"/>
        </w:rPr>
        <w:t>3000</w:t>
      </w:r>
      <w:r>
        <w:rPr>
          <w:rFonts w:hint="default" w:ascii="Times New Roman" w:hAnsi="Times New Roman" w:cs="Times New Roman"/>
          <w:color w:val="auto"/>
          <w:sz w:val="24"/>
        </w:rPr>
        <w:t>吨级船舶。</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航道、锚地现状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岳阳境内航道有长江干流塔市驿至铁山咀段、湘江及其尾闾濠河口至城陵矶段、资水尾闾、汨罗江、新墙河、藕池河、华容河以及人工开挖的华洪运河、北三干渠等，共计通航里程</w:t>
      </w:r>
      <w:r>
        <w:rPr>
          <w:rFonts w:hint="default" w:ascii="Times New Roman" w:hAnsi="Times New Roman" w:eastAsia="Times New Roman" w:cs="Times New Roman"/>
          <w:color w:val="auto"/>
          <w:sz w:val="24"/>
        </w:rPr>
        <w:t>1275</w:t>
      </w:r>
      <w:r>
        <w:rPr>
          <w:rFonts w:hint="default" w:ascii="Times New Roman" w:hAnsi="Times New Roman" w:cs="Times New Roman"/>
          <w:color w:val="auto"/>
          <w:sz w:val="24"/>
        </w:rPr>
        <w:t>km。长江干线航道湖南境内城陵矶以上河段现为Ⅱ级航道，城陵矶以下河段现为Ⅰ级航道。经过多年整治，湘江干线即洞庭湖三江口以上航道至株洲已提升为Ⅱ级航道。新墙河、华容河、汨罗江等航道等级为Ⅵ级，常年基本通行</w:t>
      </w:r>
      <w:r>
        <w:rPr>
          <w:rFonts w:hint="default" w:ascii="Times New Roman" w:hAnsi="Times New Roman" w:eastAsia="Times New Roman" w:cs="Times New Roman"/>
          <w:color w:val="auto"/>
          <w:sz w:val="24"/>
        </w:rPr>
        <w:t>100</w:t>
      </w:r>
      <w:r>
        <w:rPr>
          <w:rFonts w:hint="default" w:ascii="Times New Roman" w:hAnsi="Times New Roman" w:cs="Times New Roman"/>
          <w:color w:val="auto"/>
          <w:sz w:val="24"/>
        </w:rPr>
        <w:t>吨级船舶（通航保证率</w:t>
      </w:r>
      <w:r>
        <w:rPr>
          <w:rFonts w:hint="default" w:ascii="Times New Roman" w:hAnsi="Times New Roman" w:eastAsia="Times New Roman" w:cs="Times New Roman"/>
          <w:color w:val="auto"/>
          <w:sz w:val="24"/>
        </w:rPr>
        <w:t>65</w:t>
      </w:r>
      <w:r>
        <w:rPr>
          <w:rFonts w:hint="eastAsia" w:ascii="Times New Roman" w:hAnsi="Times New Roman" w:eastAsia="宋体" w:cs="Times New Roman"/>
          <w:color w:val="auto"/>
          <w:sz w:val="24"/>
          <w:lang w:val="en-US" w:eastAsia="zh-CN"/>
        </w:rPr>
        <w:t>%</w:t>
      </w:r>
      <w:r>
        <w:rPr>
          <w:rFonts w:hint="default" w:ascii="Times New Roman" w:hAnsi="Times New Roman" w:cs="Times New Roman"/>
          <w:color w:val="auto"/>
          <w:sz w:val="24"/>
        </w:rPr>
        <w:t>），季节性可最大通航</w:t>
      </w:r>
      <w:r>
        <w:rPr>
          <w:rFonts w:hint="default" w:ascii="Times New Roman" w:hAnsi="Times New Roman" w:eastAsia="Times New Roman" w:cs="Times New Roman"/>
          <w:color w:val="auto"/>
          <w:sz w:val="24"/>
        </w:rPr>
        <w:t>500</w:t>
      </w:r>
      <w:r>
        <w:rPr>
          <w:rFonts w:hint="default" w:ascii="Times New Roman" w:hAnsi="Times New Roman" w:cs="Times New Roman"/>
          <w:color w:val="auto"/>
          <w:sz w:val="24"/>
        </w:rPr>
        <w:t>吨级船舶。</w:t>
      </w:r>
    </w:p>
    <w:p>
      <w:pPr>
        <w:adjustRightInd w:val="0"/>
        <w:snapToGrid w:val="0"/>
        <w:spacing w:line="276"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表3.2</w:t>
      </w:r>
      <w:r>
        <w:rPr>
          <w:rFonts w:hint="default" w:ascii="Times New Roman" w:hAnsi="Times New Roman" w:eastAsia="Times New Roman" w:cs="Times New Roman"/>
          <w:b/>
          <w:bCs/>
          <w:color w:val="auto"/>
          <w:sz w:val="24"/>
        </w:rPr>
        <w:t>-</w:t>
      </w:r>
      <w:r>
        <w:rPr>
          <w:rFonts w:hint="default" w:ascii="Times New Roman" w:hAnsi="Times New Roman" w:cs="Times New Roman"/>
          <w:b/>
          <w:bCs/>
          <w:color w:val="auto"/>
          <w:sz w:val="24"/>
        </w:rPr>
        <w:t>4</w:t>
      </w:r>
      <w:r>
        <w:rPr>
          <w:rFonts w:hint="default" w:ascii="Times New Roman" w:hAnsi="Times New Roman" w:eastAsia="Times New Roman" w:cs="Times New Roman"/>
          <w:b/>
          <w:bCs/>
          <w:color w:val="auto"/>
          <w:sz w:val="24"/>
        </w:rPr>
        <w:t xml:space="preserve"> </w:t>
      </w:r>
      <w:r>
        <w:rPr>
          <w:rFonts w:hint="default" w:ascii="Times New Roman" w:hAnsi="Times New Roman" w:cs="Times New Roman"/>
          <w:b/>
          <w:bCs/>
          <w:color w:val="auto"/>
          <w:sz w:val="24"/>
        </w:rPr>
        <w:t xml:space="preserve"> 岳阳市主要航道现状</w:t>
      </w:r>
    </w:p>
    <w:tbl>
      <w:tblPr>
        <w:tblStyle w:val="71"/>
        <w:tblW w:w="4998" w:type="pct"/>
        <w:tblInd w:w="0" w:type="dxa"/>
        <w:tblLayout w:type="autofit"/>
        <w:tblCellMar>
          <w:top w:w="0" w:type="dxa"/>
          <w:left w:w="108" w:type="dxa"/>
          <w:bottom w:w="0" w:type="dxa"/>
          <w:right w:w="108" w:type="dxa"/>
        </w:tblCellMar>
      </w:tblPr>
      <w:tblGrid>
        <w:gridCol w:w="542"/>
        <w:gridCol w:w="1576"/>
        <w:gridCol w:w="2619"/>
        <w:gridCol w:w="896"/>
        <w:gridCol w:w="1054"/>
        <w:gridCol w:w="531"/>
        <w:gridCol w:w="805"/>
        <w:gridCol w:w="1073"/>
      </w:tblGrid>
      <w:tr>
        <w:tblPrEx>
          <w:tblCellMar>
            <w:top w:w="0" w:type="dxa"/>
            <w:left w:w="108" w:type="dxa"/>
            <w:bottom w:w="0" w:type="dxa"/>
            <w:right w:w="108" w:type="dxa"/>
          </w:tblCellMar>
        </w:tblPrEx>
        <w:trPr>
          <w:trHeight w:val="340" w:hRule="atLeast"/>
        </w:trPr>
        <w:tc>
          <w:tcPr>
            <w:tcW w:w="298" w:type="pct"/>
            <w:vMerge w:val="restart"/>
            <w:tcBorders>
              <w:top w:val="single" w:color="auto" w:sz="12"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序号</w:t>
            </w:r>
          </w:p>
        </w:tc>
        <w:tc>
          <w:tcPr>
            <w:tcW w:w="866" w:type="pct"/>
            <w:vMerge w:val="restar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航道名称</w:t>
            </w:r>
          </w:p>
        </w:tc>
        <w:tc>
          <w:tcPr>
            <w:tcW w:w="1439" w:type="pct"/>
            <w:vMerge w:val="restar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起讫点</w:t>
            </w:r>
          </w:p>
        </w:tc>
        <w:tc>
          <w:tcPr>
            <w:tcW w:w="492" w:type="pct"/>
            <w:vMerge w:val="restar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里程</w:t>
            </w:r>
          </w:p>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w:t>
            </w:r>
            <w:r>
              <w:rPr>
                <w:rFonts w:hint="default" w:ascii="Times New Roman" w:hAnsi="Times New Roman" w:eastAsia="Times New Roman" w:cs="Times New Roman"/>
                <w:b/>
                <w:bCs/>
                <w:color w:val="auto"/>
              </w:rPr>
              <w:t>km</w:t>
            </w:r>
            <w:r>
              <w:rPr>
                <w:rFonts w:hint="default" w:ascii="Times New Roman" w:hAnsi="Times New Roman" w:cs="Times New Roman"/>
                <w:b/>
                <w:bCs/>
                <w:color w:val="auto"/>
              </w:rPr>
              <w:t>）</w:t>
            </w:r>
          </w:p>
        </w:tc>
        <w:tc>
          <w:tcPr>
            <w:tcW w:w="579" w:type="pct"/>
            <w:vMerge w:val="restar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现状技术</w:t>
            </w:r>
          </w:p>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等级</w:t>
            </w:r>
          </w:p>
        </w:tc>
        <w:tc>
          <w:tcPr>
            <w:tcW w:w="1323" w:type="pct"/>
            <w:gridSpan w:val="3"/>
            <w:tcBorders>
              <w:top w:val="single" w:color="auto" w:sz="12"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航道尺度（</w:t>
            </w:r>
            <w:r>
              <w:rPr>
                <w:rFonts w:hint="default" w:ascii="Times New Roman" w:hAnsi="Times New Roman" w:eastAsia="Times New Roman" w:cs="Times New Roman"/>
                <w:b/>
                <w:bCs/>
                <w:color w:val="auto"/>
              </w:rPr>
              <w:t>m</w:t>
            </w:r>
            <w:r>
              <w:rPr>
                <w:rFonts w:hint="default" w:ascii="Times New Roman" w:hAnsi="Times New Roman" w:cs="Times New Roman"/>
                <w:b/>
                <w:bCs/>
                <w:color w:val="auto"/>
              </w:rPr>
              <w:t>）</w:t>
            </w:r>
          </w:p>
        </w:tc>
      </w:tr>
      <w:tr>
        <w:tblPrEx>
          <w:tblCellMar>
            <w:top w:w="0" w:type="dxa"/>
            <w:left w:w="108" w:type="dxa"/>
            <w:bottom w:w="0" w:type="dxa"/>
            <w:right w:w="108" w:type="dxa"/>
          </w:tblCellMar>
        </w:tblPrEx>
        <w:trPr>
          <w:trHeight w:val="340" w:hRule="atLeast"/>
        </w:trPr>
        <w:tc>
          <w:tcPr>
            <w:tcW w:w="298" w:type="pct"/>
            <w:vMerge w:val="continue"/>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p>
        </w:tc>
        <w:tc>
          <w:tcPr>
            <w:tcW w:w="866"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p>
        </w:tc>
        <w:tc>
          <w:tcPr>
            <w:tcW w:w="1439"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p>
        </w:tc>
        <w:tc>
          <w:tcPr>
            <w:tcW w:w="492"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p>
        </w:tc>
        <w:tc>
          <w:tcPr>
            <w:tcW w:w="579"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航宽</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水深</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弯曲半径</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长江航道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五马口-铁山咀</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163</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Ⅰ级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150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3.8~4.0</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1000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w:t>
            </w:r>
          </w:p>
        </w:tc>
        <w:tc>
          <w:tcPr>
            <w:tcW w:w="866" w:type="pct"/>
            <w:vMerge w:val="restar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湘江航道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长沙湘江一桥-濠河口</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59</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Ⅱ级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2.8</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720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w:t>
            </w:r>
          </w:p>
        </w:tc>
        <w:tc>
          <w:tcPr>
            <w:tcW w:w="866"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濠河口-芦林潭</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24</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Ⅱ级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2.8</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720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w:t>
            </w:r>
          </w:p>
        </w:tc>
        <w:tc>
          <w:tcPr>
            <w:tcW w:w="866"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芦林潭-鲇鱼口</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39</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Ⅱ级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2.8</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720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w:t>
            </w:r>
          </w:p>
        </w:tc>
        <w:tc>
          <w:tcPr>
            <w:tcW w:w="866"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鲇鱼口-鹿角</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11</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Ⅱ级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2.8</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720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w:t>
            </w:r>
          </w:p>
        </w:tc>
        <w:tc>
          <w:tcPr>
            <w:tcW w:w="866" w:type="pct"/>
            <w:vMerge w:val="continue"/>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鹿角-城陵矶</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Ⅱ级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2.8</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720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湘江西支航道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濠河口-芦林潭</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33</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III</w:t>
            </w:r>
            <w:r>
              <w:rPr>
                <w:rFonts w:hint="default" w:ascii="Times New Roman" w:hAnsi="Times New Roman" w:cs="Times New Roman"/>
                <w:color w:val="auto"/>
              </w:rPr>
              <w:t>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30</w:t>
            </w: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1.2</w:t>
            </w: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300</w:t>
            </w: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汨罗江航道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平江-磊石</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123</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Ⅵ级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9</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新墙河航道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三港咀-金盆港</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35</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Ⅵ级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藕池河航道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殷家洲-君山</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91</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Ⅵ级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11</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华容河航道</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扁山-洋河剅口</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86</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Ⅵ级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12</w:t>
            </w:r>
          </w:p>
        </w:tc>
        <w:tc>
          <w:tcPr>
            <w:tcW w:w="86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华容河南支</w:t>
            </w:r>
          </w:p>
        </w:tc>
        <w:tc>
          <w:tcPr>
            <w:tcW w:w="143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罐头尖-治湖村</w:t>
            </w:r>
          </w:p>
        </w:tc>
        <w:tc>
          <w:tcPr>
            <w:tcW w:w="4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23</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Ⅵ级</w:t>
            </w:r>
          </w:p>
        </w:tc>
        <w:tc>
          <w:tcPr>
            <w:tcW w:w="29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108" w:type="dxa"/>
            <w:bottom w:w="0" w:type="dxa"/>
            <w:right w:w="108" w:type="dxa"/>
          </w:tblCellMar>
        </w:tblPrEx>
        <w:trPr>
          <w:trHeight w:val="340" w:hRule="atLeast"/>
        </w:trPr>
        <w:tc>
          <w:tcPr>
            <w:tcW w:w="298" w:type="pct"/>
            <w:tcBorders>
              <w:top w:val="single" w:color="auto" w:sz="4" w:space="0"/>
              <w:left w:val="single" w:color="auto" w:sz="12"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13</w:t>
            </w:r>
          </w:p>
        </w:tc>
        <w:tc>
          <w:tcPr>
            <w:tcW w:w="866"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资江东支航道</w:t>
            </w:r>
          </w:p>
        </w:tc>
        <w:tc>
          <w:tcPr>
            <w:tcW w:w="1439"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毛角口-临资口</w:t>
            </w:r>
          </w:p>
        </w:tc>
        <w:tc>
          <w:tcPr>
            <w:tcW w:w="492"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30</w:t>
            </w:r>
          </w:p>
        </w:tc>
        <w:tc>
          <w:tcPr>
            <w:tcW w:w="579"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III</w:t>
            </w:r>
            <w:r>
              <w:rPr>
                <w:rFonts w:hint="default" w:ascii="Times New Roman" w:hAnsi="Times New Roman" w:cs="Times New Roman"/>
                <w:color w:val="auto"/>
              </w:rPr>
              <w:t>级</w:t>
            </w:r>
          </w:p>
        </w:tc>
        <w:tc>
          <w:tcPr>
            <w:tcW w:w="292"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442"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88" w:type="pct"/>
            <w:tcBorders>
              <w:top w:val="single" w:color="auto" w:sz="4" w:space="0"/>
              <w:left w:val="single" w:color="auto" w:sz="4" w:space="0"/>
              <w:bottom w:val="single" w:color="auto" w:sz="12"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bl>
    <w:p>
      <w:pPr>
        <w:adjustRightInd w:val="0"/>
        <w:snapToGrid w:val="0"/>
        <w:spacing w:line="360" w:lineRule="auto"/>
        <w:ind w:firstLine="480" w:firstLineChars="200"/>
        <w:jc w:val="left"/>
        <w:rPr>
          <w:rFonts w:hint="default" w:ascii="Times New Roman" w:hAnsi="Times New Roman" w:cs="Times New Roman"/>
          <w:color w:val="auto"/>
          <w:sz w:val="24"/>
        </w:rPr>
      </w:pPr>
    </w:p>
    <w:p>
      <w:pPr>
        <w:adjustRightInd w:val="0"/>
        <w:snapToGrid w:val="0"/>
        <w:spacing w:line="360" w:lineRule="auto"/>
        <w:ind w:firstLine="480" w:firstLineChars="200"/>
        <w:jc w:val="left"/>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岳阳港现有锚地</w:t>
      </w:r>
      <w:r>
        <w:rPr>
          <w:rFonts w:hint="default" w:ascii="Times New Roman" w:hAnsi="Times New Roman" w:eastAsia="Times New Roman" w:cs="Times New Roman"/>
          <w:color w:val="auto"/>
          <w:sz w:val="24"/>
        </w:rPr>
        <w:t>10</w:t>
      </w:r>
      <w:r>
        <w:rPr>
          <w:rFonts w:hint="default" w:ascii="Times New Roman" w:hAnsi="Times New Roman" w:cs="Times New Roman"/>
          <w:color w:val="auto"/>
          <w:sz w:val="24"/>
        </w:rPr>
        <w:t>处，其中危化锚地</w:t>
      </w:r>
      <w:r>
        <w:rPr>
          <w:rFonts w:hint="default" w:ascii="Times New Roman" w:hAnsi="Times New Roman" w:eastAsia="Times New Roman" w:cs="Times New Roman"/>
          <w:color w:val="auto"/>
          <w:sz w:val="24"/>
        </w:rPr>
        <w:t>5</w:t>
      </w:r>
      <w:r>
        <w:rPr>
          <w:rFonts w:hint="default" w:ascii="Times New Roman" w:hAnsi="Times New Roman" w:cs="Times New Roman"/>
          <w:color w:val="auto"/>
          <w:sz w:val="24"/>
        </w:rPr>
        <w:t>处，普货锚地</w:t>
      </w:r>
      <w:r>
        <w:rPr>
          <w:rFonts w:hint="default" w:ascii="Times New Roman" w:hAnsi="Times New Roman" w:eastAsia="Times New Roman" w:cs="Times New Roman"/>
          <w:color w:val="auto"/>
          <w:sz w:val="24"/>
        </w:rPr>
        <w:t>5</w:t>
      </w:r>
      <w:r>
        <w:rPr>
          <w:rFonts w:hint="default" w:ascii="Times New Roman" w:hAnsi="Times New Roman" w:cs="Times New Roman"/>
          <w:color w:val="auto"/>
          <w:sz w:val="24"/>
        </w:rPr>
        <w:t>处，主要集中在七里山港区、城陵矶和道仁矶港区。此外，岳阳港长江河段水域公布置有航行停泊区</w:t>
      </w:r>
      <w:r>
        <w:rPr>
          <w:rFonts w:hint="default" w:ascii="Times New Roman" w:hAnsi="Times New Roman" w:eastAsia="Times New Roman" w:cs="Times New Roman"/>
          <w:color w:val="auto"/>
          <w:sz w:val="24"/>
        </w:rPr>
        <w:t>7</w:t>
      </w:r>
      <w:r>
        <w:rPr>
          <w:rFonts w:hint="default" w:ascii="Times New Roman" w:hAnsi="Times New Roman" w:cs="Times New Roman"/>
          <w:color w:val="auto"/>
          <w:sz w:val="24"/>
        </w:rPr>
        <w:t>个，其中沿江右侧有</w:t>
      </w:r>
      <w:r>
        <w:rPr>
          <w:rFonts w:hint="default" w:ascii="Times New Roman" w:hAnsi="Times New Roman" w:eastAsia="Times New Roman" w:cs="Times New Roman"/>
          <w:color w:val="auto"/>
          <w:sz w:val="24"/>
        </w:rPr>
        <w:t>3</w:t>
      </w:r>
      <w:r>
        <w:rPr>
          <w:rFonts w:hint="default" w:ascii="Times New Roman" w:hAnsi="Times New Roman" w:cs="Times New Roman"/>
          <w:color w:val="auto"/>
          <w:sz w:val="24"/>
        </w:rPr>
        <w:t>个、左侧有</w:t>
      </w:r>
      <w:r>
        <w:rPr>
          <w:rFonts w:hint="default" w:ascii="Times New Roman" w:hAnsi="Times New Roman" w:eastAsia="Times New Roman" w:cs="Times New Roman"/>
          <w:color w:val="auto"/>
          <w:sz w:val="24"/>
        </w:rPr>
        <w:t>4</w:t>
      </w:r>
      <w:r>
        <w:rPr>
          <w:rFonts w:hint="default" w:ascii="Times New Roman" w:hAnsi="Times New Roman" w:cs="Times New Roman"/>
          <w:color w:val="auto"/>
          <w:sz w:val="24"/>
        </w:rPr>
        <w:t>个</w:t>
      </w:r>
      <w:r>
        <w:rPr>
          <w:rFonts w:hint="default" w:ascii="Times New Roman" w:hAnsi="Times New Roman" w:cs="Times New Roman"/>
          <w:color w:val="auto"/>
          <w:sz w:val="24"/>
          <w:lang w:eastAsia="zh-CN"/>
        </w:rPr>
        <w:t>。</w:t>
      </w:r>
    </w:p>
    <w:p>
      <w:pPr>
        <w:adjustRightInd w:val="0"/>
        <w:snapToGrid w:val="0"/>
        <w:spacing w:line="276"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表3.2</w:t>
      </w:r>
      <w:r>
        <w:rPr>
          <w:rFonts w:hint="default" w:ascii="Times New Roman" w:hAnsi="Times New Roman" w:eastAsia="Times New Roman" w:cs="Times New Roman"/>
          <w:b/>
          <w:bCs/>
          <w:color w:val="auto"/>
          <w:sz w:val="24"/>
        </w:rPr>
        <w:t>-</w:t>
      </w:r>
      <w:r>
        <w:rPr>
          <w:rFonts w:hint="default" w:ascii="Times New Roman" w:hAnsi="Times New Roman" w:cs="Times New Roman"/>
          <w:b/>
          <w:bCs/>
          <w:color w:val="auto"/>
          <w:sz w:val="24"/>
        </w:rPr>
        <w:t>5</w:t>
      </w:r>
      <w:r>
        <w:rPr>
          <w:rFonts w:hint="default" w:ascii="Times New Roman" w:hAnsi="Times New Roman" w:eastAsia="Times New Roman" w:cs="Times New Roman"/>
          <w:b/>
          <w:bCs/>
          <w:color w:val="auto"/>
          <w:sz w:val="24"/>
        </w:rPr>
        <w:t xml:space="preserve"> </w:t>
      </w:r>
      <w:r>
        <w:rPr>
          <w:rFonts w:hint="default" w:ascii="Times New Roman" w:hAnsi="Times New Roman" w:cs="Times New Roman"/>
          <w:b/>
          <w:bCs/>
          <w:color w:val="auto"/>
          <w:sz w:val="24"/>
        </w:rPr>
        <w:t xml:space="preserve"> 岳阳港锚地现状表</w:t>
      </w:r>
    </w:p>
    <w:tbl>
      <w:tblPr>
        <w:tblStyle w:val="71"/>
        <w:tblW w:w="4998" w:type="pct"/>
        <w:tblInd w:w="0" w:type="dxa"/>
        <w:tblLayout w:type="autofit"/>
        <w:tblCellMar>
          <w:top w:w="0" w:type="dxa"/>
          <w:left w:w="0" w:type="dxa"/>
          <w:bottom w:w="0" w:type="dxa"/>
          <w:right w:w="0" w:type="dxa"/>
        </w:tblCellMar>
      </w:tblPr>
      <w:tblGrid>
        <w:gridCol w:w="547"/>
        <w:gridCol w:w="1662"/>
        <w:gridCol w:w="539"/>
        <w:gridCol w:w="943"/>
        <w:gridCol w:w="3173"/>
        <w:gridCol w:w="1054"/>
        <w:gridCol w:w="1178"/>
      </w:tblGrid>
      <w:tr>
        <w:tblPrEx>
          <w:tblCellMar>
            <w:top w:w="0" w:type="dxa"/>
            <w:left w:w="0" w:type="dxa"/>
            <w:bottom w:w="0" w:type="dxa"/>
            <w:right w:w="0" w:type="dxa"/>
          </w:tblCellMar>
        </w:tblPrEx>
        <w:trPr>
          <w:trHeight w:val="340" w:hRule="atLeast"/>
          <w:tblHeader/>
        </w:trPr>
        <w:tc>
          <w:tcPr>
            <w:tcW w:w="301" w:type="pct"/>
            <w:tcBorders>
              <w:top w:val="single" w:color="auto" w:sz="12"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编号</w:t>
            </w:r>
          </w:p>
        </w:tc>
        <w:tc>
          <w:tcPr>
            <w:tcW w:w="913" w:type="pc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锚地名称</w:t>
            </w:r>
          </w:p>
        </w:tc>
        <w:tc>
          <w:tcPr>
            <w:tcW w:w="296" w:type="pc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岸别</w:t>
            </w:r>
          </w:p>
        </w:tc>
        <w:tc>
          <w:tcPr>
            <w:tcW w:w="518" w:type="pc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用途</w:t>
            </w:r>
          </w:p>
        </w:tc>
        <w:tc>
          <w:tcPr>
            <w:tcW w:w="1743" w:type="pc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面积（</w:t>
            </w:r>
            <w:r>
              <w:rPr>
                <w:rFonts w:hint="default" w:ascii="Times New Roman" w:hAnsi="Times New Roman" w:eastAsia="Times New Roman" w:cs="Times New Roman"/>
                <w:b/>
                <w:bCs/>
                <w:color w:val="auto"/>
              </w:rPr>
              <w:t>m</w:t>
            </w:r>
            <w:r>
              <w:rPr>
                <w:rFonts w:hint="default" w:ascii="Times New Roman" w:hAnsi="Times New Roman" w:eastAsia="Times New Roman" w:cs="Times New Roman"/>
                <w:b/>
                <w:bCs/>
                <w:color w:val="auto"/>
                <w:vertAlign w:val="superscript"/>
              </w:rPr>
              <w:t>2</w:t>
            </w:r>
            <w:r>
              <w:rPr>
                <w:rFonts w:hint="default" w:ascii="Times New Roman" w:hAnsi="Times New Roman" w:cs="Times New Roman"/>
                <w:b/>
                <w:bCs/>
                <w:color w:val="auto"/>
              </w:rPr>
              <w:t>）</w:t>
            </w:r>
          </w:p>
        </w:tc>
        <w:tc>
          <w:tcPr>
            <w:tcW w:w="579" w:type="pct"/>
            <w:tcBorders>
              <w:top w:val="single" w:color="auto" w:sz="12"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锚地性质</w:t>
            </w:r>
          </w:p>
        </w:tc>
        <w:tc>
          <w:tcPr>
            <w:tcW w:w="647" w:type="pct"/>
            <w:tcBorders>
              <w:top w:val="single" w:color="auto" w:sz="12"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备注</w:t>
            </w: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新港锚地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右</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空载待泊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309000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危</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长炼空载船锚地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空载待泊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434000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危</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长岭炼油厂锚地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345000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危</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岳化锚地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城陵矶水位</w:t>
            </w:r>
            <w:r>
              <w:rPr>
                <w:rFonts w:hint="default" w:ascii="Times New Roman" w:hAnsi="Times New Roman" w:eastAsia="Times New Roman" w:cs="Times New Roman"/>
                <w:color w:val="auto"/>
              </w:rPr>
              <w:t>9</w:t>
            </w:r>
            <w:r>
              <w:rPr>
                <w:rFonts w:hint="default" w:ascii="Times New Roman" w:hAnsi="Times New Roman" w:cs="Times New Roman"/>
                <w:color w:val="auto"/>
              </w:rPr>
              <w:t>m以下时</w:t>
            </w:r>
            <w:r>
              <w:rPr>
                <w:rFonts w:hint="default" w:ascii="Times New Roman" w:hAnsi="Times New Roman" w:eastAsia="Times New Roman" w:cs="Times New Roman"/>
                <w:color w:val="auto"/>
              </w:rPr>
              <w:t>1500×250=375000</w:t>
            </w:r>
            <w:r>
              <w:rPr>
                <w:rFonts w:hint="default" w:ascii="Times New Roman" w:hAnsi="Times New Roman" w:cs="Times New Roman"/>
                <w:color w:val="auto"/>
              </w:rPr>
              <w:t>；城陵矶水位</w:t>
            </w:r>
            <w:r>
              <w:rPr>
                <w:rFonts w:hint="default" w:ascii="Times New Roman" w:hAnsi="Times New Roman" w:eastAsia="Times New Roman" w:cs="Times New Roman"/>
                <w:color w:val="auto"/>
              </w:rPr>
              <w:t>9</w:t>
            </w:r>
            <w:r>
              <w:rPr>
                <w:rFonts w:hint="default" w:ascii="Times New Roman" w:hAnsi="Times New Roman" w:cs="Times New Roman"/>
                <w:color w:val="auto"/>
              </w:rPr>
              <w:t>m以上时</w:t>
            </w:r>
            <w:r>
              <w:rPr>
                <w:rFonts w:hint="default" w:ascii="Times New Roman" w:hAnsi="Times New Roman" w:eastAsia="Times New Roman" w:cs="Times New Roman"/>
                <w:color w:val="auto"/>
              </w:rPr>
              <w:t>1000×400 =400000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危</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百盛锚地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过驳</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180950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普</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湖北</w:t>
            </w: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岳阳口岸外贸联检锚地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527000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普</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7</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华能电厂锚地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1500×200=300000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普</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城陵矶</w:t>
            </w:r>
            <w:r>
              <w:rPr>
                <w:rFonts w:hint="default" w:ascii="Times New Roman" w:hAnsi="Times New Roman" w:eastAsia="Times New Roman" w:cs="Times New Roman"/>
                <w:color w:val="auto"/>
              </w:rPr>
              <w:t>2</w:t>
            </w:r>
            <w:r>
              <w:rPr>
                <w:rFonts w:hint="default" w:ascii="Times New Roman" w:hAnsi="Times New Roman" w:cs="Times New Roman"/>
                <w:color w:val="auto"/>
              </w:rPr>
              <w:t>号锚地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过驳</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200×180=36000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普</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9</w:t>
            </w:r>
          </w:p>
        </w:tc>
        <w:tc>
          <w:tcPr>
            <w:tcW w:w="91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城陵矶</w:t>
            </w:r>
            <w:r>
              <w:rPr>
                <w:rFonts w:hint="default" w:ascii="Times New Roman" w:hAnsi="Times New Roman" w:eastAsia="Times New Roman" w:cs="Times New Roman"/>
                <w:color w:val="auto"/>
              </w:rPr>
              <w:t>3</w:t>
            </w:r>
            <w:r>
              <w:rPr>
                <w:rFonts w:hint="default" w:ascii="Times New Roman" w:hAnsi="Times New Roman" w:cs="Times New Roman"/>
                <w:color w:val="auto"/>
              </w:rPr>
              <w:t>号锚地</w:t>
            </w:r>
          </w:p>
        </w:tc>
        <w:tc>
          <w:tcPr>
            <w:tcW w:w="296"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827×160=132320</w:t>
            </w:r>
          </w:p>
        </w:tc>
        <w:tc>
          <w:tcPr>
            <w:tcW w:w="579" w:type="pct"/>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危</w:t>
            </w:r>
          </w:p>
        </w:tc>
        <w:tc>
          <w:tcPr>
            <w:tcW w:w="647" w:type="pct"/>
            <w:tcBorders>
              <w:top w:val="single" w:color="auto" w:sz="4" w:space="0"/>
              <w:left w:val="single" w:color="auto" w:sz="4" w:space="0"/>
              <w:bottom w:val="single" w:color="auto" w:sz="4"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铁路桥建设后调整</w:t>
            </w:r>
          </w:p>
        </w:tc>
      </w:tr>
      <w:tr>
        <w:tblPrEx>
          <w:tblCellMar>
            <w:top w:w="0" w:type="dxa"/>
            <w:left w:w="0" w:type="dxa"/>
            <w:bottom w:w="0" w:type="dxa"/>
            <w:right w:w="0" w:type="dxa"/>
          </w:tblCellMar>
        </w:tblPrEx>
        <w:trPr>
          <w:trHeight w:val="340" w:hRule="atLeast"/>
        </w:trPr>
        <w:tc>
          <w:tcPr>
            <w:tcW w:w="301" w:type="pct"/>
            <w:tcBorders>
              <w:top w:val="single" w:color="auto" w:sz="4" w:space="0"/>
              <w:left w:val="single" w:color="auto" w:sz="12"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10</w:t>
            </w:r>
          </w:p>
        </w:tc>
        <w:tc>
          <w:tcPr>
            <w:tcW w:w="913"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城港联检锚地</w:t>
            </w:r>
          </w:p>
        </w:tc>
        <w:tc>
          <w:tcPr>
            <w:tcW w:w="296"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左</w:t>
            </w:r>
          </w:p>
        </w:tc>
        <w:tc>
          <w:tcPr>
            <w:tcW w:w="518"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待泊</w:t>
            </w:r>
          </w:p>
        </w:tc>
        <w:tc>
          <w:tcPr>
            <w:tcW w:w="1743"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c>
          <w:tcPr>
            <w:tcW w:w="579" w:type="pct"/>
            <w:tcBorders>
              <w:top w:val="single" w:color="auto" w:sz="4" w:space="0"/>
              <w:left w:val="single" w:color="auto" w:sz="4" w:space="0"/>
              <w:bottom w:val="single" w:color="auto" w:sz="12" w:space="0"/>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cs="Times New Roman"/>
                <w:color w:val="auto"/>
              </w:rPr>
              <w:t>普</w:t>
            </w:r>
          </w:p>
        </w:tc>
        <w:tc>
          <w:tcPr>
            <w:tcW w:w="647" w:type="pct"/>
            <w:tcBorders>
              <w:top w:val="single" w:color="auto" w:sz="4" w:space="0"/>
              <w:left w:val="single" w:color="auto" w:sz="4" w:space="0"/>
              <w:bottom w:val="single" w:color="auto" w:sz="12" w:space="0"/>
              <w:right w:val="single" w:color="auto" w:sz="12" w:space="0"/>
            </w:tcBorders>
            <w:tcMar>
              <w:top w:w="0" w:type="dxa"/>
              <w:left w:w="0" w:type="dxa"/>
              <w:bottom w:w="0" w:type="dxa"/>
              <w:right w:w="0" w:type="dxa"/>
            </w:tcMar>
            <w:vAlign w:val="center"/>
          </w:tcPr>
          <w:p>
            <w:pPr>
              <w:adjustRightInd w:val="0"/>
              <w:snapToGrid w:val="0"/>
              <w:jc w:val="center"/>
              <w:rPr>
                <w:rFonts w:hint="default" w:ascii="Times New Roman" w:hAnsi="Times New Roman" w:eastAsia="Times New Roman" w:cs="Times New Roman"/>
                <w:color w:val="auto"/>
              </w:rPr>
            </w:pPr>
          </w:p>
        </w:tc>
      </w:tr>
    </w:tbl>
    <w:p>
      <w:pPr>
        <w:adjustRightInd w:val="0"/>
        <w:snapToGrid w:val="0"/>
        <w:spacing w:line="360" w:lineRule="auto"/>
        <w:ind w:firstLine="480" w:firstLineChars="200"/>
        <w:jc w:val="left"/>
        <w:rPr>
          <w:rFonts w:hint="default" w:ascii="Times New Roman" w:hAnsi="Times New Roman" w:cs="Times New Roman"/>
          <w:color w:val="auto"/>
          <w:sz w:val="24"/>
          <w:lang w:val="zh-CN"/>
        </w:rPr>
      </w:pPr>
    </w:p>
    <w:p>
      <w:pPr>
        <w:pStyle w:val="3"/>
        <w:ind w:left="578" w:hanging="578"/>
        <w:rPr>
          <w:rFonts w:hint="default" w:ascii="Times New Roman" w:hAnsi="Times New Roman" w:cs="Times New Roman" w:eastAsiaTheme="minorEastAsia"/>
          <w:b/>
          <w:bCs w:val="0"/>
          <w:color w:val="auto"/>
          <w:lang w:val="zh-CN"/>
        </w:rPr>
      </w:pPr>
      <w:bookmarkStart w:id="38" w:name="_Toc19385"/>
      <w:bookmarkStart w:id="39" w:name="_Toc16718"/>
      <w:r>
        <w:rPr>
          <w:rFonts w:hint="default" w:ascii="Times New Roman" w:hAnsi="Times New Roman" w:cs="Times New Roman" w:eastAsiaTheme="minorEastAsia"/>
          <w:b/>
          <w:bCs w:val="0"/>
          <w:color w:val="auto"/>
          <w:lang w:val="zh-CN"/>
        </w:rPr>
        <w:t>项目概况</w:t>
      </w:r>
      <w:bookmarkEnd w:id="38"/>
      <w:bookmarkEnd w:id="39"/>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⑴</w:t>
      </w:r>
      <w:r>
        <w:rPr>
          <w:rFonts w:hint="default" w:ascii="Times New Roman" w:hAnsi="Times New Roman" w:cs="Times New Roman" w:eastAsiaTheme="minorEastAsia"/>
          <w:color w:val="auto"/>
          <w:kern w:val="0"/>
          <w:sz w:val="24"/>
          <w:szCs w:val="24"/>
          <w:lang w:bidi="ar"/>
        </w:rPr>
        <w:t xml:space="preserve"> 项目名称：岳阳港君山港区LNG加注站项目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 xml:space="preserve">⑵ </w:t>
      </w:r>
      <w:r>
        <w:rPr>
          <w:rFonts w:hint="default" w:ascii="Times New Roman" w:hAnsi="Times New Roman" w:cs="Times New Roman" w:eastAsiaTheme="minorEastAsia"/>
          <w:color w:val="auto"/>
          <w:kern w:val="0"/>
          <w:sz w:val="24"/>
          <w:szCs w:val="24"/>
          <w:lang w:bidi="ar"/>
        </w:rPr>
        <w:t>项目性质：新建项目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建设单位：</w:t>
      </w:r>
      <w:r>
        <w:rPr>
          <w:rFonts w:hint="default" w:ascii="Times New Roman" w:hAnsi="Times New Roman" w:cs="Times New Roman"/>
          <w:color w:val="auto"/>
          <w:kern w:val="0"/>
          <w:sz w:val="24"/>
          <w:szCs w:val="24"/>
        </w:rPr>
        <w:t>岳阳液化天然气有限公司</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 xml:space="preserve">⑷ </w:t>
      </w:r>
      <w:r>
        <w:rPr>
          <w:rFonts w:hint="default" w:ascii="Times New Roman" w:hAnsi="Times New Roman" w:cs="Times New Roman" w:eastAsiaTheme="minorEastAsia"/>
          <w:color w:val="auto"/>
          <w:kern w:val="0"/>
          <w:sz w:val="24"/>
          <w:szCs w:val="24"/>
          <w:lang w:bidi="ar"/>
        </w:rPr>
        <w:t>建设地点：</w:t>
      </w:r>
      <w:r>
        <w:rPr>
          <w:rFonts w:hint="default" w:ascii="Times New Roman" w:hAnsi="Times New Roman" w:cs="Times New Roman"/>
          <w:color w:val="auto"/>
          <w:kern w:val="0"/>
          <w:sz w:val="24"/>
          <w:szCs w:val="24"/>
        </w:rPr>
        <w:t>湖南省岳阳市君山区</w:t>
      </w:r>
      <w:r>
        <w:rPr>
          <w:rFonts w:hint="default" w:ascii="Times New Roman" w:hAnsi="Times New Roman" w:cs="Times New Roman"/>
          <w:bCs/>
          <w:color w:val="auto"/>
          <w:sz w:val="24"/>
        </w:rPr>
        <w:t>广兴洲镇</w:t>
      </w:r>
    </w:p>
    <w:p>
      <w:pPr>
        <w:adjustRightInd w:val="0"/>
        <w:snapToGrid w:val="0"/>
        <w:spacing w:line="360" w:lineRule="auto"/>
        <w:ind w:firstLine="480" w:firstLineChars="200"/>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eastAsiaTheme="minorEastAsia"/>
          <w:color w:val="auto"/>
          <w:kern w:val="0"/>
          <w:sz w:val="24"/>
          <w:szCs w:val="24"/>
          <w:lang w:bidi="ar"/>
        </w:rPr>
        <w:t>⑸ 建设内容及建设规模：本项目拟新建2座5000吨级LNG加注泊位（码头结构按停靠10000吨级船舶设计），布置于规划LNG泊位区的下游端部，</w:t>
      </w:r>
      <w:r>
        <w:rPr>
          <w:rFonts w:hint="default" w:ascii="Times New Roman" w:hAnsi="Times New Roman" w:cs="Times New Roman" w:eastAsiaTheme="minorEastAsia"/>
          <w:color w:val="auto"/>
          <w:kern w:val="0"/>
          <w:sz w:val="24"/>
          <w:szCs w:val="24"/>
          <w:lang w:val="zh-CN" w:bidi="ar"/>
        </w:rPr>
        <w:t>年吞吐量</w:t>
      </w:r>
      <w:r>
        <w:rPr>
          <w:rFonts w:hint="default" w:ascii="Times New Roman" w:hAnsi="Times New Roman" w:cs="Times New Roman" w:eastAsiaTheme="minorEastAsia"/>
          <w:color w:val="auto"/>
          <w:kern w:val="0"/>
          <w:sz w:val="24"/>
          <w:szCs w:val="24"/>
          <w:lang w:bidi="ar"/>
        </w:rPr>
        <w:t>2.6</w:t>
      </w:r>
      <w:r>
        <w:rPr>
          <w:rFonts w:hint="default" w:ascii="Times New Roman" w:hAnsi="Times New Roman" w:cs="Times New Roman" w:eastAsiaTheme="minorEastAsia"/>
          <w:color w:val="auto"/>
          <w:kern w:val="0"/>
          <w:sz w:val="24"/>
          <w:szCs w:val="24"/>
          <w:lang w:val="zh-CN" w:bidi="ar"/>
        </w:rPr>
        <w:t>万t（</w:t>
      </w:r>
      <w:r>
        <w:rPr>
          <w:rFonts w:hint="default" w:ascii="Times New Roman" w:hAnsi="Times New Roman" w:cs="Times New Roman" w:eastAsiaTheme="minorEastAsia"/>
          <w:color w:val="auto"/>
          <w:kern w:val="0"/>
          <w:sz w:val="24"/>
          <w:szCs w:val="24"/>
          <w:lang w:val="en-US" w:eastAsia="zh-CN" w:bidi="ar"/>
        </w:rPr>
        <w:t>均为出口量</w:t>
      </w:r>
      <w:r>
        <w:rPr>
          <w:rFonts w:hint="default" w:ascii="Times New Roman" w:hAnsi="Times New Roman" w:cs="Times New Roman" w:eastAsiaTheme="minorEastAsia"/>
          <w:color w:val="auto"/>
          <w:kern w:val="0"/>
          <w:sz w:val="24"/>
          <w:szCs w:val="24"/>
          <w:lang w:val="zh-CN" w:bidi="ar"/>
        </w:rPr>
        <w:t>），设计年通过能力</w:t>
      </w:r>
      <w:r>
        <w:rPr>
          <w:rFonts w:hint="default" w:ascii="Times New Roman" w:hAnsi="Times New Roman" w:cs="Times New Roman" w:eastAsiaTheme="minorEastAsia"/>
          <w:color w:val="auto"/>
          <w:kern w:val="0"/>
          <w:sz w:val="24"/>
          <w:szCs w:val="24"/>
          <w:lang w:bidi="ar"/>
        </w:rPr>
        <w:t>3.1</w:t>
      </w:r>
      <w:r>
        <w:rPr>
          <w:rFonts w:hint="default" w:ascii="Times New Roman" w:hAnsi="Times New Roman" w:cs="Times New Roman" w:eastAsiaTheme="minorEastAsia"/>
          <w:color w:val="auto"/>
          <w:kern w:val="0"/>
          <w:sz w:val="24"/>
          <w:szCs w:val="24"/>
          <w:lang w:val="zh-CN" w:bidi="ar"/>
        </w:rPr>
        <w:t>万t，占用长江岸线</w:t>
      </w:r>
      <w:r>
        <w:rPr>
          <w:rFonts w:hint="default" w:ascii="Times New Roman" w:hAnsi="Times New Roman" w:cs="Times New Roman" w:eastAsiaTheme="minorEastAsia"/>
          <w:color w:val="auto"/>
          <w:kern w:val="0"/>
          <w:sz w:val="24"/>
          <w:szCs w:val="24"/>
          <w:lang w:bidi="ar"/>
        </w:rPr>
        <w:t>31</w:t>
      </w:r>
      <w:r>
        <w:rPr>
          <w:rFonts w:hint="default" w:ascii="Times New Roman" w:hAnsi="Times New Roman" w:cs="Times New Roman" w:eastAsiaTheme="minorEastAsia"/>
          <w:color w:val="auto"/>
          <w:kern w:val="0"/>
          <w:sz w:val="24"/>
          <w:szCs w:val="24"/>
          <w:lang w:val="zh-CN" w:bidi="ar"/>
        </w:rPr>
        <w:t>5m。本</w:t>
      </w:r>
      <w:r>
        <w:rPr>
          <w:rFonts w:hint="default" w:ascii="Times New Roman" w:hAnsi="Times New Roman" w:cs="Times New Roman" w:eastAsiaTheme="minorEastAsia"/>
          <w:color w:val="auto"/>
          <w:kern w:val="0"/>
          <w:sz w:val="24"/>
          <w:szCs w:val="24"/>
          <w:lang w:bidi="ar"/>
        </w:rPr>
        <w:t>项目LNG加注方式采用LNG罐箱或槽车通过卸车撬直接对船舶进行加注，</w:t>
      </w:r>
      <w:r>
        <w:rPr>
          <w:rFonts w:hint="default" w:ascii="Times New Roman" w:hAnsi="Times New Roman" w:cs="Times New Roman" w:eastAsiaTheme="minorEastAsia"/>
          <w:color w:val="auto"/>
          <w:kern w:val="0"/>
          <w:sz w:val="24"/>
          <w:szCs w:val="24"/>
          <w:lang w:val="zh-CN" w:bidi="ar"/>
        </w:rPr>
        <w:t>加注对象主要为</w:t>
      </w:r>
      <w:r>
        <w:rPr>
          <w:rFonts w:hint="default" w:ascii="Times New Roman" w:hAnsi="Times New Roman" w:cs="Times New Roman" w:eastAsiaTheme="minorEastAsia"/>
          <w:color w:val="auto"/>
          <w:kern w:val="0"/>
          <w:sz w:val="24"/>
          <w:szCs w:val="24"/>
          <w:lang w:bidi="ar"/>
        </w:rPr>
        <w:t>1</w:t>
      </w:r>
      <w:r>
        <w:rPr>
          <w:rFonts w:hint="default" w:ascii="Times New Roman" w:hAnsi="Times New Roman" w:cs="Times New Roman" w:eastAsiaTheme="minorEastAsia"/>
          <w:color w:val="auto"/>
          <w:kern w:val="0"/>
          <w:sz w:val="24"/>
          <w:szCs w:val="24"/>
          <w:lang w:val="zh-CN" w:bidi="ar"/>
        </w:rPr>
        <w:t>000</w:t>
      </w:r>
      <w:r>
        <w:rPr>
          <w:rFonts w:hint="default" w:ascii="Times New Roman" w:hAnsi="Times New Roman" w:cs="Times New Roman" w:eastAsiaTheme="minorEastAsia"/>
          <w:color w:val="auto"/>
          <w:kern w:val="0"/>
          <w:sz w:val="24"/>
          <w:szCs w:val="24"/>
          <w:lang w:bidi="ar"/>
        </w:rPr>
        <w:t>~10</w:t>
      </w:r>
      <w:r>
        <w:rPr>
          <w:rFonts w:hint="default" w:ascii="Times New Roman" w:hAnsi="Times New Roman" w:cs="Times New Roman" w:eastAsiaTheme="minorEastAsia"/>
          <w:color w:val="auto"/>
          <w:kern w:val="0"/>
          <w:sz w:val="24"/>
          <w:szCs w:val="24"/>
          <w:lang w:val="zh-CN" w:bidi="ar"/>
        </w:rPr>
        <w:t>000t级内河船舶。本项目不含</w:t>
      </w:r>
      <w:r>
        <w:rPr>
          <w:rFonts w:hint="default" w:ascii="Times New Roman" w:hAnsi="Times New Roman" w:cs="Times New Roman" w:eastAsiaTheme="minorEastAsia"/>
          <w:color w:val="auto"/>
          <w:sz w:val="24"/>
        </w:rPr>
        <w:t>LNG接收站（储备中心）的码头、罐区及后方相关配套工程。</w:t>
      </w:r>
    </w:p>
    <w:p>
      <w:pPr>
        <w:adjustRightInd w:val="0"/>
        <w:snapToGrid w:val="0"/>
        <w:spacing w:line="360" w:lineRule="auto"/>
        <w:ind w:firstLine="480" w:firstLineChars="200"/>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⑹ 岸线利用：接卸泊位占用岸线长度315m，泊位利用率60%。</w:t>
      </w:r>
    </w:p>
    <w:p>
      <w:pPr>
        <w:adjustRightInd w:val="0"/>
        <w:snapToGrid w:val="0"/>
        <w:spacing w:line="360" w:lineRule="auto"/>
        <w:ind w:firstLine="480" w:firstLineChars="200"/>
        <w:rPr>
          <w:rFonts w:hint="default" w:ascii="Times New Roman" w:hAnsi="Times New Roman" w:cs="Times New Roman"/>
          <w:color w:val="auto"/>
          <w:kern w:val="0"/>
          <w:sz w:val="24"/>
          <w:szCs w:val="24"/>
          <w:u w:val="single"/>
          <w:lang w:bidi="ar"/>
        </w:rPr>
      </w:pPr>
      <w:r>
        <w:rPr>
          <w:rFonts w:hint="default" w:ascii="Times New Roman" w:hAnsi="Times New Roman" w:cs="Times New Roman"/>
          <w:color w:val="auto"/>
          <w:kern w:val="0"/>
          <w:sz w:val="24"/>
          <w:szCs w:val="24"/>
          <w:u w:val="single"/>
          <w:lang w:bidi="ar"/>
        </w:rPr>
        <w:t>⑺ 服务对象、货种及吞吐量：本项目</w:t>
      </w:r>
      <w:r>
        <w:rPr>
          <w:rFonts w:hint="default" w:ascii="Times New Roman" w:hAnsi="Times New Roman" w:cs="Times New Roman"/>
          <w:color w:val="auto"/>
          <w:sz w:val="24"/>
          <w:u w:val="single"/>
        </w:rPr>
        <w:t>服务于长江干线途经和停靠岳阳港的LNG动力船舶、洞庭湖区LNG动力船舶、湖南省内河LNG动力船舶，其中包括荆州煤炭储备基地所用船舶</w:t>
      </w:r>
      <w:r>
        <w:rPr>
          <w:rFonts w:hint="default" w:ascii="Times New Roman" w:hAnsi="Times New Roman" w:cs="Times New Roman"/>
          <w:color w:val="auto"/>
          <w:kern w:val="0"/>
          <w:sz w:val="24"/>
          <w:szCs w:val="24"/>
          <w:u w:val="single"/>
          <w:lang w:bidi="ar"/>
        </w:rPr>
        <w:t>，</w:t>
      </w:r>
      <w:r>
        <w:rPr>
          <w:rFonts w:hint="default" w:ascii="Times New Roman" w:hAnsi="Times New Roman" w:cs="Times New Roman"/>
          <w:color w:val="auto"/>
          <w:sz w:val="24"/>
          <w:u w:val="single"/>
        </w:rPr>
        <w:t>LNG设计年加注</w:t>
      </w:r>
      <w:r>
        <w:rPr>
          <w:rFonts w:hint="default" w:ascii="Times New Roman" w:hAnsi="Times New Roman" w:cs="Times New Roman"/>
          <w:color w:val="auto"/>
          <w:kern w:val="0"/>
          <w:sz w:val="24"/>
          <w:szCs w:val="24"/>
          <w:u w:val="single"/>
          <w:lang w:bidi="ar"/>
        </w:rPr>
        <w:t>量3.1万吨/年。</w:t>
      </w:r>
    </w:p>
    <w:p>
      <w:pPr>
        <w:adjustRightInd w:val="0"/>
        <w:snapToGrid w:val="0"/>
        <w:spacing w:line="360" w:lineRule="auto"/>
        <w:ind w:firstLine="480" w:firstLineChars="200"/>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⑻ 港区定员：18人。</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szCs w:val="24"/>
          <w:lang w:bidi="ar"/>
        </w:rPr>
        <w:t>⑼ 总投资：13490.29万元，</w:t>
      </w:r>
      <w:r>
        <w:rPr>
          <w:rFonts w:hint="default" w:ascii="Times New Roman" w:hAnsi="Times New Roman" w:cs="Times New Roman"/>
          <w:color w:val="auto"/>
          <w:sz w:val="24"/>
          <w:szCs w:val="24"/>
        </w:rPr>
        <w:t>按30%</w:t>
      </w:r>
      <w:r>
        <w:rPr>
          <w:rFonts w:hint="default" w:ascii="Times New Roman" w:hAnsi="Times New Roman" w:cs="Times New Roman"/>
          <w:color w:val="auto"/>
          <w:sz w:val="24"/>
        </w:rPr>
        <w:t>自筹资金，70%银行贷款。</w:t>
      </w:r>
    </w:p>
    <w:p>
      <w:pPr>
        <w:adjustRightInd w:val="0"/>
        <w:snapToGrid w:val="0"/>
        <w:spacing w:line="360" w:lineRule="auto"/>
        <w:ind w:firstLine="480" w:firstLineChars="200"/>
        <w:rPr>
          <w:rFonts w:hint="default" w:ascii="Times New Roman" w:hAnsi="Times New Roman" w:cs="Times New Roman"/>
          <w:color w:val="auto"/>
          <w:kern w:val="0"/>
          <w:sz w:val="24"/>
          <w:szCs w:val="24"/>
          <w:highlight w:val="yellow"/>
          <w:lang w:bidi="ar"/>
        </w:rPr>
      </w:pPr>
      <w:r>
        <w:rPr>
          <w:rFonts w:hint="default" w:ascii="Times New Roman" w:hAnsi="Times New Roman" w:cs="Times New Roman"/>
          <w:color w:val="auto"/>
          <w:sz w:val="24"/>
        </w:rPr>
        <w:t>⑽ 建设期限：</w:t>
      </w:r>
      <w:r>
        <w:rPr>
          <w:rFonts w:hint="default" w:ascii="Times New Roman" w:hAnsi="Times New Roman" w:cs="Times New Roman"/>
          <w:color w:val="auto"/>
          <w:sz w:val="24"/>
          <w:highlight w:val="none"/>
        </w:rPr>
        <w:t>建设工期12个月，工程施工拟于2021年1月初开工，2021年12</w:t>
      </w:r>
      <w:r>
        <w:rPr>
          <w:rFonts w:hint="default" w:ascii="Times New Roman" w:hAnsi="Times New Roman" w:cs="Times New Roman" w:eastAsiaTheme="minorEastAsia"/>
          <w:color w:val="auto"/>
          <w:sz w:val="24"/>
          <w:szCs w:val="24"/>
          <w:highlight w:val="none"/>
        </w:rPr>
        <w:t>月底</w:t>
      </w:r>
      <w:r>
        <w:rPr>
          <w:rFonts w:hint="default" w:ascii="Times New Roman" w:hAnsi="Times New Roman" w:cs="Times New Roman"/>
          <w:color w:val="auto"/>
          <w:kern w:val="0"/>
          <w:sz w:val="24"/>
          <w:szCs w:val="24"/>
          <w:highlight w:val="none"/>
          <w:lang w:bidi="ar"/>
        </w:rPr>
        <w:t>初竣工投产。</w:t>
      </w:r>
    </w:p>
    <w:p>
      <w:pPr>
        <w:adjustRightInd w:val="0"/>
        <w:snapToGrid w:val="0"/>
        <w:spacing w:line="360" w:lineRule="auto"/>
        <w:ind w:firstLine="480" w:firstLineChars="200"/>
        <w:jc w:val="left"/>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zh-CN"/>
        </w:rPr>
        <w:t>⑾</w:t>
      </w:r>
      <w:r>
        <w:rPr>
          <w:rFonts w:hint="default" w:ascii="Times New Roman" w:hAnsi="Times New Roman" w:cs="Times New Roman"/>
          <w:color w:val="auto"/>
          <w:sz w:val="24"/>
        </w:rPr>
        <w:t xml:space="preserve"> 功能定位：项目将作为LNG输出气源节点，为途径和停靠岳阳的长江干线LNG动力船、洞庭湖区和湖南省内河LNG动力船船舶加气，推动LNG动力船的发展，打造低碳物流、绿色交通，大大促进湖南省洞庭湖生态经济区建设。</w:t>
      </w:r>
      <w:r>
        <w:rPr>
          <w:rFonts w:hint="default" w:ascii="Times New Roman" w:hAnsi="Times New Roman" w:cs="Times New Roman"/>
          <w:color w:val="auto"/>
          <w:sz w:val="24"/>
          <w:lang w:eastAsia="zh-CN"/>
        </w:rPr>
        <w:t>本项目符合岳阳港总体规划环评中关于</w:t>
      </w:r>
      <w:r>
        <w:rPr>
          <w:rFonts w:hint="default" w:ascii="Times New Roman" w:hAnsi="Times New Roman" w:cs="Times New Roman"/>
          <w:color w:val="auto"/>
          <w:sz w:val="24"/>
        </w:rPr>
        <w:t>岸线选址及规模</w:t>
      </w:r>
      <w:r>
        <w:rPr>
          <w:rFonts w:hint="default" w:ascii="Times New Roman" w:hAnsi="Times New Roman" w:cs="Times New Roman"/>
          <w:color w:val="auto"/>
          <w:sz w:val="24"/>
          <w:lang w:eastAsia="zh-CN"/>
        </w:rPr>
        <w:t>的要求，项目不涉及生态保护红线范围。</w:t>
      </w:r>
    </w:p>
    <w:p>
      <w:pPr>
        <w:pStyle w:val="3"/>
        <w:ind w:left="578" w:hanging="578"/>
        <w:rPr>
          <w:rFonts w:hint="default" w:ascii="Times New Roman" w:hAnsi="Times New Roman" w:cs="Times New Roman" w:eastAsiaTheme="minorEastAsia"/>
          <w:b/>
          <w:bCs w:val="0"/>
          <w:color w:val="auto"/>
          <w:lang w:val="zh-CN"/>
        </w:rPr>
      </w:pPr>
      <w:bookmarkStart w:id="40" w:name="_Toc26747"/>
      <w:bookmarkStart w:id="41" w:name="_Toc7160"/>
      <w:r>
        <w:rPr>
          <w:rFonts w:hint="default" w:ascii="Times New Roman" w:hAnsi="Times New Roman" w:cs="Times New Roman" w:eastAsiaTheme="minorEastAsia"/>
          <w:b/>
          <w:bCs w:val="0"/>
          <w:color w:val="auto"/>
          <w:lang w:val="zh-CN"/>
        </w:rPr>
        <w:t>建设规模及主要技术指标</w:t>
      </w:r>
      <w:bookmarkEnd w:id="40"/>
      <w:bookmarkEnd w:id="41"/>
    </w:p>
    <w:p>
      <w:pPr>
        <w:pStyle w:val="4"/>
        <w:ind w:left="578" w:hanging="578"/>
        <w:rPr>
          <w:rFonts w:hint="default" w:ascii="Times New Roman" w:hAnsi="Times New Roman" w:cs="Times New Roman"/>
          <w:color w:val="auto"/>
          <w:lang w:val="zh-CN"/>
        </w:rPr>
      </w:pPr>
      <w:r>
        <w:rPr>
          <w:rFonts w:hint="default" w:ascii="Times New Roman" w:hAnsi="Times New Roman" w:cs="Times New Roman"/>
          <w:color w:val="auto"/>
          <w:lang w:val="zh-CN"/>
        </w:rPr>
        <w:t>建设规模</w:t>
      </w:r>
    </w:p>
    <w:p>
      <w:pPr>
        <w:pStyle w:val="129"/>
        <w:tabs>
          <w:tab w:val="left" w:pos="900"/>
        </w:tabs>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本项目由主体工程、公辅工程和环保工程组成，项目建设工程主要内容见表3.4-1</w:t>
      </w:r>
    </w:p>
    <w:p>
      <w:pPr>
        <w:tabs>
          <w:tab w:val="left" w:pos="900"/>
        </w:tabs>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表3.4-1  本项目主要建设内容一览表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79"/>
        <w:gridCol w:w="925"/>
        <w:gridCol w:w="5621"/>
        <w:gridCol w:w="19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18"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工程类别</w:t>
            </w: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名称</w:t>
            </w:r>
          </w:p>
        </w:tc>
        <w:tc>
          <w:tcPr>
            <w:tcW w:w="3088"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工程内容、规模</w:t>
            </w:r>
          </w:p>
        </w:tc>
        <w:tc>
          <w:tcPr>
            <w:tcW w:w="1083"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依托关系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主体工程</w:t>
            </w: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加注码头</w:t>
            </w:r>
          </w:p>
        </w:tc>
        <w:tc>
          <w:tcPr>
            <w:tcW w:w="3088" w:type="pct"/>
            <w:vAlign w:val="center"/>
          </w:tcPr>
          <w:p>
            <w:pPr>
              <w:adjustRightInd w:val="0"/>
              <w:snapToGrid w:val="0"/>
              <w:ind w:firstLine="420" w:firstLineChars="200"/>
              <w:rPr>
                <w:rFonts w:hint="default" w:ascii="Times New Roman" w:hAnsi="Times New Roman" w:eastAsia="宋体" w:cs="Times New Roman"/>
                <w:color w:val="auto"/>
                <w:lang w:val="en-US" w:eastAsia="zh-CN"/>
              </w:rPr>
            </w:pPr>
            <w:r>
              <w:rPr>
                <w:rFonts w:hint="default" w:ascii="Times New Roman" w:hAnsi="Times New Roman" w:cs="Times New Roman" w:eastAsiaTheme="minorEastAsia"/>
                <w:color w:val="auto"/>
                <w:kern w:val="0"/>
                <w:lang w:bidi="ar"/>
              </w:rPr>
              <w:t>拟新建2座5000吨级LNG加注泊位（码头结构按停靠10000吨级船舶设计），布置于规划LNG泊位区的下游端部，</w:t>
            </w:r>
            <w:r>
              <w:rPr>
                <w:rFonts w:hint="default" w:ascii="Times New Roman" w:hAnsi="Times New Roman" w:cs="Times New Roman" w:eastAsiaTheme="minorEastAsia"/>
                <w:color w:val="auto"/>
                <w:kern w:val="0"/>
                <w:lang w:val="zh-CN" w:bidi="ar"/>
              </w:rPr>
              <w:t>年吞吐量</w:t>
            </w:r>
            <w:r>
              <w:rPr>
                <w:rFonts w:hint="default" w:ascii="Times New Roman" w:hAnsi="Times New Roman" w:cs="Times New Roman" w:eastAsiaTheme="minorEastAsia"/>
                <w:color w:val="auto"/>
                <w:kern w:val="0"/>
                <w:lang w:bidi="ar"/>
              </w:rPr>
              <w:t>2.6</w:t>
            </w:r>
            <w:r>
              <w:rPr>
                <w:rFonts w:hint="default" w:ascii="Times New Roman" w:hAnsi="Times New Roman" w:cs="Times New Roman" w:eastAsiaTheme="minorEastAsia"/>
                <w:color w:val="auto"/>
                <w:kern w:val="0"/>
                <w:lang w:val="zh-CN" w:bidi="ar"/>
              </w:rPr>
              <w:t>万t，设计年通过能力</w:t>
            </w:r>
            <w:r>
              <w:rPr>
                <w:rFonts w:hint="default" w:ascii="Times New Roman" w:hAnsi="Times New Roman" w:cs="Times New Roman" w:eastAsiaTheme="minorEastAsia"/>
                <w:color w:val="auto"/>
                <w:kern w:val="0"/>
                <w:lang w:bidi="ar"/>
              </w:rPr>
              <w:t>3.1</w:t>
            </w:r>
            <w:r>
              <w:rPr>
                <w:rFonts w:hint="default" w:ascii="Times New Roman" w:hAnsi="Times New Roman" w:cs="Times New Roman" w:eastAsiaTheme="minorEastAsia"/>
                <w:color w:val="auto"/>
                <w:kern w:val="0"/>
                <w:lang w:val="zh-CN" w:bidi="ar"/>
              </w:rPr>
              <w:t>万t，占用长江岸线</w:t>
            </w:r>
            <w:r>
              <w:rPr>
                <w:rFonts w:hint="default" w:ascii="Times New Roman" w:hAnsi="Times New Roman" w:cs="Times New Roman" w:eastAsiaTheme="minorEastAsia"/>
                <w:color w:val="auto"/>
                <w:kern w:val="0"/>
                <w:lang w:bidi="ar"/>
              </w:rPr>
              <w:t>31</w:t>
            </w:r>
            <w:r>
              <w:rPr>
                <w:rFonts w:hint="default" w:ascii="Times New Roman" w:hAnsi="Times New Roman" w:cs="Times New Roman" w:eastAsiaTheme="minorEastAsia"/>
                <w:color w:val="auto"/>
                <w:kern w:val="0"/>
                <w:lang w:val="zh-CN" w:bidi="ar"/>
              </w:rPr>
              <w:t>5m。本</w:t>
            </w:r>
            <w:r>
              <w:rPr>
                <w:rFonts w:hint="default" w:ascii="Times New Roman" w:hAnsi="Times New Roman" w:cs="Times New Roman" w:eastAsiaTheme="minorEastAsia"/>
                <w:color w:val="auto"/>
                <w:kern w:val="0"/>
                <w:lang w:bidi="ar"/>
              </w:rPr>
              <w:t>项目LNG加注方式采用LNG罐箱或槽车通过卸车撬直接对船舶进行加注，</w:t>
            </w:r>
            <w:r>
              <w:rPr>
                <w:rFonts w:hint="default" w:ascii="Times New Roman" w:hAnsi="Times New Roman" w:cs="Times New Roman" w:eastAsiaTheme="minorEastAsia"/>
                <w:color w:val="auto"/>
                <w:kern w:val="0"/>
                <w:lang w:val="zh-CN" w:bidi="ar"/>
              </w:rPr>
              <w:t>加注对象主要为</w:t>
            </w:r>
            <w:r>
              <w:rPr>
                <w:rFonts w:hint="default" w:ascii="Times New Roman" w:hAnsi="Times New Roman" w:cs="Times New Roman" w:eastAsiaTheme="minorEastAsia"/>
                <w:color w:val="auto"/>
                <w:kern w:val="0"/>
                <w:lang w:bidi="ar"/>
              </w:rPr>
              <w:t>1</w:t>
            </w:r>
            <w:r>
              <w:rPr>
                <w:rFonts w:hint="default" w:ascii="Times New Roman" w:hAnsi="Times New Roman" w:cs="Times New Roman" w:eastAsiaTheme="minorEastAsia"/>
                <w:color w:val="auto"/>
                <w:kern w:val="0"/>
                <w:lang w:val="zh-CN" w:bidi="ar"/>
              </w:rPr>
              <w:t>000</w:t>
            </w:r>
            <w:r>
              <w:rPr>
                <w:rFonts w:hint="default" w:ascii="Times New Roman" w:hAnsi="Times New Roman" w:cs="Times New Roman" w:eastAsiaTheme="minorEastAsia"/>
                <w:color w:val="auto"/>
                <w:kern w:val="0"/>
                <w:lang w:bidi="ar"/>
              </w:rPr>
              <w:t>~10</w:t>
            </w:r>
            <w:r>
              <w:rPr>
                <w:rFonts w:hint="default" w:ascii="Times New Roman" w:hAnsi="Times New Roman" w:cs="Times New Roman" w:eastAsiaTheme="minorEastAsia"/>
                <w:color w:val="auto"/>
                <w:kern w:val="0"/>
                <w:lang w:val="zh-CN" w:bidi="ar"/>
              </w:rPr>
              <w:t>000t级内河船舶。</w:t>
            </w:r>
            <w:r>
              <w:rPr>
                <w:rFonts w:hint="default" w:ascii="Times New Roman" w:hAnsi="Times New Roman" w:cs="Times New Roman" w:eastAsiaTheme="minorEastAsia"/>
                <w:color w:val="auto"/>
                <w:kern w:val="0"/>
                <w:u w:val="single"/>
              </w:rPr>
              <w:t>不涉及港池疏浚</w:t>
            </w:r>
            <w:r>
              <w:rPr>
                <w:rFonts w:hint="eastAsia" w:ascii="Times New Roman" w:hAnsi="Times New Roman" w:cs="Times New Roman" w:eastAsiaTheme="minorEastAsia"/>
                <w:color w:val="auto"/>
                <w:kern w:val="0"/>
                <w:u w:val="single"/>
                <w:lang w:eastAsia="zh-CN"/>
              </w:rPr>
              <w:t>、</w:t>
            </w:r>
            <w:r>
              <w:rPr>
                <w:rFonts w:hint="eastAsia" w:ascii="Times New Roman" w:hAnsi="Times New Roman" w:cs="Times New Roman" w:eastAsiaTheme="minorEastAsia"/>
                <w:color w:val="auto"/>
                <w:kern w:val="0"/>
                <w:u w:val="single"/>
                <w:lang w:val="en-US" w:eastAsia="zh-CN"/>
              </w:rPr>
              <w:t>护坡施工</w:t>
            </w:r>
            <w:r>
              <w:rPr>
                <w:rFonts w:hint="default" w:ascii="Times New Roman" w:hAnsi="Times New Roman" w:cs="Times New Roman" w:eastAsiaTheme="minorEastAsia"/>
                <w:color w:val="auto"/>
                <w:kern w:val="0"/>
                <w:u w:val="single"/>
              </w:rPr>
              <w:t>。</w:t>
            </w:r>
            <w:r>
              <w:rPr>
                <w:rFonts w:hint="default" w:ascii="Times New Roman" w:hAnsi="Times New Roman" w:cs="Times New Roman" w:eastAsiaTheme="minorEastAsia"/>
                <w:color w:val="auto"/>
                <w:kern w:val="0"/>
              </w:rPr>
              <w:t>码头平面由</w:t>
            </w:r>
            <w:r>
              <w:rPr>
                <w:rFonts w:hint="default" w:ascii="Times New Roman" w:hAnsi="Times New Roman" w:cs="Times New Roman"/>
                <w:color w:val="auto"/>
              </w:rPr>
              <w:t>靠船加注平台（18m×12m）、系靠船墩（10m×10m）、卸车平台、</w:t>
            </w:r>
            <w:r>
              <w:rPr>
                <w:rFonts w:hint="eastAsia" w:ascii="Times New Roman" w:hAnsi="Times New Roman" w:cs="Times New Roman"/>
                <w:color w:val="auto"/>
                <w:lang w:eastAsia="zh-CN"/>
              </w:rPr>
              <w:t>倒车</w:t>
            </w:r>
            <w:r>
              <w:rPr>
                <w:rFonts w:hint="default" w:ascii="Times New Roman" w:hAnsi="Times New Roman" w:cs="Times New Roman"/>
                <w:color w:val="auto"/>
              </w:rPr>
              <w:t>平台、接岸钢引桥和固定钢联桥组成。</w:t>
            </w:r>
          </w:p>
        </w:tc>
        <w:tc>
          <w:tcPr>
            <w:tcW w:w="1083" w:type="pct"/>
            <w:vAlign w:val="center"/>
          </w:tcPr>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本项目新建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restar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公辅工程</w:t>
            </w: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交通条件</w:t>
            </w:r>
          </w:p>
        </w:tc>
        <w:tc>
          <w:tcPr>
            <w:tcW w:w="3088"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本项目在港区不新建或改建道路。</w:t>
            </w:r>
          </w:p>
        </w:tc>
        <w:tc>
          <w:tcPr>
            <w:tcW w:w="1083"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本项目不涉及道路工程，所需道路利用现有道路或依托</w:t>
            </w:r>
            <w:r>
              <w:rPr>
                <w:rFonts w:hint="default" w:ascii="Times New Roman" w:hAnsi="Times New Roman" w:cs="Times New Roman" w:eastAsiaTheme="minorEastAsia"/>
                <w:color w:val="auto"/>
              </w:rPr>
              <w:t>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供电照明系统</w:t>
            </w:r>
          </w:p>
        </w:tc>
        <w:tc>
          <w:tcPr>
            <w:tcW w:w="3088" w:type="pct"/>
            <w:vAlign w:val="center"/>
          </w:tcPr>
          <w:p>
            <w:pPr>
              <w:autoSpaceDE w:val="0"/>
              <w:autoSpaceDN w:val="0"/>
              <w:adjustRightInd w:val="0"/>
              <w:snapToGrid w:val="0"/>
              <w:ind w:firstLine="420" w:firstLineChars="200"/>
              <w:rPr>
                <w:rFonts w:hint="default" w:ascii="Times New Roman" w:hAnsi="Times New Roman" w:cs="Times New Roman"/>
                <w:color w:val="auto"/>
                <w:lang w:val="en-GB"/>
              </w:rPr>
            </w:pPr>
            <w:r>
              <w:rPr>
                <w:rFonts w:hint="default" w:ascii="Times New Roman" w:hAnsi="Times New Roman" w:cs="Times New Roman"/>
                <w:color w:val="auto"/>
                <w:lang w:val="en-GB"/>
              </w:rPr>
              <w:t>拟从</w:t>
            </w:r>
            <w:r>
              <w:rPr>
                <w:rFonts w:hint="default" w:ascii="Times New Roman" w:hAnsi="Times New Roman" w:cs="Times New Roman" w:eastAsiaTheme="minorEastAsia"/>
                <w:color w:val="auto"/>
              </w:rPr>
              <w:t>岳阳LNG接收站（储备中心）项目（一期）</w:t>
            </w:r>
            <w:r>
              <w:rPr>
                <w:rFonts w:hint="default" w:ascii="Times New Roman" w:hAnsi="Times New Roman" w:cs="Times New Roman"/>
                <w:color w:val="auto"/>
                <w:lang w:val="en-GB"/>
              </w:rPr>
              <w:t>后方罐区引一回相互独立的10kV专用电源至引桥侧箱式变电站。</w:t>
            </w:r>
          </w:p>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color w:val="auto"/>
                <w:lang w:val="en-GB"/>
              </w:rPr>
              <w:t>本项目不设总降压站。拟在泊位附近的引桥侧新建10/0.4kV箱式变电站一座，箱式变电站设10/0.4kV 315kVA干式变压器一台，主要为加注撬、控制室和码头照明供电。</w:t>
            </w:r>
          </w:p>
        </w:tc>
        <w:tc>
          <w:tcPr>
            <w:tcW w:w="1083"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本项目变电站依托</w:t>
            </w:r>
            <w:r>
              <w:rPr>
                <w:rFonts w:hint="default" w:ascii="Times New Roman" w:hAnsi="Times New Roman" w:cs="Times New Roman" w:eastAsiaTheme="minorEastAsia"/>
                <w:color w:val="auto"/>
              </w:rPr>
              <w:t>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给排水系统</w:t>
            </w:r>
          </w:p>
        </w:tc>
        <w:tc>
          <w:tcPr>
            <w:tcW w:w="3088" w:type="pct"/>
            <w:vAlign w:val="center"/>
          </w:tcPr>
          <w:p>
            <w:pPr>
              <w:adjustRightInd w:val="0"/>
              <w:snapToGrid w:val="0"/>
              <w:ind w:firstLine="420" w:firstLineChars="200"/>
              <w:rPr>
                <w:rFonts w:hint="default" w:ascii="Times New Roman" w:hAnsi="Times New Roman" w:cs="Times New Roman"/>
                <w:color w:val="auto"/>
              </w:rPr>
            </w:pPr>
            <w:r>
              <w:rPr>
                <w:rFonts w:hint="default" w:ascii="Times New Roman" w:hAnsi="Times New Roman" w:cs="Times New Roman"/>
                <w:color w:val="auto"/>
                <w:lang w:val="en-GB"/>
              </w:rPr>
              <w:t>本项目生产、生活及消防水源均由后方管网接管供给。生活、生产给水管接管点管径为DN100。接管点水压≥0.3MPa。</w:t>
            </w:r>
          </w:p>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color w:val="auto"/>
                <w:lang w:val="en-GB"/>
              </w:rPr>
              <w:t>本项目排水采用雨、污分流制。</w:t>
            </w:r>
            <w:r>
              <w:rPr>
                <w:rFonts w:hint="default" w:ascii="Times New Roman" w:hAnsi="Times New Roman" w:cs="Times New Roman" w:eastAsiaTheme="minorEastAsia"/>
                <w:color w:val="auto"/>
              </w:rPr>
              <w:t>本项目生活污水、初期雨水经污水收集箱收集后，再泵送至岳阳LNG接收站（储备中心）项目</w:t>
            </w:r>
            <w:r>
              <w:rPr>
                <w:rFonts w:hint="eastAsia" w:ascii="Times New Roman" w:hAnsi="Times New Roman" w:cs="Times New Roman" w:eastAsiaTheme="minorEastAsia"/>
                <w:color w:val="auto"/>
                <w:lang w:val="en-US" w:eastAsia="zh-CN"/>
              </w:rPr>
              <w:t>一期工程</w:t>
            </w:r>
            <w:r>
              <w:rPr>
                <w:rFonts w:hint="default" w:ascii="Times New Roman" w:hAnsi="Times New Roman" w:cs="Times New Roman" w:eastAsiaTheme="minorEastAsia"/>
                <w:color w:val="auto"/>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lang w:val="en-US" w:eastAsia="zh-CN"/>
              </w:rPr>
              <w:t>不外排</w:t>
            </w:r>
            <w:r>
              <w:rPr>
                <w:rFonts w:hint="default" w:ascii="Times New Roman" w:hAnsi="Times New Roman" w:cs="Times New Roman" w:eastAsiaTheme="minorEastAsia"/>
                <w:color w:val="auto"/>
              </w:rPr>
              <w:t>。项目产生的</w:t>
            </w:r>
            <w:r>
              <w:rPr>
                <w:rFonts w:hint="eastAsia" w:ascii="Times New Roman" w:hAnsi="Times New Roman" w:cs="Times New Roman" w:eastAsiaTheme="minorEastAsia"/>
                <w:color w:val="auto"/>
                <w:lang w:val="en-US" w:eastAsia="zh-CN"/>
              </w:rPr>
              <w:t>机修</w:t>
            </w:r>
            <w:r>
              <w:rPr>
                <w:rFonts w:hint="default" w:ascii="Times New Roman" w:hAnsi="Times New Roman" w:cs="Times New Roman" w:eastAsiaTheme="minorEastAsia"/>
                <w:color w:val="auto"/>
              </w:rPr>
              <w:t>含油污水</w:t>
            </w:r>
            <w:r>
              <w:rPr>
                <w:rFonts w:hint="eastAsia" w:ascii="Times New Roman" w:hAnsi="Times New Roman" w:cs="Times New Roman" w:eastAsiaTheme="minorEastAsia"/>
                <w:color w:val="auto"/>
                <w:lang w:val="en-US" w:eastAsia="zh-CN"/>
              </w:rPr>
              <w:t>及</w:t>
            </w:r>
            <w:r>
              <w:rPr>
                <w:rFonts w:hint="default" w:ascii="Times New Roman" w:hAnsi="Times New Roman" w:cs="Times New Roman" w:eastAsiaTheme="minorEastAsia"/>
                <w:color w:val="auto"/>
              </w:rPr>
              <w:t>部分事故残液和事故消防液经</w:t>
            </w:r>
            <w:r>
              <w:rPr>
                <w:rFonts w:hint="eastAsia" w:ascii="Times New Roman" w:hAnsi="Times New Roman" w:cs="Times New Roman" w:eastAsiaTheme="minorEastAsia"/>
                <w:color w:val="auto"/>
                <w:lang w:eastAsia="zh-CN"/>
              </w:rPr>
              <w:t>污水收集箱</w:t>
            </w:r>
            <w:r>
              <w:rPr>
                <w:rFonts w:hint="default" w:ascii="Times New Roman" w:hAnsi="Times New Roman" w:cs="Times New Roman" w:eastAsiaTheme="minorEastAsia"/>
                <w:color w:val="auto"/>
              </w:rPr>
              <w:t>收集后，达到一定量后，通过</w:t>
            </w:r>
            <w:r>
              <w:rPr>
                <w:rFonts w:hint="eastAsia" w:ascii="Times New Roman" w:hAnsi="Times New Roman" w:cs="Times New Roman" w:eastAsiaTheme="minorEastAsia"/>
                <w:color w:val="auto"/>
                <w:lang w:val="en-US" w:eastAsia="zh-CN"/>
              </w:rPr>
              <w:t>专业</w:t>
            </w:r>
            <w:r>
              <w:rPr>
                <w:rFonts w:hint="default" w:ascii="Times New Roman" w:hAnsi="Times New Roman" w:cs="Times New Roman" w:eastAsiaTheme="minorEastAsia"/>
                <w:color w:val="auto"/>
              </w:rPr>
              <w:t>泵车外运至君山区第二污水处理厂处置，本项目采用泵车运输含油废水的次数约2~3次/年，尾水处理达到《城镇污水处理厂污染物排放标准》（GB18918-2002）中一级B标准后沿柳毅西路排入长江。</w:t>
            </w:r>
          </w:p>
        </w:tc>
        <w:tc>
          <w:tcPr>
            <w:tcW w:w="1083"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给水及生活、生产污水处理设备依托岳阳LNG接收站（储备中心）项目（一期）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消防系统</w:t>
            </w:r>
          </w:p>
        </w:tc>
        <w:tc>
          <w:tcPr>
            <w:tcW w:w="3088" w:type="pct"/>
            <w:vAlign w:val="center"/>
          </w:tcPr>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color w:val="auto"/>
                <w:lang w:val="en-GB"/>
              </w:rPr>
              <w:t>码头后方</w:t>
            </w:r>
            <w:r>
              <w:rPr>
                <w:rFonts w:hint="default" w:ascii="Times New Roman" w:hAnsi="Times New Roman" w:cs="Times New Roman"/>
                <w:color w:val="auto"/>
                <w:highlight w:val="none"/>
                <w:lang w:val="en-GB"/>
              </w:rPr>
              <w:t>厂区设有一座有效容积为</w:t>
            </w:r>
            <w:r>
              <w:rPr>
                <w:rFonts w:hint="default" w:ascii="Times New Roman" w:hAnsi="Times New Roman" w:cs="Times New Roman"/>
                <w:color w:val="auto"/>
                <w:highlight w:val="none"/>
                <w:lang w:val="en-US" w:eastAsia="zh-CN"/>
              </w:rPr>
              <w:t>110</w:t>
            </w:r>
            <w:r>
              <w:rPr>
                <w:rFonts w:hint="default" w:ascii="Times New Roman" w:hAnsi="Times New Roman" w:cs="Times New Roman"/>
                <w:color w:val="auto"/>
                <w:highlight w:val="none"/>
                <w:lang w:val="en-GB"/>
              </w:rPr>
              <w:t>00m</w:t>
            </w:r>
            <w:r>
              <w:rPr>
                <w:rFonts w:hint="default" w:ascii="Times New Roman" w:hAnsi="Times New Roman" w:cs="Times New Roman"/>
                <w:color w:val="auto"/>
                <w:highlight w:val="none"/>
                <w:vertAlign w:val="superscript"/>
                <w:lang w:val="en-GB"/>
              </w:rPr>
              <w:t>3</w:t>
            </w:r>
            <w:r>
              <w:rPr>
                <w:rFonts w:hint="default" w:ascii="Times New Roman" w:hAnsi="Times New Roman" w:cs="Times New Roman"/>
                <w:color w:val="auto"/>
                <w:highlight w:val="none"/>
                <w:lang w:val="en-GB"/>
              </w:rPr>
              <w:t>的消防水池。LNG加注泊位消防水源由后方厂</w:t>
            </w:r>
            <w:r>
              <w:rPr>
                <w:rFonts w:hint="default" w:ascii="Times New Roman" w:hAnsi="Times New Roman" w:cs="Times New Roman"/>
                <w:color w:val="auto"/>
                <w:lang w:val="en-GB"/>
              </w:rPr>
              <w:t>区高压消防供水管网接管供给；设计分界线处压力≥0.30MPa，接管管径DN150。</w:t>
            </w:r>
          </w:p>
        </w:tc>
        <w:tc>
          <w:tcPr>
            <w:tcW w:w="1083" w:type="pct"/>
            <w:vAlign w:val="center"/>
          </w:tcPr>
          <w:p>
            <w:pPr>
              <w:adjustRightInd w:val="0"/>
              <w:snapToGrid w:val="0"/>
              <w:ind w:firstLine="420" w:firstLineChars="200"/>
              <w:rPr>
                <w:rFonts w:hint="default" w:ascii="Times New Roman" w:hAnsi="Times New Roman" w:cs="Times New Roman"/>
                <w:color w:val="auto"/>
              </w:rPr>
            </w:pPr>
            <w:r>
              <w:rPr>
                <w:rFonts w:hint="default" w:ascii="Times New Roman" w:hAnsi="Times New Roman" w:cs="Times New Roman"/>
                <w:color w:val="auto"/>
                <w:lang w:val="en-GB"/>
              </w:rPr>
              <w:t>消防水池</w:t>
            </w:r>
            <w:r>
              <w:rPr>
                <w:rFonts w:hint="default" w:ascii="Times New Roman" w:hAnsi="Times New Roman" w:cs="Times New Roman" w:eastAsiaTheme="minorEastAsia"/>
                <w:color w:val="auto"/>
                <w:kern w:val="0"/>
              </w:rPr>
              <w:t>依托</w:t>
            </w:r>
            <w:r>
              <w:rPr>
                <w:rFonts w:hint="default" w:ascii="Times New Roman" w:hAnsi="Times New Roman" w:cs="Times New Roman" w:eastAsiaTheme="minorEastAsia"/>
                <w:color w:val="auto"/>
              </w:rPr>
              <w:t>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通信系统</w:t>
            </w:r>
          </w:p>
        </w:tc>
        <w:tc>
          <w:tcPr>
            <w:tcW w:w="3088" w:type="pct"/>
            <w:vAlign w:val="center"/>
          </w:tcPr>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涵盖有线电通信、无线电通信、电视监视系统、计算机网络系统和广播呼叫系统。配备有无线对讲设备。摄像机、交换机和广播等。</w:t>
            </w:r>
          </w:p>
        </w:tc>
        <w:tc>
          <w:tcPr>
            <w:tcW w:w="1083" w:type="pct"/>
            <w:vAlign w:val="center"/>
          </w:tcPr>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本项目自设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暖通、动力系统</w:t>
            </w:r>
          </w:p>
        </w:tc>
        <w:tc>
          <w:tcPr>
            <w:tcW w:w="3088" w:type="pct"/>
            <w:vAlign w:val="center"/>
          </w:tcPr>
          <w:p>
            <w:pPr>
              <w:adjustRightInd w:val="0"/>
              <w:snapToGrid w:val="0"/>
              <w:ind w:firstLine="420" w:firstLineChars="200"/>
              <w:rPr>
                <w:rFonts w:hint="default" w:ascii="Times New Roman" w:hAnsi="Times New Roman" w:cs="Times New Roman"/>
                <w:color w:val="auto"/>
              </w:rPr>
            </w:pPr>
            <w:r>
              <w:rPr>
                <w:rFonts w:hint="default" w:ascii="Times New Roman" w:hAnsi="Times New Roman" w:cs="Times New Roman"/>
                <w:color w:val="auto"/>
              </w:rPr>
              <w:t>工艺管线需要氮气进行扫线，前期可以采用氮气瓶组，后期待后方接收站配套设施完善后，在码头上设置氮气管道系统，动力管道系统由后方库区引接。</w:t>
            </w:r>
          </w:p>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color w:val="auto"/>
              </w:rPr>
              <w:t>控制室设置冷暖型分体式空调器。空调房间采用门窗缝隙自然渗透或外门开启的方式引入无组织新风。空调冷凝水局部散排。</w:t>
            </w:r>
          </w:p>
        </w:tc>
        <w:tc>
          <w:tcPr>
            <w:tcW w:w="1083" w:type="pct"/>
            <w:vAlign w:val="center"/>
          </w:tcPr>
          <w:p>
            <w:pPr>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color w:val="auto"/>
              </w:rPr>
              <w:t>氮气管道系统</w:t>
            </w:r>
            <w:r>
              <w:rPr>
                <w:rFonts w:hint="default" w:ascii="Times New Roman" w:hAnsi="Times New Roman" w:cs="Times New Roman" w:eastAsiaTheme="minorEastAsia"/>
                <w:color w:val="auto"/>
                <w:kern w:val="0"/>
              </w:rPr>
              <w:t>依托</w:t>
            </w:r>
            <w:r>
              <w:rPr>
                <w:rFonts w:hint="default" w:ascii="Times New Roman" w:hAnsi="Times New Roman" w:cs="Times New Roman" w:eastAsiaTheme="minorEastAsia"/>
                <w:color w:val="auto"/>
              </w:rPr>
              <w:t>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生产及辅助建筑物</w:t>
            </w:r>
          </w:p>
        </w:tc>
        <w:tc>
          <w:tcPr>
            <w:tcW w:w="3088" w:type="pct"/>
            <w:vAlign w:val="center"/>
          </w:tcPr>
          <w:p>
            <w:pPr>
              <w:adjustRightInd w:val="0"/>
              <w:snapToGrid w:val="0"/>
              <w:ind w:firstLine="420" w:firstLineChars="200"/>
              <w:rPr>
                <w:rFonts w:hint="default" w:ascii="Times New Roman" w:hAnsi="Times New Roman" w:cs="Times New Roman"/>
                <w:color w:val="auto"/>
                <w:lang w:val="en-GB"/>
              </w:rPr>
            </w:pPr>
            <w:r>
              <w:rPr>
                <w:rFonts w:hint="default" w:ascii="Times New Roman" w:hAnsi="Times New Roman" w:cs="Times New Roman"/>
                <w:color w:val="auto"/>
                <w:lang w:val="en-GB"/>
              </w:rPr>
              <w:t>本项目新建的辅助生产建筑物有阀室棚及变电所等，共计2项建筑单体，总建筑面积293m</w:t>
            </w:r>
            <w:r>
              <w:rPr>
                <w:rFonts w:hint="default" w:ascii="Times New Roman" w:hAnsi="Times New Roman" w:cs="Times New Roman"/>
                <w:color w:val="auto"/>
                <w:vertAlign w:val="superscript"/>
                <w:lang w:val="en-GB"/>
              </w:rPr>
              <w:t>2</w:t>
            </w:r>
            <w:r>
              <w:rPr>
                <w:rFonts w:hint="default" w:ascii="Times New Roman" w:hAnsi="Times New Roman" w:cs="Times New Roman"/>
                <w:color w:val="auto"/>
                <w:lang w:val="en-GB"/>
              </w:rPr>
              <w:t>。</w:t>
            </w:r>
          </w:p>
          <w:p>
            <w:pPr>
              <w:adjustRightInd w:val="0"/>
              <w:snapToGrid w:val="0"/>
              <w:ind w:firstLine="420" w:firstLineChars="200"/>
              <w:rPr>
                <w:rFonts w:hint="default" w:ascii="Times New Roman" w:hAnsi="Times New Roman" w:cs="Times New Roman" w:eastAsiaTheme="minorEastAsia"/>
                <w:color w:val="auto"/>
              </w:rPr>
            </w:pPr>
            <w:r>
              <w:rPr>
                <w:rFonts w:hint="default" w:ascii="Times New Roman" w:hAnsi="Times New Roman" w:cs="Times New Roman"/>
                <w:color w:val="auto"/>
                <w:lang w:val="en-GB"/>
              </w:rPr>
              <w:t>变电所为2层建筑，一层为变、配电用房、二层为控制室，并设有一部疏散楼梯垂直连接两层。</w:t>
            </w:r>
          </w:p>
        </w:tc>
        <w:tc>
          <w:tcPr>
            <w:tcW w:w="1083" w:type="pct"/>
            <w:vAlign w:val="center"/>
          </w:tcPr>
          <w:p>
            <w:pPr>
              <w:pStyle w:val="325"/>
              <w:tabs>
                <w:tab w:val="right" w:leader="dot" w:pos="9070"/>
              </w:tabs>
              <w:adjustRightInd w:val="0"/>
              <w:snapToGrid w:val="0"/>
              <w:ind w:firstLine="420" w:firstLineChars="20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本项目新建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restar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环保工程</w:t>
            </w: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废水</w:t>
            </w:r>
          </w:p>
        </w:tc>
        <w:tc>
          <w:tcPr>
            <w:tcW w:w="3088"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本项目生活污水、初期雨水经污水</w:t>
            </w:r>
            <w:r>
              <w:rPr>
                <w:rFonts w:hint="eastAsia" w:ascii="Times New Roman" w:hAnsi="Times New Roman" w:cs="Times New Roman" w:eastAsiaTheme="minorEastAsia"/>
                <w:color w:val="auto"/>
                <w:lang w:val="en-US" w:eastAsia="zh-CN"/>
              </w:rPr>
              <w:t>收集</w:t>
            </w:r>
            <w:r>
              <w:rPr>
                <w:rFonts w:hint="default" w:ascii="Times New Roman" w:hAnsi="Times New Roman" w:cs="Times New Roman" w:eastAsiaTheme="minorEastAsia"/>
                <w:color w:val="auto"/>
              </w:rPr>
              <w:t>箱收集后，再泵送至陆域罐区污水处理站，用作厂区绿化，</w:t>
            </w:r>
            <w:r>
              <w:rPr>
                <w:rFonts w:hint="eastAsia" w:ascii="Times New Roman" w:hAnsi="Times New Roman" w:cs="Times New Roman" w:eastAsiaTheme="minorEastAsia"/>
                <w:color w:val="auto"/>
                <w:lang w:val="en-US" w:eastAsia="zh-CN"/>
              </w:rPr>
              <w:t>不外排</w:t>
            </w:r>
            <w:r>
              <w:rPr>
                <w:rFonts w:hint="default" w:ascii="Times New Roman" w:hAnsi="Times New Roman" w:cs="Times New Roman" w:eastAsiaTheme="minorEastAsia"/>
                <w:color w:val="auto"/>
              </w:rPr>
              <w:t>。项目产生的</w:t>
            </w:r>
            <w:r>
              <w:rPr>
                <w:rFonts w:hint="eastAsia" w:ascii="Times New Roman" w:hAnsi="Times New Roman" w:cs="Times New Roman" w:eastAsiaTheme="minorEastAsia"/>
                <w:color w:val="auto"/>
                <w:lang w:val="en-US" w:eastAsia="zh-CN"/>
              </w:rPr>
              <w:t>机修</w:t>
            </w:r>
            <w:r>
              <w:rPr>
                <w:rFonts w:hint="default" w:ascii="Times New Roman" w:hAnsi="Times New Roman" w:cs="Times New Roman" w:eastAsiaTheme="minorEastAsia"/>
                <w:color w:val="auto"/>
              </w:rPr>
              <w:t>含油污水</w:t>
            </w:r>
            <w:r>
              <w:rPr>
                <w:rFonts w:hint="eastAsia" w:ascii="Times New Roman" w:hAnsi="Times New Roman" w:cs="Times New Roman" w:eastAsiaTheme="minorEastAsia"/>
                <w:color w:val="auto"/>
                <w:lang w:val="en-US" w:eastAsia="zh-CN"/>
              </w:rPr>
              <w:t>及</w:t>
            </w:r>
            <w:r>
              <w:rPr>
                <w:rFonts w:hint="default" w:ascii="Times New Roman" w:hAnsi="Times New Roman" w:cs="Times New Roman" w:eastAsiaTheme="minorEastAsia"/>
                <w:color w:val="auto"/>
              </w:rPr>
              <w:t>部分事故残液和事故消防液经</w:t>
            </w:r>
            <w:r>
              <w:rPr>
                <w:rFonts w:hint="eastAsia" w:ascii="Times New Roman" w:hAnsi="Times New Roman" w:cs="Times New Roman" w:eastAsiaTheme="minorEastAsia"/>
                <w:color w:val="auto"/>
                <w:lang w:eastAsia="zh-CN"/>
              </w:rPr>
              <w:t>污水收集箱</w:t>
            </w:r>
            <w:r>
              <w:rPr>
                <w:rFonts w:hint="default" w:ascii="Times New Roman" w:hAnsi="Times New Roman" w:cs="Times New Roman" w:eastAsiaTheme="minorEastAsia"/>
                <w:color w:val="auto"/>
              </w:rPr>
              <w:t>收集后，达到一定量后，通过</w:t>
            </w:r>
            <w:r>
              <w:rPr>
                <w:rFonts w:hint="eastAsia" w:ascii="Times New Roman" w:hAnsi="Times New Roman" w:cs="Times New Roman" w:eastAsiaTheme="minorEastAsia"/>
                <w:color w:val="auto"/>
                <w:lang w:eastAsia="zh-CN"/>
              </w:rPr>
              <w:t>专业泵车</w:t>
            </w:r>
            <w:r>
              <w:rPr>
                <w:rFonts w:hint="default" w:ascii="Times New Roman" w:hAnsi="Times New Roman" w:cs="Times New Roman" w:eastAsiaTheme="minorEastAsia"/>
                <w:color w:val="auto"/>
              </w:rPr>
              <w:t>外运至君山区第二污水处理厂处置，本项目采用泵车运输含油废水的次数约2~3次/年。</w:t>
            </w:r>
            <w:r>
              <w:rPr>
                <w:rFonts w:hint="default" w:ascii="Times New Roman" w:hAnsi="Times New Roman" w:cs="Times New Roman" w:eastAsiaTheme="minorEastAsia"/>
                <w:color w:val="auto"/>
                <w:kern w:val="0"/>
              </w:rPr>
              <w:t>船舶污水（包括船舶含油污水、生活污水）由海事部门回收船回收。</w:t>
            </w:r>
          </w:p>
        </w:tc>
        <w:tc>
          <w:tcPr>
            <w:tcW w:w="1083"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生活、生产污水处理设备依托岳阳LNG接收站（储备中心）项目（一期）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废气</w:t>
            </w:r>
          </w:p>
        </w:tc>
        <w:tc>
          <w:tcPr>
            <w:tcW w:w="3088"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加强巡查管理。</w:t>
            </w:r>
          </w:p>
        </w:tc>
        <w:tc>
          <w:tcPr>
            <w:tcW w:w="1083" w:type="pct"/>
            <w:vAlign w:val="center"/>
          </w:tcPr>
          <w:p>
            <w:pPr>
              <w:autoSpaceDE w:val="0"/>
              <w:autoSpaceDN w:val="0"/>
              <w:adjustRightInd w:val="0"/>
              <w:snapToGrid w:val="0"/>
              <w:ind w:firstLine="420" w:firstLineChars="20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本项目</w:t>
            </w:r>
            <w:r>
              <w:rPr>
                <w:rFonts w:hint="default" w:ascii="Times New Roman" w:hAnsi="Times New Roman" w:cs="Times New Roman" w:eastAsiaTheme="minorEastAsia"/>
                <w:color w:val="auto"/>
              </w:rPr>
              <w:t>自行处置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固废</w:t>
            </w:r>
          </w:p>
        </w:tc>
        <w:tc>
          <w:tcPr>
            <w:tcW w:w="3088" w:type="pct"/>
            <w:vAlign w:val="center"/>
          </w:tcPr>
          <w:p>
            <w:pPr>
              <w:autoSpaceDE w:val="0"/>
              <w:autoSpaceDN w:val="0"/>
              <w:adjustRightInd w:val="0"/>
              <w:snapToGrid w:val="0"/>
              <w:ind w:firstLine="420" w:firstLineChars="200"/>
              <w:jc w:val="left"/>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依托罐区后方危险废物暂存间、生活垃圾箱，进行分类处理。</w:t>
            </w:r>
          </w:p>
        </w:tc>
        <w:tc>
          <w:tcPr>
            <w:tcW w:w="1083" w:type="pct"/>
            <w:vAlign w:val="center"/>
          </w:tcPr>
          <w:p>
            <w:pPr>
              <w:autoSpaceDE w:val="0"/>
              <w:autoSpaceDN w:val="0"/>
              <w:adjustRightInd w:val="0"/>
              <w:snapToGrid w:val="0"/>
              <w:ind w:firstLine="420" w:firstLineChars="200"/>
              <w:jc w:val="left"/>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rPr>
              <w:t>依托岳阳LNG接收站（储备中心）项目（一期）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p>
        </w:tc>
        <w:tc>
          <w:tcPr>
            <w:tcW w:w="50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rPr>
              <w:t>噪声</w:t>
            </w:r>
          </w:p>
        </w:tc>
        <w:tc>
          <w:tcPr>
            <w:tcW w:w="3088" w:type="pct"/>
            <w:vAlign w:val="center"/>
          </w:tcPr>
          <w:p>
            <w:pPr>
              <w:autoSpaceDE w:val="0"/>
              <w:autoSpaceDN w:val="0"/>
              <w:adjustRightInd w:val="0"/>
              <w:snapToGrid w:val="0"/>
              <w:ind w:firstLine="420" w:firstLineChars="200"/>
              <w:jc w:val="left"/>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选用低噪声设备，对高噪声设备采用基础减振、隔音、消声等降噪措。</w:t>
            </w:r>
          </w:p>
        </w:tc>
        <w:tc>
          <w:tcPr>
            <w:tcW w:w="1083" w:type="pct"/>
            <w:vAlign w:val="center"/>
          </w:tcPr>
          <w:p>
            <w:pPr>
              <w:autoSpaceDE w:val="0"/>
              <w:autoSpaceDN w:val="0"/>
              <w:adjustRightInd w:val="0"/>
              <w:snapToGrid w:val="0"/>
              <w:ind w:firstLine="420" w:firstLineChars="200"/>
              <w:jc w:val="left"/>
              <w:rPr>
                <w:rFonts w:hint="default" w:ascii="Times New Roman" w:hAnsi="Times New Roman" w:cs="Times New Roman" w:eastAsiaTheme="minorEastAsia"/>
                <w:color w:val="auto"/>
                <w:kern w:val="0"/>
                <w:highlight w:val="yellow"/>
              </w:rPr>
            </w:pPr>
            <w:r>
              <w:rPr>
                <w:rFonts w:hint="default" w:ascii="Times New Roman" w:hAnsi="Times New Roman" w:cs="Times New Roman" w:eastAsiaTheme="minorEastAsia"/>
                <w:color w:val="auto"/>
                <w:kern w:val="0"/>
              </w:rPr>
              <w:t>本项目</w:t>
            </w:r>
            <w:r>
              <w:rPr>
                <w:rFonts w:hint="default" w:ascii="Times New Roman" w:hAnsi="Times New Roman" w:cs="Times New Roman" w:eastAsiaTheme="minorEastAsia"/>
                <w:color w:val="auto"/>
              </w:rPr>
              <w:t>自行处置</w:t>
            </w:r>
          </w:p>
        </w:tc>
      </w:tr>
    </w:tbl>
    <w:p>
      <w:pPr>
        <w:pStyle w:val="129"/>
        <w:tabs>
          <w:tab w:val="left" w:pos="900"/>
        </w:tabs>
        <w:adjustRightInd w:val="0"/>
        <w:snapToGrid w:val="0"/>
        <w:spacing w:line="240" w:lineRule="auto"/>
        <w:ind w:left="0" w:leftChars="0" w:firstLine="0" w:firstLineChars="0"/>
        <w:rPr>
          <w:rFonts w:hint="default" w:ascii="Times New Roman" w:hAnsi="Times New Roman" w:eastAsia="宋体" w:cs="Times New Roman"/>
          <w:color w:val="auto"/>
          <w:sz w:val="24"/>
          <w:szCs w:val="24"/>
          <w:u w:val="single"/>
          <w:lang w:val="en-US" w:eastAsia="zh-CN"/>
        </w:rPr>
      </w:pPr>
      <w:r>
        <w:rPr>
          <w:rFonts w:hint="default" w:ascii="Times New Roman" w:hAnsi="Times New Roman" w:cs="Times New Roman" w:eastAsiaTheme="minorEastAsia"/>
          <w:color w:val="auto"/>
          <w:sz w:val="21"/>
          <w:szCs w:val="21"/>
          <w:u w:val="single"/>
          <w:lang w:val="en-US" w:eastAsia="zh-CN"/>
        </w:rPr>
        <w:t>注：</w:t>
      </w:r>
      <w:r>
        <w:rPr>
          <w:rFonts w:hint="default" w:ascii="Times New Roman" w:hAnsi="Times New Roman" w:eastAsia="宋体" w:cs="Times New Roman"/>
          <w:color w:val="auto"/>
          <w:sz w:val="21"/>
          <w:szCs w:val="21"/>
          <w:u w:val="single"/>
        </w:rPr>
        <w:t>按照本</w:t>
      </w:r>
      <w:r>
        <w:rPr>
          <w:rFonts w:hint="default" w:ascii="Times New Roman" w:hAnsi="Times New Roman" w:eastAsia="宋体" w:cs="Times New Roman"/>
          <w:color w:val="auto"/>
          <w:sz w:val="21"/>
          <w:szCs w:val="21"/>
          <w:u w:val="single"/>
          <w:lang w:val="en-US" w:eastAsia="zh-CN"/>
        </w:rPr>
        <w:t>项目</w:t>
      </w:r>
      <w:r>
        <w:rPr>
          <w:rFonts w:hint="default" w:ascii="Times New Roman" w:hAnsi="Times New Roman" w:eastAsia="宋体" w:cs="Times New Roman"/>
          <w:color w:val="auto"/>
          <w:sz w:val="21"/>
          <w:szCs w:val="21"/>
          <w:u w:val="single"/>
        </w:rPr>
        <w:t>的施工及临时设施用地情况，在</w:t>
      </w:r>
      <w:r>
        <w:rPr>
          <w:rFonts w:hint="eastAsia" w:cs="Times New Roman"/>
          <w:color w:val="auto"/>
          <w:sz w:val="21"/>
          <w:szCs w:val="21"/>
          <w:u w:val="single"/>
          <w:lang w:eastAsia="zh-CN"/>
        </w:rPr>
        <w:t>本项目</w:t>
      </w:r>
      <w:r>
        <w:rPr>
          <w:rFonts w:hint="default" w:ascii="Times New Roman" w:hAnsi="Times New Roman" w:eastAsia="宋体" w:cs="Times New Roman"/>
          <w:color w:val="auto"/>
          <w:sz w:val="21"/>
          <w:szCs w:val="21"/>
          <w:u w:val="single"/>
        </w:rPr>
        <w:t>后方长江大堤</w:t>
      </w:r>
      <w:r>
        <w:rPr>
          <w:rFonts w:hint="default" w:ascii="Times New Roman" w:hAnsi="Times New Roman" w:eastAsia="宋体" w:cs="Times New Roman"/>
          <w:color w:val="auto"/>
          <w:sz w:val="21"/>
          <w:szCs w:val="21"/>
          <w:u w:val="single"/>
          <w:lang w:val="en-US" w:eastAsia="zh-CN"/>
        </w:rPr>
        <w:t>内</w:t>
      </w:r>
      <w:r>
        <w:rPr>
          <w:rFonts w:hint="default" w:ascii="Times New Roman" w:hAnsi="Times New Roman" w:eastAsia="宋体" w:cs="Times New Roman"/>
          <w:color w:val="auto"/>
          <w:sz w:val="21"/>
          <w:szCs w:val="21"/>
          <w:u w:val="single"/>
        </w:rPr>
        <w:t>侧</w:t>
      </w:r>
      <w:r>
        <w:rPr>
          <w:rFonts w:hint="default" w:ascii="Times New Roman" w:hAnsi="Times New Roman" w:cs="Times New Roman" w:eastAsiaTheme="minorEastAsia"/>
          <w:color w:val="auto"/>
          <w:sz w:val="21"/>
          <w:szCs w:val="21"/>
          <w:u w:val="single"/>
        </w:rPr>
        <w:t>岳阳LNG接收站（储备中心）项目</w:t>
      </w:r>
      <w:r>
        <w:rPr>
          <w:rFonts w:hint="default" w:ascii="Times New Roman" w:hAnsi="Times New Roman" w:cs="Times New Roman" w:eastAsiaTheme="minorEastAsia"/>
          <w:color w:val="auto"/>
          <w:sz w:val="21"/>
          <w:szCs w:val="21"/>
          <w:u w:val="single"/>
          <w:lang w:eastAsia="zh-CN"/>
        </w:rPr>
        <w:t>（</w:t>
      </w:r>
      <w:r>
        <w:rPr>
          <w:rFonts w:hint="default" w:ascii="Times New Roman" w:hAnsi="Times New Roman" w:cs="Times New Roman" w:eastAsiaTheme="minorEastAsia"/>
          <w:color w:val="auto"/>
          <w:sz w:val="21"/>
          <w:szCs w:val="21"/>
          <w:u w:val="single"/>
          <w:lang w:val="en-US" w:eastAsia="zh-CN"/>
        </w:rPr>
        <w:t>三期工程</w:t>
      </w:r>
      <w:r>
        <w:rPr>
          <w:rFonts w:hint="default" w:ascii="Times New Roman" w:hAnsi="Times New Roman" w:cs="Times New Roman" w:eastAsiaTheme="minorEastAsia"/>
          <w:color w:val="auto"/>
          <w:sz w:val="21"/>
          <w:szCs w:val="21"/>
          <w:u w:val="single"/>
          <w:lang w:eastAsia="zh-CN"/>
        </w:rPr>
        <w:t>）</w:t>
      </w:r>
      <w:r>
        <w:rPr>
          <w:rFonts w:hint="default" w:ascii="Times New Roman" w:hAnsi="Times New Roman" w:cs="Times New Roman" w:eastAsiaTheme="minorEastAsia"/>
          <w:color w:val="auto"/>
          <w:sz w:val="21"/>
          <w:szCs w:val="21"/>
          <w:u w:val="single"/>
          <w:lang w:val="en-US" w:eastAsia="zh-CN"/>
        </w:rPr>
        <w:t>永久占地范围内</w:t>
      </w:r>
      <w:r>
        <w:rPr>
          <w:rFonts w:hint="default" w:ascii="Times New Roman" w:hAnsi="Times New Roman" w:eastAsia="宋体" w:cs="Times New Roman"/>
          <w:color w:val="auto"/>
          <w:sz w:val="21"/>
          <w:szCs w:val="21"/>
          <w:u w:val="single"/>
        </w:rPr>
        <w:t>布置必要的施工生产及办公设施，主要布置现场办公区、试验室、材料及设备仓库和存放场地、钢筋和模板堆场及加工场、预制构件堆场等。</w:t>
      </w:r>
      <w:r>
        <w:rPr>
          <w:rFonts w:hint="default" w:ascii="Times New Roman" w:hAnsi="Times New Roman" w:eastAsia="宋体" w:cs="Times New Roman"/>
          <w:color w:val="auto"/>
          <w:sz w:val="21"/>
          <w:szCs w:val="21"/>
          <w:u w:val="single"/>
          <w:lang w:val="en-US" w:eastAsia="zh-CN"/>
        </w:rPr>
        <w:t>本项目所需的混凝土及大型预制构件均就近商购。</w:t>
      </w:r>
    </w:p>
    <w:p>
      <w:pPr>
        <w:pStyle w:val="129"/>
        <w:tabs>
          <w:tab w:val="left" w:pos="900"/>
        </w:tabs>
        <w:adjustRightInd w:val="0"/>
        <w:snapToGrid w:val="0"/>
        <w:spacing w:line="360" w:lineRule="auto"/>
        <w:ind w:left="0" w:leftChars="0" w:firstLine="0" w:firstLineChars="0"/>
        <w:rPr>
          <w:rFonts w:hint="default" w:ascii="Times New Roman" w:hAnsi="Times New Roman" w:cs="Times New Roman" w:eastAsiaTheme="minorEastAsia"/>
          <w:color w:val="auto"/>
        </w:rPr>
      </w:pPr>
    </w:p>
    <w:p>
      <w:pPr>
        <w:pStyle w:val="129"/>
        <w:tabs>
          <w:tab w:val="left" w:pos="900"/>
        </w:tabs>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本项目主要经济技术指标见下表。</w:t>
      </w:r>
    </w:p>
    <w:p>
      <w:pPr>
        <w:tabs>
          <w:tab w:val="left" w:pos="900"/>
        </w:tabs>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表3.4-2  本项目主要技术经济指标</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64"/>
        <w:gridCol w:w="2357"/>
        <w:gridCol w:w="684"/>
        <w:gridCol w:w="54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310"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295"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项目名称</w:t>
            </w:r>
          </w:p>
        </w:tc>
        <w:tc>
          <w:tcPr>
            <w:tcW w:w="376"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3017"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29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年加注量</w:t>
            </w:r>
          </w:p>
        </w:tc>
        <w:tc>
          <w:tcPr>
            <w:tcW w:w="37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4</w:t>
            </w:r>
            <w:r>
              <w:rPr>
                <w:rFonts w:hint="default" w:ascii="Times New Roman" w:hAnsi="Times New Roman" w:cs="Times New Roman"/>
                <w:color w:val="auto"/>
              </w:rPr>
              <w:t>t/a</w:t>
            </w:r>
          </w:p>
        </w:tc>
        <w:tc>
          <w:tcPr>
            <w:tcW w:w="301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29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泊位数</w:t>
            </w:r>
          </w:p>
        </w:tc>
        <w:tc>
          <w:tcPr>
            <w:tcW w:w="376"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个</w:t>
            </w:r>
          </w:p>
        </w:tc>
        <w:tc>
          <w:tcPr>
            <w:tcW w:w="301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295" w:type="pct"/>
            <w:vAlign w:val="center"/>
          </w:tcPr>
          <w:p>
            <w:pPr>
              <w:autoSpaceDE w:val="0"/>
              <w:autoSpaceDN w:val="0"/>
              <w:adjustRightInd w:val="0"/>
              <w:snapToGrid w:val="0"/>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泊位吨级</w:t>
            </w:r>
          </w:p>
        </w:tc>
        <w:tc>
          <w:tcPr>
            <w:tcW w:w="376"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吨级</w:t>
            </w:r>
          </w:p>
        </w:tc>
        <w:tc>
          <w:tcPr>
            <w:tcW w:w="301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eastAsiaTheme="minorEastAsia"/>
                <w:color w:val="auto"/>
                <w:kern w:val="0"/>
              </w:rPr>
              <w:t>5000（码头结构按靠泊10000吨级内河散货货船设计）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设计年通过能力</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4</w:t>
            </w:r>
            <w:r>
              <w:rPr>
                <w:rFonts w:hint="default" w:ascii="Times New Roman" w:hAnsi="Times New Roman" w:cs="Times New Roman"/>
                <w:color w:val="auto"/>
              </w:rPr>
              <w:t>t/a</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泊位利用率</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接卸泊位占用岸线长度</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m</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建筑物面积</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2</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港池疏浚量</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r>
              <w:rPr>
                <w:rFonts w:hint="default" w:ascii="Times New Roman" w:hAnsi="Times New Roman" w:cs="Times New Roman"/>
                <w:color w:val="auto"/>
                <w:vertAlign w:val="superscript"/>
              </w:rPr>
              <w:t>4</w:t>
            </w: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不涉及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日最大用水量</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装卸设备装机总容量</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kw</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码头定员</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建设工期</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月</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工程总投资</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万元</w:t>
            </w:r>
          </w:p>
        </w:tc>
        <w:tc>
          <w:tcPr>
            <w:tcW w:w="3017"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lang w:bidi="ar"/>
              </w:rPr>
              <w:t>13490.29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310"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w:t>
            </w:r>
          </w:p>
        </w:tc>
        <w:tc>
          <w:tcPr>
            <w:tcW w:w="1295"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班次</w:t>
            </w:r>
          </w:p>
        </w:tc>
        <w:tc>
          <w:tcPr>
            <w:tcW w:w="376" w:type="pct"/>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3017" w:type="pct"/>
            <w:shd w:val="clear" w:color="auto" w:fill="auto"/>
            <w:vAlign w:val="center"/>
          </w:tcPr>
          <w:p>
            <w:pPr>
              <w:adjustRightInd w:val="0"/>
              <w:snapToGrid w:val="0"/>
              <w:jc w:val="center"/>
              <w:rPr>
                <w:rFonts w:hint="default" w:ascii="Times New Roman" w:hAnsi="Times New Roman" w:cs="Times New Roman"/>
                <w:color w:val="auto"/>
                <w:kern w:val="0"/>
                <w:lang w:bidi="ar"/>
              </w:rPr>
            </w:pPr>
            <w:r>
              <w:rPr>
                <w:rFonts w:hint="default" w:ascii="Times New Roman" w:hAnsi="Times New Roman" w:cs="Times New Roman"/>
                <w:color w:val="auto"/>
                <w:kern w:val="0"/>
                <w:lang w:bidi="ar"/>
              </w:rPr>
              <w:t>4班3倒制</w:t>
            </w:r>
          </w:p>
        </w:tc>
      </w:tr>
    </w:tbl>
    <w:p>
      <w:pPr>
        <w:adjustRightInd w:val="0"/>
        <w:snapToGrid w:val="0"/>
        <w:spacing w:line="360" w:lineRule="auto"/>
        <w:ind w:firstLine="496" w:firstLineChars="200"/>
        <w:jc w:val="left"/>
        <w:rPr>
          <w:rFonts w:hint="default" w:ascii="Times New Roman" w:hAnsi="Times New Roman" w:cs="Times New Roman" w:eastAsiaTheme="minorEastAsia"/>
          <w:color w:val="auto"/>
          <w:spacing w:val="4"/>
          <w:kern w:val="0"/>
          <w:sz w:val="24"/>
          <w:szCs w:val="24"/>
          <w:lang w:val="zh-CN"/>
        </w:rPr>
      </w:pPr>
    </w:p>
    <w:p>
      <w:pPr>
        <w:pStyle w:val="4"/>
        <w:ind w:left="578" w:hanging="578"/>
        <w:rPr>
          <w:rFonts w:hint="default" w:ascii="Times New Roman" w:hAnsi="Times New Roman" w:cs="Times New Roman"/>
          <w:color w:val="auto"/>
          <w:lang w:val="zh-CN"/>
        </w:rPr>
      </w:pPr>
      <w:r>
        <w:rPr>
          <w:rFonts w:hint="default" w:ascii="Times New Roman" w:hAnsi="Times New Roman" w:cs="Times New Roman"/>
          <w:color w:val="auto"/>
          <w:lang w:val="zh-CN"/>
        </w:rPr>
        <w:t>设计代表船型</w:t>
      </w:r>
    </w:p>
    <w:p>
      <w:pPr>
        <w:adjustRightInd w:val="0"/>
        <w:snapToGrid w:val="0"/>
        <w:spacing w:line="360" w:lineRule="auto"/>
        <w:ind w:firstLine="496" w:firstLineChars="200"/>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eastAsiaTheme="minorEastAsia"/>
          <w:color w:val="auto"/>
          <w:spacing w:val="4"/>
          <w:kern w:val="0"/>
          <w:sz w:val="24"/>
          <w:szCs w:val="24"/>
          <w:lang w:val="zh-CN"/>
        </w:rPr>
        <w:t>根据吞吐量发展预测及货物的流量、流向分析，本项目LNG加注对象主要为</w:t>
      </w:r>
      <w:r>
        <w:rPr>
          <w:rFonts w:hint="default" w:ascii="Times New Roman" w:hAnsi="Times New Roman" w:cs="Times New Roman" w:eastAsiaTheme="minorEastAsia"/>
          <w:color w:val="auto"/>
          <w:spacing w:val="4"/>
          <w:kern w:val="0"/>
          <w:sz w:val="24"/>
          <w:szCs w:val="24"/>
        </w:rPr>
        <w:t>1</w:t>
      </w:r>
      <w:r>
        <w:rPr>
          <w:rFonts w:hint="default" w:ascii="Times New Roman" w:hAnsi="Times New Roman" w:cs="Times New Roman" w:eastAsiaTheme="minorEastAsia"/>
          <w:color w:val="auto"/>
          <w:spacing w:val="4"/>
          <w:kern w:val="0"/>
          <w:sz w:val="24"/>
          <w:szCs w:val="24"/>
          <w:lang w:val="zh-CN"/>
        </w:rPr>
        <w:t>000</w:t>
      </w:r>
      <w:r>
        <w:rPr>
          <w:rFonts w:hint="default" w:ascii="Times New Roman" w:hAnsi="Times New Roman" w:cs="Times New Roman" w:eastAsiaTheme="minorEastAsia"/>
          <w:color w:val="auto"/>
          <w:spacing w:val="4"/>
          <w:kern w:val="0"/>
          <w:sz w:val="24"/>
          <w:szCs w:val="24"/>
        </w:rPr>
        <w:t>~10</w:t>
      </w:r>
      <w:r>
        <w:rPr>
          <w:rFonts w:hint="default" w:ascii="Times New Roman" w:hAnsi="Times New Roman" w:cs="Times New Roman" w:eastAsiaTheme="minorEastAsia"/>
          <w:color w:val="auto"/>
          <w:spacing w:val="4"/>
          <w:kern w:val="0"/>
          <w:sz w:val="24"/>
          <w:szCs w:val="24"/>
          <w:lang w:val="zh-CN"/>
        </w:rPr>
        <w:t>000t级内河船舶。</w:t>
      </w:r>
      <w:r>
        <w:rPr>
          <w:rFonts w:hint="default" w:ascii="Times New Roman" w:hAnsi="Times New Roman" w:cs="Times New Roman"/>
          <w:color w:val="auto"/>
          <w:sz w:val="24"/>
        </w:rPr>
        <w:t>长江主力船型为5000吨级船舶；受洞庭湖区及湘江等支流航道条件限制，湘江及湖区主力船型为500至3000吨级船舶。</w:t>
      </w:r>
    </w:p>
    <w:p>
      <w:pPr>
        <w:adjustRightInd w:val="0"/>
        <w:snapToGrid w:val="0"/>
        <w:spacing w:line="360" w:lineRule="auto"/>
        <w:ind w:firstLine="496" w:firstLineChars="200"/>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eastAsiaTheme="minorEastAsia"/>
          <w:color w:val="auto"/>
          <w:spacing w:val="4"/>
          <w:kern w:val="0"/>
          <w:sz w:val="24"/>
          <w:szCs w:val="24"/>
          <w:lang w:val="zh-CN"/>
        </w:rPr>
        <w:t>参考《长江干线通航标准》、《海港设计总体规范》以及《岳阳港总体规划》，结合航道条件、桥梁限制、经济运量、运距和运输系统等条件，选取5000DWT内河货船作为设计代表船型，同时兼顾其它内河散货船及江海轮船。设计代表船型详见表3.</w:t>
      </w:r>
      <w:r>
        <w:rPr>
          <w:rFonts w:hint="default" w:ascii="Times New Roman" w:hAnsi="Times New Roman" w:cs="Times New Roman" w:eastAsiaTheme="minorEastAsia"/>
          <w:color w:val="auto"/>
          <w:spacing w:val="4"/>
          <w:kern w:val="0"/>
          <w:sz w:val="24"/>
          <w:szCs w:val="24"/>
        </w:rPr>
        <w:t>4</w:t>
      </w:r>
      <w:r>
        <w:rPr>
          <w:rFonts w:hint="default" w:ascii="Times New Roman" w:hAnsi="Times New Roman" w:cs="Times New Roman" w:eastAsiaTheme="minorEastAsia"/>
          <w:color w:val="auto"/>
          <w:spacing w:val="4"/>
          <w:kern w:val="0"/>
          <w:sz w:val="24"/>
          <w:szCs w:val="24"/>
          <w:lang w:val="zh-CN"/>
        </w:rPr>
        <w:t>-</w:t>
      </w:r>
      <w:r>
        <w:rPr>
          <w:rFonts w:hint="default" w:ascii="Times New Roman" w:hAnsi="Times New Roman" w:cs="Times New Roman" w:eastAsiaTheme="minorEastAsia"/>
          <w:color w:val="auto"/>
          <w:spacing w:val="4"/>
          <w:kern w:val="0"/>
          <w:sz w:val="24"/>
          <w:szCs w:val="24"/>
        </w:rPr>
        <w:t>3</w:t>
      </w:r>
      <w:r>
        <w:rPr>
          <w:rFonts w:hint="default" w:ascii="Times New Roman" w:hAnsi="Times New Roman" w:cs="Times New Roman" w:eastAsiaTheme="minorEastAsia"/>
          <w:color w:val="auto"/>
          <w:spacing w:val="4"/>
          <w:kern w:val="0"/>
          <w:sz w:val="24"/>
          <w:szCs w:val="24"/>
          <w:lang w:val="zh-CN"/>
        </w:rPr>
        <w:t>。</w:t>
      </w:r>
    </w:p>
    <w:p>
      <w:pPr>
        <w:adjustRightInd w:val="0"/>
        <w:snapToGrid w:val="0"/>
        <w:spacing w:line="276" w:lineRule="auto"/>
        <w:jc w:val="center"/>
        <w:rPr>
          <w:rFonts w:hint="default" w:ascii="Times New Roman" w:hAnsi="Times New Roman" w:cs="Times New Roman" w:eastAsiaTheme="minorEastAsia"/>
          <w:b/>
          <w:bCs/>
          <w:color w:val="auto"/>
          <w:kern w:val="0"/>
          <w:sz w:val="24"/>
          <w:szCs w:val="22"/>
          <w:lang w:val="zh-CN"/>
        </w:rPr>
      </w:pPr>
      <w:r>
        <w:rPr>
          <w:rFonts w:hint="default" w:ascii="Times New Roman" w:hAnsi="Times New Roman" w:cs="Times New Roman" w:eastAsiaTheme="minorEastAsia"/>
          <w:b/>
          <w:bCs/>
          <w:color w:val="auto"/>
          <w:kern w:val="0"/>
          <w:sz w:val="24"/>
          <w:szCs w:val="22"/>
          <w:lang w:val="zh-CN"/>
        </w:rPr>
        <w:t>表3.</w:t>
      </w:r>
      <w:r>
        <w:rPr>
          <w:rFonts w:hint="default" w:ascii="Times New Roman" w:hAnsi="Times New Roman" w:cs="Times New Roman" w:eastAsiaTheme="minorEastAsia"/>
          <w:b/>
          <w:bCs/>
          <w:color w:val="auto"/>
          <w:kern w:val="0"/>
          <w:sz w:val="24"/>
          <w:szCs w:val="22"/>
        </w:rPr>
        <w:t>4</w:t>
      </w:r>
      <w:r>
        <w:rPr>
          <w:rFonts w:hint="default" w:ascii="Times New Roman" w:hAnsi="Times New Roman" w:cs="Times New Roman" w:eastAsiaTheme="minorEastAsia"/>
          <w:b/>
          <w:bCs/>
          <w:color w:val="auto"/>
          <w:kern w:val="0"/>
          <w:sz w:val="24"/>
          <w:szCs w:val="22"/>
          <w:lang w:val="zh-CN"/>
        </w:rPr>
        <w:t>-</w:t>
      </w:r>
      <w:r>
        <w:rPr>
          <w:rFonts w:hint="default" w:ascii="Times New Roman" w:hAnsi="Times New Roman" w:cs="Times New Roman" w:eastAsiaTheme="minorEastAsia"/>
          <w:b/>
          <w:bCs/>
          <w:color w:val="auto"/>
          <w:kern w:val="0"/>
          <w:sz w:val="24"/>
          <w:szCs w:val="22"/>
        </w:rPr>
        <w:t xml:space="preserve">3 </w:t>
      </w:r>
      <w:r>
        <w:rPr>
          <w:rFonts w:hint="default" w:ascii="Times New Roman" w:hAnsi="Times New Roman" w:cs="Times New Roman" w:eastAsiaTheme="minorEastAsia"/>
          <w:b/>
          <w:bCs/>
          <w:color w:val="auto"/>
          <w:kern w:val="0"/>
          <w:sz w:val="24"/>
          <w:szCs w:val="22"/>
          <w:lang w:val="zh-CN"/>
        </w:rPr>
        <w:t xml:space="preserve"> 设计船型主尺度表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764"/>
        <w:gridCol w:w="953"/>
        <w:gridCol w:w="953"/>
        <w:gridCol w:w="1583"/>
        <w:gridCol w:w="28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运输船型</w:t>
            </w:r>
          </w:p>
        </w:tc>
        <w:tc>
          <w:tcPr>
            <w:tcW w:w="1918" w:type="pct"/>
            <w:gridSpan w:val="3"/>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主尺度（m）</w:t>
            </w:r>
          </w:p>
        </w:tc>
        <w:tc>
          <w:tcPr>
            <w:tcW w:w="1562"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  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型长</w:t>
            </w:r>
          </w:p>
        </w:tc>
        <w:tc>
          <w:tcPr>
            <w:tcW w:w="524" w:type="pct"/>
            <w:tcBorders>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型宽</w:t>
            </w:r>
          </w:p>
        </w:tc>
        <w:tc>
          <w:tcPr>
            <w:tcW w:w="870" w:type="pct"/>
            <w:tcBorders>
              <w:lef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满载吃水</w:t>
            </w:r>
          </w:p>
        </w:tc>
        <w:tc>
          <w:tcPr>
            <w:tcW w:w="1562"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5000吨级散货船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16.3</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4.3</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设计代表船型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10000吨级散货船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22.0</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5.5</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结构设计船型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17.2</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3.0-4.0</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荆州煤炭所用船型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16.2</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2.7-3.6</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荆州煤炭所用船型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16.2</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4.5</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洞庭湖湖区船型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90</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16.0</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洞庭湖湖区船型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85</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15.0</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2.8</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洞庭湖湖区船型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51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1000吨级货船</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65</w:t>
            </w:r>
          </w:p>
        </w:tc>
        <w:tc>
          <w:tcPr>
            <w:tcW w:w="52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10.8</w:t>
            </w:r>
          </w:p>
        </w:tc>
        <w:tc>
          <w:tcPr>
            <w:tcW w:w="87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2.2</w:t>
            </w:r>
          </w:p>
        </w:tc>
        <w:tc>
          <w:tcPr>
            <w:tcW w:w="15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洞庭湖湖区船型</w:t>
            </w:r>
          </w:p>
        </w:tc>
      </w:tr>
    </w:tbl>
    <w:p>
      <w:pPr>
        <w:adjustRightInd w:val="0"/>
        <w:snapToGrid w:val="0"/>
        <w:spacing w:line="360" w:lineRule="auto"/>
        <w:ind w:firstLine="420" w:firstLineChars="200"/>
        <w:rPr>
          <w:rFonts w:hint="default" w:ascii="Times New Roman" w:hAnsi="Times New Roman" w:cs="Times New Roman"/>
          <w:color w:val="auto"/>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总平面布置情况</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本项目从上游至下游分别布置2个5000吨级LNG加注泊位（结构按10000吨级设计）。码头前沿线与岸线方向基本平行</w:t>
      </w:r>
      <w:r>
        <w:rPr>
          <w:rFonts w:hint="default" w:ascii="Times New Roman" w:hAnsi="Times New Roman" w:eastAsia="宋体" w:cs="Times New Roman"/>
          <w:color w:val="auto"/>
          <w:sz w:val="24"/>
        </w:rPr>
        <w:t>，呈</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一字型</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布</w:t>
      </w:r>
      <w:r>
        <w:rPr>
          <w:rFonts w:hint="default" w:ascii="Times New Roman" w:hAnsi="Times New Roman" w:cs="Times New Roman"/>
          <w:color w:val="auto"/>
          <w:sz w:val="24"/>
        </w:rPr>
        <w:t>置，方位角为168°23′32″~348°23′32″。结合设计水深及水域地形，码头前沿线布置于15m等高线附近。结合工艺要求，码头平面采用直立墩式码头结构型式。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码头前方布置2座18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12m加注平台，考虑散货船LNG加注点位于船舶尾部，加注平台布置于每个泊位的下游侧。加注平台上游依次布置3座10m×10m靠船墩，以满足不同船型靠泊要求，2个泊位端部及中部各设1座8×8m系船墩。加注平台后沿各设1座18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×28m卸车平台和1座倒车平台，2座倒车平台通过1座6m宽固定联桥联接后通过1座6m宽固定引桥与防汛大堤相接。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default" w:ascii="Times New Roman" w:hAnsi="Times New Roman" w:cs="Times New Roman" w:eastAsiaTheme="minorEastAsia"/>
          <w:color w:val="auto"/>
          <w:kern w:val="0"/>
          <w:sz w:val="24"/>
          <w:szCs w:val="22"/>
          <w:lang w:val="zh-CN"/>
        </w:rPr>
        <w:t>实施后</w:t>
      </w:r>
      <w:r>
        <w:rPr>
          <w:rFonts w:hint="default" w:ascii="Times New Roman" w:hAnsi="Times New Roman" w:cs="Times New Roman"/>
          <w:color w:val="auto"/>
          <w:sz w:val="24"/>
        </w:rPr>
        <w:t>平面布置图，见图3.4-1。</w:t>
      </w:r>
    </w:p>
    <w:p>
      <w:pPr>
        <w:adjustRightInd w:val="0"/>
        <w:snapToGrid w:val="0"/>
        <w:spacing w:line="360" w:lineRule="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57545" cy="5035550"/>
            <wp:effectExtent l="0" t="0" r="14605" b="12700"/>
            <wp:docPr id="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pic:cNvPicPr>
                      <a:picLocks noChangeAspect="1"/>
                    </pic:cNvPicPr>
                  </pic:nvPicPr>
                  <pic:blipFill>
                    <a:blip r:embed="rId14"/>
                    <a:stretch>
                      <a:fillRect/>
                    </a:stretch>
                  </pic:blipFill>
                  <pic:spPr>
                    <a:xfrm>
                      <a:off x="0" y="0"/>
                      <a:ext cx="5757545" cy="5035550"/>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zh-CN"/>
        </w:rPr>
        <w:t>图</w:t>
      </w:r>
      <w:r>
        <w:rPr>
          <w:rFonts w:hint="default" w:ascii="Times New Roman" w:hAnsi="Times New Roman" w:cs="Times New Roman"/>
          <w:b/>
          <w:bCs/>
          <w:color w:val="auto"/>
          <w:sz w:val="24"/>
          <w:szCs w:val="24"/>
        </w:rPr>
        <w:t>3.4-1  加注码头平面布置图</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设计主尺度</w:t>
      </w:r>
    </w:p>
    <w:p>
      <w:pPr>
        <w:adjustRightInd w:val="0"/>
        <w:snapToGrid w:val="0"/>
        <w:spacing w:line="360" w:lineRule="auto"/>
        <w:ind w:firstLine="482" w:firstLineChars="200"/>
        <w:rPr>
          <w:rFonts w:hint="default" w:ascii="Times New Roman" w:hAnsi="Times New Roman" w:cs="Times New Roman"/>
          <w:b/>
          <w:bCs/>
          <w:color w:val="auto"/>
          <w:kern w:val="0"/>
          <w:sz w:val="24"/>
          <w:szCs w:val="24"/>
        </w:rPr>
      </w:pPr>
      <w:r>
        <w:rPr>
          <w:rFonts w:hint="default" w:ascii="Times New Roman" w:hAnsi="Times New Roman" w:cs="Times New Roman" w:eastAsiaTheme="minorEastAsia"/>
          <w:b/>
          <w:bCs/>
          <w:color w:val="auto"/>
          <w:kern w:val="0"/>
          <w:sz w:val="24"/>
          <w:szCs w:val="24"/>
        </w:rPr>
        <w:t>1、</w:t>
      </w:r>
      <w:r>
        <w:rPr>
          <w:rFonts w:hint="default" w:ascii="Times New Roman" w:hAnsi="Times New Roman" w:cs="Times New Roman"/>
          <w:b/>
          <w:bCs/>
          <w:color w:val="auto"/>
          <w:kern w:val="0"/>
          <w:sz w:val="24"/>
          <w:szCs w:val="24"/>
        </w:rPr>
        <w:t>泊位长度</w:t>
      </w:r>
    </w:p>
    <w:p>
      <w:pPr>
        <w:adjustRightInd w:val="0"/>
        <w:snapToGrid w:val="0"/>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本项目拟新建2个5000吨级LNG泊位（码头结构按停靠10000吨级设计），码头结构应满足船舶安全靠离、系缆和装卸作业的要求。根据《河港工程总体设计规范》（JTJ212-2006），泊位长度计算如下：</w:t>
      </w:r>
    </w:p>
    <w:p>
      <w:pPr>
        <w:widowControl/>
        <w:spacing w:line="440" w:lineRule="exact"/>
        <w:jc w:val="center"/>
        <w:rPr>
          <w:rFonts w:hint="default" w:ascii="Times New Roman" w:hAnsi="Times New Roman" w:cs="Times New Roman"/>
          <w:color w:val="auto"/>
          <w:kern w:val="0"/>
          <w:sz w:val="24"/>
        </w:rPr>
      </w:pPr>
      <w:r>
        <w:rPr>
          <w:rFonts w:hint="default" w:ascii="Times New Roman" w:hAnsi="Times New Roman" w:cs="Times New Roman"/>
          <w:i/>
          <w:color w:val="auto"/>
          <w:kern w:val="0"/>
          <w:sz w:val="24"/>
        </w:rPr>
        <w:t>L</w:t>
      </w:r>
      <w:r>
        <w:rPr>
          <w:rFonts w:hint="default" w:ascii="Times New Roman" w:hAnsi="Times New Roman" w:cs="Times New Roman"/>
          <w:color w:val="auto"/>
          <w:kern w:val="0"/>
          <w:sz w:val="24"/>
          <w:vertAlign w:val="subscript"/>
        </w:rPr>
        <w:t>b</w:t>
      </w:r>
      <w:r>
        <w:rPr>
          <w:rFonts w:hint="default" w:ascii="Times New Roman" w:hAnsi="Times New Roman" w:cs="Times New Roman"/>
          <w:color w:val="auto"/>
          <w:kern w:val="0"/>
          <w:sz w:val="24"/>
        </w:rPr>
        <w:t>=d+</w:t>
      </w:r>
      <w:r>
        <w:rPr>
          <w:rFonts w:hint="default" w:ascii="Times New Roman" w:hAnsi="Times New Roman" w:cs="Times New Roman"/>
          <w:i/>
          <w:color w:val="auto"/>
          <w:kern w:val="0"/>
          <w:sz w:val="24"/>
        </w:rPr>
        <w:t>L</w:t>
      </w:r>
      <w:r>
        <w:rPr>
          <w:rFonts w:hint="default" w:ascii="Times New Roman" w:hAnsi="Times New Roman" w:cs="Times New Roman"/>
          <w:color w:val="auto"/>
          <w:kern w:val="0"/>
          <w:sz w:val="24"/>
        </w:rPr>
        <w:t>+</w:t>
      </w:r>
      <w:r>
        <w:rPr>
          <w:rFonts w:hint="default" w:ascii="Times New Roman" w:hAnsi="Times New Roman" w:cs="Times New Roman"/>
          <w:i/>
          <w:color w:val="auto"/>
          <w:kern w:val="0"/>
          <w:sz w:val="24"/>
        </w:rPr>
        <w:t>d+L+d</w:t>
      </w:r>
    </w:p>
    <w:p>
      <w:pPr>
        <w:widowControl/>
        <w:spacing w:line="440" w:lineRule="exact"/>
        <w:ind w:firstLine="480" w:firstLineChars="200"/>
        <w:jc w:val="left"/>
        <w:rPr>
          <w:rFonts w:hint="default" w:ascii="Times New Roman" w:hAnsi="Times New Roman" w:cs="Times New Roman"/>
          <w:color w:val="auto"/>
          <w:kern w:val="0"/>
          <w:sz w:val="24"/>
        </w:rPr>
      </w:pPr>
      <w:r>
        <w:rPr>
          <w:rFonts w:hint="default" w:ascii="Times New Roman" w:hAnsi="Times New Roman" w:cs="Times New Roman"/>
          <w:color w:val="auto"/>
          <w:kern w:val="0"/>
          <w:sz w:val="24"/>
        </w:rPr>
        <w:t>式中：</w:t>
      </w:r>
      <w:r>
        <w:rPr>
          <w:rFonts w:hint="default" w:ascii="Times New Roman" w:hAnsi="Times New Roman" w:cs="Times New Roman"/>
          <w:i/>
          <w:color w:val="auto"/>
          <w:kern w:val="0"/>
          <w:sz w:val="24"/>
        </w:rPr>
        <w:t>L</w:t>
      </w:r>
      <w:r>
        <w:rPr>
          <w:rFonts w:hint="default" w:ascii="Times New Roman" w:hAnsi="Times New Roman" w:cs="Times New Roman"/>
          <w:color w:val="auto"/>
          <w:kern w:val="0"/>
          <w:sz w:val="24"/>
          <w:vertAlign w:val="subscript"/>
        </w:rPr>
        <w:t>b</w:t>
      </w:r>
      <w:r>
        <w:rPr>
          <w:rFonts w:hint="default" w:ascii="Times New Roman" w:hAnsi="Times New Roman" w:cs="Times New Roman"/>
          <w:color w:val="auto"/>
          <w:kern w:val="0"/>
          <w:sz w:val="24"/>
        </w:rPr>
        <w:t>——泊位长度（m）；</w:t>
      </w:r>
    </w:p>
    <w:p>
      <w:pPr>
        <w:widowControl/>
        <w:spacing w:line="440" w:lineRule="exact"/>
        <w:ind w:firstLine="1200" w:firstLineChars="500"/>
        <w:jc w:val="left"/>
        <w:rPr>
          <w:rFonts w:hint="default" w:ascii="Times New Roman" w:hAnsi="Times New Roman" w:cs="Times New Roman"/>
          <w:color w:val="auto"/>
          <w:kern w:val="0"/>
          <w:sz w:val="24"/>
        </w:rPr>
      </w:pPr>
      <w:r>
        <w:rPr>
          <w:rFonts w:hint="default" w:ascii="Times New Roman" w:hAnsi="Times New Roman" w:cs="Times New Roman"/>
          <w:i/>
          <w:color w:val="auto"/>
          <w:kern w:val="0"/>
          <w:sz w:val="24"/>
        </w:rPr>
        <w:t>L</w:t>
      </w:r>
      <w:r>
        <w:rPr>
          <w:rFonts w:hint="default" w:ascii="Times New Roman" w:hAnsi="Times New Roman" w:cs="Times New Roman"/>
          <w:color w:val="auto"/>
          <w:kern w:val="0"/>
          <w:sz w:val="24"/>
        </w:rPr>
        <w:t>——设计船型长度（m）；</w:t>
      </w:r>
    </w:p>
    <w:p>
      <w:pPr>
        <w:widowControl/>
        <w:spacing w:line="440" w:lineRule="exact"/>
        <w:ind w:firstLine="1200" w:firstLineChars="500"/>
        <w:jc w:val="left"/>
        <w:rPr>
          <w:rFonts w:hint="default" w:ascii="Times New Roman" w:hAnsi="Times New Roman" w:cs="Times New Roman"/>
          <w:color w:val="auto"/>
          <w:kern w:val="0"/>
          <w:sz w:val="24"/>
        </w:rPr>
      </w:pPr>
      <w:r>
        <w:rPr>
          <w:rFonts w:hint="default" w:ascii="Times New Roman" w:hAnsi="Times New Roman" w:cs="Times New Roman"/>
          <w:i/>
          <w:color w:val="auto"/>
          <w:kern w:val="0"/>
          <w:sz w:val="24"/>
        </w:rPr>
        <w:t>D</w:t>
      </w:r>
      <w:r>
        <w:rPr>
          <w:rFonts w:hint="default" w:ascii="Times New Roman" w:hAnsi="Times New Roman" w:cs="Times New Roman"/>
          <w:color w:val="auto"/>
          <w:kern w:val="0"/>
          <w:sz w:val="24"/>
        </w:rPr>
        <w:t>——泊位富裕长度（m）。</w:t>
      </w:r>
    </w:p>
    <w:p>
      <w:pPr>
        <w:pStyle w:val="19"/>
        <w:spacing w:line="23" w:lineRule="atLeast"/>
        <w:ind w:firstLine="0"/>
        <w:jc w:val="right"/>
        <w:rPr>
          <w:rFonts w:hint="default" w:ascii="Times New Roman" w:hAnsi="Times New Roman" w:cs="Times New Roman" w:eastAsiaTheme="majorEastAsia"/>
          <w:color w:val="auto"/>
          <w:sz w:val="24"/>
          <w:szCs w:val="24"/>
        </w:rPr>
      </w:pPr>
      <w:r>
        <w:rPr>
          <w:rFonts w:hint="default" w:ascii="Times New Roman" w:hAnsi="Times New Roman" w:cs="Times New Roman" w:eastAsiaTheme="majorEastAsia"/>
          <w:b/>
          <w:bCs/>
          <w:color w:val="auto"/>
          <w:sz w:val="24"/>
          <w:szCs w:val="24"/>
        </w:rPr>
        <w:t>表3.4.4  泊位长度L</w:t>
      </w:r>
      <w:r>
        <w:rPr>
          <w:rFonts w:hint="default" w:ascii="Times New Roman" w:hAnsi="Times New Roman" w:cs="Times New Roman" w:eastAsiaTheme="majorEastAsia"/>
          <w:b/>
          <w:bCs/>
          <w:color w:val="auto"/>
          <w:sz w:val="24"/>
          <w:szCs w:val="24"/>
          <w:vertAlign w:val="subscript"/>
        </w:rPr>
        <w:t>b</w:t>
      </w:r>
      <w:r>
        <w:rPr>
          <w:rFonts w:hint="default" w:ascii="Times New Roman" w:hAnsi="Times New Roman" w:cs="Times New Roman" w:eastAsiaTheme="majorEastAsia"/>
          <w:b/>
          <w:bCs/>
          <w:color w:val="auto"/>
          <w:sz w:val="24"/>
          <w:szCs w:val="24"/>
        </w:rPr>
        <w:t>计算表</w:t>
      </w:r>
      <w:r>
        <w:rPr>
          <w:rFonts w:hint="default" w:ascii="Times New Roman" w:hAnsi="Times New Roman" w:cs="Times New Roman" w:eastAsiaTheme="majorEastAsia"/>
          <w:color w:val="auto"/>
          <w:sz w:val="24"/>
          <w:szCs w:val="24"/>
        </w:rPr>
        <w:t xml:space="preserve">               单位：m</w:t>
      </w:r>
    </w:p>
    <w:tbl>
      <w:tblPr>
        <w:tblStyle w:val="7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73"/>
        <w:gridCol w:w="4385"/>
        <w:gridCol w:w="15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74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设计船型</w:t>
            </w:r>
          </w:p>
        </w:tc>
        <w:tc>
          <w:tcPr>
            <w:tcW w:w="241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水域长度L</w:t>
            </w:r>
            <w:r>
              <w:rPr>
                <w:rFonts w:hint="default" w:ascii="Times New Roman" w:hAnsi="Times New Roman" w:cs="Times New Roman"/>
                <w:b/>
                <w:bCs/>
                <w:color w:val="auto"/>
                <w:vertAlign w:val="subscript"/>
              </w:rPr>
              <w:t>b</w:t>
            </w:r>
          </w:p>
        </w:tc>
        <w:tc>
          <w:tcPr>
            <w:tcW w:w="84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44"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1艘5000吨级内河机动船</w:t>
            </w:r>
          </w:p>
        </w:tc>
        <w:tc>
          <w:tcPr>
            <w:tcW w:w="241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b</w:t>
            </w:r>
            <w:r>
              <w:rPr>
                <w:rFonts w:hint="default" w:ascii="Times New Roman" w:hAnsi="Times New Roman" w:cs="Times New Roman"/>
                <w:color w:val="auto"/>
              </w:rPr>
              <w:t>=15+130+25+130+15=315</w:t>
            </w:r>
          </w:p>
        </w:tc>
        <w:tc>
          <w:tcPr>
            <w:tcW w:w="84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直立式码头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44"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c>
          <w:tcPr>
            <w:tcW w:w="2410"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b</w:t>
            </w:r>
            <w:r>
              <w:rPr>
                <w:rFonts w:hint="default" w:ascii="Times New Roman" w:hAnsi="Times New Roman" w:cs="Times New Roman"/>
                <w:color w:val="auto"/>
              </w:rPr>
              <w:t>=20+130+25+130+20=325</w:t>
            </w:r>
          </w:p>
        </w:tc>
        <w:tc>
          <w:tcPr>
            <w:tcW w:w="84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浮式码头</w:t>
            </w:r>
          </w:p>
        </w:tc>
      </w:tr>
    </w:tbl>
    <w:p>
      <w:pPr>
        <w:adjustRightInd w:val="0"/>
        <w:snapToGrid w:val="0"/>
        <w:spacing w:line="360" w:lineRule="auto"/>
        <w:ind w:firstLine="480" w:firstLineChars="200"/>
        <w:rPr>
          <w:rFonts w:hint="default" w:ascii="Times New Roman" w:hAnsi="Times New Roman" w:cs="Times New Roman"/>
          <w:color w:val="auto"/>
          <w:kern w:val="0"/>
          <w:sz w:val="24"/>
          <w:szCs w:val="24"/>
        </w:rPr>
      </w:pPr>
    </w:p>
    <w:p>
      <w:pPr>
        <w:adjustRightInd w:val="0"/>
        <w:snapToGrid w:val="0"/>
        <w:spacing w:line="360" w:lineRule="auto"/>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根据上述计算，本项目泊位长度（直立式码头）取为315m。</w:t>
      </w:r>
    </w:p>
    <w:p>
      <w:pPr>
        <w:pStyle w:val="19"/>
        <w:spacing w:line="360" w:lineRule="auto"/>
        <w:ind w:firstLine="514"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2、码头前沿设计水深和河底高程</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rPr>
        <w:t>根据《河港工程总体设计规范》，码头前沿设计水深计算如下：</w:t>
      </w:r>
      <w:r>
        <w:rPr>
          <w:rFonts w:hint="default" w:ascii="Times New Roman" w:hAnsi="Times New Roman" w:cs="Times New Roman" w:eastAsiaTheme="minorEastAsia"/>
          <w:color w:val="auto"/>
          <w:position w:val="-12"/>
          <w:sz w:val="24"/>
          <w:szCs w:val="24"/>
        </w:rPr>
        <w:object>
          <v:shape id="_x0000_i1025" o:spt="75" type="#_x0000_t75" style="height:17.8pt;width:86.95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pPr>
        <w:widowControl/>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式中：</w:t>
      </w:r>
      <w:r>
        <w:rPr>
          <w:rFonts w:hint="default" w:ascii="Times New Roman" w:hAnsi="Times New Roman" w:cs="Times New Roman" w:eastAsiaTheme="minorEastAsia"/>
          <w:color w:val="auto"/>
          <w:kern w:val="0"/>
          <w:position w:val="-12"/>
          <w:sz w:val="24"/>
          <w:szCs w:val="24"/>
        </w:rPr>
        <w:object>
          <v:shape id="_x0000_i1026" o:spt="75" type="#_x0000_t75" style="height:17.8pt;width:17.8pt;" o:ole="t" filled="f" o:preferrelative="t" stroked="f" coordsize="21600,21600">
            <v:path/>
            <v:fill on="f" focussize="0,0"/>
            <v:stroke on="f" joinstyle="miter"/>
            <v:imagedata r:id="rId18" o:title=""/>
            <o:lock v:ext="edit" aspectratio="t"/>
            <w10:wrap type="none"/>
            <w10:anchorlock/>
          </v:shape>
          <o:OLEObject Type="Embed" ProgID="Equation.3" ShapeID="_x0000_i1026" DrawAspect="Content" ObjectID="_1468075726" r:id="rId17">
            <o:LockedField>false</o:LockedField>
          </o:OLEObject>
        </w:object>
      </w:r>
      <w:r>
        <w:rPr>
          <w:rFonts w:hint="default" w:ascii="Times New Roman" w:hAnsi="Times New Roman" w:cs="Times New Roman" w:eastAsiaTheme="minorEastAsia"/>
          <w:color w:val="auto"/>
          <w:kern w:val="0"/>
          <w:sz w:val="24"/>
          <w:szCs w:val="24"/>
        </w:rPr>
        <w:t>——码头前沿设计水深（m）；</w:t>
      </w:r>
    </w:p>
    <w:p>
      <w:pPr>
        <w:widowControl/>
        <w:adjustRightInd w:val="0"/>
        <w:snapToGrid w:val="0"/>
        <w:spacing w:line="360" w:lineRule="auto"/>
        <w:ind w:firstLine="1200" w:firstLineChars="5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4"/>
          <w:sz w:val="24"/>
          <w:szCs w:val="24"/>
        </w:rPr>
        <w:object>
          <v:shape id="_x0000_i1027" o:spt="75" type="#_x0000_t75" style="height:12.85pt;width:10.7pt;" o:ole="t" filled="f" o:preferrelative="t"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r>
        <w:rPr>
          <w:rFonts w:hint="default" w:ascii="Times New Roman" w:hAnsi="Times New Roman" w:cs="Times New Roman" w:eastAsiaTheme="minorEastAsia"/>
          <w:color w:val="auto"/>
          <w:kern w:val="0"/>
          <w:sz w:val="24"/>
          <w:szCs w:val="24"/>
        </w:rPr>
        <w:t>——船舶设计吃水（m）；</w:t>
      </w:r>
    </w:p>
    <w:p>
      <w:pPr>
        <w:widowControl/>
        <w:adjustRightInd w:val="0"/>
        <w:snapToGrid w:val="0"/>
        <w:spacing w:line="360" w:lineRule="auto"/>
        <w:ind w:firstLine="1200" w:firstLineChars="5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4"/>
          <w:sz w:val="24"/>
          <w:szCs w:val="24"/>
        </w:rPr>
        <w:object>
          <v:shape id="_x0000_i1028" o:spt="75" type="#_x0000_t75" style="height:12.85pt;width:12.1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r>
        <w:rPr>
          <w:rFonts w:hint="default" w:ascii="Times New Roman" w:hAnsi="Times New Roman" w:cs="Times New Roman" w:eastAsiaTheme="minorEastAsia"/>
          <w:color w:val="auto"/>
          <w:kern w:val="0"/>
          <w:sz w:val="24"/>
          <w:szCs w:val="24"/>
        </w:rPr>
        <w:t>——龙骨下最小富裕深度（m），取为0.5m；</w:t>
      </w:r>
    </w:p>
    <w:p>
      <w:pPr>
        <w:widowControl/>
        <w:adjustRightInd w:val="0"/>
        <w:snapToGrid w:val="0"/>
        <w:spacing w:line="360" w:lineRule="auto"/>
        <w:ind w:firstLine="1200" w:firstLineChars="5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4"/>
          <w:sz w:val="24"/>
          <w:szCs w:val="24"/>
        </w:rPr>
        <w:object>
          <v:shape id="_x0000_i1029" o:spt="75" type="#_x0000_t75" style="height:12.85pt;width:19.25pt;" o:ole="t" filled="f" o:preferrelative="t" stroked="f" coordsize="21600,21600">
            <v:path/>
            <v:fill on="f" focussize="0,0"/>
            <v:stroke on="f" joinstyle="miter"/>
            <v:imagedata r:id="rId24" o:title=""/>
            <o:lock v:ext="edit" aspectratio="t"/>
            <w10:wrap type="none"/>
            <w10:anchorlock/>
          </v:shape>
          <o:OLEObject Type="Embed" ProgID="Equation.3" ShapeID="_x0000_i1029" DrawAspect="Content" ObjectID="_1468075729" r:id="rId23">
            <o:LockedField>false</o:LockedField>
          </o:OLEObject>
        </w:object>
      </w:r>
      <w:r>
        <w:rPr>
          <w:rFonts w:hint="default" w:ascii="Times New Roman" w:hAnsi="Times New Roman" w:cs="Times New Roman" w:eastAsiaTheme="minorEastAsia"/>
          <w:color w:val="auto"/>
          <w:kern w:val="0"/>
          <w:sz w:val="24"/>
          <w:szCs w:val="24"/>
        </w:rPr>
        <w:t>——其他富裕深度（m），取为0.35m。</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码头前沿设计河底高程＝设计低水位－码头前沿水深</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经计算，码头前沿设计河底高程详见下表</w:t>
      </w:r>
      <w:r>
        <w:rPr>
          <w:rFonts w:hint="eastAsia" w:ascii="Times New Roman" w:hAnsi="Times New Roman" w:cs="Times New Roman" w:eastAsiaTheme="minorEastAsia"/>
          <w:color w:val="auto"/>
          <w:kern w:val="0"/>
          <w:sz w:val="24"/>
          <w:szCs w:val="24"/>
          <w:lang w:eastAsia="zh-CN"/>
        </w:rPr>
        <w:t>。</w:t>
      </w:r>
      <w:r>
        <w:rPr>
          <w:rFonts w:hint="eastAsia" w:ascii="Times New Roman" w:hAnsi="Times New Roman" w:cs="Times New Roman" w:eastAsiaTheme="minorEastAsia"/>
          <w:color w:val="auto"/>
          <w:kern w:val="0"/>
          <w:sz w:val="24"/>
          <w:szCs w:val="24"/>
          <w:lang w:val="en-US" w:eastAsia="zh-CN"/>
        </w:rPr>
        <w:t>3.</w:t>
      </w:r>
      <w:r>
        <w:rPr>
          <w:rFonts w:hint="default" w:ascii="Times New Roman" w:hAnsi="Times New Roman" w:cs="Times New Roman" w:eastAsiaTheme="minorEastAsia"/>
          <w:color w:val="auto"/>
          <w:kern w:val="0"/>
          <w:sz w:val="24"/>
          <w:szCs w:val="24"/>
        </w:rPr>
        <w:t>4-</w:t>
      </w:r>
      <w:r>
        <w:rPr>
          <w:rFonts w:hint="eastAsia" w:ascii="Times New Roman" w:hAnsi="Times New Roman" w:cs="Times New Roman" w:eastAsiaTheme="minorEastAsia"/>
          <w:color w:val="auto"/>
          <w:kern w:val="0"/>
          <w:sz w:val="24"/>
          <w:szCs w:val="24"/>
          <w:lang w:val="en-US" w:eastAsia="zh-CN"/>
        </w:rPr>
        <w:t>5</w:t>
      </w:r>
      <w:r>
        <w:rPr>
          <w:rFonts w:hint="default" w:ascii="Times New Roman" w:hAnsi="Times New Roman" w:cs="Times New Roman" w:eastAsiaTheme="minorEastAsia"/>
          <w:color w:val="auto"/>
          <w:kern w:val="0"/>
          <w:sz w:val="24"/>
          <w:szCs w:val="24"/>
        </w:rPr>
        <w:t>所示。</w:t>
      </w:r>
    </w:p>
    <w:p>
      <w:pPr>
        <w:pStyle w:val="19"/>
        <w:spacing w:line="276" w:lineRule="auto"/>
        <w:ind w:firstLine="0"/>
        <w:jc w:val="center"/>
        <w:rPr>
          <w:rFonts w:hint="default" w:ascii="Times New Roman" w:hAnsi="Times New Roman" w:cs="Times New Roman" w:eastAsiaTheme="majorEastAsia"/>
          <w:b/>
          <w:bCs/>
          <w:color w:val="auto"/>
          <w:sz w:val="24"/>
          <w:szCs w:val="24"/>
        </w:rPr>
      </w:pPr>
      <w:r>
        <w:rPr>
          <w:rFonts w:hint="default" w:ascii="Times New Roman" w:hAnsi="Times New Roman" w:cs="Times New Roman" w:eastAsiaTheme="majorEastAsia"/>
          <w:b/>
          <w:bCs/>
          <w:color w:val="auto"/>
          <w:sz w:val="24"/>
          <w:szCs w:val="24"/>
        </w:rPr>
        <w:t>表3.4-5  码头前沿设计河底高程计算表</w:t>
      </w:r>
    </w:p>
    <w:tbl>
      <w:tblPr>
        <w:tblStyle w:val="71"/>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74"/>
        <w:gridCol w:w="533"/>
        <w:gridCol w:w="533"/>
        <w:gridCol w:w="692"/>
        <w:gridCol w:w="559"/>
        <w:gridCol w:w="1633"/>
        <w:gridCol w:w="1637"/>
        <w:gridCol w:w="15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船型</w:t>
            </w:r>
          </w:p>
        </w:tc>
        <w:tc>
          <w:tcPr>
            <w:tcW w:w="293"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T(m)</w:t>
            </w:r>
          </w:p>
        </w:tc>
        <w:tc>
          <w:tcPr>
            <w:tcW w:w="293"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Z(m)</w:t>
            </w:r>
          </w:p>
        </w:tc>
        <w:tc>
          <w:tcPr>
            <w:tcW w:w="380" w:type="pct"/>
            <w:vMerge w:val="restart"/>
            <w:tcBorders>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kern w:val="0"/>
              </w:rPr>
              <w:t>Δ</w:t>
            </w:r>
            <w:r>
              <w:rPr>
                <w:rFonts w:hint="default" w:ascii="Times New Roman" w:hAnsi="Times New Roman" w:cs="Times New Roman"/>
                <w:b/>
                <w:bCs/>
                <w:color w:val="auto"/>
              </w:rPr>
              <w:t>Z(m)</w:t>
            </w:r>
          </w:p>
        </w:tc>
        <w:tc>
          <w:tcPr>
            <w:tcW w:w="307" w:type="pct"/>
            <w:vMerge w:val="restart"/>
            <w:tcBorders>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D(m)</w:t>
            </w:r>
          </w:p>
        </w:tc>
        <w:tc>
          <w:tcPr>
            <w:tcW w:w="897" w:type="pct"/>
            <w:vMerge w:val="restart"/>
            <w:tcBorders>
              <w:lef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设计低水位(m)</w:t>
            </w:r>
          </w:p>
        </w:tc>
        <w:tc>
          <w:tcPr>
            <w:tcW w:w="89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设计底高程(m)</w:t>
            </w:r>
          </w:p>
        </w:tc>
        <w:tc>
          <w:tcPr>
            <w:tcW w:w="842" w:type="pct"/>
            <w:vMerge w:val="restar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293"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293" w:type="pct"/>
            <w:vMerge w:val="continue"/>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380" w:type="pct"/>
            <w:vMerge w:val="continue"/>
            <w:tcBorders>
              <w:righ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307" w:type="pct"/>
            <w:vMerge w:val="continue"/>
            <w:tcBorders>
              <w:right w:val="single" w:color="auto" w:sz="4" w:space="0"/>
            </w:tcBorders>
            <w:tcMar>
              <w:top w:w="0" w:type="dxa"/>
              <w:left w:w="0" w:type="dxa"/>
              <w:bottom w:w="0" w:type="dxa"/>
              <w:right w:w="0" w:type="dxa"/>
            </w:tcMar>
          </w:tcPr>
          <w:p>
            <w:pPr>
              <w:adjustRightInd w:val="0"/>
              <w:snapToGrid w:val="0"/>
              <w:jc w:val="center"/>
              <w:rPr>
                <w:rFonts w:hint="default" w:ascii="Times New Roman" w:hAnsi="Times New Roman" w:cs="Times New Roman"/>
                <w:b/>
                <w:bCs/>
                <w:color w:val="auto"/>
              </w:rPr>
            </w:pPr>
          </w:p>
        </w:tc>
        <w:tc>
          <w:tcPr>
            <w:tcW w:w="897" w:type="pct"/>
            <w:vMerge w:val="continue"/>
            <w:tcBorders>
              <w:lef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p>
        </w:tc>
        <w:tc>
          <w:tcPr>
            <w:tcW w:w="89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计算值</w:t>
            </w:r>
          </w:p>
        </w:tc>
        <w:tc>
          <w:tcPr>
            <w:tcW w:w="842" w:type="pct"/>
            <w:vMerge w:val="continue"/>
            <w:tcMar>
              <w:top w:w="0" w:type="dxa"/>
              <w:left w:w="0" w:type="dxa"/>
              <w:bottom w:w="0" w:type="dxa"/>
              <w:right w:w="0" w:type="dxa"/>
            </w:tcMar>
          </w:tcPr>
          <w:p>
            <w:pPr>
              <w:adjustRightInd w:val="0"/>
              <w:snapToGrid w:val="0"/>
              <w:jc w:val="center"/>
              <w:rPr>
                <w:rFonts w:hint="default" w:ascii="Times New Roman" w:hAnsi="Times New Roman" w:cs="Times New Roman"/>
                <w:b/>
                <w:bCs/>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rPr>
              <w:t>5000吨级散货船</w:t>
            </w:r>
          </w:p>
        </w:tc>
        <w:tc>
          <w:tcPr>
            <w:tcW w:w="29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4.3</w:t>
            </w:r>
          </w:p>
        </w:tc>
        <w:tc>
          <w:tcPr>
            <w:tcW w:w="293" w:type="pct"/>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w:t>
            </w:r>
          </w:p>
        </w:tc>
        <w:tc>
          <w:tcPr>
            <w:tcW w:w="380" w:type="pct"/>
            <w:tcBorders>
              <w:right w:val="single" w:color="auto" w:sz="4" w:space="0"/>
            </w:tcBorders>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0.35</w:t>
            </w:r>
          </w:p>
        </w:tc>
        <w:tc>
          <w:tcPr>
            <w:tcW w:w="307" w:type="pct"/>
            <w:tcBorders>
              <w:right w:val="single" w:color="auto" w:sz="4" w:space="0"/>
            </w:tcBorders>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5.15</w:t>
            </w:r>
          </w:p>
        </w:tc>
        <w:tc>
          <w:tcPr>
            <w:tcW w:w="897" w:type="pct"/>
            <w:tcBorders>
              <w:left w:val="single" w:color="auto" w:sz="4" w:space="0"/>
            </w:tcBorders>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20.4</w:t>
            </w:r>
          </w:p>
        </w:tc>
        <w:tc>
          <w:tcPr>
            <w:tcW w:w="89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15.25</w:t>
            </w:r>
          </w:p>
        </w:tc>
        <w:tc>
          <w:tcPr>
            <w:tcW w:w="84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设计代表船型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rPr>
              <w:t>10000吨级散货船</w:t>
            </w:r>
          </w:p>
        </w:tc>
        <w:tc>
          <w:tcPr>
            <w:tcW w:w="29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5.5</w:t>
            </w:r>
          </w:p>
        </w:tc>
        <w:tc>
          <w:tcPr>
            <w:tcW w:w="293" w:type="pct"/>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0.5</w:t>
            </w:r>
          </w:p>
        </w:tc>
        <w:tc>
          <w:tcPr>
            <w:tcW w:w="380" w:type="pct"/>
            <w:tcBorders>
              <w:right w:val="single" w:color="auto" w:sz="4" w:space="0"/>
            </w:tcBorders>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0.35</w:t>
            </w:r>
          </w:p>
        </w:tc>
        <w:tc>
          <w:tcPr>
            <w:tcW w:w="307" w:type="pct"/>
            <w:tcBorders>
              <w:right w:val="single" w:color="auto" w:sz="4" w:space="0"/>
            </w:tcBorders>
            <w:tcMar>
              <w:top w:w="0" w:type="dxa"/>
              <w:left w:w="0" w:type="dxa"/>
              <w:bottom w:w="0" w:type="dxa"/>
              <w:right w:w="0" w:type="dxa"/>
            </w:tcMar>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color w:val="auto"/>
              </w:rPr>
              <w:t>6.35</w:t>
            </w:r>
          </w:p>
        </w:tc>
        <w:tc>
          <w:tcPr>
            <w:tcW w:w="897" w:type="pct"/>
            <w:tcBorders>
              <w:left w:val="single" w:color="auto" w:sz="4" w:space="0"/>
            </w:tcBorders>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20.4</w:t>
            </w:r>
          </w:p>
        </w:tc>
        <w:tc>
          <w:tcPr>
            <w:tcW w:w="899"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20.05</w:t>
            </w:r>
          </w:p>
        </w:tc>
        <w:tc>
          <w:tcPr>
            <w:tcW w:w="84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结构设计船型</w:t>
            </w:r>
          </w:p>
        </w:tc>
      </w:tr>
    </w:tbl>
    <w:p>
      <w:pPr>
        <w:pStyle w:val="18"/>
        <w:adjustRightInd w:val="0"/>
        <w:snapToGrid w:val="0"/>
        <w:spacing w:line="360" w:lineRule="auto"/>
        <w:ind w:firstLine="480"/>
        <w:rPr>
          <w:rFonts w:hint="default" w:ascii="Times New Roman" w:hAnsi="Times New Roman" w:cs="Times New Roman" w:eastAsiaTheme="majorEastAsia"/>
          <w:color w:val="auto"/>
          <w:kern w:val="0"/>
          <w:sz w:val="24"/>
          <w:szCs w:val="24"/>
        </w:rPr>
      </w:pPr>
    </w:p>
    <w:p>
      <w:pPr>
        <w:pStyle w:val="18"/>
        <w:adjustRightInd w:val="0"/>
        <w:snapToGrid w:val="0"/>
        <w:spacing w:line="360" w:lineRule="auto"/>
        <w:ind w:firstLine="480"/>
        <w:rPr>
          <w:rFonts w:hint="default" w:ascii="Times New Roman" w:hAnsi="Times New Roman" w:cs="Times New Roman" w:eastAsiaTheme="majorEastAsia"/>
          <w:color w:val="auto"/>
          <w:kern w:val="0"/>
          <w:sz w:val="24"/>
          <w:szCs w:val="24"/>
        </w:rPr>
      </w:pPr>
      <w:r>
        <w:rPr>
          <w:rFonts w:hint="default" w:ascii="Times New Roman" w:hAnsi="Times New Roman" w:cs="Times New Roman" w:eastAsiaTheme="majorEastAsia"/>
          <w:color w:val="auto"/>
          <w:kern w:val="0"/>
          <w:sz w:val="24"/>
          <w:szCs w:val="24"/>
        </w:rPr>
        <w:t>本项目设计河底高程按设计代表船型5000吨级散货船考虑，取为15.2m。10000吨级船舶低水位停靠需减载至吃水4.3m，或在水位高于21.55m时方可靠泊。</w:t>
      </w:r>
    </w:p>
    <w:p>
      <w:pPr>
        <w:pStyle w:val="19"/>
        <w:spacing w:line="360" w:lineRule="auto"/>
        <w:ind w:firstLine="514" w:firstLineChars="200"/>
        <w:jc w:val="both"/>
        <w:rPr>
          <w:rFonts w:hint="default" w:ascii="Times New Roman" w:hAnsi="Times New Roman" w:cs="Times New Roman" w:eastAsiaTheme="majorEastAsia"/>
          <w:b/>
          <w:bCs/>
          <w:color w:val="auto"/>
          <w:kern w:val="0"/>
          <w:sz w:val="24"/>
          <w:szCs w:val="24"/>
        </w:rPr>
      </w:pPr>
      <w:r>
        <w:rPr>
          <w:rFonts w:hint="default" w:ascii="Times New Roman" w:hAnsi="Times New Roman" w:cs="Times New Roman" w:eastAsiaTheme="majorEastAsia"/>
          <w:b/>
          <w:bCs/>
          <w:color w:val="auto"/>
          <w:kern w:val="0"/>
          <w:sz w:val="24"/>
          <w:szCs w:val="24"/>
        </w:rPr>
        <w:t>3、码头前沿停泊水域宽度</w:t>
      </w:r>
    </w:p>
    <w:p>
      <w:pPr>
        <w:adjustRightInd w:val="0"/>
        <w:snapToGrid w:val="0"/>
        <w:spacing w:line="360" w:lineRule="auto"/>
        <w:ind w:firstLine="480" w:firstLineChars="200"/>
        <w:rPr>
          <w:rFonts w:hint="default" w:ascii="Times New Roman" w:hAnsi="Times New Roman" w:cs="Times New Roman" w:eastAsiaTheme="majorEastAsia"/>
          <w:color w:val="auto"/>
          <w:kern w:val="0"/>
          <w:sz w:val="24"/>
          <w:szCs w:val="24"/>
        </w:rPr>
      </w:pPr>
      <w:r>
        <w:rPr>
          <w:rFonts w:hint="default" w:ascii="Times New Roman" w:hAnsi="Times New Roman" w:cs="Times New Roman" w:eastAsiaTheme="majorEastAsia"/>
          <w:color w:val="auto"/>
          <w:kern w:val="0"/>
          <w:sz w:val="24"/>
          <w:szCs w:val="24"/>
        </w:rPr>
        <w:t>根据《河港工程总体设计规范》规定：水流平缓河段的码头前沿停泊水域宽度可取2倍设计船型宽度。结合船型尺度，本项目停泊水域宽度按5000吨级船舶考虑，取为32.6m。</w:t>
      </w:r>
    </w:p>
    <w:p>
      <w:pPr>
        <w:adjustRightInd w:val="0"/>
        <w:snapToGrid w:val="0"/>
        <w:spacing w:line="360" w:lineRule="auto"/>
        <w:ind w:firstLine="482" w:firstLineChars="200"/>
        <w:rPr>
          <w:rFonts w:hint="default" w:ascii="Times New Roman" w:hAnsi="Times New Roman" w:cs="Times New Roman" w:eastAsiaTheme="majorEastAsia"/>
          <w:b/>
          <w:bCs/>
          <w:color w:val="auto"/>
          <w:kern w:val="0"/>
          <w:sz w:val="24"/>
          <w:szCs w:val="24"/>
        </w:rPr>
      </w:pPr>
      <w:r>
        <w:rPr>
          <w:rFonts w:hint="default" w:ascii="Times New Roman" w:hAnsi="Times New Roman" w:cs="Times New Roman" w:eastAsiaTheme="majorEastAsia"/>
          <w:b/>
          <w:bCs/>
          <w:color w:val="auto"/>
          <w:sz w:val="24"/>
          <w:szCs w:val="24"/>
        </w:rPr>
        <w:t>4、回旋水域设计尺度</w:t>
      </w:r>
    </w:p>
    <w:p>
      <w:pPr>
        <w:pStyle w:val="18"/>
        <w:adjustRightInd w:val="0"/>
        <w:snapToGrid w:val="0"/>
        <w:spacing w:line="360" w:lineRule="auto"/>
        <w:ind w:firstLine="480"/>
        <w:rPr>
          <w:rFonts w:hint="default" w:ascii="Times New Roman" w:hAnsi="Times New Roman" w:cs="Times New Roman" w:eastAsiaTheme="majorEastAsia"/>
          <w:color w:val="auto"/>
          <w:kern w:val="0"/>
          <w:sz w:val="24"/>
          <w:szCs w:val="24"/>
        </w:rPr>
      </w:pPr>
      <w:r>
        <w:rPr>
          <w:rFonts w:hint="default" w:ascii="Times New Roman" w:hAnsi="Times New Roman" w:cs="Times New Roman" w:eastAsiaTheme="majorEastAsia"/>
          <w:color w:val="auto"/>
          <w:kern w:val="0"/>
          <w:sz w:val="24"/>
          <w:szCs w:val="24"/>
        </w:rPr>
        <w:t>⑴ 回旋水域的平面尺度</w:t>
      </w:r>
    </w:p>
    <w:p>
      <w:pPr>
        <w:adjustRightInd w:val="0"/>
        <w:snapToGrid w:val="0"/>
        <w:spacing w:line="360" w:lineRule="auto"/>
        <w:ind w:firstLine="480" w:firstLineChars="200"/>
        <w:rPr>
          <w:rFonts w:hint="default" w:ascii="Times New Roman" w:hAnsi="Times New Roman" w:cs="Times New Roman" w:eastAsiaTheme="majorEastAsia"/>
          <w:color w:val="auto"/>
          <w:kern w:val="0"/>
          <w:sz w:val="24"/>
          <w:szCs w:val="24"/>
        </w:rPr>
      </w:pPr>
      <w:r>
        <w:rPr>
          <w:rFonts w:hint="default" w:ascii="Times New Roman" w:hAnsi="Times New Roman" w:cs="Times New Roman" w:eastAsiaTheme="majorEastAsia"/>
          <w:color w:val="auto"/>
          <w:kern w:val="0"/>
          <w:sz w:val="24"/>
          <w:szCs w:val="24"/>
        </w:rPr>
        <w:t>根据《河港工程总体设计规范》要求：回旋水域沿水流方向的长度不宜小于船长的2.5倍，沿垂直水流方向的宽度不宜小于船长的1.5倍。经计算，沿水流方向的长度取为325m，沿垂直水流方向的宽度取为195m。</w:t>
      </w:r>
    </w:p>
    <w:p>
      <w:pPr>
        <w:pStyle w:val="18"/>
        <w:adjustRightInd w:val="0"/>
        <w:snapToGrid w:val="0"/>
        <w:spacing w:line="360" w:lineRule="auto"/>
        <w:ind w:firstLine="480"/>
        <w:rPr>
          <w:rFonts w:hint="default" w:ascii="Times New Roman" w:hAnsi="Times New Roman" w:cs="Times New Roman" w:eastAsiaTheme="majorEastAsia"/>
          <w:color w:val="auto"/>
          <w:kern w:val="0"/>
          <w:sz w:val="24"/>
          <w:szCs w:val="24"/>
        </w:rPr>
      </w:pPr>
      <w:r>
        <w:rPr>
          <w:rFonts w:hint="default" w:ascii="Times New Roman" w:hAnsi="Times New Roman" w:cs="Times New Roman" w:eastAsiaTheme="majorEastAsia"/>
          <w:color w:val="auto"/>
          <w:kern w:val="0"/>
          <w:sz w:val="24"/>
          <w:szCs w:val="24"/>
        </w:rPr>
        <w:t>⑵ 回旋水域的设计河底高程</w:t>
      </w:r>
    </w:p>
    <w:p>
      <w:pPr>
        <w:adjustRightInd w:val="0"/>
        <w:snapToGrid w:val="0"/>
        <w:spacing w:line="360" w:lineRule="auto"/>
        <w:ind w:firstLine="480" w:firstLineChars="200"/>
        <w:rPr>
          <w:rFonts w:hint="default" w:ascii="Times New Roman" w:hAnsi="Times New Roman" w:cs="Times New Roman" w:eastAsiaTheme="majorEastAsia"/>
          <w:color w:val="auto"/>
          <w:kern w:val="0"/>
          <w:sz w:val="24"/>
          <w:szCs w:val="24"/>
          <w:lang w:val="zh-CN"/>
        </w:rPr>
      </w:pPr>
      <w:r>
        <w:rPr>
          <w:rFonts w:hint="default" w:ascii="Times New Roman" w:hAnsi="Times New Roman" w:cs="Times New Roman" w:eastAsiaTheme="majorEastAsia"/>
          <w:color w:val="auto"/>
          <w:kern w:val="0"/>
          <w:sz w:val="24"/>
          <w:szCs w:val="24"/>
        </w:rPr>
        <w:t>本项目码头回旋水域设计河底高程与码头前沿设计河底高程一致，取为15.2m。</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高程设计</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1、码头前沿设计高程</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根据《河港工程总体设计规范》（JTJ212-2006），码头前沿设计高程按下式计算：码头前沿设计高程＝设计高水位＋超高＝34.4+（0.1~0.5）＝34.5~34.9m</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根据上述计算结果，结合防洪要求，本项目码头前沿设计高程取为36.0m。</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2、引桥面高程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2"/>
          <w:lang w:val="zh-CN"/>
        </w:rPr>
      </w:pPr>
      <w:r>
        <w:rPr>
          <w:rFonts w:hint="default" w:ascii="Times New Roman" w:hAnsi="Times New Roman" w:cs="Times New Roman"/>
          <w:color w:val="auto"/>
          <w:sz w:val="24"/>
          <w:szCs w:val="24"/>
        </w:rPr>
        <w:t>本项目采用固定钢筋混凝土引桥，引桥前方与倒车平台相接，后方与防汛大堤相接，引桥前端高程与倒车平台一致，取为36.0m；后端高程与防汛大堤一致，取为37.4m。</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航道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2"/>
          <w:lang w:val="zh-CN"/>
        </w:rPr>
      </w:pPr>
      <w:r>
        <w:rPr>
          <w:rFonts w:hint="default" w:ascii="Times New Roman" w:hAnsi="Times New Roman" w:cs="Times New Roman"/>
          <w:color w:val="auto"/>
          <w:sz w:val="24"/>
        </w:rPr>
        <w:t>本</w:t>
      </w:r>
      <w:r>
        <w:rPr>
          <w:rFonts w:hint="default" w:ascii="Times New Roman" w:hAnsi="Times New Roman" w:cs="Times New Roman"/>
          <w:color w:val="auto"/>
          <w:sz w:val="24"/>
          <w:szCs w:val="24"/>
        </w:rPr>
        <w:t>项目</w:t>
      </w:r>
      <w:r>
        <w:rPr>
          <w:rFonts w:hint="default" w:ascii="Times New Roman" w:hAnsi="Times New Roman" w:cs="Times New Roman"/>
          <w:color w:val="auto"/>
          <w:sz w:val="24"/>
        </w:rPr>
        <w:t>位于荆州港四码头~城陵矶段，目前该航段最小航道维护尺度为3.8m×100m×750m，保证率98%。</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本项目5000吨级货船所需航道宽度为82.64m，现阶段重庆以下航段航道最小维护宽度为100m，可满足本项目船舶航行宽度要求。</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2"/>
          <w:lang w:val="zh-CN"/>
        </w:rPr>
      </w:pPr>
      <w:r>
        <w:rPr>
          <w:rFonts w:hint="default" w:ascii="Times New Roman" w:hAnsi="Times New Roman" w:cs="Times New Roman"/>
          <w:color w:val="auto"/>
          <w:sz w:val="24"/>
        </w:rPr>
        <w:t>5000吨级货船在宜昌以上航段需减载航行，在宜昌～城陵矶段6~8月份可满载航行，其他月份需减载航行需减载航行；在城陵矶～武汉长江大桥航段6~9月份可满载航行，其他月份需减载航行；在武汉长江大桥～黄石上巢湖段5~10月份可满载航行，其他月份需减载航行；在黄石上巢湖以下航段可全年满载航行。待长江“武汉至安庆6m、武汉至宜昌4.5m”航道整治工程实施后，5000吨级货船在武汉以下航段可常年满载航行。</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锚地</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1、锚地规划</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根据《岳阳港总体规划》，结合港区总体布置和水域条件，新增洪山头、广兴洲、道人矶、长江村、鹿角、虞公港6处锚地。其中广兴洲锚地位于本项目下游，该锚地水深5~7m，尺度为600m×160m，面积9.6万m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2、锚地选择</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现阶段，本项目船舶可考虑利用工程附近的广兴洲、何家堡停泊区进行锚泊</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广兴洲、何家堡停泊区</w:t>
      </w:r>
      <w:r>
        <w:rPr>
          <w:rFonts w:hint="default" w:ascii="Times New Roman" w:hAnsi="Times New Roman" w:cs="Times New Roman"/>
          <w:color w:val="auto"/>
          <w:sz w:val="24"/>
          <w:lang w:eastAsia="zh-CN"/>
        </w:rPr>
        <w:t>为现有</w:t>
      </w:r>
      <w:r>
        <w:rPr>
          <w:rFonts w:hint="default" w:ascii="Times New Roman" w:hAnsi="Times New Roman" w:cs="Times New Roman"/>
          <w:color w:val="auto"/>
          <w:sz w:val="24"/>
        </w:rPr>
        <w:t>停泊区</w:t>
      </w:r>
      <w:r>
        <w:rPr>
          <w:rFonts w:hint="default" w:ascii="Times New Roman" w:hAnsi="Times New Roman" w:cs="Times New Roman"/>
          <w:color w:val="auto"/>
          <w:sz w:val="24"/>
          <w:lang w:eastAsia="zh-CN"/>
        </w:rPr>
        <w:t>，本项目在洪水期可在长江右岸的</w:t>
      </w:r>
      <w:r>
        <w:rPr>
          <w:rFonts w:hint="default" w:ascii="Times New Roman" w:hAnsi="Times New Roman" w:cs="Times New Roman"/>
          <w:color w:val="auto"/>
          <w:sz w:val="24"/>
        </w:rPr>
        <w:t>广兴洲进行锚泊</w:t>
      </w:r>
      <w:r>
        <w:rPr>
          <w:rFonts w:hint="default" w:ascii="Times New Roman" w:hAnsi="Times New Roman" w:cs="Times New Roman"/>
          <w:color w:val="auto"/>
          <w:sz w:val="24"/>
          <w:lang w:eastAsia="zh-CN"/>
        </w:rPr>
        <w:t>，中、枯水位期可在长江左岸的</w:t>
      </w:r>
      <w:r>
        <w:rPr>
          <w:rFonts w:hint="default" w:ascii="Times New Roman" w:hAnsi="Times New Roman" w:cs="Times New Roman"/>
          <w:color w:val="auto"/>
          <w:sz w:val="24"/>
        </w:rPr>
        <w:t>何家堡进行锚泊</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远期可利用广兴洲锚地进行锚泊，锚地利用具体事宜建议业主与相关部门协商解决。</w:t>
      </w:r>
    </w:p>
    <w:p>
      <w:pPr>
        <w:pStyle w:val="5"/>
        <w:ind w:left="578" w:hanging="578"/>
        <w:rPr>
          <w:rFonts w:hint="default" w:ascii="Times New Roman" w:hAnsi="Times New Roman" w:cs="Times New Roman" w:eastAsiaTheme="minorEastAsia"/>
          <w:color w:val="auto"/>
        </w:rPr>
      </w:pPr>
      <w:bookmarkStart w:id="42" w:name="_Toc16936"/>
      <w:r>
        <w:rPr>
          <w:rFonts w:hint="default" w:ascii="Times New Roman" w:hAnsi="Times New Roman" w:cs="Times New Roman" w:eastAsiaTheme="minorEastAsia"/>
          <w:color w:val="auto"/>
        </w:rPr>
        <w:t>助导航及安全监督设施</w:t>
      </w:r>
      <w:bookmarkEnd w:id="42"/>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长江沿线助导航设施较完善，本项目可利用现有导助航设施，不考虑新增。</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装卸工艺</w:t>
      </w:r>
    </w:p>
    <w:p>
      <w:pPr>
        <w:pStyle w:val="5"/>
        <w:ind w:left="578" w:hanging="578"/>
        <w:rPr>
          <w:rFonts w:hint="default" w:ascii="Times New Roman" w:hAnsi="Times New Roman" w:cs="Times New Roman" w:eastAsiaTheme="minorEastAsia"/>
          <w:color w:val="auto"/>
        </w:rPr>
      </w:pPr>
      <w:bookmarkStart w:id="43" w:name="_Toc14062"/>
      <w:r>
        <w:rPr>
          <w:rFonts w:hint="default" w:ascii="Times New Roman" w:hAnsi="Times New Roman" w:cs="Times New Roman" w:eastAsiaTheme="minorEastAsia"/>
          <w:color w:val="auto"/>
        </w:rPr>
        <w:t>主要设计参数</w:t>
      </w:r>
      <w:bookmarkEnd w:id="43"/>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年LNG加注量：2.6万吨/年；</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作业班次：4班3倒制；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年营运天数：330天；</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工艺方案</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eastAsiaTheme="minorEastAsia"/>
          <w:color w:val="auto"/>
          <w:sz w:val="24"/>
          <w:u w:val="single"/>
        </w:rPr>
        <w:t>岳阳LNG接收站（储备中心）项目</w:t>
      </w:r>
      <w:r>
        <w:rPr>
          <w:rFonts w:hint="eastAsia" w:ascii="Times New Roman" w:hAnsi="Times New Roman" w:cs="Times New Roman" w:eastAsiaTheme="minorEastAsia"/>
          <w:color w:val="auto"/>
          <w:sz w:val="24"/>
          <w:u w:val="single"/>
          <w:lang w:val="en-US" w:eastAsia="zh-CN"/>
        </w:rPr>
        <w:t>湖南省重点项目，</w:t>
      </w:r>
      <w:r>
        <w:rPr>
          <w:rFonts w:hint="default" w:ascii="Times New Roman" w:hAnsi="Times New Roman" w:cs="Times New Roman" w:eastAsiaTheme="minorEastAsia"/>
          <w:color w:val="auto"/>
          <w:sz w:val="24"/>
          <w:u w:val="single"/>
        </w:rPr>
        <w:t>承担着湖南省天然气储气调峰的重要职能</w:t>
      </w:r>
      <w:r>
        <w:rPr>
          <w:rFonts w:hint="eastAsia"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rPr>
        <w:t>为LNG加注码头、水上LNG加注船、陆上LNG加气站等提供LNG资源。</w:t>
      </w:r>
      <w:r>
        <w:rPr>
          <w:rFonts w:hint="eastAsia" w:ascii="Times New Roman" w:hAnsi="Times New Roman" w:cs="Times New Roman" w:eastAsiaTheme="minorEastAsia"/>
          <w:color w:val="auto"/>
          <w:sz w:val="24"/>
          <w:u w:val="single"/>
          <w:lang w:val="en-US" w:eastAsia="zh-CN"/>
        </w:rPr>
        <w:t>在后方陆域LNG</w:t>
      </w:r>
      <w:r>
        <w:rPr>
          <w:rFonts w:hint="eastAsia" w:ascii="Times New Roman" w:hAnsi="Times New Roman" w:cs="Times New Roman"/>
          <w:b w:val="0"/>
          <w:bCs w:val="0"/>
          <w:color w:val="auto"/>
          <w:sz w:val="24"/>
          <w:szCs w:val="24"/>
          <w:u w:val="single"/>
          <w:lang w:val="en-US" w:eastAsia="zh-CN"/>
        </w:rPr>
        <w:t>储罐未储备气源前，</w:t>
      </w:r>
      <w:r>
        <w:rPr>
          <w:rFonts w:hint="default" w:ascii="Times New Roman" w:hAnsi="Times New Roman" w:cs="Times New Roman"/>
          <w:color w:val="auto"/>
          <w:sz w:val="24"/>
          <w:u w:val="single"/>
        </w:rPr>
        <w:t>采用罐箱加注，将罐箱运至加注平台，通过加注撬对受注船舶进行加注。</w:t>
      </w:r>
      <w:r>
        <w:rPr>
          <w:rFonts w:hint="default" w:ascii="Times New Roman" w:hAnsi="Times New Roman" w:cs="Times New Roman"/>
          <w:color w:val="auto"/>
          <w:sz w:val="24"/>
          <w:szCs w:val="24"/>
          <w:u w:val="single"/>
        </w:rPr>
        <w:t>平台出入口设有汽车衡，LNG槽车和罐箱可在出入平台时进行称重</w:t>
      </w:r>
      <w:r>
        <w:rPr>
          <w:rFonts w:hint="eastAsia" w:ascii="Times New Roman" w:hAnsi="Times New Roman" w:cs="Times New Roman"/>
          <w:color w:val="auto"/>
          <w:sz w:val="24"/>
          <w:szCs w:val="24"/>
          <w:u w:val="single"/>
          <w:lang w:eastAsia="zh-CN"/>
        </w:rPr>
        <w:t>；</w:t>
      </w:r>
      <w:r>
        <w:rPr>
          <w:rFonts w:hint="eastAsia" w:ascii="Times New Roman" w:hAnsi="Times New Roman" w:cs="Times New Roman" w:eastAsiaTheme="minorEastAsia"/>
          <w:color w:val="auto"/>
          <w:sz w:val="24"/>
          <w:u w:val="single"/>
          <w:lang w:val="en-US" w:eastAsia="zh-CN"/>
        </w:rPr>
        <w:t>在后方陆域LNG</w:t>
      </w:r>
      <w:r>
        <w:rPr>
          <w:rFonts w:hint="eastAsia" w:ascii="Times New Roman" w:hAnsi="Times New Roman" w:cs="Times New Roman"/>
          <w:b w:val="0"/>
          <w:bCs w:val="0"/>
          <w:color w:val="auto"/>
          <w:sz w:val="24"/>
          <w:szCs w:val="24"/>
          <w:u w:val="single"/>
          <w:lang w:val="en-US" w:eastAsia="zh-CN"/>
        </w:rPr>
        <w:t>储罐储备气源后，加注码头与</w:t>
      </w:r>
      <w:r>
        <w:rPr>
          <w:rFonts w:hint="eastAsia" w:ascii="Times New Roman" w:hAnsi="Times New Roman" w:cs="Times New Roman" w:eastAsiaTheme="minorEastAsia"/>
          <w:color w:val="auto"/>
          <w:sz w:val="24"/>
          <w:u w:val="single"/>
          <w:lang w:val="en-US" w:eastAsia="zh-CN"/>
        </w:rPr>
        <w:t>LNG</w:t>
      </w:r>
      <w:r>
        <w:rPr>
          <w:rFonts w:hint="eastAsia" w:ascii="Times New Roman" w:hAnsi="Times New Roman" w:cs="Times New Roman"/>
          <w:b w:val="0"/>
          <w:bCs w:val="0"/>
          <w:color w:val="auto"/>
          <w:sz w:val="24"/>
          <w:szCs w:val="24"/>
          <w:u w:val="single"/>
          <w:lang w:val="en-US" w:eastAsia="zh-CN"/>
        </w:rPr>
        <w:t>储罐之间用管道输送气源</w:t>
      </w:r>
      <w:r>
        <w:rPr>
          <w:rFonts w:hint="default" w:ascii="Times New Roman" w:hAnsi="Times New Roman" w:cs="Times New Roman" w:eastAsiaTheme="minorEastAsia"/>
          <w:color w:val="auto"/>
          <w:sz w:val="24"/>
          <w:u w:val="single"/>
        </w:rPr>
        <w:t>。</w:t>
      </w:r>
      <w:r>
        <w:rPr>
          <w:rFonts w:hint="default" w:ascii="Times New Roman" w:hAnsi="Times New Roman" w:cs="Times New Roman"/>
          <w:color w:val="auto"/>
          <w:sz w:val="24"/>
          <w:u w:val="single"/>
        </w:rPr>
        <w:t>该加注工艺方案流程更简单，管道输送距离短，操作更灵活</w:t>
      </w:r>
      <w:r>
        <w:rPr>
          <w:rFonts w:hint="eastAsia" w:ascii="Times New Roman" w:hAnsi="Times New Roman" w:cs="Times New Roman"/>
          <w:color w:val="auto"/>
          <w:sz w:val="24"/>
          <w:u w:val="single"/>
          <w:lang w:eastAsia="zh-CN"/>
        </w:rPr>
        <w:t>，</w:t>
      </w:r>
      <w:r>
        <w:rPr>
          <w:rFonts w:hint="eastAsia"/>
          <w:color w:val="auto"/>
          <w:sz w:val="24"/>
          <w:u w:val="single"/>
        </w:rPr>
        <w:t>并且减少了</w:t>
      </w:r>
      <w:r>
        <w:rPr>
          <w:rFonts w:hint="eastAsia"/>
          <w:color w:val="auto"/>
          <w:sz w:val="24"/>
          <w:u w:val="single"/>
          <w:lang w:val="en-US" w:eastAsia="zh-CN"/>
        </w:rPr>
        <w:t>工程</w:t>
      </w:r>
      <w:r>
        <w:rPr>
          <w:rFonts w:hint="eastAsia"/>
          <w:color w:val="auto"/>
          <w:sz w:val="24"/>
          <w:u w:val="single"/>
        </w:rPr>
        <w:t>投资</w:t>
      </w:r>
      <w:r>
        <w:rPr>
          <w:rFonts w:hint="default" w:ascii="Times New Roman" w:hAnsi="Times New Roman" w:cs="Times New Roman"/>
          <w:color w:val="auto"/>
          <w:sz w:val="24"/>
          <w:u w:val="single"/>
        </w:rPr>
        <w:t>。主要流程如下：</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1、自增压流程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将LNG槽车的增压口和回气口与卸车撬相连接后，打开相应阀门，让LNG经过卸车撬的增压器对LNG槽车进行增压，当槽车的压力大于被加注储罐，形成压差后，打开卸车液相口对储罐进行加注，直至加注完成。</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2、潜液泵输送流程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首先连接好LNG槽车卸车液相口和卸车回气口，采用泵卸车加注时，需对泵进行预冷，打开卸车液相口和卸车回气口相应阀门，让LNG流进泵池，当泵池低温度≤-110℃和泵池上温度相差小于10℃时，泵池预冷完成，且预冷时间超过15分钟，潜液泵具备启动条件，可启动潜液泵进行加注。</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3、加注工艺描述</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LNG加注工艺分为卸车加注、调压、安全卸放三项功能。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⑴ 自增压卸车工艺：LNG槽车液相→卸车自增压管路系统→LNG槽车气相。</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⑵ 泵增压卸车工艺：LNG槽车液相→低温泵→加注计量橇→加注软管→LNG燃料船液货舱。将槽车内的LNG经过低温泵增压后通过加注计量装置加注到LNG燃料船液货舱的流程。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⑶ 调压流程：LNG槽车液相→自增压气化器→LNG槽车气相。当槽车压力过低，无法满足工艺设备运行要求时，将槽车内的LNG通过增压管路输送到增压气化器，使其气化后返回LNG槽车气相空间，对槽车进行增压。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⑷ 安全卸放：安全阀或者紧急排放阀→EAG加热器→阻火器→放散塔。</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2"/>
          <w:lang w:val="zh-CN"/>
        </w:rPr>
      </w:pPr>
      <w:r>
        <w:rPr>
          <w:rFonts w:hint="default" w:ascii="Times New Roman" w:hAnsi="Times New Roman" w:cs="Times New Roman"/>
          <w:color w:val="auto"/>
          <w:sz w:val="24"/>
          <w:u w:val="single"/>
        </w:rPr>
        <w:t>由于系统漏热以及外界带进的热量，致使LNG气化产生气体，气化气体的产生会使系统压力升高。当系统压力大于设定值时，系统中的安全阀打开，释放系统中的气体，降低压力，保证系统安全。</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主要工艺设备</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1、卸车系统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采用集装箱橇设计，将低温潜液泵、泵池、低温管道、控制阀门以及控制系统等集中一体。重要组成部件：</w:t>
      </w:r>
    </w:p>
    <w:p>
      <w:pPr>
        <w:pStyle w:val="843"/>
        <w:adjustRightInd w:val="0"/>
        <w:spacing w:line="276" w:lineRule="auto"/>
        <w:ind w:firstLine="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13730" cy="2663190"/>
            <wp:effectExtent l="0" t="0" r="1270" b="3810"/>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25"/>
                    <a:stretch>
                      <a:fillRect/>
                    </a:stretch>
                  </pic:blipFill>
                  <pic:spPr>
                    <a:xfrm>
                      <a:off x="0" y="0"/>
                      <a:ext cx="5713730" cy="2663190"/>
                    </a:xfrm>
                    <a:prstGeom prst="rect">
                      <a:avLst/>
                    </a:prstGeom>
                    <a:noFill/>
                    <a:ln>
                      <a:noFill/>
                    </a:ln>
                  </pic:spPr>
                </pic:pic>
              </a:graphicData>
            </a:graphic>
          </wp:inline>
        </w:drawing>
      </w:r>
    </w:p>
    <w:p>
      <w:pPr>
        <w:adjustRightInd w:val="0"/>
        <w:snapToGrid w:val="0"/>
        <w:spacing w:line="276" w:lineRule="auto"/>
        <w:ind w:firstLine="482" w:firstLineChars="200"/>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图3.4-2  集装箱卸车加注撬</w:t>
      </w:r>
    </w:p>
    <w:p>
      <w:pPr>
        <w:adjustRightInd w:val="0"/>
        <w:snapToGrid w:val="0"/>
        <w:spacing w:line="360" w:lineRule="auto"/>
        <w:ind w:firstLine="482" w:firstLineChars="200"/>
        <w:rPr>
          <w:rFonts w:hint="default" w:ascii="Times New Roman" w:hAnsi="Times New Roman" w:cs="Times New Roman"/>
          <w:color w:val="auto"/>
          <w:sz w:val="24"/>
          <w:u w:val="single"/>
        </w:rPr>
      </w:pPr>
      <w:r>
        <w:rPr>
          <w:rFonts w:hint="default" w:ascii="Times New Roman" w:hAnsi="Times New Roman" w:cs="Times New Roman"/>
          <w:b/>
          <w:bCs/>
          <w:color w:val="auto"/>
          <w:sz w:val="24"/>
          <w:u w:val="single"/>
        </w:rPr>
        <w:t>2、控制系统</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采用20英尺标准集装箱，内含：容纳仪表风系统、配电柜、PLC柜、变频柜、安全监控、视频监控主机及显示器等，内部配置照明、办公桌椅、空调（1.5P冷暖1台）、电源网线插孔等。</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仪表风系统提供洁净的压缩空气或氮气，驱动气动阀，是保证加气站正常运营的重要配套设施。仪表风系统包括压缩、净化、干燥、储存设备。由一台活塞式空压机、一台吸附式干燥机或冷干机组成系统。仪表风系统的压力信号传输到PLC过程控制系统，实现实时采集、监测压缩气源的工作参数，异常状况及时预警。</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3、加注及卸车设施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加注采用软管吊起吊加注软管，可延伸长度不小于3m，最大起重重量不少于0.9t，吊臂不短于4.5m，满足水位落差的起吊需求。</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加注软管：DN80及DN50，配置安全拉断阀。</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卸车软管：DN50及DN25，配置安全拉断阀。</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加注口快速接头：DN80及DN50，母头。</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4、汽车衡</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在码头平台出入口合适位置设置，最大称重80t，可以进行统计并进行贸易精确计量结算。</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水工建筑物</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1、码头1#泊位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1#泊位水工建筑物由1座靠船加注平台，3座靠船墩，2座系缆墩，1座卸车平台，1座倒车平台及1座固定引桥组成。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靠船加注平台平面尺度18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12m，为高桩墩式结构。桩基采用Φ1000mm钢管桩。二层系缆墩台顶标高4.2m，上部通过Φ1000mm立柱架立两层平台，各平台之间通过钢爬梯相连。靠船墩顶、中间承台及二层系缆平台设有550kN系船柱。平台前沿在钢靠船构件前沿竖向设置DA-A500H标准反力型橡胶护舷。</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系靠船墩为高桩墩式结构，平面尺度10</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10m。桩基采用Φ1000mm钢管桩。二层系缆墩台顶标高4.2m，上部通过Φ1000mm立柱架立两层平台，各平台之间通过钢爬梯相连。靠船墩顶、中间承台及二层系缆平台设有550kN系船柱。平台前沿在钢靠船构件前沿竖向设置DA-A500H标准反力型橡胶护舷。</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系缆墩平面尺度8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×8m，桩基采用Φ1000 δ18mm钢管桩，斜度4:1，上部现浇钢筋砼墩台。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系缆墩、系靠船墩与加注平台之间通过钢联桥相连。钢联桥仅人行。</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卸车平台位于加注平台岸侧，为高桩墩式结构，平面尺度18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×28m，桩基采用Φ1000mm钢管桩，上部现浇钢筋砼墩台。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1#倒车平台平面尺度为35.5</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×45m，为高桩墩式结构桩基采用Φ1000mm钻孔灌注桩，上部现浇钢筋砼墩台。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接岸引桥长98.32</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×6m（长×宽），采用高桩排架结构，排架间距16m。下部桩基采用Φ1000mm钻孔灌注桩。上部为现浇钢筋砼横梁、预应力砼空心板及现浇面层组成。</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2、码头2#泊位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2#泊位位于1#泊位下游侧。2#泊位由1座靠船加注平台，3座靠船墩，2座系缆墩，1座卸车平台，1座倒车平台及1座固定联桥组成。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靠船加注平台平面尺度18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12m，为高桩墩式结构。桩基采用Φ1000mm钢管桩。二层系缆墩台顶标高4.2m，上部通过Φ1000mm立柱架立两层平台，各平台之间通过钢爬梯相连。靠船墩顶、中间承台及二层系缆平台设有550kN系船柱。平台前沿在钢靠船构件前沿竖向设置DA-A500H标准反力型橡胶护舷。</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系靠船墩为高桩墩式结构，平面尺度10</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10m。桩基采用Φ1000mm钢管桩。二层系缆墩台顶标高4.2m，上部通过Φ1000mm立柱架立两层平台，各平台之间通过钢爬梯相连。靠船墩顶、中间承台及二层系缆平台设有550kN系船柱。平台前沿在钢靠船构件前沿竖向设置DA-A500H标准反力型橡胶护舷。</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系缆墩平面尺度8</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×8m，桩基采用Φ1000</w:t>
      </w:r>
      <w:r>
        <w:rPr>
          <w:rFonts w:hint="eastAsia" w:ascii="Times New Roman" w:hAnsi="Times New Roman" w:cs="Times New Roman"/>
          <w:color w:val="auto"/>
          <w:sz w:val="24"/>
          <w:lang w:val="en-US" w:eastAsia="zh-CN"/>
        </w:rPr>
        <w:t xml:space="preserve"> </w:t>
      </w:r>
      <w:r>
        <w:rPr>
          <w:rFonts w:hint="default" w:ascii="Times New Roman" w:hAnsi="Times New Roman" w:cs="Times New Roman"/>
          <w:color w:val="auto"/>
          <w:sz w:val="24"/>
        </w:rPr>
        <w:t>δ18mm钢管桩，斜度4:1，上部现浇钢筋砼墩台。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系缆墩、系靠船墩与加注平台之间通过钢联桥相连。钢联桥仅人行。</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卸车平台位于加注平台岸侧，为高桩墩式结构，平面尺度15.5</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×28m，桩基采用Φ1000mm钢管桩，上部现浇钢筋砼墩台。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2#倒车平台平面尺度为20.5</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×63m，为高桩墩式结构桩基采用Φ1000mm钻孔灌注桩，上部现浇钢筋砼墩台。</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rPr>
        <w:t>固定联桥长92</w:t>
      </w:r>
      <w:r>
        <w:rPr>
          <w:rFonts w:hint="eastAsia" w:ascii="Times New Roman" w:hAnsi="Times New Roman" w:cs="Times New Roman"/>
          <w:color w:val="auto"/>
          <w:sz w:val="24"/>
          <w:lang w:val="en-US" w:eastAsia="zh-CN"/>
        </w:rPr>
        <w:t>m</w:t>
      </w:r>
      <w:r>
        <w:rPr>
          <w:rFonts w:hint="default" w:ascii="Times New Roman" w:hAnsi="Times New Roman" w:cs="Times New Roman"/>
          <w:color w:val="auto"/>
          <w:sz w:val="24"/>
        </w:rPr>
        <w:t>×6m（长×宽），采用高桩排架结构，排架间距16m。下部桩基采用Φ1000mm钻孔灌注桩。上部为现浇钢筋砼横梁、预应力砼空心板及现浇面层组成。</w:t>
      </w:r>
    </w:p>
    <w:p>
      <w:pPr>
        <w:pStyle w:val="325"/>
        <w:tabs>
          <w:tab w:val="right" w:leader="dot" w:pos="9070"/>
        </w:tabs>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表3.4-6  水工建筑物平面尺度及设计顶面高程表</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2834"/>
        <w:gridCol w:w="3096"/>
        <w:gridCol w:w="18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序号</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b/>
                <w:color w:val="auto"/>
                <w:sz w:val="21"/>
                <w:szCs w:val="21"/>
              </w:rPr>
              <w:t>项目名称</w:t>
            </w:r>
          </w:p>
        </w:tc>
        <w:tc>
          <w:tcPr>
            <w:tcW w:w="1701" w:type="pct"/>
            <w:tcMar>
              <w:top w:w="0" w:type="dxa"/>
              <w:left w:w="0" w:type="dxa"/>
              <w:bottom w:w="0" w:type="dxa"/>
              <w:right w:w="0" w:type="dxa"/>
            </w:tcMar>
            <w:vAlign w:val="center"/>
          </w:tcPr>
          <w:p>
            <w:pPr>
              <w:pStyle w:val="325"/>
              <w:tabs>
                <w:tab w:val="left" w:pos="557"/>
              </w:tabs>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b/>
                <w:color w:val="auto"/>
                <w:sz w:val="21"/>
                <w:szCs w:val="21"/>
              </w:rPr>
              <w:t>平面尺度（长</w:t>
            </w:r>
            <w:r>
              <w:rPr>
                <w:rFonts w:hint="eastAsia" w:ascii="Times New Roman" w:hAnsi="Times New Roman" w:cs="Times New Roman"/>
                <w:b/>
                <w:color w:val="auto"/>
                <w:sz w:val="21"/>
                <w:szCs w:val="21"/>
                <w:lang w:val="en-US" w:eastAsia="zh-CN"/>
              </w:rPr>
              <w:t>m</w:t>
            </w:r>
            <w:r>
              <w:rPr>
                <w:rFonts w:hint="default" w:ascii="Times New Roman" w:hAnsi="Times New Roman" w:cs="Times New Roman"/>
                <w:b/>
                <w:color w:val="auto"/>
                <w:sz w:val="21"/>
                <w:szCs w:val="21"/>
              </w:rPr>
              <w:t>×宽m）</w:t>
            </w:r>
          </w:p>
        </w:tc>
        <w:tc>
          <w:tcPr>
            <w:tcW w:w="1024" w:type="pct"/>
            <w:tcMar>
              <w:top w:w="0" w:type="dxa"/>
              <w:left w:w="0" w:type="dxa"/>
              <w:bottom w:w="0" w:type="dxa"/>
              <w:right w:w="0" w:type="dxa"/>
            </w:tcMar>
            <w:vAlign w:val="center"/>
          </w:tcPr>
          <w:p>
            <w:pPr>
              <w:pStyle w:val="325"/>
              <w:tabs>
                <w:tab w:val="left" w:pos="462"/>
              </w:tabs>
              <w:adjustRightInd w:val="0"/>
              <w:snapToGrid w:val="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靠船加注平台</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18×12</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系靠船墩</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10×10</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系缆墩平面</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8×8</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卸车平台</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1#泊位18×28，2#泊位15.5×28</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倒车平台</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1#泊位35.5×45，2#泊位20.5×63</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接岸钢引桥</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98.32×6</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1557"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固定钢联桥</w:t>
            </w:r>
          </w:p>
        </w:tc>
        <w:tc>
          <w:tcPr>
            <w:tcW w:w="1701"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92×6</w:t>
            </w:r>
          </w:p>
        </w:tc>
        <w:tc>
          <w:tcPr>
            <w:tcW w:w="1024" w:type="pct"/>
            <w:tcMar>
              <w:top w:w="0" w:type="dxa"/>
              <w:left w:w="0" w:type="dxa"/>
              <w:bottom w:w="0" w:type="dxa"/>
              <w:right w:w="0" w:type="dxa"/>
            </w:tcMar>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1座</w:t>
            </w:r>
          </w:p>
        </w:tc>
      </w:tr>
    </w:tbl>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2"/>
          <w:lang w:val="zh-CN"/>
        </w:rPr>
      </w:pPr>
    </w:p>
    <w:p>
      <w:pPr>
        <w:pStyle w:val="4"/>
        <w:ind w:left="578" w:hanging="578"/>
        <w:rPr>
          <w:rFonts w:hint="default" w:ascii="Times New Roman" w:hAnsi="Times New Roman" w:cs="Times New Roman" w:eastAsiaTheme="minorEastAsia"/>
          <w:color w:val="auto"/>
        </w:rPr>
      </w:pPr>
      <w:bookmarkStart w:id="44" w:name="_Toc14611"/>
      <w:r>
        <w:rPr>
          <w:rFonts w:hint="default" w:ascii="Times New Roman" w:hAnsi="Times New Roman" w:cs="Times New Roman" w:eastAsiaTheme="minorEastAsia"/>
          <w:color w:val="auto"/>
        </w:rPr>
        <w:t>建设用地方案</w:t>
      </w:r>
      <w:bookmarkEnd w:id="44"/>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rPr>
        <w:t>本项目不含陆域工程，供水、供电均依托后方相关配套设施，无征地，无拆迁。</w:t>
      </w:r>
      <w:r>
        <w:rPr>
          <w:rFonts w:hint="default" w:ascii="Times New Roman" w:hAnsi="Times New Roman" w:cs="Times New Roman" w:eastAsiaTheme="minorEastAsia"/>
          <w:color w:val="auto"/>
          <w:sz w:val="24"/>
          <w:u w:val="single"/>
        </w:rPr>
        <w:t>岳阳LNG接收站（储备中心）项目</w:t>
      </w:r>
      <w:r>
        <w:rPr>
          <w:rFonts w:hint="eastAsia" w:ascii="Times New Roman" w:hAnsi="Times New Roman" w:cs="Times New Roman" w:eastAsiaTheme="minorEastAsia"/>
          <w:color w:val="auto"/>
          <w:sz w:val="24"/>
          <w:u w:val="single"/>
          <w:lang w:val="en-US" w:eastAsia="zh-CN"/>
        </w:rPr>
        <w:t>所需的永久用地28.85hm</w:t>
      </w:r>
      <w:r>
        <w:rPr>
          <w:rFonts w:hint="eastAsia" w:ascii="Times New Roman" w:hAnsi="Times New Roman" w:cs="Times New Roman" w:eastAsiaTheme="minorEastAsia"/>
          <w:color w:val="auto"/>
          <w:sz w:val="24"/>
          <w:u w:val="single"/>
          <w:vertAlign w:val="superscript"/>
          <w:lang w:val="en-US" w:eastAsia="zh-CN"/>
        </w:rPr>
        <w:t>2</w:t>
      </w:r>
      <w:r>
        <w:rPr>
          <w:rFonts w:hint="eastAsia" w:ascii="Times New Roman" w:hAnsi="Times New Roman" w:cs="Times New Roman" w:eastAsiaTheme="minorEastAsia"/>
          <w:color w:val="auto"/>
          <w:sz w:val="24"/>
          <w:u w:val="single"/>
          <w:lang w:val="en-US" w:eastAsia="zh-CN"/>
        </w:rPr>
        <w:t>的用地预审手续已在一期工程中完成。</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配套工程</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港区道路</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本项目利用港区现有道路。</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供电及照明系统</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1、供电电源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lang w:val="en-GB"/>
        </w:rPr>
        <w:t>本项目拟从</w:t>
      </w:r>
      <w:r>
        <w:rPr>
          <w:rFonts w:hint="default" w:ascii="Times New Roman" w:hAnsi="Times New Roman" w:cs="Times New Roman" w:eastAsiaTheme="minorEastAsia"/>
          <w:color w:val="auto"/>
          <w:sz w:val="24"/>
        </w:rPr>
        <w:t>岳阳LNG接收站（储备中心）项目（一期）</w:t>
      </w:r>
      <w:r>
        <w:rPr>
          <w:rFonts w:hint="default" w:ascii="Times New Roman" w:hAnsi="Times New Roman" w:cs="Times New Roman"/>
          <w:color w:val="auto"/>
          <w:sz w:val="24"/>
          <w:lang w:val="en-GB"/>
        </w:rPr>
        <w:t>后方罐区引一回相互独立的10kV专用电源至引桥侧箱式变电站。</w:t>
      </w:r>
    </w:p>
    <w:p>
      <w:pPr>
        <w:pStyle w:val="325"/>
        <w:numPr>
          <w:ilvl w:val="0"/>
          <w:numId w:val="6"/>
        </w:numPr>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供电方案</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本</w:t>
      </w:r>
      <w:r>
        <w:rPr>
          <w:rFonts w:hint="default" w:ascii="Times New Roman" w:hAnsi="Times New Roman" w:cs="Times New Roman"/>
          <w:color w:val="auto"/>
          <w:sz w:val="24"/>
          <w:lang w:val="en-GB"/>
        </w:rPr>
        <w:t>项目</w:t>
      </w:r>
      <w:r>
        <w:rPr>
          <w:rFonts w:hint="default" w:ascii="Times New Roman" w:hAnsi="Times New Roman" w:cs="Times New Roman"/>
          <w:color w:val="auto"/>
          <w:sz w:val="24"/>
        </w:rPr>
        <w:t>不设总降压站。拟在泊位附近的引桥侧新建10/0.4kV箱式变电站一座，箱式变电站设10/0.4kV 315kVA干式变压器一台，主要为加注撬、控制室和码头照明供电。</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箱式变电站和码头变电所均设置于爆炸危险环境之外。供电系统低压0.4kV侧采用单母线方式。低压动力系统主要采用放射式为主的配电方式；照明系统采用放射式与树干式相结合的配电方式。</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3、用电负荷及设备选择</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2"/>
          <w:lang w:val="en-GB"/>
        </w:rPr>
      </w:pPr>
      <w:r>
        <w:rPr>
          <w:rFonts w:hint="default" w:ascii="Times New Roman" w:hAnsi="Times New Roman" w:cs="Times New Roman"/>
          <w:color w:val="auto"/>
          <w:sz w:val="24"/>
          <w:szCs w:val="22"/>
          <w:lang w:val="en-GB"/>
        </w:rPr>
        <w:t>本</w:t>
      </w:r>
      <w:r>
        <w:rPr>
          <w:rFonts w:hint="default" w:ascii="Times New Roman" w:hAnsi="Times New Roman" w:cs="Times New Roman"/>
          <w:color w:val="auto"/>
          <w:sz w:val="24"/>
          <w:lang w:val="en-GB"/>
        </w:rPr>
        <w:t>项目</w:t>
      </w:r>
      <w:r>
        <w:rPr>
          <w:rFonts w:hint="default" w:ascii="Times New Roman" w:hAnsi="Times New Roman" w:cs="Times New Roman"/>
          <w:color w:val="auto"/>
          <w:sz w:val="24"/>
          <w:szCs w:val="22"/>
          <w:lang w:val="en-GB"/>
        </w:rPr>
        <w:t>一方案主要用电负荷有加注撬、控制室用电、码头照明用电，其中工艺及主要动力设备、应急照明等按二级负荷供电，其余负荷按三级负荷供电。</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2"/>
          <w:lang w:val="en-GB"/>
        </w:rPr>
      </w:pPr>
      <w:r>
        <w:rPr>
          <w:rFonts w:hint="default" w:ascii="Times New Roman" w:hAnsi="Times New Roman" w:cs="Times New Roman"/>
          <w:color w:val="auto"/>
          <w:sz w:val="24"/>
          <w:szCs w:val="22"/>
          <w:lang w:val="en-GB"/>
        </w:rPr>
        <w:t>墩台上设置LNG卸车泵2台，功率30kW/套。</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2"/>
          <w:lang w:val="en-GB"/>
        </w:rPr>
      </w:pPr>
      <w:r>
        <w:rPr>
          <w:rFonts w:hint="eastAsia" w:cs="Times New Roman"/>
          <w:color w:val="auto"/>
          <w:sz w:val="24"/>
          <w:szCs w:val="22"/>
          <w:lang w:val="en-US" w:eastAsia="zh-CN"/>
        </w:rPr>
        <w:t>加注平台</w:t>
      </w:r>
      <w:r>
        <w:rPr>
          <w:rFonts w:hint="default" w:ascii="Times New Roman" w:hAnsi="Times New Roman" w:cs="Times New Roman"/>
          <w:color w:val="auto"/>
          <w:sz w:val="24"/>
          <w:szCs w:val="22"/>
          <w:lang w:val="en-GB"/>
        </w:rPr>
        <w:t>上设置LNG加注泵2台，功率30kW/台；LNG压缩机1台，功率25kW/台；软管吊机1台，功率15kW/台；装卸臂电控系统1套（预留），功率10kW/套。</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4、照明方案</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2"/>
          <w:lang w:val="en-GB"/>
        </w:rPr>
      </w:pPr>
      <w:r>
        <w:rPr>
          <w:rFonts w:hint="default" w:ascii="Times New Roman" w:hAnsi="Times New Roman" w:cs="Times New Roman"/>
          <w:color w:val="auto"/>
          <w:sz w:val="24"/>
          <w:szCs w:val="22"/>
          <w:lang w:val="en-GB"/>
        </w:rPr>
        <w:t>主要是在引桥和码头平台上设置8</w:t>
      </w:r>
      <w:r>
        <w:rPr>
          <w:rFonts w:hint="default" w:ascii="Times New Roman" w:hAnsi="Times New Roman" w:cs="Times New Roman"/>
          <w:color w:val="auto"/>
          <w:sz w:val="24"/>
          <w:szCs w:val="22"/>
        </w:rPr>
        <w:t>m</w:t>
      </w:r>
      <w:r>
        <w:rPr>
          <w:rFonts w:hint="default" w:ascii="Times New Roman" w:hAnsi="Times New Roman" w:cs="Times New Roman"/>
          <w:color w:val="auto"/>
          <w:sz w:val="24"/>
          <w:szCs w:val="22"/>
          <w:lang w:val="en-GB"/>
        </w:rPr>
        <w:t>防爆路灯照明。为防止船舶碰撞，在码头平台两端、引桥管架侧等处设置红色警示灯。室外照明主要采用防爆节能型灯具，防护等级IP66。码头面照度不低于15lx，引桥及主干道路面照度不低于10lx。</w:t>
      </w:r>
    </w:p>
    <w:p>
      <w:pPr>
        <w:pStyle w:val="5"/>
        <w:ind w:left="578" w:hanging="578"/>
        <w:rPr>
          <w:rFonts w:hint="default" w:ascii="Times New Roman" w:hAnsi="Times New Roman" w:cs="Times New Roman" w:eastAsiaTheme="minorEastAsia"/>
          <w:color w:val="auto"/>
        </w:rPr>
      </w:pPr>
      <w:bookmarkStart w:id="45" w:name="_Toc6005"/>
      <w:r>
        <w:rPr>
          <w:rFonts w:hint="default" w:ascii="Times New Roman" w:hAnsi="Times New Roman" w:cs="Times New Roman" w:eastAsiaTheme="minorEastAsia"/>
          <w:color w:val="auto"/>
        </w:rPr>
        <w:t>给排水</w:t>
      </w:r>
      <w:bookmarkEnd w:id="45"/>
      <w:r>
        <w:rPr>
          <w:rFonts w:hint="default" w:ascii="Times New Roman" w:hAnsi="Times New Roman" w:cs="Times New Roman" w:eastAsiaTheme="minorEastAsia"/>
          <w:color w:val="auto"/>
        </w:rPr>
        <w:t>系统</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bookmarkStart w:id="46" w:name="_Toc174179704"/>
      <w:bookmarkStart w:id="47" w:name="_Toc174523578"/>
      <w:r>
        <w:rPr>
          <w:rFonts w:hint="default" w:ascii="Times New Roman" w:hAnsi="Times New Roman" w:cs="Times New Roman" w:eastAsiaTheme="minorEastAsia"/>
          <w:b/>
          <w:color w:val="auto"/>
          <w:sz w:val="24"/>
          <w:szCs w:val="24"/>
        </w:rPr>
        <w:t>1、供水</w:t>
      </w:r>
      <w:bookmarkEnd w:id="46"/>
      <w:bookmarkEnd w:id="47"/>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本项目生产、生活及消防水源均由后方管网接管供给。生活、生产给水管接管点管径为DN100。接管点水压≥0.3MPa。接管点位于设计分界线，供水水质符合生活饮用水卫生标准。</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码头最高日用水量：48m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/d；最大时用水量：5m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/h。</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码头单独设置生产、生活给水系统，采用枝状网布置。生产、生活给水管道沿引桥管架架空敷设至码头平台。码头平台设置船舶供水栓，向停靠船舶供水。管材采用内外涂塑钢管，卡箍连接。表面涂漆颜色同陆域生产、生活给水管。</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2、排水</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本项目排水采用雨、污分流制。</w:t>
      </w:r>
    </w:p>
    <w:p>
      <w:pPr>
        <w:adjustRightInd w:val="0"/>
        <w:snapToGrid w:val="0"/>
        <w:spacing w:line="360" w:lineRule="auto"/>
        <w:ind w:firstLine="480" w:firstLineChars="200"/>
        <w:rPr>
          <w:rFonts w:hint="default" w:ascii="Times New Roman" w:hAnsi="Times New Roman" w:cs="Times New Roman"/>
          <w:color w:val="auto"/>
          <w:sz w:val="24"/>
          <w:u w:val="single"/>
          <w:lang w:val="en-GB"/>
        </w:rPr>
      </w:pPr>
      <w:r>
        <w:rPr>
          <w:rFonts w:hint="default" w:ascii="Times New Roman" w:hAnsi="Times New Roman" w:cs="Times New Roman"/>
          <w:color w:val="auto"/>
          <w:sz w:val="24"/>
          <w:u w:val="single"/>
          <w:lang w:val="en-GB"/>
        </w:rPr>
        <w:t>本项目码头面和引桥雨水散流排放。</w:t>
      </w:r>
      <w:r>
        <w:rPr>
          <w:rFonts w:hint="default" w:ascii="Times New Roman" w:hAnsi="Times New Roman" w:cs="Times New Roman" w:eastAsiaTheme="minorEastAsia"/>
          <w:color w:val="auto"/>
          <w:sz w:val="24"/>
          <w:szCs w:val="24"/>
          <w:u w:val="single"/>
        </w:rPr>
        <w:t>本项目生活污水、初期雨水经污水收集箱收集后，再泵送至陆域罐区污水处理站</w:t>
      </w:r>
      <w:r>
        <w:rPr>
          <w:rFonts w:hint="eastAsia" w:ascii="Times New Roman" w:hAnsi="Times New Roman" w:cs="Times New Roman" w:eastAsiaTheme="minorEastAsia"/>
          <w:color w:val="auto"/>
          <w:sz w:val="24"/>
          <w:szCs w:val="24"/>
          <w:u w:val="single"/>
          <w:lang w:eastAsia="zh-CN"/>
        </w:rPr>
        <w:t>，</w:t>
      </w:r>
      <w:r>
        <w:rPr>
          <w:rFonts w:hint="eastAsia" w:ascii="Times New Roman" w:hAnsi="Times New Roman" w:cs="Times New Roman" w:eastAsiaTheme="minorEastAsia"/>
          <w:color w:val="auto"/>
          <w:sz w:val="24"/>
          <w:szCs w:val="24"/>
          <w:u w:val="single"/>
          <w:lang w:val="en-US" w:eastAsia="zh-CN"/>
        </w:rPr>
        <w:t>处理能力为</w:t>
      </w:r>
      <w:r>
        <w:rPr>
          <w:rFonts w:hint="default" w:ascii="Times New Roman" w:hAnsi="Times New Roman" w:cs="Times New Roman" w:eastAsiaTheme="minorEastAsia"/>
          <w:color w:val="auto"/>
          <w:sz w:val="24"/>
          <w:szCs w:val="24"/>
          <w:u w:val="single"/>
        </w:rPr>
        <w:t>5m</w:t>
      </w:r>
      <w:r>
        <w:rPr>
          <w:rFonts w:hint="eastAsia" w:ascii="Times New Roman" w:hAnsi="Times New Roman" w:cs="Times New Roman" w:eastAsiaTheme="minorEastAsia"/>
          <w:color w:val="auto"/>
          <w:sz w:val="24"/>
          <w:szCs w:val="24"/>
          <w:u w:val="single"/>
          <w:vertAlign w:val="superscript"/>
          <w:lang w:val="en-US" w:eastAsia="zh-CN"/>
        </w:rPr>
        <w:t>3</w:t>
      </w:r>
      <w:r>
        <w:rPr>
          <w:rFonts w:hint="eastAsia" w:ascii="Times New Roman" w:hAnsi="Times New Roman" w:cs="Times New Roman" w:eastAsiaTheme="minorEastAsia"/>
          <w:color w:val="auto"/>
          <w:sz w:val="24"/>
          <w:szCs w:val="24"/>
          <w:u w:val="single"/>
          <w:lang w:val="en-US" w:eastAsia="zh-CN"/>
        </w:rPr>
        <w:t>/h的一</w:t>
      </w:r>
      <w:r>
        <w:rPr>
          <w:rFonts w:hint="default" w:ascii="Times New Roman" w:hAnsi="Times New Roman" w:cs="Times New Roman" w:eastAsiaTheme="minorEastAsia"/>
          <w:color w:val="auto"/>
          <w:sz w:val="24"/>
          <w:szCs w:val="24"/>
          <w:u w:val="single"/>
        </w:rPr>
        <w:t>体化</w:t>
      </w:r>
      <w:r>
        <w:rPr>
          <w:rFonts w:hint="eastAsia" w:ascii="Times New Roman" w:hAnsi="Times New Roman" w:cs="Times New Roman" w:eastAsiaTheme="minorEastAsia"/>
          <w:color w:val="auto"/>
          <w:sz w:val="24"/>
          <w:szCs w:val="24"/>
          <w:u w:val="single"/>
          <w:lang w:val="en-US" w:eastAsia="zh-CN"/>
        </w:rPr>
        <w:t>污水处理设备，位于加注码头西侧约370m处，污水</w:t>
      </w:r>
      <w:r>
        <w:rPr>
          <w:rFonts w:hint="default" w:ascii="Times New Roman" w:hAnsi="Times New Roman" w:cs="Times New Roman" w:eastAsiaTheme="minorEastAsia"/>
          <w:color w:val="auto"/>
          <w:sz w:val="24"/>
          <w:szCs w:val="24"/>
          <w:u w:val="single"/>
        </w:rPr>
        <w:t>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u w:val="single"/>
          <w:lang w:val="en-US" w:eastAsia="zh-CN"/>
        </w:rPr>
        <w:t>不外排</w:t>
      </w:r>
      <w:r>
        <w:rPr>
          <w:rFonts w:hint="default" w:ascii="Times New Roman" w:hAnsi="Times New Roman" w:cs="Times New Roman" w:eastAsiaTheme="minorEastAsia"/>
          <w:color w:val="auto"/>
          <w:sz w:val="24"/>
          <w:szCs w:val="24"/>
          <w:u w:val="single"/>
        </w:rPr>
        <w:t>。项目产生的含油污水经污水收集</w:t>
      </w:r>
      <w:r>
        <w:rPr>
          <w:rFonts w:hint="eastAsia" w:ascii="Times New Roman" w:hAnsi="Times New Roman" w:cs="Times New Roman" w:eastAsiaTheme="minorEastAsia"/>
          <w:color w:val="auto"/>
          <w:sz w:val="24"/>
          <w:szCs w:val="24"/>
          <w:u w:val="single"/>
          <w:lang w:val="en-US" w:eastAsia="zh-CN"/>
        </w:rPr>
        <w:t>箱</w:t>
      </w:r>
      <w:r>
        <w:rPr>
          <w:rFonts w:hint="default" w:ascii="Times New Roman" w:hAnsi="Times New Roman" w:cs="Times New Roman" w:eastAsiaTheme="minorEastAsia"/>
          <w:color w:val="auto"/>
          <w:sz w:val="24"/>
          <w:szCs w:val="24"/>
          <w:u w:val="single"/>
        </w:rPr>
        <w:t>收集后，达到一定量后，通过</w:t>
      </w:r>
      <w:r>
        <w:rPr>
          <w:rFonts w:hint="eastAsia" w:ascii="Times New Roman" w:hAnsi="Times New Roman" w:cs="Times New Roman" w:eastAsiaTheme="minorEastAsia"/>
          <w:color w:val="auto"/>
          <w:sz w:val="24"/>
          <w:szCs w:val="24"/>
          <w:u w:val="single"/>
          <w:lang w:val="en-US" w:eastAsia="zh-CN"/>
        </w:rPr>
        <w:t>专业</w:t>
      </w:r>
      <w:r>
        <w:rPr>
          <w:rFonts w:hint="default" w:ascii="Times New Roman" w:hAnsi="Times New Roman" w:cs="Times New Roman" w:eastAsiaTheme="minorEastAsia"/>
          <w:color w:val="auto"/>
          <w:sz w:val="24"/>
          <w:szCs w:val="24"/>
          <w:u w:val="single"/>
        </w:rPr>
        <w:t>泵车外运至君山区第二污水处理厂处置，本项目采用泵车运输含油废水的次数约2~3次/年，尾水处理达到《城镇污水处理厂污染物排放标准》（GB18918-2002）中一级B标准后沿柳毅西路排入长江。</w:t>
      </w:r>
      <w:r>
        <w:rPr>
          <w:rFonts w:hint="default" w:ascii="Times New Roman" w:hAnsi="Times New Roman" w:cs="Times New Roman"/>
          <w:color w:val="auto"/>
          <w:sz w:val="24"/>
          <w:u w:val="single"/>
          <w:lang w:val="en-GB"/>
        </w:rPr>
        <w:t>项目初步污水处理设备均是依托</w:t>
      </w:r>
      <w:r>
        <w:rPr>
          <w:rFonts w:hint="default" w:ascii="Times New Roman" w:hAnsi="Times New Roman" w:cs="Times New Roman" w:eastAsiaTheme="minorEastAsia"/>
          <w:color w:val="auto"/>
          <w:sz w:val="24"/>
          <w:u w:val="single"/>
        </w:rPr>
        <w:t>岳阳LNG接收站（储备中心）项目（一期）拟建的污水处理设施。</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消防系统</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码头后方厂</w:t>
      </w:r>
      <w:r>
        <w:rPr>
          <w:rFonts w:hint="default" w:ascii="Times New Roman" w:hAnsi="Times New Roman" w:cs="Times New Roman"/>
          <w:color w:val="auto"/>
          <w:sz w:val="24"/>
          <w:highlight w:val="none"/>
          <w:lang w:val="en-GB"/>
        </w:rPr>
        <w:t>区设有一座有效容积为</w:t>
      </w:r>
      <w:r>
        <w:rPr>
          <w:rFonts w:hint="default" w:ascii="Times New Roman" w:hAnsi="Times New Roman" w:cs="Times New Roman"/>
          <w:color w:val="auto"/>
          <w:sz w:val="24"/>
          <w:highlight w:val="none"/>
          <w:lang w:val="en-US" w:eastAsia="zh-CN"/>
        </w:rPr>
        <w:t>110</w:t>
      </w:r>
      <w:r>
        <w:rPr>
          <w:rFonts w:hint="default" w:ascii="Times New Roman" w:hAnsi="Times New Roman" w:cs="Times New Roman"/>
          <w:color w:val="auto"/>
          <w:sz w:val="24"/>
          <w:highlight w:val="none"/>
          <w:lang w:val="en-GB"/>
        </w:rPr>
        <w:t>00m</w:t>
      </w:r>
      <w:r>
        <w:rPr>
          <w:rFonts w:hint="default" w:ascii="Times New Roman" w:hAnsi="Times New Roman" w:cs="Times New Roman"/>
          <w:color w:val="auto"/>
          <w:sz w:val="24"/>
          <w:highlight w:val="none"/>
          <w:vertAlign w:val="superscript"/>
          <w:lang w:val="en-GB"/>
        </w:rPr>
        <w:t>3</w:t>
      </w:r>
      <w:r>
        <w:rPr>
          <w:rFonts w:hint="default" w:ascii="Times New Roman" w:hAnsi="Times New Roman" w:cs="Times New Roman"/>
          <w:color w:val="auto"/>
          <w:sz w:val="24"/>
          <w:highlight w:val="none"/>
          <w:lang w:val="en-GB"/>
        </w:rPr>
        <w:t>的消防水池。LNG</w:t>
      </w:r>
      <w:r>
        <w:rPr>
          <w:rFonts w:hint="default" w:ascii="Times New Roman" w:hAnsi="Times New Roman" w:cs="Times New Roman"/>
          <w:color w:val="auto"/>
          <w:sz w:val="24"/>
          <w:lang w:val="en-GB"/>
        </w:rPr>
        <w:t>加注泊位消防水源由后方厂区高压消防供水管网接管供给；设计分界线处压力≥0.30MPa，接管管径DN150。</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采用移动式水冷却、固定式干粉灭火方式；发生火灾时，开启消火栓冷却，在关断气源时开启干粉炮灭火。</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消火栓用水量：162m</w:t>
      </w:r>
      <w:r>
        <w:rPr>
          <w:rFonts w:hint="default" w:ascii="Times New Roman" w:hAnsi="Times New Roman" w:cs="Times New Roman"/>
          <w:color w:val="auto"/>
          <w:sz w:val="24"/>
          <w:vertAlign w:val="superscript"/>
          <w:lang w:val="en-GB"/>
        </w:rPr>
        <w:t>3</w:t>
      </w:r>
      <w:r>
        <w:rPr>
          <w:rFonts w:hint="default" w:ascii="Times New Roman" w:hAnsi="Times New Roman" w:cs="Times New Roman"/>
          <w:color w:val="auto"/>
          <w:sz w:val="24"/>
          <w:lang w:val="en-GB"/>
        </w:rPr>
        <w:t>。</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在阀室，配置手提式干粉灭火器；在</w:t>
      </w:r>
      <w:r>
        <w:rPr>
          <w:rFonts w:hint="eastAsia" w:ascii="Times New Roman" w:hAnsi="Times New Roman" w:cs="Times New Roman"/>
          <w:color w:val="auto"/>
          <w:sz w:val="24"/>
          <w:lang w:val="en-US" w:eastAsia="zh-CN"/>
        </w:rPr>
        <w:t>平台</w:t>
      </w:r>
      <w:r>
        <w:rPr>
          <w:rFonts w:hint="default" w:ascii="Times New Roman" w:hAnsi="Times New Roman" w:cs="Times New Roman"/>
          <w:color w:val="auto"/>
          <w:sz w:val="24"/>
          <w:lang w:val="en-GB"/>
        </w:rPr>
        <w:t>加注区配置推车式干粉灭火器。在消防控制室设二氧化碳灭火器。</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通信系统</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w:t>
      </w:r>
      <w:bookmarkStart w:id="48" w:name="_Toc211605402"/>
      <w:r>
        <w:rPr>
          <w:rFonts w:hint="default" w:ascii="Times New Roman" w:hAnsi="Times New Roman" w:cs="Times New Roman"/>
          <w:b/>
          <w:bCs/>
          <w:color w:val="auto"/>
          <w:sz w:val="24"/>
          <w:szCs w:val="24"/>
        </w:rPr>
        <w:t>码头通信</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⑴</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GB"/>
        </w:rPr>
        <w:t>有线通信</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码头区内不设程控用户交换机，其有线电话由后方统一考虑。设置有线电话用户数量为2部。</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根据码头项目建设规模，由业主负责分别从后方引10对市话电缆至本项目设计分界线，本项目在码头变电所及消防控制室内设置自动电话。</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⑵</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GB"/>
        </w:rPr>
        <w:t>无线通信</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码头区域作业调度及流动人员的通信联络采用VHF无线对讲方式，配置6套防爆型手持式对讲机。</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工作频点由后方厂区统一向当地无线电频率管理部门申请。</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⑶</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GB"/>
        </w:rPr>
        <w:t>工业电视监视系统</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为了便于监视码头区的装卸作业情况，以利于生产管理和提高生产效率，本项目在码头区设置工业电视监视系统。在码头</w:t>
      </w:r>
      <w:r>
        <w:rPr>
          <w:rFonts w:hint="eastAsia" w:ascii="Times New Roman" w:hAnsi="Times New Roman" w:cs="Times New Roman"/>
          <w:color w:val="auto"/>
          <w:sz w:val="24"/>
          <w:szCs w:val="24"/>
          <w:lang w:val="en-US" w:eastAsia="zh-CN"/>
        </w:rPr>
        <w:t>加注</w:t>
      </w:r>
      <w:r>
        <w:rPr>
          <w:rFonts w:hint="default" w:ascii="Times New Roman" w:hAnsi="Times New Roman" w:cs="Times New Roman"/>
          <w:color w:val="auto"/>
          <w:sz w:val="24"/>
          <w:szCs w:val="24"/>
          <w:lang w:val="en-GB"/>
        </w:rPr>
        <w:t>平台、</w:t>
      </w:r>
      <w:r>
        <w:rPr>
          <w:rFonts w:hint="eastAsia" w:ascii="Times New Roman" w:hAnsi="Times New Roman" w:cs="Times New Roman"/>
          <w:color w:val="auto"/>
          <w:sz w:val="24"/>
          <w:szCs w:val="24"/>
          <w:lang w:val="en-US" w:eastAsia="zh-CN"/>
        </w:rPr>
        <w:t>卸车平台</w:t>
      </w:r>
      <w:r>
        <w:rPr>
          <w:rFonts w:hint="default" w:ascii="Times New Roman" w:hAnsi="Times New Roman" w:cs="Times New Roman"/>
          <w:color w:val="auto"/>
          <w:sz w:val="24"/>
          <w:szCs w:val="24"/>
          <w:lang w:val="en-GB"/>
        </w:rPr>
        <w:t>、变电所等处布置防爆摄像机。</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⑷</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GB"/>
        </w:rPr>
        <w:t>计算机通信</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在消防控制室内设置二级交换机，宽带网络通过光缆接入后方局域网。</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2、船岸通信</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码头区内不设短波单边带（SSB）电台和甚高频（VHF）船、岸通信电台，进出码头区船舶与码头区之间的远、近通信联系依托附近港现有的船、岸通信设施。</w:t>
      </w:r>
    </w:p>
    <w:p>
      <w:pPr>
        <w:adjustRightInd w:val="0"/>
        <w:snapToGrid w:val="0"/>
        <w:spacing w:line="360" w:lineRule="auto"/>
        <w:ind w:firstLine="480" w:firstLineChars="200"/>
        <w:rPr>
          <w:rFonts w:hint="default" w:ascii="Times New Roman" w:hAnsi="Times New Roman" w:cs="Times New Roman"/>
          <w:color w:val="auto"/>
          <w:sz w:val="24"/>
          <w:szCs w:val="24"/>
          <w:lang w:val="en-GB"/>
        </w:rPr>
      </w:pPr>
      <w:r>
        <w:rPr>
          <w:rFonts w:hint="default" w:ascii="Times New Roman" w:hAnsi="Times New Roman" w:cs="Times New Roman"/>
          <w:color w:val="auto"/>
          <w:sz w:val="24"/>
          <w:szCs w:val="24"/>
          <w:lang w:val="en-GB"/>
        </w:rPr>
        <w:t>为便于码头移动作业人员与船舶通信，配置6套防爆型VHF对讲机，采用水上专用频道，其功率不大于3瓦，对讲机的设置需得到当地无线电管理委员会的批准。</w:t>
      </w:r>
    </w:p>
    <w:bookmarkEnd w:id="48"/>
    <w:p>
      <w:pPr>
        <w:pStyle w:val="5"/>
        <w:ind w:left="578" w:hanging="578"/>
        <w:rPr>
          <w:rFonts w:hint="default" w:ascii="Times New Roman" w:hAnsi="Times New Roman" w:cs="Times New Roman" w:eastAsiaTheme="minorEastAsia"/>
          <w:color w:val="auto"/>
        </w:rPr>
      </w:pPr>
      <w:bookmarkStart w:id="49" w:name="_Toc6952"/>
      <w:r>
        <w:rPr>
          <w:rFonts w:hint="default" w:ascii="Times New Roman" w:hAnsi="Times New Roman" w:cs="Times New Roman" w:eastAsiaTheme="minorEastAsia"/>
          <w:color w:val="auto"/>
        </w:rPr>
        <w:t>暖通、动力</w:t>
      </w:r>
      <w:bookmarkEnd w:id="49"/>
    </w:p>
    <w:p>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暖通、动力</w:t>
      </w:r>
      <w:r>
        <w:rPr>
          <w:rFonts w:hint="default" w:ascii="Times New Roman" w:hAnsi="Times New Roman" w:cs="Times New Roman"/>
          <w:color w:val="auto"/>
          <w:sz w:val="24"/>
          <w:lang w:eastAsia="zh-CN"/>
        </w:rPr>
        <w:t>工程均依托</w:t>
      </w:r>
      <w:r>
        <w:rPr>
          <w:rFonts w:hint="default" w:ascii="Times New Roman" w:hAnsi="Times New Roman" w:cs="Times New Roman"/>
          <w:color w:val="auto"/>
          <w:sz w:val="24"/>
        </w:rPr>
        <w:t>后方接收站配套设施</w:t>
      </w:r>
      <w:r>
        <w:rPr>
          <w:rFonts w:hint="default" w:ascii="Times New Roman" w:hAnsi="Times New Roman" w:cs="Times New Roman"/>
          <w:color w:val="auto"/>
          <w:sz w:val="24"/>
          <w:lang w:eastAsia="zh-CN"/>
        </w:rPr>
        <w:t>，不在本项目中实施。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工艺管线需要氮气进行扫线，前期可以采用氮气瓶组，后期待后方接收站配套设施完善后，在码头上设置氮气管道系统，动力管道系统由后方库区引接。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控制室设置冷暖型分体式空调器。空调房间采用门窗缝隙自然渗透或外门开启的方式引入无组织新风。空调冷凝水局部散排。</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lang w:val="zh-CN"/>
        </w:rPr>
      </w:pPr>
      <w:r>
        <w:rPr>
          <w:rFonts w:hint="default" w:ascii="Times New Roman" w:hAnsi="Times New Roman" w:cs="Times New Roman"/>
          <w:color w:val="auto"/>
          <w:sz w:val="24"/>
        </w:rPr>
        <w:t>为排除电气设备工作时散热的余热，配电间内设置全面通风系统，采用机械排风，自然进风，换气次数不小于15次/h。</w:t>
      </w:r>
    </w:p>
    <w:p>
      <w:pPr>
        <w:pStyle w:val="5"/>
        <w:ind w:left="578" w:hanging="578"/>
        <w:rPr>
          <w:rFonts w:hint="default" w:ascii="Times New Roman" w:hAnsi="Times New Roman" w:cs="Times New Roman" w:eastAsiaTheme="minorEastAsia"/>
          <w:color w:val="auto"/>
        </w:rPr>
      </w:pPr>
      <w:bookmarkStart w:id="50" w:name="_Toc21939"/>
      <w:r>
        <w:rPr>
          <w:rFonts w:hint="default" w:ascii="Times New Roman" w:hAnsi="Times New Roman" w:cs="Times New Roman" w:eastAsiaTheme="minorEastAsia"/>
          <w:color w:val="auto"/>
        </w:rPr>
        <w:t>生产及辅助建筑物</w:t>
      </w:r>
      <w:bookmarkEnd w:id="50"/>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⑴</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GB"/>
        </w:rPr>
        <w:t>本项目系新建工程，根据总平面布置新建的辅助生产建筑物有阀室棚及变电所等，共计2项建筑单体，总建筑面积293m</w:t>
      </w:r>
      <w:r>
        <w:rPr>
          <w:rFonts w:hint="default" w:ascii="Times New Roman" w:hAnsi="Times New Roman" w:cs="Times New Roman"/>
          <w:color w:val="auto"/>
          <w:sz w:val="24"/>
          <w:vertAlign w:val="superscript"/>
          <w:lang w:val="en-GB"/>
        </w:rPr>
        <w:t>2</w:t>
      </w:r>
      <w:r>
        <w:rPr>
          <w:rFonts w:hint="default" w:ascii="Times New Roman" w:hAnsi="Times New Roman" w:cs="Times New Roman"/>
          <w:color w:val="auto"/>
          <w:sz w:val="24"/>
          <w:lang w:val="en-GB"/>
        </w:rPr>
        <w:t>。</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⑵</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GB"/>
        </w:rPr>
        <w:t>主要设计方案</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主要建筑物为变电所。</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变电所为2层建筑，一层为变、配电用房、二层为控制室，并设有一部疏散楼梯垂直连接两层。</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⑶</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GB"/>
        </w:rPr>
        <w:t>建筑构造及装修</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墙体采用灰砂砖，加气混凝土砌块。屋面防水采用APP改性沥青卷材防水。地面为地砖地面，楼面为地砖及防静电架空地板。内墙面采用无机涂料，外墙面采用仿石涂料。内门采用丙、乙级级防火门，外门为甲级防火门。窗为铝合金窗、钢百页窗及甲级防火窗。</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⑷</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GB"/>
        </w:rPr>
        <w:t>主要建、构筑物</w:t>
      </w:r>
    </w:p>
    <w:p>
      <w:pPr>
        <w:adjustRightInd w:val="0"/>
        <w:snapToGrid w:val="0"/>
        <w:spacing w:line="360" w:lineRule="auto"/>
        <w:ind w:firstLine="480" w:firstLineChars="200"/>
        <w:rPr>
          <w:rFonts w:hint="default" w:ascii="Times New Roman" w:hAnsi="Times New Roman" w:cs="Times New Roman"/>
          <w:color w:val="auto"/>
          <w:sz w:val="24"/>
          <w:lang w:val="en-GB"/>
        </w:rPr>
      </w:pPr>
      <w:r>
        <w:rPr>
          <w:rFonts w:hint="default" w:ascii="Times New Roman" w:hAnsi="Times New Roman" w:cs="Times New Roman"/>
          <w:color w:val="auto"/>
          <w:sz w:val="24"/>
          <w:lang w:val="en-GB"/>
        </w:rPr>
        <w:t>主要建、构筑物详见“建筑物一览表”及“构筑物一览表”如下。</w:t>
      </w:r>
    </w:p>
    <w:p>
      <w:pPr>
        <w:adjustRightInd w:val="0"/>
        <w:snapToGrid w:val="0"/>
        <w:spacing w:line="276" w:lineRule="auto"/>
        <w:jc w:val="center"/>
        <w:rPr>
          <w:rFonts w:hint="default" w:ascii="Times New Roman" w:hAnsi="Times New Roman" w:cs="Times New Roman"/>
          <w:color w:val="auto"/>
          <w:sz w:val="24"/>
          <w:szCs w:val="20"/>
        </w:rPr>
      </w:pPr>
      <w:r>
        <w:rPr>
          <w:rFonts w:hint="default" w:ascii="Times New Roman" w:hAnsi="Times New Roman" w:cs="Times New Roman"/>
          <w:b/>
          <w:bCs/>
          <w:color w:val="auto"/>
          <w:sz w:val="24"/>
          <w:szCs w:val="24"/>
        </w:rPr>
        <w:t>表3.4-7  建筑物一览表</w:t>
      </w:r>
    </w:p>
    <w:tbl>
      <w:tblPr>
        <w:tblStyle w:val="7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2322"/>
        <w:gridCol w:w="1387"/>
        <w:gridCol w:w="2133"/>
        <w:gridCol w:w="24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5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序号</w:t>
            </w:r>
          </w:p>
        </w:tc>
        <w:tc>
          <w:tcPr>
            <w:tcW w:w="1276"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名    称</w:t>
            </w:r>
          </w:p>
        </w:tc>
        <w:tc>
          <w:tcPr>
            <w:tcW w:w="7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建筑面积（m</w:t>
            </w:r>
            <w:r>
              <w:rPr>
                <w:rFonts w:hint="default" w:ascii="Times New Roman" w:hAnsi="Times New Roman" w:cs="Times New Roman"/>
                <w:b/>
                <w:bCs/>
                <w:color w:val="auto"/>
                <w:kern w:val="0"/>
                <w:vertAlign w:val="superscript"/>
              </w:rPr>
              <w:t>2</w:t>
            </w:r>
            <w:r>
              <w:rPr>
                <w:rFonts w:hint="default" w:ascii="Times New Roman" w:hAnsi="Times New Roman" w:cs="Times New Roman"/>
                <w:b/>
                <w:bCs/>
                <w:color w:val="auto"/>
                <w:kern w:val="0"/>
              </w:rPr>
              <w:t>）</w:t>
            </w:r>
          </w:p>
        </w:tc>
        <w:tc>
          <w:tcPr>
            <w:tcW w:w="117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建筑结构特征</w:t>
            </w:r>
          </w:p>
        </w:tc>
        <w:tc>
          <w:tcPr>
            <w:tcW w:w="133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5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1</w:t>
            </w:r>
          </w:p>
        </w:tc>
        <w:tc>
          <w:tcPr>
            <w:tcW w:w="1276"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变电所</w:t>
            </w:r>
          </w:p>
        </w:tc>
        <w:tc>
          <w:tcPr>
            <w:tcW w:w="7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243</w:t>
            </w:r>
          </w:p>
        </w:tc>
        <w:tc>
          <w:tcPr>
            <w:tcW w:w="117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钢筋混凝土框架</w:t>
            </w:r>
          </w:p>
        </w:tc>
        <w:tc>
          <w:tcPr>
            <w:tcW w:w="133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落于水工平台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5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w:t>
            </w:r>
          </w:p>
        </w:tc>
        <w:tc>
          <w:tcPr>
            <w:tcW w:w="1276"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阀室棚</w:t>
            </w:r>
          </w:p>
        </w:tc>
        <w:tc>
          <w:tcPr>
            <w:tcW w:w="76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50</w:t>
            </w:r>
          </w:p>
        </w:tc>
        <w:tc>
          <w:tcPr>
            <w:tcW w:w="1172"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钢筋混凝土框架</w:t>
            </w:r>
          </w:p>
        </w:tc>
        <w:tc>
          <w:tcPr>
            <w:tcW w:w="1335"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kern w:val="0"/>
              </w:rPr>
            </w:pPr>
          </w:p>
        </w:tc>
      </w:tr>
    </w:tbl>
    <w:p>
      <w:pPr>
        <w:adjustRightInd w:val="0"/>
        <w:snapToGrid w:val="0"/>
        <w:spacing w:line="360" w:lineRule="auto"/>
        <w:ind w:firstLine="480" w:firstLineChars="200"/>
        <w:rPr>
          <w:rFonts w:hint="default" w:ascii="Times New Roman" w:hAnsi="Times New Roman" w:cs="Times New Roman"/>
          <w:color w:val="auto"/>
          <w:sz w:val="24"/>
          <w:lang w:val="zh-CN"/>
        </w:rPr>
      </w:pPr>
    </w:p>
    <w:p>
      <w:pPr>
        <w:adjustRightInd w:val="0"/>
        <w:snapToGrid w:val="0"/>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表3.4-8  构筑物一览表</w:t>
      </w:r>
    </w:p>
    <w:tbl>
      <w:tblPr>
        <w:tblStyle w:val="7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5"/>
        <w:gridCol w:w="2015"/>
        <w:gridCol w:w="1203"/>
        <w:gridCol w:w="1203"/>
        <w:gridCol w:w="1851"/>
        <w:gridCol w:w="21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393"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10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    称</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单  位</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数  量</w:t>
            </w:r>
          </w:p>
        </w:tc>
        <w:tc>
          <w:tcPr>
            <w:tcW w:w="101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规模及特征</w:t>
            </w:r>
          </w:p>
        </w:tc>
        <w:tc>
          <w:tcPr>
            <w:tcW w:w="1158"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393"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10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15m高路灯基础</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个</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01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c>
          <w:tcPr>
            <w:tcW w:w="1158"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393"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10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8m高路灯基础</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个</w:t>
            </w:r>
          </w:p>
        </w:tc>
        <w:tc>
          <w:tcPr>
            <w:tcW w:w="661"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017"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c>
          <w:tcPr>
            <w:tcW w:w="1158" w:type="pct"/>
            <w:tcMar>
              <w:top w:w="0" w:type="dxa"/>
              <w:left w:w="0" w:type="dxa"/>
              <w:bottom w:w="0" w:type="dxa"/>
              <w:right w:w="0" w:type="dxa"/>
            </w:tcMar>
            <w:vAlign w:val="center"/>
          </w:tcPr>
          <w:p>
            <w:pPr>
              <w:pStyle w:val="688"/>
              <w:adjustRightInd w:val="0"/>
              <w:spacing w:before="0" w:beforeLines="0" w:after="0" w:afterLines="0" w:line="240" w:lineRule="auto"/>
              <w:rPr>
                <w:rFonts w:hint="default"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39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107"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砼管架</w:t>
            </w:r>
          </w:p>
        </w:tc>
        <w:tc>
          <w:tcPr>
            <w:tcW w:w="661"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个</w:t>
            </w:r>
          </w:p>
        </w:tc>
        <w:tc>
          <w:tcPr>
            <w:tcW w:w="661"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1017"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无</w:t>
            </w:r>
          </w:p>
        </w:tc>
        <w:tc>
          <w:tcPr>
            <w:tcW w:w="1158"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393"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107"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钢管架</w:t>
            </w:r>
          </w:p>
        </w:tc>
        <w:tc>
          <w:tcPr>
            <w:tcW w:w="661"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个</w:t>
            </w:r>
          </w:p>
        </w:tc>
        <w:tc>
          <w:tcPr>
            <w:tcW w:w="661"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1017"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无</w:t>
            </w:r>
          </w:p>
        </w:tc>
        <w:tc>
          <w:tcPr>
            <w:tcW w:w="1158" w:type="pct"/>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rPr>
            </w:pPr>
          </w:p>
        </w:tc>
      </w:tr>
    </w:tbl>
    <w:p>
      <w:pPr>
        <w:adjustRightInd w:val="0"/>
        <w:snapToGrid w:val="0"/>
        <w:spacing w:line="360" w:lineRule="auto"/>
        <w:ind w:firstLine="480" w:firstLineChars="200"/>
        <w:rPr>
          <w:rFonts w:hint="default" w:ascii="Times New Roman" w:hAnsi="Times New Roman" w:cs="Times New Roman"/>
          <w:color w:val="auto"/>
          <w:sz w:val="24"/>
          <w:lang w:val="zh-CN"/>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劳动定员及工作制度</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本项目年工作时间330天。</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港区生产作业人员主要包括操作人员及管理人员。班次按四班制进行考虑。拟配置</w:t>
      </w:r>
      <w:r>
        <w:rPr>
          <w:rFonts w:hint="default" w:ascii="Times New Roman" w:hAnsi="Times New Roman" w:cs="Times New Roman"/>
          <w:color w:val="auto"/>
          <w:sz w:val="24"/>
        </w:rPr>
        <w:t>生产人员定员为18人，其中管理人员3人，装卸、机修、及工程技术人员共15人。</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工程投资及施工进度</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本项目总投资约</w:t>
      </w:r>
      <w:r>
        <w:rPr>
          <w:rFonts w:hint="default" w:ascii="Times New Roman" w:hAnsi="Times New Roman" w:cs="Times New Roman"/>
          <w:color w:val="auto"/>
          <w:sz w:val="24"/>
          <w:szCs w:val="24"/>
          <w:lang w:bidi="ar"/>
        </w:rPr>
        <w:t>13490.29万元，</w:t>
      </w:r>
      <w:r>
        <w:rPr>
          <w:rFonts w:hint="default" w:ascii="Times New Roman" w:hAnsi="Times New Roman" w:cs="Times New Roman"/>
          <w:color w:val="auto"/>
          <w:sz w:val="24"/>
          <w:szCs w:val="24"/>
        </w:rPr>
        <w:t>按30%自筹资金，70%银行贷款</w:t>
      </w:r>
      <w:r>
        <w:rPr>
          <w:rFonts w:hint="default" w:ascii="Times New Roman" w:hAnsi="Times New Roman" w:cs="Times New Roman" w:eastAsiaTheme="minorEastAsia"/>
          <w:color w:val="auto"/>
          <w:sz w:val="24"/>
          <w:szCs w:val="24"/>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rPr>
        <w:t>本项目建</w:t>
      </w:r>
      <w:r>
        <w:rPr>
          <w:rFonts w:hint="default" w:ascii="Times New Roman" w:hAnsi="Times New Roman" w:cs="Times New Roman" w:eastAsiaTheme="minorEastAsia"/>
          <w:color w:val="auto"/>
          <w:sz w:val="24"/>
          <w:szCs w:val="24"/>
          <w:highlight w:val="none"/>
        </w:rPr>
        <w:t>设工期12个月，工程施工拟于2021年1月初开工，2021年12月底竣工投产。施工进度计划安排见表3.4-9。</w:t>
      </w:r>
    </w:p>
    <w:p>
      <w:pPr>
        <w:pStyle w:val="355"/>
        <w:adjustRightInd w:val="0"/>
        <w:spacing w:line="276" w:lineRule="auto"/>
        <w:ind w:right="-113" w:firstLine="0" w:firstLineChars="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sz w:val="24"/>
        </w:rPr>
        <w:t>表3.4-9  施工进度表</w:t>
      </w:r>
    </w:p>
    <w:tbl>
      <w:tblPr>
        <w:tblStyle w:val="71"/>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2972"/>
        <w:gridCol w:w="442"/>
        <w:gridCol w:w="442"/>
        <w:gridCol w:w="442"/>
        <w:gridCol w:w="442"/>
        <w:gridCol w:w="442"/>
        <w:gridCol w:w="442"/>
        <w:gridCol w:w="442"/>
        <w:gridCol w:w="443"/>
        <w:gridCol w:w="443"/>
        <w:gridCol w:w="443"/>
        <w:gridCol w:w="445"/>
        <w:gridCol w:w="4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序号</w:t>
            </w:r>
          </w:p>
        </w:tc>
        <w:tc>
          <w:tcPr>
            <w:tcW w:w="1632" w:type="pct"/>
            <w:tcBorders>
              <w:tl2br w:val="single" w:color="auto" w:sz="4" w:space="0"/>
            </w:tcBorders>
            <w:tcMar>
              <w:top w:w="0" w:type="dxa"/>
              <w:left w:w="0" w:type="dxa"/>
              <w:bottom w:w="0" w:type="dxa"/>
              <w:right w:w="0" w:type="dxa"/>
            </w:tcMar>
            <w:vAlign w:val="center"/>
          </w:tcPr>
          <w:p>
            <w:pPr>
              <w:tabs>
                <w:tab w:val="left" w:pos="8312"/>
                <w:tab w:val="left" w:pos="8670"/>
              </w:tabs>
              <w:adjustRightInd w:val="0"/>
              <w:snapToGrid w:val="0"/>
              <w:jc w:val="right"/>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月序</w:t>
            </w:r>
          </w:p>
          <w:p>
            <w:pPr>
              <w:tabs>
                <w:tab w:val="left" w:pos="8312"/>
                <w:tab w:val="left" w:pos="8670"/>
              </w:tabs>
              <w:adjustRightInd w:val="0"/>
              <w:snapToGrid w:val="0"/>
              <w:jc w:val="left"/>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项目</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1</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2</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3</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4</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5</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6</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7</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8</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9</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10</w:t>
            </w:r>
          </w:p>
        </w:tc>
        <w:tc>
          <w:tcPr>
            <w:tcW w:w="244"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11</w:t>
            </w: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施工准备</w:t>
            </w: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color w:val="auto"/>
              </w:rPr>
              <w:t>基桩制作、灌注桩施工</w:t>
            </w: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沉桩</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4</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现浇钢筋砼墩台</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5</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土建工程施工</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6</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码头附属设施安装</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7</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设备安装调试</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8</w:t>
            </w:r>
          </w:p>
        </w:tc>
        <w:tc>
          <w:tcPr>
            <w:tcW w:w="1632" w:type="pct"/>
            <w:tcMar>
              <w:top w:w="0" w:type="dxa"/>
              <w:left w:w="0" w:type="dxa"/>
              <w:bottom w:w="0" w:type="dxa"/>
              <w:right w:w="0" w:type="dxa"/>
            </w:tcMar>
            <w:vAlign w:val="center"/>
          </w:tcPr>
          <w:p>
            <w:pPr>
              <w:tabs>
                <w:tab w:val="left" w:pos="8312"/>
                <w:tab w:val="left" w:pos="8670"/>
              </w:tabs>
              <w:adjustRightInd w:val="0"/>
              <w:snapToGrid w:val="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竣工验收</w:t>
            </w: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auto"/>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4"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c>
          <w:tcPr>
            <w:tcW w:w="243" w:type="pct"/>
            <w:shd w:val="clear" w:color="auto" w:fill="BEBEBE" w:themeFill="background1" w:themeFillShade="BF"/>
            <w:tcMar>
              <w:top w:w="0" w:type="dxa"/>
              <w:left w:w="0" w:type="dxa"/>
              <w:bottom w:w="0" w:type="dxa"/>
              <w:right w:w="0" w:type="dxa"/>
            </w:tcMar>
            <w:vAlign w:val="center"/>
          </w:tcPr>
          <w:p>
            <w:pPr>
              <w:tabs>
                <w:tab w:val="left" w:pos="8312"/>
                <w:tab w:val="left" w:pos="8670"/>
              </w:tabs>
              <w:adjustRightInd w:val="0"/>
              <w:snapToGrid w:val="0"/>
              <w:jc w:val="center"/>
              <w:rPr>
                <w:rFonts w:hint="default" w:ascii="Times New Roman" w:hAnsi="Times New Roman" w:cs="Times New Roman" w:eastAsiaTheme="minorEastAsia"/>
                <w:color w:val="auto"/>
              </w:rPr>
            </w:pPr>
          </w:p>
        </w:tc>
      </w:tr>
    </w:tbl>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施工土石方平衡</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rPr>
        <w:t>根据工可方案，本项目不涉及新增占地，</w:t>
      </w:r>
      <w:r>
        <w:rPr>
          <w:rFonts w:hint="default" w:ascii="Times New Roman" w:hAnsi="Times New Roman" w:cs="Times New Roman" w:eastAsiaTheme="minorEastAsia"/>
          <w:color w:val="auto"/>
          <w:sz w:val="24"/>
          <w:szCs w:val="24"/>
          <w:u w:val="single"/>
          <w:lang w:val="zh-CN"/>
        </w:rPr>
        <w:t>项目施工范围较小，</w:t>
      </w:r>
      <w:r>
        <w:rPr>
          <w:rFonts w:hint="default" w:ascii="Times New Roman" w:hAnsi="Times New Roman" w:cs="Times New Roman" w:eastAsiaTheme="minorEastAsia"/>
          <w:color w:val="auto"/>
          <w:sz w:val="24"/>
          <w:szCs w:val="24"/>
          <w:u w:val="single"/>
        </w:rPr>
        <w:t>不涉及疏浚工程，</w:t>
      </w:r>
      <w:r>
        <w:rPr>
          <w:rFonts w:hint="default" w:ascii="Times New Roman" w:hAnsi="Times New Roman" w:cs="Times New Roman" w:eastAsiaTheme="minorEastAsia"/>
          <w:color w:val="auto"/>
          <w:sz w:val="24"/>
          <w:szCs w:val="24"/>
          <w:u w:val="single"/>
          <w:lang w:val="zh-CN"/>
        </w:rPr>
        <w:t>可以做到挖填平衡，施工期仅产生</w:t>
      </w:r>
      <w:r>
        <w:rPr>
          <w:rFonts w:hint="default" w:ascii="Times New Roman" w:hAnsi="Times New Roman" w:cs="Times New Roman"/>
          <w:color w:val="auto"/>
          <w:sz w:val="24"/>
          <w:szCs w:val="24"/>
          <w:u w:val="single"/>
          <w:lang w:val="zh-CN"/>
        </w:rPr>
        <w:t>灌注桩</w:t>
      </w:r>
      <w:r>
        <w:rPr>
          <w:rFonts w:hint="default" w:ascii="Times New Roman" w:hAnsi="Times New Roman" w:cs="Times New Roman" w:eastAsiaTheme="minorEastAsia"/>
          <w:color w:val="auto"/>
          <w:sz w:val="24"/>
          <w:szCs w:val="24"/>
          <w:u w:val="single"/>
          <w:lang w:val="zh-CN"/>
        </w:rPr>
        <w:t>桩基钻渣量约为0.</w:t>
      </w:r>
      <w:r>
        <w:rPr>
          <w:rFonts w:hint="default" w:ascii="Times New Roman" w:hAnsi="Times New Roman" w:cs="Times New Roman" w:eastAsiaTheme="minorEastAsia"/>
          <w:color w:val="auto"/>
          <w:sz w:val="24"/>
          <w:szCs w:val="24"/>
          <w:u w:val="single"/>
        </w:rPr>
        <w:t>0</w:t>
      </w:r>
      <w:r>
        <w:rPr>
          <w:rFonts w:hint="default" w:ascii="Times New Roman" w:hAnsi="Times New Roman" w:cs="Times New Roman" w:eastAsiaTheme="minorEastAsia"/>
          <w:color w:val="auto"/>
          <w:sz w:val="24"/>
          <w:szCs w:val="24"/>
          <w:u w:val="single"/>
          <w:lang w:val="zh-CN"/>
        </w:rPr>
        <w:t>5万m</w:t>
      </w:r>
      <w:r>
        <w:rPr>
          <w:rFonts w:hint="default" w:ascii="Times New Roman" w:hAnsi="Times New Roman" w:cs="Times New Roman" w:eastAsiaTheme="minorEastAsia"/>
          <w:color w:val="auto"/>
          <w:sz w:val="24"/>
          <w:szCs w:val="24"/>
          <w:u w:val="single"/>
          <w:vertAlign w:val="superscript"/>
          <w:lang w:val="zh-CN"/>
        </w:rPr>
        <w:t>3</w:t>
      </w:r>
      <w:r>
        <w:rPr>
          <w:rFonts w:hint="eastAsia" w:ascii="Times New Roman" w:hAnsi="Times New Roman" w:cs="Times New Roman" w:eastAsiaTheme="minorEastAsia"/>
          <w:color w:val="auto"/>
          <w:sz w:val="24"/>
          <w:szCs w:val="24"/>
          <w:u w:val="single"/>
          <w:lang w:val="zh-CN"/>
        </w:rPr>
        <w:t>，</w:t>
      </w:r>
      <w:r>
        <w:rPr>
          <w:rFonts w:hint="eastAsia" w:ascii="Times New Roman" w:hAnsi="Times New Roman" w:cs="Times New Roman" w:eastAsiaTheme="minorEastAsia"/>
          <w:color w:val="auto"/>
          <w:sz w:val="24"/>
          <w:szCs w:val="24"/>
          <w:u w:val="single"/>
          <w:lang w:val="en-US" w:eastAsia="zh-CN"/>
        </w:rPr>
        <w:t>其余PHC预制桩均采用打桩机挤压固定，不产生钻渣。</w:t>
      </w:r>
      <w:r>
        <w:rPr>
          <w:rFonts w:hint="default" w:ascii="Times New Roman" w:hAnsi="Times New Roman" w:cs="Times New Roman"/>
          <w:color w:val="auto"/>
          <w:sz w:val="24"/>
          <w:szCs w:val="24"/>
          <w:u w:val="single"/>
          <w:lang w:val="zh-CN"/>
        </w:rPr>
        <w:t>灌注桩</w:t>
      </w:r>
      <w:r>
        <w:rPr>
          <w:rFonts w:hint="default" w:ascii="Times New Roman" w:hAnsi="Times New Roman" w:cs="Times New Roman"/>
          <w:color w:val="auto"/>
          <w:sz w:val="24"/>
          <w:szCs w:val="24"/>
          <w:u w:val="single"/>
          <w:lang w:val="zh-CN" w:eastAsia="zh-CN"/>
        </w:rPr>
        <w:t>桩基</w:t>
      </w:r>
      <w:r>
        <w:rPr>
          <w:rFonts w:hint="default" w:ascii="Times New Roman" w:hAnsi="Times New Roman" w:cs="Times New Roman"/>
          <w:color w:val="auto"/>
          <w:sz w:val="24"/>
          <w:szCs w:val="24"/>
          <w:u w:val="single"/>
          <w:lang w:val="zh-CN"/>
        </w:rPr>
        <w:t>钻渣</w:t>
      </w:r>
      <w:r>
        <w:rPr>
          <w:rFonts w:hint="default" w:ascii="Times New Roman" w:hAnsi="Times New Roman" w:cs="Times New Roman"/>
          <w:color w:val="auto"/>
          <w:sz w:val="24"/>
          <w:szCs w:val="24"/>
          <w:u w:val="single"/>
          <w:lang w:val="en-US" w:eastAsia="zh-CN"/>
        </w:rPr>
        <w:t>托运至三期工程用地范围干化后，用作三期工程</w:t>
      </w:r>
      <w:r>
        <w:rPr>
          <w:rFonts w:hint="default" w:ascii="Times New Roman" w:hAnsi="Times New Roman" w:cs="Times New Roman"/>
          <w:color w:val="auto"/>
          <w:sz w:val="24"/>
          <w:szCs w:val="24"/>
          <w:u w:val="single"/>
          <w:lang w:val="zh-CN" w:eastAsia="zh-CN"/>
        </w:rPr>
        <w:t>场区回填</w:t>
      </w:r>
      <w:r>
        <w:rPr>
          <w:rFonts w:hint="default" w:ascii="Times New Roman" w:hAnsi="Times New Roman" w:cs="Times New Roman"/>
          <w:color w:val="auto"/>
          <w:sz w:val="24"/>
          <w:szCs w:val="24"/>
          <w:u w:val="single"/>
          <w:lang w:val="zh-CN"/>
        </w:rPr>
        <w:t>处理。</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临时工程</w:t>
      </w:r>
      <w:r>
        <w:rPr>
          <w:rFonts w:hint="default" w:ascii="Times New Roman" w:hAnsi="Times New Roman" w:cs="Times New Roman" w:eastAsiaTheme="minorEastAsia"/>
          <w:color w:val="auto"/>
          <w:lang w:val="en-US" w:eastAsia="zh-CN"/>
        </w:rPr>
        <w:t>布设</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rPr>
        <w:t>根据现场实地考察情况，结合</w:t>
      </w:r>
      <w:r>
        <w:rPr>
          <w:rFonts w:hint="eastAsia" w:ascii="Times New Roman" w:hAnsi="Times New Roman" w:eastAsia="宋体" w:cs="Times New Roman"/>
          <w:color w:val="auto"/>
          <w:sz w:val="24"/>
          <w:szCs w:val="24"/>
          <w:u w:val="single"/>
          <w:lang w:eastAsia="zh-CN"/>
        </w:rPr>
        <w:t>本项目</w:t>
      </w:r>
      <w:r>
        <w:rPr>
          <w:rFonts w:hint="default" w:ascii="Times New Roman" w:hAnsi="Times New Roman" w:eastAsia="宋体" w:cs="Times New Roman"/>
          <w:color w:val="auto"/>
          <w:sz w:val="24"/>
          <w:szCs w:val="24"/>
          <w:u w:val="single"/>
        </w:rPr>
        <w:t>的特点以及君山地区长江岸线高桩码头施工经验，</w:t>
      </w:r>
      <w:r>
        <w:rPr>
          <w:rFonts w:hint="default" w:ascii="Times New Roman" w:hAnsi="Times New Roman" w:eastAsia="宋体" w:cs="Times New Roman"/>
          <w:color w:val="auto"/>
          <w:sz w:val="24"/>
          <w:szCs w:val="24"/>
          <w:u w:val="single"/>
          <w:lang w:val="en-US" w:eastAsia="zh-CN"/>
        </w:rPr>
        <w:t>拟在</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eastAsia="宋体" w:cs="Times New Roman"/>
          <w:color w:val="auto"/>
          <w:sz w:val="24"/>
          <w:szCs w:val="24"/>
          <w:u w:val="single"/>
        </w:rPr>
        <w:t>布置</w:t>
      </w:r>
      <w:r>
        <w:rPr>
          <w:rFonts w:hint="default" w:ascii="Times New Roman" w:hAnsi="Times New Roman" w:cs="Times New Roman"/>
          <w:color w:val="auto"/>
          <w:sz w:val="24"/>
          <w:szCs w:val="24"/>
          <w:u w:val="single"/>
          <w:lang w:val="en-US" w:eastAsia="zh-CN"/>
        </w:rPr>
        <w:t>临时工程，不另行设置临时占地。</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拟主要布置施工生产及办公设施、生活设施等。</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施工平面布置原则：</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① 在满足施工需要的前提下，尽量减少对岸滩和大堤的影响，保证大堤安全与减少对生态的破坏。</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② 总平面布置布局合理，有利于现场施工的原则。</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③ 临时工程设施本着节约用地，布局紧凑，不影响永久设施的原则。</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④ 临时工程设施满足表观整洁大方，结构具有防火、防风建筑标准的原则。</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⑤ 临时工程设施满足安全、文明生产管理要求的原则。</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⑥ 对</w:t>
      </w:r>
      <w:r>
        <w:rPr>
          <w:rFonts w:hint="default" w:ascii="Times New Roman" w:hAnsi="Times New Roman" w:eastAsia="宋体" w:cs="Times New Roman"/>
          <w:color w:val="auto"/>
          <w:sz w:val="24"/>
          <w:szCs w:val="24"/>
          <w:u w:val="single"/>
          <w:lang w:val="en-US" w:eastAsia="zh-CN"/>
        </w:rPr>
        <w:t>建设单位</w:t>
      </w:r>
      <w:r>
        <w:rPr>
          <w:rFonts w:hint="default" w:ascii="Times New Roman" w:hAnsi="Times New Roman" w:eastAsia="宋体" w:cs="Times New Roman"/>
          <w:color w:val="auto"/>
          <w:sz w:val="24"/>
          <w:szCs w:val="24"/>
          <w:u w:val="single"/>
        </w:rPr>
        <w:t>提供的所有长期及临时设施，在使用期应负责维护，结束时恢复至</w:t>
      </w:r>
      <w:r>
        <w:rPr>
          <w:rFonts w:hint="default" w:ascii="Times New Roman" w:hAnsi="Times New Roman" w:eastAsia="宋体" w:cs="Times New Roman"/>
          <w:color w:val="auto"/>
          <w:sz w:val="24"/>
          <w:szCs w:val="24"/>
          <w:u w:val="single"/>
          <w:lang w:val="en-US" w:eastAsia="zh-CN"/>
        </w:rPr>
        <w:t>建设单位</w:t>
      </w:r>
      <w:r>
        <w:rPr>
          <w:rFonts w:hint="default" w:ascii="Times New Roman" w:hAnsi="Times New Roman" w:eastAsia="宋体" w:cs="Times New Roman"/>
          <w:color w:val="auto"/>
          <w:sz w:val="24"/>
          <w:szCs w:val="24"/>
          <w:u w:val="single"/>
        </w:rPr>
        <w:t>满意，归于</w:t>
      </w:r>
      <w:r>
        <w:rPr>
          <w:rFonts w:hint="default" w:ascii="Times New Roman" w:hAnsi="Times New Roman" w:eastAsia="宋体" w:cs="Times New Roman"/>
          <w:color w:val="auto"/>
          <w:sz w:val="24"/>
          <w:szCs w:val="24"/>
          <w:u w:val="single"/>
          <w:lang w:val="en-US" w:eastAsia="zh-CN"/>
        </w:rPr>
        <w:t>建设单位</w:t>
      </w:r>
      <w:r>
        <w:rPr>
          <w:rFonts w:hint="default" w:ascii="Times New Roman" w:hAnsi="Times New Roman" w:eastAsia="宋体" w:cs="Times New Roman"/>
          <w:color w:val="auto"/>
          <w:sz w:val="24"/>
          <w:szCs w:val="24"/>
          <w:u w:val="single"/>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⑦ 根据施工需要，通过计算确定施工场地的用地面积。</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⑧ 尽量利用原有设施为施工服务，降低施工设施建设费用与周期，采用装配式施工设施提高工作效率。</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rPr>
        <w:t>按照本</w:t>
      </w:r>
      <w:r>
        <w:rPr>
          <w:rFonts w:hint="default" w:ascii="Times New Roman" w:hAnsi="Times New Roman" w:eastAsia="宋体" w:cs="Times New Roman"/>
          <w:color w:val="auto"/>
          <w:sz w:val="24"/>
          <w:szCs w:val="24"/>
          <w:u w:val="single"/>
          <w:lang w:val="en-US" w:eastAsia="zh-CN"/>
        </w:rPr>
        <w:t>项目</w:t>
      </w:r>
      <w:r>
        <w:rPr>
          <w:rFonts w:hint="default" w:ascii="Times New Roman" w:hAnsi="Times New Roman" w:eastAsia="宋体" w:cs="Times New Roman"/>
          <w:color w:val="auto"/>
          <w:sz w:val="24"/>
          <w:szCs w:val="24"/>
          <w:u w:val="single"/>
        </w:rPr>
        <w:t>的施工及临时设施用地情况，在</w:t>
      </w:r>
      <w:r>
        <w:rPr>
          <w:rFonts w:hint="eastAsia" w:cs="Times New Roman"/>
          <w:color w:val="auto"/>
          <w:sz w:val="24"/>
          <w:szCs w:val="24"/>
          <w:u w:val="single"/>
          <w:lang w:eastAsia="zh-CN"/>
        </w:rPr>
        <w:t>本项目</w:t>
      </w:r>
      <w:r>
        <w:rPr>
          <w:rFonts w:hint="default" w:ascii="Times New Roman" w:hAnsi="Times New Roman" w:eastAsia="宋体" w:cs="Times New Roman"/>
          <w:color w:val="auto"/>
          <w:sz w:val="24"/>
          <w:szCs w:val="24"/>
          <w:u w:val="single"/>
        </w:rPr>
        <w:t>后方长江大堤</w:t>
      </w:r>
      <w:r>
        <w:rPr>
          <w:rFonts w:hint="default" w:ascii="Times New Roman" w:hAnsi="Times New Roman" w:eastAsia="宋体" w:cs="Times New Roman"/>
          <w:color w:val="auto"/>
          <w:sz w:val="24"/>
          <w:szCs w:val="24"/>
          <w:u w:val="single"/>
          <w:lang w:val="en-US" w:eastAsia="zh-CN"/>
        </w:rPr>
        <w:t>内</w:t>
      </w:r>
      <w:r>
        <w:rPr>
          <w:rFonts w:hint="default" w:ascii="Times New Roman" w:hAnsi="Times New Roman" w:eastAsia="宋体" w:cs="Times New Roman"/>
          <w:color w:val="auto"/>
          <w:sz w:val="24"/>
          <w:szCs w:val="24"/>
          <w:u w:val="single"/>
        </w:rPr>
        <w:t>侧</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eastAsia="宋体" w:cs="Times New Roman"/>
          <w:color w:val="auto"/>
          <w:sz w:val="24"/>
          <w:szCs w:val="24"/>
          <w:u w:val="single"/>
        </w:rPr>
        <w:t>布置必要的施工生产及办公设施，本着合理使用场地，方便施工组织，体现文明施工的原则，拟在此区域内主要布置施工生产及办公设施为：现场办公区、试验室、材料及设备仓库和存放场地、钢筋和模板堆场及加工场、预制构件堆场等。</w:t>
      </w:r>
      <w:r>
        <w:rPr>
          <w:rFonts w:hint="default" w:ascii="Times New Roman" w:hAnsi="Times New Roman" w:eastAsia="宋体" w:cs="Times New Roman"/>
          <w:color w:val="auto"/>
          <w:sz w:val="24"/>
          <w:szCs w:val="24"/>
          <w:u w:val="single"/>
          <w:lang w:val="en-US" w:eastAsia="zh-CN"/>
        </w:rPr>
        <w:t>本项目所需的混凝土及大型预制构件均就近商购</w:t>
      </w:r>
      <w:r>
        <w:rPr>
          <w:rFonts w:hint="eastAsia" w:cs="Times New Roman"/>
          <w:color w:val="auto"/>
          <w:sz w:val="24"/>
          <w:szCs w:val="24"/>
          <w:u w:val="single"/>
          <w:lang w:val="en-US" w:eastAsia="zh-CN"/>
        </w:rPr>
        <w:t>，钢筋、水泥、砂石就近外购，钢模板租赁</w:t>
      </w:r>
      <w:r>
        <w:rPr>
          <w:rFonts w:hint="default" w:ascii="Times New Roman" w:hAnsi="Times New Roman" w:eastAsia="宋体" w:cs="Times New Roman"/>
          <w:color w:val="auto"/>
          <w:sz w:val="24"/>
          <w:szCs w:val="24"/>
          <w:u w:val="single"/>
          <w:lang w:val="en-US" w:eastAsia="zh-CN"/>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施工场区外围采用彩钢板围挡，确保符合有关要求或规定。场区内各不同功能分区（现场办公区、构件预制场、材料及设备存放场地）采用透空网片围栏进行隔离。</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在</w:t>
      </w:r>
      <w:r>
        <w:rPr>
          <w:rFonts w:hint="eastAsia" w:cs="Times New Roman"/>
          <w:color w:val="auto"/>
          <w:sz w:val="24"/>
          <w:szCs w:val="24"/>
          <w:u w:val="single"/>
          <w:lang w:eastAsia="zh-CN"/>
        </w:rPr>
        <w:t>本项目</w:t>
      </w:r>
      <w:r>
        <w:rPr>
          <w:rFonts w:hint="default" w:ascii="Times New Roman" w:hAnsi="Times New Roman" w:eastAsia="宋体" w:cs="Times New Roman"/>
          <w:color w:val="auto"/>
          <w:sz w:val="24"/>
          <w:szCs w:val="24"/>
          <w:u w:val="single"/>
        </w:rPr>
        <w:t>下游适当位置修建材料、构件出运临时钢平台码头，待</w:t>
      </w:r>
      <w:r>
        <w:rPr>
          <w:rFonts w:hint="eastAsia" w:ascii="Times New Roman" w:hAnsi="Times New Roman" w:eastAsia="宋体" w:cs="Times New Roman"/>
          <w:color w:val="auto"/>
          <w:sz w:val="24"/>
          <w:szCs w:val="24"/>
          <w:u w:val="single"/>
          <w:lang w:eastAsia="zh-CN"/>
        </w:rPr>
        <w:t>本项目</w:t>
      </w:r>
      <w:r>
        <w:rPr>
          <w:rFonts w:hint="default" w:ascii="Times New Roman" w:hAnsi="Times New Roman" w:eastAsia="宋体" w:cs="Times New Roman"/>
          <w:color w:val="auto"/>
          <w:sz w:val="24"/>
          <w:szCs w:val="24"/>
          <w:u w:val="single"/>
        </w:rPr>
        <w:t>水工结构施工进入后阶段，根据施工进度进行拆除。</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0"/>
          <w:szCs w:val="24"/>
          <w:u w:val="single"/>
        </w:rPr>
      </w:pPr>
      <w:r>
        <w:rPr>
          <w:rFonts w:hint="default" w:ascii="Times New Roman" w:hAnsi="Times New Roman" w:eastAsia="宋体" w:cs="Times New Roman"/>
          <w:color w:val="auto"/>
          <w:sz w:val="24"/>
          <w:szCs w:val="24"/>
          <w:u w:val="single"/>
        </w:rPr>
        <w:t>现场施工场地平面布置如图</w:t>
      </w:r>
      <w:r>
        <w:rPr>
          <w:rFonts w:hint="default" w:ascii="Times New Roman" w:hAnsi="Times New Roman" w:eastAsia="宋体" w:cs="Times New Roman"/>
          <w:color w:val="auto"/>
          <w:sz w:val="24"/>
          <w:szCs w:val="24"/>
          <w:u w:val="single"/>
          <w:lang w:val="en-US" w:eastAsia="zh-CN"/>
        </w:rPr>
        <w:t>3.4-3</w:t>
      </w:r>
      <w:r>
        <w:rPr>
          <w:rFonts w:hint="default" w:ascii="Times New Roman" w:hAnsi="Times New Roman" w:eastAsia="宋体" w:cs="Times New Roman"/>
          <w:color w:val="auto"/>
          <w:sz w:val="24"/>
          <w:szCs w:val="24"/>
          <w:u w:val="single"/>
        </w:rPr>
        <w:t>所示。</w:t>
      </w:r>
    </w:p>
    <w:p>
      <w:pPr>
        <w:adjustRightInd w:val="0"/>
        <w:snapToGrid w:val="0"/>
        <w:spacing w:line="360" w:lineRule="auto"/>
        <w:rPr>
          <w:rFonts w:hint="default" w:ascii="Times New Roman" w:hAnsi="Times New Roman" w:eastAsia="宋体" w:cs="Times New Roman"/>
          <w:color w:val="auto"/>
          <w:spacing w:val="-1"/>
          <w:sz w:val="24"/>
          <w:szCs w:val="24"/>
          <w:lang w:eastAsia="zh-CN"/>
        </w:rPr>
      </w:pPr>
      <w:r>
        <w:rPr>
          <w:rFonts w:hint="default" w:ascii="Times New Roman" w:hAnsi="Times New Roman" w:eastAsia="宋体" w:cs="Times New Roman"/>
          <w:color w:val="auto"/>
          <w:spacing w:val="-1"/>
          <w:sz w:val="24"/>
          <w:szCs w:val="24"/>
          <w:lang w:eastAsia="zh-CN"/>
        </w:rPr>
        <w:drawing>
          <wp:inline distT="0" distB="0" distL="114300" distR="114300">
            <wp:extent cx="5755005" cy="3995420"/>
            <wp:effectExtent l="0" t="0" r="17145" b="5080"/>
            <wp:docPr id="26" name="图片 26" descr="临时工程布设位置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临时工程布设位置图 拷贝"/>
                    <pic:cNvPicPr>
                      <a:picLocks noChangeAspect="1"/>
                    </pic:cNvPicPr>
                  </pic:nvPicPr>
                  <pic:blipFill>
                    <a:blip r:embed="rId26"/>
                    <a:stretch>
                      <a:fillRect/>
                    </a:stretch>
                  </pic:blipFill>
                  <pic:spPr>
                    <a:xfrm>
                      <a:off x="0" y="0"/>
                      <a:ext cx="5755005" cy="39954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0"/>
          <w:szCs w:val="24"/>
          <w:u w:val="single"/>
        </w:rPr>
      </w:pPr>
      <w:r>
        <w:rPr>
          <w:rFonts w:hint="default" w:ascii="Times New Roman" w:hAnsi="Times New Roman" w:eastAsia="宋体" w:cs="Times New Roman"/>
          <w:b/>
          <w:bCs/>
          <w:color w:val="auto"/>
          <w:sz w:val="24"/>
          <w:szCs w:val="24"/>
          <w:u w:val="single"/>
        </w:rPr>
        <w:t>图</w:t>
      </w:r>
      <w:r>
        <w:rPr>
          <w:rFonts w:hint="default" w:ascii="Times New Roman" w:hAnsi="Times New Roman" w:eastAsia="宋体" w:cs="Times New Roman"/>
          <w:b/>
          <w:bCs/>
          <w:color w:val="auto"/>
          <w:sz w:val="24"/>
          <w:szCs w:val="24"/>
          <w:u w:val="single"/>
          <w:lang w:val="en-US" w:eastAsia="zh-CN"/>
        </w:rPr>
        <w:t xml:space="preserve">3.4-3 </w:t>
      </w:r>
      <w:r>
        <w:rPr>
          <w:rFonts w:hint="default" w:ascii="Times New Roman" w:hAnsi="Times New Roman" w:eastAsia="宋体" w:cs="Times New Roman"/>
          <w:b/>
          <w:bCs/>
          <w:color w:val="auto"/>
          <w:sz w:val="24"/>
          <w:szCs w:val="24"/>
          <w:u w:val="single"/>
        </w:rPr>
        <w:t xml:space="preserve"> 施工平面布置图</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cs="Times New Roman"/>
          <w:color w:val="auto"/>
          <w:sz w:val="24"/>
          <w:szCs w:val="24"/>
          <w:u w:val="single"/>
          <w:lang w:val="en-US" w:eastAsia="zh-CN"/>
        </w:rPr>
        <w:t xml:space="preserve">⑴ </w:t>
      </w:r>
      <w:r>
        <w:rPr>
          <w:rFonts w:hint="default" w:ascii="Times New Roman" w:hAnsi="Times New Roman" w:eastAsia="宋体" w:cs="Times New Roman"/>
          <w:color w:val="auto"/>
          <w:sz w:val="24"/>
          <w:szCs w:val="24"/>
          <w:u w:val="single"/>
        </w:rPr>
        <w:t>办公区布置</w:t>
      </w:r>
    </w:p>
    <w:p>
      <w:pPr>
        <w:pStyle w:val="325"/>
        <w:tabs>
          <w:tab w:val="right" w:leader="dot" w:pos="9070"/>
        </w:tabs>
        <w:adjustRightInd w:val="0"/>
        <w:snapToGrid w:val="0"/>
        <w:spacing w:line="360" w:lineRule="auto"/>
        <w:ind w:firstLine="480" w:firstLineChars="200"/>
        <w:jc w:val="both"/>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现场拟在码头后方</w:t>
      </w:r>
      <w:r>
        <w:rPr>
          <w:rFonts w:hint="default" w:ascii="Times New Roman" w:hAnsi="Times New Roman" w:cs="Times New Roman"/>
          <w:color w:val="auto"/>
          <w:sz w:val="24"/>
          <w:szCs w:val="24"/>
          <w:u w:val="single"/>
          <w:lang w:val="en-US" w:eastAsia="zh-CN"/>
        </w:rPr>
        <w:t>500m处的</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eastAsia="宋体" w:cs="Times New Roman"/>
          <w:color w:val="auto"/>
          <w:sz w:val="24"/>
          <w:szCs w:val="24"/>
          <w:u w:val="single"/>
        </w:rPr>
        <w:t>设置办公区，占地面积约2982</w:t>
      </w:r>
      <w:r>
        <w:rPr>
          <w:rFonts w:hint="default" w:ascii="Times New Roman" w:hAnsi="Times New Roman" w:cs="Times New Roman"/>
          <w:color w:val="auto"/>
          <w:sz w:val="24"/>
          <w:szCs w:val="24"/>
          <w:u w:val="single"/>
          <w:lang w:val="en-US" w:eastAsia="zh-CN"/>
        </w:rPr>
        <w:t>m</w:t>
      </w:r>
      <w:r>
        <w:rPr>
          <w:rFonts w:hint="default" w:ascii="Times New Roman" w:hAnsi="Times New Roman" w:cs="Times New Roman"/>
          <w:color w:val="auto"/>
          <w:sz w:val="24"/>
          <w:szCs w:val="24"/>
          <w:u w:val="single"/>
          <w:vertAlign w:val="superscript"/>
          <w:lang w:val="en-US" w:eastAsia="zh-CN"/>
        </w:rPr>
        <w:t>2</w:t>
      </w:r>
      <w:r>
        <w:rPr>
          <w:rFonts w:hint="default" w:ascii="Times New Roman" w:hAnsi="Times New Roman" w:eastAsia="宋体" w:cs="Times New Roman"/>
          <w:color w:val="auto"/>
          <w:sz w:val="24"/>
          <w:szCs w:val="24"/>
          <w:u w:val="single"/>
        </w:rPr>
        <w:t>。办公区设置两排建筑，采用活动板房结构，便于拆除，区域设置透空网片围栏隔离，面向施工场地设置大门和门卫室。</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⑵ 预制场布置</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现场拟在码头</w:t>
      </w:r>
      <w:r>
        <w:rPr>
          <w:rFonts w:hint="default" w:ascii="Times New Roman" w:hAnsi="Times New Roman" w:eastAsia="宋体" w:cs="Times New Roman"/>
          <w:color w:val="auto"/>
          <w:sz w:val="24"/>
          <w:szCs w:val="24"/>
          <w:u w:val="single"/>
        </w:rPr>
        <w:t>后方</w:t>
      </w:r>
      <w:r>
        <w:rPr>
          <w:rFonts w:hint="default" w:ascii="Times New Roman" w:hAnsi="Times New Roman" w:cs="Times New Roman"/>
          <w:color w:val="auto"/>
          <w:sz w:val="24"/>
          <w:szCs w:val="24"/>
          <w:u w:val="single"/>
          <w:lang w:val="en-US" w:eastAsia="zh-CN"/>
        </w:rPr>
        <w:t>500m处的</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cs="Times New Roman"/>
          <w:color w:val="auto"/>
          <w:sz w:val="24"/>
          <w:szCs w:val="24"/>
          <w:u w:val="single"/>
          <w:lang w:val="en-US" w:eastAsia="zh-CN"/>
        </w:rPr>
        <w:t>设置混凝土构件预制场堆放场地，现场仅对小型预制构件进行预制，占地面积为2200m</w:t>
      </w:r>
      <w:r>
        <w:rPr>
          <w:rFonts w:hint="default" w:ascii="Times New Roman" w:hAnsi="Times New Roman" w:cs="Times New Roman"/>
          <w:color w:val="auto"/>
          <w:sz w:val="24"/>
          <w:szCs w:val="24"/>
          <w:u w:val="single"/>
          <w:vertAlign w:val="superscript"/>
          <w:lang w:val="en-US" w:eastAsia="zh-CN"/>
        </w:rPr>
        <w:t>2</w:t>
      </w:r>
      <w:r>
        <w:rPr>
          <w:rFonts w:hint="default" w:ascii="Times New Roman" w:hAnsi="Times New Roman" w:cs="Times New Roman"/>
          <w:color w:val="auto"/>
          <w:sz w:val="24"/>
          <w:szCs w:val="24"/>
          <w:u w:val="single"/>
          <w:lang w:val="en-US" w:eastAsia="zh-CN"/>
        </w:rPr>
        <w:t>，计划使用时间6个月。预制场设置60t龙门吊及轨道基础，轨道间布置预应力空心板预制台座14个，靠构预制地坪，构件堆放区。预制场周围设置施工便道，供材料运输、施工机械设备通行、构件出运之用。预制区用混凝土硬化，堆放区铺碎石，预制场及周边做好排水。</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⑶ 钢筋、模板存放与加工区</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钢筋、模板存放与加工区设置在预制场靠江侧，占地面积2639m</w:t>
      </w:r>
      <w:r>
        <w:rPr>
          <w:rFonts w:hint="default" w:ascii="Times New Roman" w:hAnsi="Times New Roman" w:cs="Times New Roman"/>
          <w:color w:val="auto"/>
          <w:sz w:val="24"/>
          <w:szCs w:val="24"/>
          <w:u w:val="single"/>
          <w:vertAlign w:val="superscript"/>
          <w:lang w:val="en-US" w:eastAsia="zh-CN"/>
        </w:rPr>
        <w:t>2</w:t>
      </w:r>
      <w:r>
        <w:rPr>
          <w:rFonts w:hint="default" w:ascii="Times New Roman" w:hAnsi="Times New Roman" w:cs="Times New Roman"/>
          <w:color w:val="auto"/>
          <w:sz w:val="24"/>
          <w:szCs w:val="24"/>
          <w:u w:val="single"/>
          <w:lang w:val="en-US" w:eastAsia="zh-CN"/>
        </w:rPr>
        <w:t>。钢筋存放区与加工区地坪铺碎石，做好排水；各类钢材原材及加工半成品分类存放、标识清晰、取用方便，加工区主要进行各类钢筋下料、灌注桩钢筋笼制作、埋件加工等。</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⑷ 设备、材料放置与钢结构制作区</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设备、材料放置与钢结构制作区设置在办公区靠江侧，占地面积2671m</w:t>
      </w:r>
      <w:r>
        <w:rPr>
          <w:rFonts w:hint="default" w:ascii="Times New Roman" w:hAnsi="Times New Roman" w:cs="Times New Roman"/>
          <w:color w:val="auto"/>
          <w:sz w:val="24"/>
          <w:szCs w:val="24"/>
          <w:u w:val="single"/>
          <w:vertAlign w:val="superscript"/>
          <w:lang w:val="en-US" w:eastAsia="zh-CN"/>
        </w:rPr>
        <w:t>2</w:t>
      </w:r>
      <w:r>
        <w:rPr>
          <w:rFonts w:hint="default" w:ascii="Times New Roman" w:hAnsi="Times New Roman" w:cs="Times New Roman"/>
          <w:color w:val="auto"/>
          <w:sz w:val="24"/>
          <w:szCs w:val="24"/>
          <w:u w:val="single"/>
          <w:lang w:val="en-US" w:eastAsia="zh-CN"/>
        </w:rPr>
        <w:t>。施工期间的施工设备和施工材料可临时停放、堆放在此区，部分小宗关键设备、材料可以放置在集装箱内。后期该区作为人行钢桥构件的堆放和拼装场地。该区域地坪铺碎石硬化，做好区域排水。</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⑸ 临时出运码头</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在</w:t>
      </w:r>
      <w:r>
        <w:rPr>
          <w:rFonts w:hint="eastAsia" w:cs="Times New Roman"/>
          <w:color w:val="auto"/>
          <w:sz w:val="24"/>
          <w:szCs w:val="24"/>
          <w:u w:val="single"/>
          <w:lang w:val="en-US" w:eastAsia="zh-CN"/>
        </w:rPr>
        <w:t>本项目</w:t>
      </w:r>
      <w:r>
        <w:rPr>
          <w:rFonts w:hint="default" w:ascii="Times New Roman" w:hAnsi="Times New Roman" w:cs="Times New Roman"/>
          <w:color w:val="auto"/>
          <w:sz w:val="24"/>
          <w:szCs w:val="24"/>
          <w:u w:val="single"/>
          <w:lang w:val="en-US" w:eastAsia="zh-CN"/>
        </w:rPr>
        <w:t>下游约30m处设置一座凸堤式临时码头，用来进行施工材料、构件等出运计划使用时间12个月。码头宽度7m，长40m，前沿底高程+16.5m左右，后端通过设置挡土墩与回填道路相接。基础采用直径600mm钢管桩，排架间桩距3m，排架跨度6.5m钢管桩顶部开口，上部搁置双拼45a工字钢主横梁，纵梁采用4组321型贝雷梁，分配梁采用16a工字钢@300mm，上铺10mm厚钢板，并焊接防滑钢筋条。下游侧设置一排靠船桩。</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⑹ 混凝土搅拌站</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本项目混凝土总量约为11000m</w:t>
      </w:r>
      <w:r>
        <w:rPr>
          <w:rFonts w:hint="default" w:ascii="Times New Roman" w:hAnsi="Times New Roman" w:cs="Times New Roman"/>
          <w:color w:val="auto"/>
          <w:sz w:val="24"/>
          <w:szCs w:val="24"/>
          <w:u w:val="single"/>
          <w:vertAlign w:val="superscript"/>
          <w:lang w:val="en-US" w:eastAsia="zh-CN"/>
        </w:rPr>
        <w:t>3</w:t>
      </w:r>
      <w:r>
        <w:rPr>
          <w:rFonts w:hint="default" w:ascii="Times New Roman" w:hAnsi="Times New Roman" w:cs="Times New Roman"/>
          <w:color w:val="auto"/>
          <w:sz w:val="24"/>
          <w:szCs w:val="24"/>
          <w:u w:val="single"/>
          <w:lang w:val="en-US" w:eastAsia="zh-CN"/>
        </w:rPr>
        <w:t>，现场不建搅拌站，计划由附近的商混站供应。</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⑺ 施工水域布置</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施工船舶临时停泊水域由施工单位自行办理，建设单位给予协助，施工船舶须备有施工备用电源。施工及运输船舶临时停泊在工程地附近广兴洲锚地，广兴洲锚地位于本项目下游，该锚地水深5~7m，尺度为600m×160m，面积9.6万m</w:t>
      </w:r>
      <w:r>
        <w:rPr>
          <w:rFonts w:hint="default" w:ascii="Times New Roman" w:hAnsi="Times New Roman" w:cs="Times New Roman"/>
          <w:color w:val="auto"/>
          <w:sz w:val="24"/>
          <w:szCs w:val="24"/>
          <w:u w:val="single"/>
          <w:vertAlign w:val="superscript"/>
          <w:lang w:val="en-US" w:eastAsia="zh-CN"/>
        </w:rPr>
        <w:t>2</w:t>
      </w:r>
      <w:r>
        <w:rPr>
          <w:rFonts w:hint="default" w:ascii="Times New Roman" w:hAnsi="Times New Roman" w:cs="Times New Roman"/>
          <w:color w:val="auto"/>
          <w:sz w:val="24"/>
          <w:szCs w:val="24"/>
          <w:u w:val="single"/>
          <w:lang w:val="en-US" w:eastAsia="zh-CN"/>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施工期间，对打桩船、起重船、运输船等做好水上安全生产管理，在施工水域周边设置醒目标志，非施工船舶不得驶入施工水域。施工船舶按要求悬挂信号，夜间以红灯警示。施工期间的照明应充足，防止灯光直射驾驶人员或操作人员，防止强光目眩，造成事故的发生。</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en-US" w:eastAsia="zh-CN"/>
        </w:rPr>
        <w:t>在开工前向海事、航道管理部门申请水上水下施工作业许可证并发布航行通告，并设置施工水域及施工船舶航道线的导航、通航标志及航标和航运安全设施，确保施工安全和船舶航行安全，避免海事安全事故发生。</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工程</w:t>
      </w:r>
      <w:r>
        <w:rPr>
          <w:rFonts w:hint="default" w:ascii="Times New Roman" w:hAnsi="Times New Roman" w:cs="Times New Roman" w:eastAsiaTheme="minorEastAsia"/>
          <w:color w:val="auto"/>
          <w:lang w:val="en-US" w:eastAsia="zh-CN"/>
        </w:rPr>
        <w:t>依托的可行性分析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cs="Times New Roman" w:eastAsiaTheme="minorEastAsia"/>
          <w:color w:val="auto"/>
          <w:sz w:val="24"/>
          <w:highlight w:val="none"/>
          <w:u w:val="single"/>
        </w:rPr>
        <w:t>2019年5月</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一期工程完成立项批复手续，</w:t>
      </w:r>
      <w:r>
        <w:rPr>
          <w:rFonts w:hint="default" w:ascii="Times New Roman" w:hAnsi="Times New Roman" w:cs="Times New Roman" w:eastAsiaTheme="minorEastAsia"/>
          <w:color w:val="auto"/>
          <w:sz w:val="24"/>
          <w:highlight w:val="none"/>
          <w:u w:val="single"/>
        </w:rPr>
        <w:t>一期工程内容</w:t>
      </w:r>
      <w:r>
        <w:rPr>
          <w:rFonts w:hint="default" w:ascii="Times New Roman" w:hAnsi="Times New Roman" w:cs="Times New Roman" w:eastAsiaTheme="minorEastAsia"/>
          <w:bCs/>
          <w:color w:val="auto"/>
          <w:sz w:val="24"/>
          <w:highlight w:val="none"/>
          <w:u w:val="single"/>
        </w:rPr>
        <w:t>包括库区工程和码头工程两部分：库区工程包括一座</w:t>
      </w:r>
      <w:r>
        <w:rPr>
          <w:rFonts w:hint="default" w:ascii="Times New Roman" w:hAnsi="Times New Roman" w:cs="Times New Roman" w:eastAsiaTheme="minorEastAsia"/>
          <w:color w:val="auto"/>
          <w:sz w:val="24"/>
          <w:highlight w:val="none"/>
          <w:u w:val="single"/>
        </w:rPr>
        <w:t>50000m</w:t>
      </w:r>
      <w:r>
        <w:rPr>
          <w:rFonts w:hint="default" w:ascii="Times New Roman" w:hAnsi="Times New Roman" w:cs="Times New Roman" w:eastAsiaTheme="minorEastAsia"/>
          <w:color w:val="auto"/>
          <w:sz w:val="24"/>
          <w:highlight w:val="none"/>
          <w:u w:val="single"/>
          <w:vertAlign w:val="superscript"/>
        </w:rPr>
        <w:t>3</w:t>
      </w:r>
      <w:r>
        <w:rPr>
          <w:rFonts w:hint="default" w:ascii="Times New Roman" w:hAnsi="Times New Roman" w:cs="Times New Roman" w:eastAsiaTheme="minorEastAsia"/>
          <w:color w:val="auto"/>
          <w:sz w:val="24"/>
          <w:highlight w:val="none"/>
          <w:u w:val="single"/>
        </w:rPr>
        <w:t>的</w:t>
      </w:r>
      <w:r>
        <w:rPr>
          <w:rFonts w:hint="default" w:ascii="Times New Roman" w:hAnsi="Times New Roman" w:cs="Times New Roman" w:eastAsiaTheme="minorEastAsia"/>
          <w:bCs/>
          <w:color w:val="auto"/>
          <w:sz w:val="24"/>
          <w:highlight w:val="none"/>
          <w:u w:val="single"/>
        </w:rPr>
        <w:t>LNG储罐（采用预应力混凝土全容罐）和配套LNG气化设施（采用空温式和循环热水组合气化方案）；码头工程包括2个8500m</w:t>
      </w:r>
      <w:r>
        <w:rPr>
          <w:rFonts w:hint="default" w:ascii="Times New Roman" w:hAnsi="Times New Roman" w:cs="Times New Roman" w:eastAsiaTheme="minorEastAsia"/>
          <w:bCs/>
          <w:color w:val="auto"/>
          <w:sz w:val="24"/>
          <w:highlight w:val="none"/>
          <w:u w:val="single"/>
          <w:vertAlign w:val="superscript"/>
        </w:rPr>
        <w:t>3</w:t>
      </w:r>
      <w:r>
        <w:rPr>
          <w:rFonts w:hint="default" w:ascii="Times New Roman" w:hAnsi="Times New Roman" w:cs="Times New Roman" w:eastAsiaTheme="minorEastAsia"/>
          <w:bCs/>
          <w:color w:val="auto"/>
          <w:sz w:val="24"/>
          <w:highlight w:val="none"/>
          <w:u w:val="single"/>
        </w:rPr>
        <w:t>LNG接卸泊位及1个工作船泊位，接卸泊位占用岸线长度322.1m，工作船泊位占用岸线长度56m</w:t>
      </w:r>
      <w:r>
        <w:rPr>
          <w:rFonts w:hint="eastAsia" w:ascii="Times New Roman" w:hAnsi="Times New Roman" w:cs="Times New Roman" w:eastAsiaTheme="minorEastAsia"/>
          <w:bCs/>
          <w:color w:val="auto"/>
          <w:sz w:val="24"/>
          <w:highlight w:val="none"/>
          <w:u w:val="single"/>
          <w:lang w:eastAsia="zh-CN"/>
        </w:rPr>
        <w:t>，</w:t>
      </w:r>
      <w:r>
        <w:rPr>
          <w:rFonts w:hint="eastAsia" w:ascii="Times New Roman" w:hAnsi="Times New Roman" w:cs="Times New Roman" w:eastAsiaTheme="minorEastAsia"/>
          <w:bCs/>
          <w:color w:val="auto"/>
          <w:sz w:val="24"/>
          <w:highlight w:val="none"/>
          <w:u w:val="single"/>
          <w:lang w:val="en-US" w:eastAsia="zh-CN"/>
        </w:rPr>
        <w:t>配备有给排水处理、环保应急、照明岸电设置</w:t>
      </w:r>
      <w:r>
        <w:rPr>
          <w:rFonts w:hint="default" w:ascii="Times New Roman" w:hAnsi="Times New Roman" w:cs="Times New Roman" w:eastAsiaTheme="minorEastAsia"/>
          <w:bCs/>
          <w:color w:val="auto"/>
          <w:sz w:val="24"/>
          <w:highlight w:val="none"/>
          <w:u w:val="single"/>
        </w:rPr>
        <w:t>。</w:t>
      </w:r>
      <w:r>
        <w:rPr>
          <w:rFonts w:hint="default" w:ascii="Times New Roman" w:hAnsi="Times New Roman" w:cs="Times New Roman" w:eastAsiaTheme="minorEastAsia"/>
          <w:bCs/>
          <w:color w:val="auto"/>
          <w:sz w:val="24"/>
          <w:highlight w:val="none"/>
          <w:u w:val="single"/>
          <w:lang w:val="en-US" w:eastAsia="zh-CN"/>
        </w:rPr>
        <w:t>2020年9月，二期工程完成立项备案手续。</w:t>
      </w:r>
      <w:r>
        <w:rPr>
          <w:rFonts w:hint="default" w:ascii="Times New Roman" w:hAnsi="Times New Roman" w:cs="Times New Roman" w:eastAsiaTheme="minorEastAsia"/>
          <w:color w:val="auto"/>
          <w:kern w:val="0"/>
          <w:sz w:val="24"/>
          <w:szCs w:val="24"/>
          <w:highlight w:val="none"/>
          <w:u w:val="single"/>
          <w:lang w:bidi="ar"/>
        </w:rPr>
        <w:t>拟新建2座5000吨级LNG加注泊位（码头结构按停靠10000吨级船舶设计），布置于规划LNG泊位区的下游端部，</w:t>
      </w:r>
      <w:r>
        <w:rPr>
          <w:rFonts w:hint="default" w:ascii="Times New Roman" w:hAnsi="Times New Roman" w:cs="Times New Roman" w:eastAsiaTheme="minorEastAsia"/>
          <w:color w:val="auto"/>
          <w:kern w:val="0"/>
          <w:sz w:val="24"/>
          <w:szCs w:val="24"/>
          <w:highlight w:val="none"/>
          <w:u w:val="single"/>
          <w:lang w:val="zh-CN" w:bidi="ar"/>
        </w:rPr>
        <w:t>年吞吐量</w:t>
      </w:r>
      <w:r>
        <w:rPr>
          <w:rFonts w:hint="default" w:ascii="Times New Roman" w:hAnsi="Times New Roman" w:cs="Times New Roman" w:eastAsiaTheme="minorEastAsia"/>
          <w:color w:val="auto"/>
          <w:kern w:val="0"/>
          <w:sz w:val="24"/>
          <w:szCs w:val="24"/>
          <w:highlight w:val="none"/>
          <w:u w:val="single"/>
          <w:lang w:bidi="ar"/>
        </w:rPr>
        <w:t>2.6</w:t>
      </w:r>
      <w:r>
        <w:rPr>
          <w:rFonts w:hint="default" w:ascii="Times New Roman" w:hAnsi="Times New Roman" w:cs="Times New Roman" w:eastAsiaTheme="minorEastAsia"/>
          <w:color w:val="auto"/>
          <w:kern w:val="0"/>
          <w:sz w:val="24"/>
          <w:szCs w:val="24"/>
          <w:highlight w:val="none"/>
          <w:u w:val="single"/>
          <w:lang w:val="zh-CN" w:bidi="ar"/>
        </w:rPr>
        <w:t>万t，设计年通过能力</w:t>
      </w:r>
      <w:r>
        <w:rPr>
          <w:rFonts w:hint="default" w:ascii="Times New Roman" w:hAnsi="Times New Roman" w:cs="Times New Roman" w:eastAsiaTheme="minorEastAsia"/>
          <w:color w:val="auto"/>
          <w:kern w:val="0"/>
          <w:sz w:val="24"/>
          <w:szCs w:val="24"/>
          <w:highlight w:val="none"/>
          <w:u w:val="single"/>
          <w:lang w:bidi="ar"/>
        </w:rPr>
        <w:t>3.1</w:t>
      </w:r>
      <w:r>
        <w:rPr>
          <w:rFonts w:hint="default" w:ascii="Times New Roman" w:hAnsi="Times New Roman" w:cs="Times New Roman" w:eastAsiaTheme="minorEastAsia"/>
          <w:color w:val="auto"/>
          <w:kern w:val="0"/>
          <w:sz w:val="24"/>
          <w:szCs w:val="24"/>
          <w:highlight w:val="none"/>
          <w:u w:val="single"/>
          <w:lang w:val="zh-CN" w:bidi="ar"/>
        </w:rPr>
        <w:t>万t，占用长江岸线</w:t>
      </w:r>
      <w:r>
        <w:rPr>
          <w:rFonts w:hint="default" w:ascii="Times New Roman" w:hAnsi="Times New Roman" w:cs="Times New Roman" w:eastAsiaTheme="minorEastAsia"/>
          <w:color w:val="auto"/>
          <w:kern w:val="0"/>
          <w:sz w:val="24"/>
          <w:szCs w:val="24"/>
          <w:highlight w:val="none"/>
          <w:u w:val="single"/>
          <w:lang w:bidi="ar"/>
        </w:rPr>
        <w:t>31</w:t>
      </w:r>
      <w:r>
        <w:rPr>
          <w:rFonts w:hint="default" w:ascii="Times New Roman" w:hAnsi="Times New Roman" w:cs="Times New Roman" w:eastAsiaTheme="minorEastAsia"/>
          <w:color w:val="auto"/>
          <w:kern w:val="0"/>
          <w:sz w:val="24"/>
          <w:szCs w:val="24"/>
          <w:highlight w:val="none"/>
          <w:u w:val="single"/>
          <w:lang w:val="zh-CN" w:bidi="ar"/>
        </w:rPr>
        <w:t>5m。</w:t>
      </w:r>
      <w:r>
        <w:rPr>
          <w:rFonts w:hint="eastAsia" w:ascii="Times New Roman" w:hAnsi="Times New Roman" w:cs="Times New Roman" w:eastAsiaTheme="minorEastAsia"/>
          <w:color w:val="auto"/>
          <w:kern w:val="0"/>
          <w:sz w:val="24"/>
          <w:szCs w:val="24"/>
          <w:highlight w:val="none"/>
          <w:u w:val="single"/>
          <w:lang w:val="en-US" w:eastAsia="zh-CN" w:bidi="ar"/>
        </w:rPr>
        <w:t>三期工程做为一期、二期工程补充工程，</w:t>
      </w:r>
      <w:r>
        <w:rPr>
          <w:rFonts w:hint="default" w:ascii="Times New Roman" w:hAnsi="Times New Roman" w:cs="Times New Roman" w:eastAsiaTheme="minorEastAsia"/>
          <w:bCs/>
          <w:color w:val="auto"/>
          <w:sz w:val="24"/>
          <w:highlight w:val="none"/>
          <w:u w:val="single"/>
          <w:lang w:val="en-US" w:eastAsia="zh-CN"/>
        </w:rPr>
        <w:t>工程内容暂定为新建</w:t>
      </w:r>
      <w:r>
        <w:rPr>
          <w:rFonts w:hint="default" w:ascii="Times New Roman" w:hAnsi="Times New Roman" w:cs="Times New Roman" w:eastAsiaTheme="minorEastAsia"/>
          <w:color w:val="auto"/>
          <w:sz w:val="24"/>
          <w:highlight w:val="none"/>
          <w:u w:val="single"/>
          <w:lang w:val="en-US" w:eastAsia="zh-CN"/>
        </w:rPr>
        <w:t>2</w:t>
      </w:r>
      <w:r>
        <w:rPr>
          <w:rFonts w:hint="default" w:ascii="Times New Roman" w:hAnsi="Times New Roman" w:cs="Times New Roman" w:eastAsiaTheme="minorEastAsia"/>
          <w:color w:val="auto"/>
          <w:sz w:val="24"/>
          <w:highlight w:val="none"/>
          <w:u w:val="single"/>
        </w:rPr>
        <w:t>个LNG接卸泊位</w:t>
      </w:r>
      <w:r>
        <w:rPr>
          <w:rFonts w:hint="default" w:ascii="Times New Roman" w:hAnsi="Times New Roman" w:cs="Times New Roman" w:eastAsiaTheme="minorEastAsia"/>
          <w:color w:val="auto"/>
          <w:sz w:val="24"/>
          <w:highlight w:val="none"/>
          <w:u w:val="single"/>
          <w:lang w:val="en-US" w:eastAsia="zh-CN"/>
        </w:rPr>
        <w:t>、1</w:t>
      </w:r>
      <w:r>
        <w:rPr>
          <w:rFonts w:hint="default" w:ascii="Times New Roman" w:hAnsi="Times New Roman" w:cs="Times New Roman" w:eastAsiaTheme="minorEastAsia"/>
          <w:color w:val="auto"/>
          <w:sz w:val="24"/>
          <w:highlight w:val="none"/>
          <w:u w:val="single"/>
        </w:rPr>
        <w:t>个工作船泊位</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2座</w:t>
      </w:r>
      <w:r>
        <w:rPr>
          <w:rFonts w:hint="default" w:ascii="Times New Roman" w:hAnsi="Times New Roman" w:cs="Times New Roman" w:eastAsiaTheme="minorEastAsia"/>
          <w:color w:val="auto"/>
          <w:sz w:val="24"/>
          <w:highlight w:val="none"/>
          <w:u w:val="single"/>
        </w:rPr>
        <w:t>5</w:t>
      </w:r>
      <w:r>
        <w:rPr>
          <w:rFonts w:hint="default" w:ascii="Times New Roman" w:hAnsi="Times New Roman" w:cs="Times New Roman" w:eastAsiaTheme="minorEastAsia"/>
          <w:color w:val="auto"/>
          <w:sz w:val="24"/>
          <w:highlight w:val="none"/>
          <w:u w:val="single"/>
          <w:lang w:val="en-US" w:eastAsia="zh-CN"/>
        </w:rPr>
        <w:t>万</w:t>
      </w:r>
      <w:r>
        <w:rPr>
          <w:rFonts w:hint="default" w:ascii="Times New Roman" w:hAnsi="Times New Roman" w:cs="Times New Roman" w:eastAsiaTheme="minorEastAsia"/>
          <w:color w:val="auto"/>
          <w:sz w:val="24"/>
          <w:highlight w:val="none"/>
          <w:u w:val="single"/>
        </w:rPr>
        <w:t>m</w:t>
      </w:r>
      <w:r>
        <w:rPr>
          <w:rFonts w:hint="default" w:ascii="Times New Roman" w:hAnsi="Times New Roman" w:cs="Times New Roman" w:eastAsiaTheme="minorEastAsia"/>
          <w:color w:val="auto"/>
          <w:sz w:val="24"/>
          <w:highlight w:val="none"/>
          <w:u w:val="single"/>
          <w:vertAlign w:val="superscript"/>
        </w:rPr>
        <w:t>2</w:t>
      </w:r>
      <w:r>
        <w:rPr>
          <w:rFonts w:hint="default" w:ascii="Times New Roman" w:hAnsi="Times New Roman" w:cs="Times New Roman" w:eastAsiaTheme="minorEastAsia"/>
          <w:color w:val="auto"/>
          <w:sz w:val="24"/>
          <w:highlight w:val="none"/>
          <w:u w:val="single"/>
          <w:vertAlign w:val="superscript"/>
          <w:lang w:val="en-US" w:eastAsia="zh-CN"/>
        </w:rPr>
        <w:t xml:space="preserve"> </w:t>
      </w:r>
      <w:r>
        <w:rPr>
          <w:rFonts w:hint="default" w:ascii="Times New Roman" w:hAnsi="Times New Roman" w:cs="Times New Roman" w:eastAsiaTheme="minorEastAsia"/>
          <w:color w:val="auto"/>
          <w:sz w:val="24"/>
          <w:highlight w:val="none"/>
          <w:u w:val="single"/>
        </w:rPr>
        <w:t>LNG储罐</w:t>
      </w:r>
      <w:r>
        <w:rPr>
          <w:rFonts w:hint="default" w:ascii="Times New Roman" w:hAnsi="Times New Roman" w:cs="Times New Roman" w:eastAsiaTheme="minorEastAsia"/>
          <w:color w:val="auto"/>
          <w:sz w:val="24"/>
          <w:highlight w:val="none"/>
          <w:u w:val="single"/>
          <w:lang w:val="en-US" w:eastAsia="zh-CN"/>
        </w:rPr>
        <w:t>及其他辅助配套生产设施</w:t>
      </w:r>
      <w:r>
        <w:rPr>
          <w:rFonts w:hint="eastAsia" w:ascii="Times New Roman" w:hAnsi="Times New Roman" w:cs="Times New Roman" w:eastAsiaTheme="minorEastAsia"/>
          <w:color w:val="auto"/>
          <w:sz w:val="24"/>
          <w:highlight w:val="none"/>
          <w:u w:val="single"/>
          <w:lang w:val="en-US" w:eastAsia="zh-CN"/>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cs="Times New Roman" w:eastAsiaTheme="minorEastAsia"/>
          <w:color w:val="auto"/>
          <w:kern w:val="0"/>
          <w:sz w:val="24"/>
          <w:szCs w:val="24"/>
          <w:highlight w:val="none"/>
          <w:u w:val="single"/>
          <w:lang w:val="en-US" w:eastAsia="zh-CN" w:bidi="ar"/>
        </w:rPr>
        <w:t>从建设进度上而言，</w:t>
      </w:r>
      <w:r>
        <w:rPr>
          <w:rFonts w:hint="default" w:ascii="Times New Roman" w:hAnsi="Times New Roman" w:cs="Times New Roman"/>
          <w:color w:val="auto"/>
          <w:sz w:val="24"/>
          <w:highlight w:val="none"/>
          <w:u w:val="single"/>
        </w:rPr>
        <w:t>岳阳LNG接收站（储备中心）项目</w:t>
      </w:r>
      <w:r>
        <w:rPr>
          <w:rFonts w:hint="eastAsia"/>
          <w:color w:val="auto"/>
          <w:sz w:val="24"/>
          <w:highlight w:val="none"/>
          <w:u w:val="single"/>
          <w:lang w:val="en-US" w:eastAsia="zh-CN"/>
        </w:rPr>
        <w:t>已取得湖南省自然资源厅对永久占地的批复，</w:t>
      </w:r>
      <w:r>
        <w:rPr>
          <w:rFonts w:hint="default" w:ascii="Times New Roman" w:hAnsi="Times New Roman" w:cs="Times New Roman" w:eastAsiaTheme="minorEastAsia"/>
          <w:color w:val="auto"/>
          <w:kern w:val="0"/>
          <w:sz w:val="24"/>
          <w:szCs w:val="24"/>
          <w:highlight w:val="none"/>
          <w:u w:val="single"/>
          <w:lang w:val="en-US" w:eastAsia="zh-CN" w:bidi="ar"/>
        </w:rPr>
        <w:t>一期工程已于2020年10月正式开工建设</w:t>
      </w:r>
      <w:r>
        <w:rPr>
          <w:rFonts w:hint="default" w:ascii="Times New Roman" w:hAnsi="Times New Roman" w:cs="Times New Roman" w:eastAsiaTheme="minorEastAsia"/>
          <w:color w:val="auto"/>
          <w:kern w:val="0"/>
          <w:sz w:val="24"/>
          <w:szCs w:val="24"/>
          <w:highlight w:val="none"/>
          <w:u w:val="single"/>
          <w:lang w:val="zh-CN" w:bidi="ar"/>
        </w:rPr>
        <w:t>。</w:t>
      </w:r>
      <w:r>
        <w:rPr>
          <w:rFonts w:hint="default" w:ascii="Times New Roman" w:hAnsi="Times New Roman" w:cs="Times New Roman" w:eastAsiaTheme="minorEastAsia"/>
          <w:color w:val="auto"/>
          <w:kern w:val="0"/>
          <w:sz w:val="24"/>
          <w:szCs w:val="24"/>
          <w:highlight w:val="none"/>
          <w:u w:val="single"/>
          <w:lang w:val="en-US" w:eastAsia="zh-CN" w:bidi="ar"/>
        </w:rPr>
        <w:t>二期工程的可研、通航、防洪等前期手续还处于批复阶段，计划开工时间2021年1月。</w:t>
      </w:r>
      <w:r>
        <w:rPr>
          <w:rFonts w:hint="eastAsia" w:ascii="Times New Roman" w:hAnsi="Times New Roman" w:cs="Times New Roman" w:eastAsiaTheme="minorEastAsia"/>
          <w:color w:val="auto"/>
          <w:kern w:val="0"/>
          <w:sz w:val="24"/>
          <w:szCs w:val="24"/>
          <w:highlight w:val="none"/>
          <w:u w:val="single"/>
          <w:lang w:val="en-US" w:eastAsia="zh-CN" w:bidi="ar"/>
        </w:rPr>
        <w:t>三期工程预计在2022年后计划开工。</w:t>
      </w:r>
      <w:r>
        <w:rPr>
          <w:rFonts w:hint="default" w:ascii="Times New Roman" w:hAnsi="Times New Roman" w:cs="Times New Roman" w:eastAsiaTheme="minorEastAsia"/>
          <w:color w:val="auto"/>
          <w:kern w:val="0"/>
          <w:sz w:val="24"/>
          <w:szCs w:val="24"/>
          <w:highlight w:val="none"/>
          <w:u w:val="single"/>
          <w:lang w:val="en-US" w:eastAsia="zh-CN" w:bidi="ar"/>
        </w:rPr>
        <w:t>二期工程施工期间依托</w:t>
      </w:r>
      <w:r>
        <w:rPr>
          <w:rFonts w:hint="eastAsia" w:ascii="Times New Roman" w:hAnsi="Times New Roman" w:cs="Times New Roman" w:eastAsiaTheme="minorEastAsia"/>
          <w:color w:val="auto"/>
          <w:kern w:val="0"/>
          <w:sz w:val="24"/>
          <w:szCs w:val="24"/>
          <w:highlight w:val="none"/>
          <w:u w:val="single"/>
          <w:lang w:val="en-US" w:eastAsia="zh-CN" w:bidi="ar"/>
        </w:rPr>
        <w:t>三</w:t>
      </w:r>
      <w:r>
        <w:rPr>
          <w:rFonts w:hint="default" w:ascii="Times New Roman" w:hAnsi="Times New Roman" w:cs="Times New Roman" w:eastAsiaTheme="minorEastAsia"/>
          <w:color w:val="auto"/>
          <w:kern w:val="0"/>
          <w:sz w:val="24"/>
          <w:szCs w:val="24"/>
          <w:highlight w:val="none"/>
          <w:u w:val="single"/>
          <w:lang w:val="en-US" w:eastAsia="zh-CN" w:bidi="ar"/>
        </w:rPr>
        <w:t>期工程在永久占地范围内设置的临时工程，是可以实现的。</w:t>
      </w:r>
    </w:p>
    <w:p>
      <w:pPr>
        <w:adjustRightInd w:val="0"/>
        <w:snapToGrid w:val="0"/>
        <w:spacing w:line="360" w:lineRule="auto"/>
        <w:ind w:firstLine="480" w:firstLineChars="200"/>
        <w:rPr>
          <w:rFonts w:hint="default" w:ascii="Times New Roman" w:hAnsi="Times New Roman" w:cs="Times New Roman"/>
          <w:color w:val="auto"/>
          <w:highlight w:val="none"/>
          <w:u w:val="single"/>
          <w:lang w:val="en-US" w:eastAsia="zh-CN"/>
        </w:rPr>
      </w:pPr>
      <w:r>
        <w:rPr>
          <w:rFonts w:hint="default" w:ascii="Times New Roman" w:hAnsi="Times New Roman" w:cs="Times New Roman" w:eastAsiaTheme="minorEastAsia"/>
          <w:color w:val="auto"/>
          <w:kern w:val="0"/>
          <w:sz w:val="24"/>
          <w:szCs w:val="24"/>
          <w:highlight w:val="none"/>
          <w:u w:val="single"/>
          <w:lang w:val="en-US" w:eastAsia="zh-CN" w:bidi="ar"/>
        </w:rPr>
        <w:t>从建设内容上而言，一期工程、二期工程建设内容无交叉，两者分别承担着岳阳港君山港区LNG的储备、加注功能，符合</w:t>
      </w:r>
      <w:r>
        <w:rPr>
          <w:rFonts w:hint="default" w:ascii="Times New Roman" w:hAnsi="Times New Roman" w:cs="Times New Roman" w:eastAsiaTheme="minorEastAsia"/>
          <w:color w:val="auto"/>
          <w:sz w:val="24"/>
          <w:highlight w:val="none"/>
          <w:u w:val="single"/>
        </w:rPr>
        <w:t>《长江干线京杭运河西江航运干线液化天然气加注站布局方案（2017-2025年）》、《湖南省LNG水上加注站布局规划》</w:t>
      </w:r>
      <w:r>
        <w:rPr>
          <w:rFonts w:hint="default" w:ascii="Times New Roman" w:hAnsi="Times New Roman" w:cs="Times New Roman" w:eastAsiaTheme="minorEastAsia"/>
          <w:color w:val="auto"/>
          <w:sz w:val="24"/>
          <w:highlight w:val="none"/>
          <w:u w:val="single"/>
          <w:lang w:eastAsia="zh-CN"/>
        </w:rPr>
        <w:t>，</w:t>
      </w:r>
      <w:r>
        <w:rPr>
          <w:rFonts w:hint="default" w:ascii="Times New Roman" w:hAnsi="Times New Roman" w:cs="Times New Roman" w:eastAsiaTheme="minorEastAsia"/>
          <w:color w:val="auto"/>
          <w:sz w:val="24"/>
          <w:highlight w:val="none"/>
          <w:u w:val="single"/>
          <w:lang w:val="en-US" w:eastAsia="zh-CN"/>
        </w:rPr>
        <w:t>其战略意义重大。二期工程的加注站业务开展必须建立一期工程LNG储备中心建设完成的基础上进行。因此，二期工程在运行期间依托一期工程的</w:t>
      </w:r>
      <w:r>
        <w:rPr>
          <w:rFonts w:hint="eastAsia" w:ascii="Times New Roman" w:hAnsi="Times New Roman" w:cs="Times New Roman" w:eastAsiaTheme="minorEastAsia"/>
          <w:color w:val="auto"/>
          <w:sz w:val="24"/>
          <w:highlight w:val="none"/>
          <w:u w:val="single"/>
          <w:lang w:val="en-US" w:eastAsia="zh-CN"/>
        </w:rPr>
        <w:t>污水处理设施、消防水池、环境风险应急设备、供电供水、通信等</w:t>
      </w:r>
      <w:r>
        <w:rPr>
          <w:rFonts w:hint="default" w:ascii="Times New Roman" w:hAnsi="Times New Roman" w:cs="Times New Roman" w:eastAsiaTheme="minorEastAsia"/>
          <w:color w:val="auto"/>
          <w:sz w:val="24"/>
          <w:highlight w:val="none"/>
          <w:u w:val="single"/>
          <w:lang w:val="en-US" w:eastAsia="zh-CN"/>
        </w:rPr>
        <w:t>公用设施及环保设施是可行的。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lang w:val="en-US" w:eastAsia="zh-CN" w:bidi="ar"/>
        </w:rPr>
      </w:pPr>
      <w:r>
        <w:rPr>
          <w:rFonts w:hint="default" w:ascii="Times New Roman" w:hAnsi="Times New Roman" w:cs="Times New Roman" w:eastAsiaTheme="minorEastAsia"/>
          <w:color w:val="auto"/>
          <w:kern w:val="0"/>
          <w:sz w:val="24"/>
          <w:szCs w:val="24"/>
          <w:highlight w:val="none"/>
          <w:u w:val="single"/>
          <w:lang w:val="en-US" w:eastAsia="zh-CN" w:bidi="ar"/>
        </w:rPr>
        <w:t>从工程平面布局上而言，二期工程位于一期工程</w:t>
      </w:r>
      <w:r>
        <w:rPr>
          <w:rFonts w:hint="default" w:ascii="Times New Roman" w:hAnsi="Times New Roman" w:eastAsia="宋体" w:cs="Times New Roman"/>
          <w:color w:val="auto"/>
          <w:kern w:val="0"/>
          <w:sz w:val="24"/>
          <w:szCs w:val="24"/>
          <w:highlight w:val="none"/>
          <w:u w:val="single"/>
          <w:lang w:val="en-US" w:eastAsia="zh-CN" w:bidi="ar"/>
        </w:rPr>
        <w:t>的东侧约400m处</w:t>
      </w:r>
      <w:r>
        <w:rPr>
          <w:rFonts w:hint="default" w:ascii="Times New Roman" w:hAnsi="Times New Roman" w:cs="Times New Roman"/>
          <w:color w:val="auto"/>
          <w:kern w:val="0"/>
          <w:sz w:val="24"/>
          <w:szCs w:val="24"/>
          <w:highlight w:val="none"/>
          <w:u w:val="single"/>
          <w:lang w:val="en-US" w:eastAsia="zh-CN" w:bidi="ar"/>
        </w:rPr>
        <w:t>，工程区域内居民较少，周边地势平坦，可利用村道将一期工程、二期工程区域相互联系</w:t>
      </w:r>
      <w:r>
        <w:rPr>
          <w:rFonts w:hint="default" w:ascii="Times New Roman" w:hAnsi="Times New Roman" w:eastAsia="宋体" w:cs="Times New Roman"/>
          <w:color w:val="auto"/>
          <w:kern w:val="0"/>
          <w:sz w:val="24"/>
          <w:szCs w:val="24"/>
          <w:highlight w:val="none"/>
          <w:u w:val="single"/>
          <w:lang w:val="en-US" w:eastAsia="zh-CN" w:bidi="ar"/>
        </w:rPr>
        <w:t>。</w:t>
      </w:r>
    </w:p>
    <w:p>
      <w:pPr>
        <w:adjustRightInd w:val="0"/>
        <w:snapToGrid w:val="0"/>
        <w:spacing w:line="360" w:lineRule="auto"/>
        <w:ind w:firstLine="480" w:firstLineChars="200"/>
        <w:rPr>
          <w:rFonts w:hint="default" w:ascii="Times New Roman" w:hAnsi="Times New Roman" w:cs="Times New Roman"/>
          <w:color w:val="auto"/>
          <w:spacing w:val="-1"/>
          <w:sz w:val="24"/>
          <w:szCs w:val="24"/>
          <w:highlight w:val="none"/>
          <w:u w:val="single"/>
        </w:rPr>
      </w:pPr>
      <w:r>
        <w:rPr>
          <w:rFonts w:hint="default" w:ascii="Times New Roman" w:hAnsi="Times New Roman" w:cs="Times New Roman" w:eastAsiaTheme="minorEastAsia"/>
          <w:color w:val="auto"/>
          <w:kern w:val="0"/>
          <w:sz w:val="24"/>
          <w:szCs w:val="24"/>
          <w:highlight w:val="none"/>
          <w:u w:val="single"/>
          <w:lang w:val="en-US" w:eastAsia="zh-CN" w:bidi="ar"/>
        </w:rPr>
        <w:t>因此，二期工程依托</w:t>
      </w:r>
      <w:r>
        <w:rPr>
          <w:rFonts w:hint="default" w:ascii="Times New Roman" w:hAnsi="Times New Roman" w:cs="Times New Roman"/>
          <w:color w:val="auto"/>
          <w:sz w:val="24"/>
          <w:highlight w:val="none"/>
          <w:u w:val="single"/>
        </w:rPr>
        <w:t>岳阳LNG接收站（储备中心）项目</w:t>
      </w:r>
      <w:r>
        <w:rPr>
          <w:rFonts w:hint="default" w:ascii="Times New Roman" w:hAnsi="Times New Roman" w:cs="Times New Roman" w:eastAsiaTheme="minorEastAsia"/>
          <w:color w:val="auto"/>
          <w:kern w:val="0"/>
          <w:sz w:val="24"/>
          <w:szCs w:val="24"/>
          <w:highlight w:val="none"/>
          <w:u w:val="single"/>
          <w:lang w:val="en-US" w:eastAsia="zh-CN" w:bidi="ar"/>
        </w:rPr>
        <w:t>一期</w:t>
      </w:r>
      <w:r>
        <w:rPr>
          <w:rFonts w:hint="eastAsia" w:ascii="Times New Roman" w:hAnsi="Times New Roman" w:cs="Times New Roman" w:eastAsiaTheme="minorEastAsia"/>
          <w:color w:val="auto"/>
          <w:kern w:val="0"/>
          <w:sz w:val="24"/>
          <w:szCs w:val="24"/>
          <w:highlight w:val="none"/>
          <w:u w:val="single"/>
          <w:lang w:val="en-US" w:eastAsia="zh-CN" w:bidi="ar"/>
        </w:rPr>
        <w:t>、三期</w:t>
      </w:r>
      <w:r>
        <w:rPr>
          <w:rFonts w:hint="default" w:ascii="Times New Roman" w:hAnsi="Times New Roman" w:cs="Times New Roman" w:eastAsiaTheme="minorEastAsia"/>
          <w:color w:val="auto"/>
          <w:kern w:val="0"/>
          <w:sz w:val="24"/>
          <w:szCs w:val="24"/>
          <w:highlight w:val="none"/>
          <w:u w:val="single"/>
          <w:lang w:val="en-US" w:eastAsia="zh-CN" w:bidi="ar"/>
        </w:rPr>
        <w:t>工程是具备可行性的。与此同时，一期、二期</w:t>
      </w:r>
      <w:r>
        <w:rPr>
          <w:rFonts w:hint="eastAsia" w:ascii="Times New Roman" w:hAnsi="Times New Roman" w:cs="Times New Roman" w:eastAsiaTheme="minorEastAsia"/>
          <w:color w:val="auto"/>
          <w:kern w:val="0"/>
          <w:sz w:val="24"/>
          <w:szCs w:val="24"/>
          <w:highlight w:val="none"/>
          <w:u w:val="single"/>
          <w:lang w:val="en-US" w:eastAsia="zh-CN" w:bidi="ar"/>
        </w:rPr>
        <w:t>、三期工程</w:t>
      </w:r>
      <w:r>
        <w:rPr>
          <w:rFonts w:hint="default" w:ascii="Times New Roman" w:hAnsi="Times New Roman" w:cs="Times New Roman" w:eastAsiaTheme="minorEastAsia"/>
          <w:color w:val="auto"/>
          <w:kern w:val="0"/>
          <w:sz w:val="24"/>
          <w:szCs w:val="24"/>
          <w:highlight w:val="none"/>
          <w:u w:val="single"/>
          <w:lang w:val="en-US" w:eastAsia="zh-CN" w:bidi="ar"/>
        </w:rPr>
        <w:t>均为单独立项，后期运行进行环保工程竣工验收工作不会相互干扰。</w:t>
      </w:r>
    </w:p>
    <w:p>
      <w:pPr>
        <w:pStyle w:val="3"/>
        <w:ind w:left="578" w:hanging="578"/>
        <w:rPr>
          <w:rFonts w:hint="default" w:ascii="Times New Roman" w:hAnsi="Times New Roman" w:cs="Times New Roman" w:eastAsiaTheme="minorEastAsia"/>
          <w:b/>
          <w:bCs w:val="0"/>
          <w:color w:val="auto"/>
          <w:lang w:val="zh-CN"/>
        </w:rPr>
      </w:pPr>
      <w:bookmarkStart w:id="51" w:name="_Toc7064"/>
      <w:r>
        <w:rPr>
          <w:rFonts w:hint="default" w:ascii="Times New Roman" w:hAnsi="Times New Roman" w:cs="Times New Roman" w:eastAsiaTheme="minorEastAsia"/>
          <w:b/>
          <w:bCs w:val="0"/>
          <w:color w:val="auto"/>
          <w:lang w:val="zh-CN"/>
        </w:rPr>
        <w:t>施工工艺流程及施工方法</w:t>
      </w:r>
      <w:bookmarkEnd w:id="51"/>
    </w:p>
    <w:p>
      <w:pPr>
        <w:pStyle w:val="4"/>
        <w:ind w:left="578" w:hanging="578"/>
        <w:rPr>
          <w:rFonts w:hint="default" w:ascii="Times New Roman" w:hAnsi="Times New Roman" w:cs="Times New Roman" w:eastAsiaTheme="minorEastAsia"/>
          <w:color w:val="auto"/>
          <w:lang w:val="zh-CN" w:eastAsia="zh-CN"/>
        </w:rPr>
      </w:pPr>
      <w:r>
        <w:rPr>
          <w:rFonts w:hint="default" w:ascii="Times New Roman" w:hAnsi="Times New Roman" w:cs="Times New Roman" w:eastAsiaTheme="minorEastAsia"/>
          <w:color w:val="auto"/>
          <w:lang w:val="zh-CN" w:eastAsia="zh-CN"/>
        </w:rPr>
        <w:t>施工总体思路</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lang w:val="zh-CN"/>
        </w:rPr>
        <w:t>总体施工部署</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根据</w:t>
      </w:r>
      <w:r>
        <w:rPr>
          <w:rFonts w:hint="default" w:ascii="Times New Roman" w:hAnsi="Times New Roman" w:cs="Times New Roman"/>
          <w:color w:val="auto"/>
          <w:sz w:val="24"/>
          <w:szCs w:val="24"/>
          <w:u w:val="single"/>
          <w:lang w:val="zh-CN"/>
        </w:rPr>
        <w:t>本项目工程地理位置、气象、水文、地形、地貌及工程泥沙、工程地质、地震等自然条件，并综合考虑</w:t>
      </w:r>
      <w:r>
        <w:rPr>
          <w:rFonts w:hint="eastAsia" w:ascii="Times New Roman" w:hAnsi="Times New Roman" w:cs="Times New Roman"/>
          <w:color w:val="auto"/>
          <w:sz w:val="24"/>
          <w:szCs w:val="24"/>
          <w:u w:val="single"/>
          <w:lang w:val="zh-CN"/>
        </w:rPr>
        <w:t>本项目</w:t>
      </w:r>
      <w:r>
        <w:rPr>
          <w:rFonts w:hint="default" w:ascii="Times New Roman" w:hAnsi="Times New Roman" w:cs="Times New Roman"/>
          <w:color w:val="auto"/>
          <w:sz w:val="24"/>
          <w:szCs w:val="24"/>
          <w:u w:val="single"/>
          <w:lang w:val="zh-CN"/>
        </w:rPr>
        <w:t>特点、工期要求、外部依托条件及周边关系等因素，结合我司在岳阳君山长江岸线的高桩码头施工经验，对本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的施工总体顺序设想如下：</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⑴ </w:t>
      </w:r>
      <w:r>
        <w:rPr>
          <w:rFonts w:hint="default" w:ascii="Times New Roman" w:hAnsi="Times New Roman" w:cs="Times New Roman"/>
          <w:color w:val="auto"/>
          <w:sz w:val="24"/>
          <w:szCs w:val="24"/>
          <w:u w:val="single"/>
          <w:lang w:val="zh-CN"/>
        </w:rPr>
        <w:t>考虑到君山地区长江洪枯水位差较大，季节性变化明显，码头结构设计底高程、打入钢管桩桩顶高程与设计低水位接近，须在第一个枯水位季节完成码头桩基与底部承台施工。因此，我们将抓住第一个枯水期，首先进行引桥灌注桩、固定联桥、1#泊位转角平台PHC桩施工、护底块石抛填与预应力空心板预制，并在第一个洪水期到来之前将引桥、固定联桥、转角平台上部结构完成，形成施工通道。同时将两个泊位水域所有PHC桩、钢管桩沉桩完成，紧接着通过紧凑流水施工并加大人、机、料集中投入，抢在第一个洪水期到来之前将两个泊位加注靠船墩、系靠船墩、系缆墩底部承台以及卸车平台、倒车平台浇筑完成。</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⑵ </w:t>
      </w:r>
      <w:r>
        <w:rPr>
          <w:rFonts w:hint="default" w:ascii="Times New Roman" w:hAnsi="Times New Roman" w:cs="Times New Roman"/>
          <w:color w:val="auto"/>
          <w:sz w:val="24"/>
          <w:szCs w:val="24"/>
          <w:u w:val="single"/>
          <w:lang w:val="zh-CN"/>
        </w:rPr>
        <w:t>先前施工完成的码头系靠船各墩台底层平台露出水面时，马上开始各墩台框架及顶部面层施工，同时穿插进行码头橡胶护弦、爬梯、系船柱等附属设施安装，尽早完成水工主体结构。</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⑶ </w:t>
      </w:r>
      <w:r>
        <w:rPr>
          <w:rFonts w:hint="default" w:ascii="Times New Roman" w:hAnsi="Times New Roman" w:cs="Times New Roman"/>
          <w:color w:val="auto"/>
          <w:sz w:val="24"/>
          <w:szCs w:val="24"/>
          <w:u w:val="single"/>
          <w:lang w:val="zh-CN"/>
        </w:rPr>
        <w:t>引桥、倒车平台、卸车平台与码头水工主体完成后再进行工艺设备、给排水、消防、供电照明、通信、控制等施工，避免过多交叉作业。</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lang w:val="zh-CN"/>
        </w:rPr>
        <w:t>预制管桩施工</w:t>
      </w:r>
    </w:p>
    <w:p>
      <w:pPr>
        <w:adjustRightInd w:val="0"/>
        <w:snapToGrid w:val="0"/>
        <w:spacing w:line="360" w:lineRule="auto"/>
        <w:ind w:firstLine="480" w:firstLineChars="200"/>
        <w:rPr>
          <w:rFonts w:hint="default" w:ascii="Times New Roman" w:hAnsi="Times New Roman" w:eastAsia="宋体" w:cs="Times New Roman"/>
          <w:color w:val="auto"/>
          <w:sz w:val="24"/>
          <w:szCs w:val="24"/>
          <w:u w:val="single"/>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所需的直径1000mm钢管桩、PHC桩分别委托专业的管桩厂制作生产，钢管桩防腐在工厂完成，钢管桩、PHC桩根据设计桩长整桩预制，根据打桩进度与顺序，通过运输船将钢管桩分两批次运抵施工现场水域、PHC桩一次运抵现场水域。租赁打桩船提前进场抛锚做打桩准备，打桩前进行水下地形、高程测量，摸清是否有沉桩障碍物，若有，则采取有效措施予以清除。水上沉桩先打靠近岸边的PHC桩、再打系靠船墩钢管桩。PHC桩沉桩顺序依次为：#1泊位引桥前两排与转角平台PHC桩→倒车平台、卸车平台PHC桩→固定联桥PHC桩→#2泊位倒车平台、卸车平台PHC桩；钢管桩沉桩顺序为：从最下游#2泊位系缆墩往最上</w:t>
      </w:r>
      <w:r>
        <w:rPr>
          <w:rFonts w:hint="default" w:ascii="Times New Roman" w:hAnsi="Times New Roman" w:eastAsia="宋体" w:cs="Times New Roman"/>
          <w:color w:val="auto"/>
          <w:sz w:val="24"/>
          <w:szCs w:val="24"/>
          <w:u w:val="single"/>
        </w:rPr>
        <w:t>游</w:t>
      </w:r>
      <w:r>
        <w:rPr>
          <w:rFonts w:hint="default" w:ascii="Times New Roman" w:hAnsi="Times New Roman" w:eastAsia="TimesNewRomanPSMT" w:cs="Times New Roman"/>
          <w:color w:val="auto"/>
          <w:sz w:val="24"/>
          <w:szCs w:val="24"/>
          <w:u w:val="single"/>
        </w:rPr>
        <w:t>#1</w:t>
      </w:r>
      <w:r>
        <w:rPr>
          <w:rFonts w:hint="default" w:ascii="Times New Roman" w:hAnsi="Times New Roman" w:eastAsia="宋体" w:cs="Times New Roman"/>
          <w:color w:val="auto"/>
          <w:sz w:val="24"/>
          <w:szCs w:val="24"/>
          <w:u w:val="single"/>
        </w:rPr>
        <w:t>泊位系缆墩依次施打，过程中可以根据打桩船抛锚情况、现场工况、工期安排等适当调整沉桩顺序。</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3、</w:t>
      </w:r>
      <w:r>
        <w:rPr>
          <w:rFonts w:hint="default" w:ascii="Times New Roman" w:hAnsi="Times New Roman" w:cs="Times New Roman"/>
          <w:b/>
          <w:bCs/>
          <w:color w:val="auto"/>
          <w:sz w:val="24"/>
          <w:szCs w:val="24"/>
          <w:u w:val="single"/>
          <w:lang w:val="zh-CN"/>
        </w:rPr>
        <w:t>预制构件施工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预制构件为引桥、固定联桥预应力空心板108块，靠船构件16个。构件在设在现场预制场预制，龙门吊转运堆存与装车，构件预制进度满足安装进度要求。空心板由炮车运输至架梁区域，150t履带吊吊装就位，靠构经由临时码头出运，船吊水上安装。</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4、</w:t>
      </w:r>
      <w:r>
        <w:rPr>
          <w:rFonts w:hint="default" w:ascii="Times New Roman" w:hAnsi="Times New Roman" w:cs="Times New Roman"/>
          <w:b/>
          <w:bCs/>
          <w:color w:val="auto"/>
          <w:sz w:val="24"/>
          <w:szCs w:val="24"/>
          <w:u w:val="single"/>
          <w:lang w:val="zh-CN"/>
        </w:rPr>
        <w:t>灌注桩施工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引桥接岸部分基础为灌注桩，共计10根。计划投入2台GPS10回旋钻机钻孔，泥浆护壁，反循环清孔；钢筋笼在现场钢筋加工区制作，平板车运到现场，25t汽车吊安放；导管法浇注水下混凝土。</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5、</w:t>
      </w:r>
      <w:r>
        <w:rPr>
          <w:rFonts w:hint="default" w:ascii="Times New Roman" w:hAnsi="Times New Roman" w:cs="Times New Roman"/>
          <w:b/>
          <w:bCs/>
          <w:color w:val="auto"/>
          <w:sz w:val="24"/>
          <w:szCs w:val="24"/>
          <w:u w:val="single"/>
          <w:lang w:val="zh-CN"/>
        </w:rPr>
        <w:t>承台施工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沉桩完成后，根据承台底标高要求安装钢抱箍作为承台底模承重牛腿，抱箍牛腿上架设45a工字钢作为承重主梁，次梁为16a工字钢间隔0.5m布置，再在其上间隔0.3m铺设10cm×10cm木方，然后满铺竹胶板底模。在铺好底模后在其上绑扎承台钢筋，支侧模（采用定型钢模板）。混凝土浇筑采用拖泵泵送入模，分层浇筑，搭设临时钢栈桥作为泵管通道。承重型钢及下料好的钢筋由临时码头通过驳船运输至前方，浮吊安装或者吊上平台。</w:t>
      </w:r>
    </w:p>
    <w:p>
      <w:pPr>
        <w:adjustRightInd w:val="0"/>
        <w:snapToGrid w:val="0"/>
        <w:spacing w:line="360" w:lineRule="auto"/>
        <w:ind w:firstLine="482"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b/>
          <w:bCs/>
          <w:color w:val="auto"/>
          <w:sz w:val="24"/>
          <w:szCs w:val="24"/>
          <w:u w:val="single"/>
          <w:lang w:val="en-US" w:eastAsia="zh-CN"/>
        </w:rPr>
        <w:t>6、</w:t>
      </w:r>
      <w:r>
        <w:rPr>
          <w:rFonts w:hint="default" w:ascii="Times New Roman" w:hAnsi="Times New Roman" w:cs="Times New Roman"/>
          <w:b/>
          <w:bCs/>
          <w:color w:val="auto"/>
          <w:sz w:val="24"/>
          <w:szCs w:val="24"/>
          <w:u w:val="single"/>
          <w:lang w:val="zh-CN"/>
        </w:rPr>
        <w:t>框架及上承台施工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各墩台底部承台施工完成后搭设脚手架施工框架柱与联系梁，脚手架同时作为联系梁底模承重支架以及顶部平台底模满堂支架，框架采用木模，顶部平台侧模采用定型钢模板。混凝土同样采用拖泵接泵管由搭设的临时泵管通道泵送入模，每层框架立柱与联系梁为一个混凝土浇筑批，顶部平台可根据现场情况分层浇筑。</w:t>
      </w:r>
    </w:p>
    <w:p>
      <w:pPr>
        <w:adjustRightInd w:val="0"/>
        <w:snapToGrid w:val="0"/>
        <w:spacing w:line="360" w:lineRule="auto"/>
        <w:ind w:firstLine="482"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b/>
          <w:bCs/>
          <w:color w:val="auto"/>
          <w:sz w:val="24"/>
          <w:szCs w:val="24"/>
          <w:u w:val="single"/>
          <w:lang w:val="en-US" w:eastAsia="zh-CN"/>
        </w:rPr>
        <w:t>7、</w:t>
      </w:r>
      <w:r>
        <w:rPr>
          <w:rFonts w:hint="default" w:ascii="Times New Roman" w:hAnsi="Times New Roman" w:cs="Times New Roman"/>
          <w:b/>
          <w:bCs/>
          <w:color w:val="auto"/>
          <w:sz w:val="24"/>
          <w:szCs w:val="24"/>
          <w:u w:val="single"/>
          <w:lang w:val="zh-CN"/>
        </w:rPr>
        <w:t>码头附属设施安装</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橡胶护舷、系船柱通过水上运输前沿，船吊进行水上吊装；钢爬梯材料在陆上加工厂下好料，通过引桥平台或者水上运输至安装点，进行现场焊接安装。</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8、</w:t>
      </w:r>
      <w:r>
        <w:rPr>
          <w:rFonts w:hint="default" w:ascii="Times New Roman" w:hAnsi="Times New Roman" w:cs="Times New Roman"/>
          <w:b/>
          <w:bCs/>
          <w:color w:val="auto"/>
          <w:sz w:val="24"/>
          <w:szCs w:val="24"/>
          <w:u w:val="single"/>
          <w:lang w:val="zh-CN"/>
        </w:rPr>
        <w:t>人行钢桥安装</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在陆上钢结构制作区完成整体拼装及节点防腐，通过炮车运输至临时码头，浮吊吊上驳船运输至安装区域，整体吊装就位。</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9、</w:t>
      </w:r>
      <w:r>
        <w:rPr>
          <w:rFonts w:hint="default" w:ascii="Times New Roman" w:hAnsi="Times New Roman" w:cs="Times New Roman"/>
          <w:b/>
          <w:bCs/>
          <w:color w:val="auto"/>
          <w:sz w:val="24"/>
          <w:szCs w:val="24"/>
          <w:u w:val="single"/>
          <w:lang w:val="zh-CN"/>
        </w:rPr>
        <w:t>上部安装工程</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工艺设备、给排水、消防、控制、通信等上部安装工程施工待水工结构基本完成后分别进行施工，采购的成套设备或者施工材料经进场验收合格后运至安装现场，按规范进行安装与调试。</w:t>
      </w:r>
    </w:p>
    <w:p>
      <w:pPr>
        <w:pStyle w:val="4"/>
        <w:ind w:left="578" w:hanging="578"/>
        <w:rPr>
          <w:rFonts w:hint="default" w:ascii="Times New Roman" w:hAnsi="Times New Roman" w:cs="Times New Roman" w:eastAsiaTheme="minorEastAsia"/>
          <w:color w:val="auto"/>
          <w:lang w:val="zh-CN" w:eastAsia="zh-CN"/>
        </w:rPr>
      </w:pPr>
      <w:r>
        <w:rPr>
          <w:rFonts w:hint="default" w:ascii="Times New Roman" w:hAnsi="Times New Roman" w:cs="Times New Roman" w:eastAsiaTheme="minorEastAsia"/>
          <w:color w:val="auto"/>
          <w:lang w:val="zh-CN" w:eastAsia="zh-CN"/>
        </w:rPr>
        <w:t>总体施工工艺流程</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总体施工工艺流程见下图。</w:t>
      </w:r>
    </w:p>
    <w:p>
      <w:pPr>
        <w:adjustRightInd w:val="0"/>
        <w:snapToGrid w:val="0"/>
        <w:spacing w:line="360" w:lineRule="auto"/>
        <w:rPr>
          <w:rFonts w:hint="default" w:ascii="Times New Roman" w:hAnsi="Times New Roman" w:cs="Times New Roman"/>
          <w:color w:val="auto"/>
          <w:sz w:val="24"/>
          <w:szCs w:val="24"/>
          <w:u w:val="single"/>
          <w:lang w:val="zh-CN"/>
        </w:rPr>
      </w:pPr>
    </w:p>
    <w:p>
      <w:pPr>
        <w:adjustRightInd w:val="0"/>
        <w:snapToGrid w:val="0"/>
        <w:spacing w:line="360" w:lineRule="auto"/>
        <w:ind w:firstLine="480" w:firstLineChars="200"/>
        <w:rPr>
          <w:rFonts w:hint="default" w:ascii="Times New Roman" w:hAnsi="Times New Roman" w:cs="Times New Roman"/>
          <w:color w:val="auto"/>
          <w:sz w:val="24"/>
          <w:szCs w:val="24"/>
          <w:lang w:val="zh-C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adjustRightInd w:val="0"/>
        <w:snapToGrid w:val="0"/>
        <w:spacing w:line="360" w:lineRule="auto"/>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lang w:val="zh-CN"/>
        </w:rPr>
        <w:drawing>
          <wp:inline distT="0" distB="0" distL="114300" distR="114300">
            <wp:extent cx="8886190" cy="5099685"/>
            <wp:effectExtent l="0" t="0" r="10160" b="5715"/>
            <wp:docPr id="32" name="图片 32" descr="图3.5-1  总体施工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3.5-1  总体施工工艺流程图"/>
                    <pic:cNvPicPr>
                      <a:picLocks noChangeAspect="1"/>
                    </pic:cNvPicPr>
                  </pic:nvPicPr>
                  <pic:blipFill>
                    <a:blip r:embed="rId27"/>
                    <a:stretch>
                      <a:fillRect/>
                    </a:stretch>
                  </pic:blipFill>
                  <pic:spPr>
                    <a:xfrm>
                      <a:off x="0" y="0"/>
                      <a:ext cx="8886190" cy="5099685"/>
                    </a:xfrm>
                    <a:prstGeom prst="rect">
                      <a:avLst/>
                    </a:prstGeom>
                  </pic:spPr>
                </pic:pic>
              </a:graphicData>
            </a:graphic>
          </wp:inline>
        </w:drawing>
      </w:r>
    </w:p>
    <w:p>
      <w:pPr>
        <w:spacing w:beforeLines="0" w:afterLines="0"/>
        <w:jc w:val="center"/>
        <w:rPr>
          <w:rFonts w:hint="default" w:ascii="Times New Roman" w:hAnsi="Times New Roman" w:eastAsia="宋体" w:cs="Times New Roman"/>
          <w:b/>
          <w:bCs/>
          <w:color w:val="auto"/>
          <w:sz w:val="24"/>
          <w:szCs w:val="24"/>
          <w:u w:val="single"/>
        </w:rPr>
      </w:pPr>
      <w:r>
        <w:rPr>
          <w:rFonts w:hint="default" w:ascii="Times New Roman" w:hAnsi="Times New Roman" w:eastAsia="宋体" w:cs="Times New Roman"/>
          <w:b/>
          <w:bCs/>
          <w:color w:val="auto"/>
          <w:sz w:val="24"/>
          <w:szCs w:val="24"/>
          <w:u w:val="single"/>
        </w:rPr>
        <w:t>图</w:t>
      </w:r>
      <w:r>
        <w:rPr>
          <w:rFonts w:hint="default" w:ascii="Times New Roman" w:hAnsi="Times New Roman" w:eastAsia="宋体" w:cs="Times New Roman"/>
          <w:b/>
          <w:bCs/>
          <w:color w:val="auto"/>
          <w:sz w:val="24"/>
          <w:szCs w:val="24"/>
          <w:u w:val="single"/>
          <w:lang w:val="en-US" w:eastAsia="zh-CN"/>
        </w:rPr>
        <w:t xml:space="preserve">3.5-1 </w:t>
      </w:r>
      <w:r>
        <w:rPr>
          <w:rFonts w:hint="default" w:ascii="Times New Roman" w:hAnsi="Times New Roman" w:eastAsia="宋体" w:cs="Times New Roman"/>
          <w:b/>
          <w:bCs/>
          <w:color w:val="auto"/>
          <w:sz w:val="24"/>
          <w:szCs w:val="24"/>
          <w:u w:val="single"/>
        </w:rPr>
        <w:t xml:space="preserve"> 总体施工工艺流程图</w:t>
      </w:r>
    </w:p>
    <w:p>
      <w:pPr>
        <w:adjustRightInd w:val="0"/>
        <w:snapToGrid w:val="0"/>
        <w:spacing w:line="360" w:lineRule="auto"/>
        <w:ind w:firstLine="480" w:firstLineChars="200"/>
        <w:rPr>
          <w:rFonts w:hint="default" w:ascii="Times New Roman" w:hAnsi="Times New Roman" w:cs="Times New Roman"/>
          <w:color w:val="auto"/>
          <w:sz w:val="24"/>
          <w:szCs w:val="24"/>
          <w:lang w:val="zh-CN"/>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4"/>
        <w:ind w:left="578" w:hanging="578"/>
        <w:rPr>
          <w:rFonts w:hint="default" w:ascii="Times New Roman" w:hAnsi="Times New Roman" w:cs="Times New Roman" w:eastAsiaTheme="minorEastAsia"/>
          <w:color w:val="auto"/>
          <w:lang w:val="zh-CN" w:eastAsia="zh-CN"/>
        </w:rPr>
      </w:pPr>
      <w:r>
        <w:rPr>
          <w:rFonts w:hint="default" w:ascii="Times New Roman" w:hAnsi="Times New Roman" w:cs="Times New Roman" w:eastAsiaTheme="minorEastAsia"/>
          <w:color w:val="auto"/>
          <w:lang w:val="zh-CN" w:eastAsia="zh-CN"/>
        </w:rPr>
        <w:t>主要项目施工方法</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桩基施工</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lang w:val="zh-CN"/>
        </w:rPr>
        <w:t>预制管桩施工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预制钢管桩共有124根，其中主体结构1000mm直径桩119根，上游防冲1000mm直径桩5根；引桥、固定联桥及倒、卸平台1000mm直径PHC桩105根。</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⑴ </w:t>
      </w:r>
      <w:r>
        <w:rPr>
          <w:rFonts w:hint="default" w:ascii="Times New Roman" w:hAnsi="Times New Roman" w:cs="Times New Roman"/>
          <w:color w:val="auto"/>
          <w:sz w:val="24"/>
          <w:szCs w:val="24"/>
          <w:u w:val="single"/>
          <w:lang w:val="zh-CN"/>
        </w:rPr>
        <w:t>制桩</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钢管桩、PHC桩分别在专业管桩预制厂生产，整桩预制，通过桩厂码头装船，水路运输至施工现场。</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制桩、防腐严格按照设计要求及《港口工程桩基规范》（JTS167-4-2012）执行。桩在场内的吊运、堆存、运输应符合设计及规范要求，管桩生产过程派专人驻厂监督，并邀请项目</w:t>
      </w:r>
      <w:r>
        <w:rPr>
          <w:rFonts w:hint="default" w:ascii="Times New Roman" w:hAnsi="Times New Roman" w:cs="Times New Roman"/>
          <w:color w:val="auto"/>
          <w:sz w:val="24"/>
          <w:szCs w:val="24"/>
          <w:u w:val="single"/>
          <w:lang w:val="en-US" w:eastAsia="zh-CN"/>
        </w:rPr>
        <w:t>建设单位或</w:t>
      </w:r>
      <w:r>
        <w:rPr>
          <w:rFonts w:hint="default" w:ascii="Times New Roman" w:hAnsi="Times New Roman" w:cs="Times New Roman"/>
          <w:color w:val="auto"/>
          <w:sz w:val="24"/>
          <w:szCs w:val="24"/>
          <w:u w:val="single"/>
          <w:lang w:val="zh-CN"/>
        </w:rPr>
        <w:t>监理工程师进行检查。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⑵ </w:t>
      </w:r>
      <w:r>
        <w:rPr>
          <w:rFonts w:hint="default" w:ascii="Times New Roman" w:hAnsi="Times New Roman" w:cs="Times New Roman"/>
          <w:color w:val="auto"/>
          <w:sz w:val="24"/>
          <w:szCs w:val="24"/>
          <w:u w:val="single"/>
          <w:lang w:val="zh-CN"/>
        </w:rPr>
        <w:t>运输</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钢管桩计划根据沉桩进度分两个船次船运至现场，PHC桩也计划分两个船次运输至现场。</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管桩装卸、运输过程中采取措施注意保护涂层、外表不被损坏，若有损坏，则应按照设计、规范要求采取补涂、修补措施。管桩装船应根据现场沉桩顺序进行，船上堆放时按照设计、规范要求做好分层支垫，方便打桩时起吊；船上堆放应稳定，运输起航前采取加固措施，防止在运输过程中倒塌。</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⑶ </w:t>
      </w:r>
      <w:r>
        <w:rPr>
          <w:rFonts w:hint="default" w:ascii="Times New Roman" w:hAnsi="Times New Roman" w:cs="Times New Roman"/>
          <w:color w:val="auto"/>
          <w:sz w:val="24"/>
          <w:szCs w:val="24"/>
          <w:u w:val="single"/>
          <w:lang w:val="zh-CN"/>
        </w:rPr>
        <w:t>水上沉桩</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①</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水上沉桩工艺流程</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水上钢管桩、PHC桩沉桩工艺流程如下：</w:t>
      </w:r>
    </w:p>
    <w:p>
      <w:pPr>
        <w:adjustRightInd w:val="0"/>
        <w:snapToGrid w:val="0"/>
        <w:spacing w:line="360" w:lineRule="auto"/>
        <w:jc w:val="center"/>
        <w:rPr>
          <w:rFonts w:hint="default" w:ascii="Times New Roman" w:hAnsi="Times New Roman" w:cs="Times New Roman"/>
          <w:color w:val="auto"/>
          <w:sz w:val="24"/>
          <w:szCs w:val="24"/>
          <w:u w:val="single"/>
          <w:lang w:val="zh-CN"/>
        </w:rPr>
      </w:pPr>
      <w:r>
        <w:rPr>
          <w:rFonts w:hint="default" w:ascii="Times New Roman" w:hAnsi="Times New Roman" w:cs="Times New Roman"/>
          <w:color w:val="auto"/>
        </w:rPr>
        <w:drawing>
          <wp:inline distT="0" distB="0" distL="114300" distR="114300">
            <wp:extent cx="5196840" cy="4318635"/>
            <wp:effectExtent l="0" t="0" r="3810" b="571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28"/>
                    <a:stretch>
                      <a:fillRect/>
                    </a:stretch>
                  </pic:blipFill>
                  <pic:spPr>
                    <a:xfrm>
                      <a:off x="0" y="0"/>
                      <a:ext cx="5196840" cy="43186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rPr>
      </w:pPr>
      <w:r>
        <w:rPr>
          <w:rFonts w:hint="default" w:ascii="Times New Roman" w:hAnsi="Times New Roman" w:eastAsia="宋体" w:cs="Times New Roman"/>
          <w:b/>
          <w:bCs/>
          <w:color w:val="auto"/>
          <w:sz w:val="24"/>
          <w:szCs w:val="24"/>
          <w:u w:val="single"/>
        </w:rPr>
        <w:t>图</w:t>
      </w:r>
      <w:r>
        <w:rPr>
          <w:rFonts w:hint="default" w:ascii="Times New Roman" w:hAnsi="Times New Roman" w:cs="Times New Roman"/>
          <w:b/>
          <w:bCs/>
          <w:color w:val="auto"/>
          <w:sz w:val="24"/>
          <w:szCs w:val="24"/>
          <w:u w:val="single"/>
          <w:lang w:val="en-US" w:eastAsia="zh-CN"/>
        </w:rPr>
        <w:t xml:space="preserve">3.5-2 </w:t>
      </w:r>
      <w:r>
        <w:rPr>
          <w:rFonts w:hint="default" w:ascii="Times New Roman" w:hAnsi="Times New Roman" w:eastAsia="宋体" w:cs="Times New Roman"/>
          <w:b/>
          <w:bCs/>
          <w:color w:val="auto"/>
          <w:sz w:val="24"/>
          <w:szCs w:val="24"/>
          <w:u w:val="single"/>
        </w:rPr>
        <w:t xml:space="preserve"> 水上沉桩工艺流程图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②</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打桩船设备配置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根据本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的桩基桩身长度和现场施工条件以及设计要求选用性能良好的打桩船配D-138 柴油锤沉桩，采用重锤轻打。</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③</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水上沉桩施工方法</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A</w:t>
      </w:r>
      <w:r>
        <w:rPr>
          <w:rFonts w:hint="default" w:ascii="Times New Roman" w:hAnsi="Times New Roman" w:cs="Times New Roman"/>
          <w:color w:val="auto"/>
          <w:sz w:val="24"/>
          <w:szCs w:val="24"/>
          <w:u w:val="single"/>
          <w:lang w:val="zh-CN"/>
        </w:rPr>
        <w:t>、沉桩顺序</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水上沉桩先打靠近岸边的PHC桩、再打系靠船墩钢管桩。PHC桩沉桩顺序依次为：#1泊位引桥前两排与转角平台PHC桩→倒车平台、卸车平台PHC桩→固定联桥PHC桩→#2泊位倒车平台、卸车平台PHC桩；钢管桩沉桩顺序为：从最下游#2泊位系缆墩往最上游#1泊位系缆墩依次施打，过程中可以根据打桩船抛锚情况、现场工况、工期安排等适当调整沉桩顺序。</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B</w:t>
      </w:r>
      <w:r>
        <w:rPr>
          <w:rFonts w:hint="default" w:ascii="Times New Roman" w:hAnsi="Times New Roman" w:cs="Times New Roman"/>
          <w:color w:val="auto"/>
          <w:sz w:val="24"/>
          <w:szCs w:val="24"/>
          <w:u w:val="single"/>
          <w:lang w:val="zh-CN"/>
        </w:rPr>
        <w:t>、施工基线布置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打桩主要采用GPS定位技术，直接可以计算贯入度和控制标高，陆上设置测量控制基线，全站仪、经纬仪、水准仪进行复测校核。</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C</w:t>
      </w:r>
      <w:r>
        <w:rPr>
          <w:rFonts w:hint="default" w:ascii="Times New Roman" w:hAnsi="Times New Roman" w:cs="Times New Roman"/>
          <w:color w:val="auto"/>
          <w:sz w:val="24"/>
          <w:szCs w:val="24"/>
          <w:u w:val="single"/>
          <w:lang w:val="zh-CN"/>
        </w:rPr>
        <w:t>、沉桩控制标准</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沉桩定位主要采用GPS定位系统来控制，沉桩控制标准须满足设计要求，沉桩以标高控制为主，贯入度作为校核。</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D</w:t>
      </w:r>
      <w:r>
        <w:rPr>
          <w:rFonts w:hint="default" w:ascii="Times New Roman" w:hAnsi="Times New Roman" w:cs="Times New Roman"/>
          <w:color w:val="auto"/>
          <w:sz w:val="24"/>
          <w:szCs w:val="24"/>
          <w:u w:val="single"/>
          <w:lang w:val="zh-CN"/>
        </w:rPr>
        <w:t>、沉桩定位</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打桩船带缆采用八字锚，以保证打桩船定位准确、方便。为提高工效，确保沉桩质量，心缆和边缆锚碇的布设宜尽可能减少桩船的带缆次数，每次带缆能兼顾到更多的桩数，节省时间，提高工效。本项目斜桩较多，为控制沉桩偏位，采取以下措施：</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i、对测量基线反复校核；</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ii、对打桩系统的GPS基站反复校核；</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iii、对打桩船上的GPS进行校核、比对；</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iv、打桩完成时，用另外的GPS及经纬仪和水准仪重新测量桩位，及时统计测量数据，比较结果是否偏差超出允许范围，若有，即刻分析原因，调试测量仪器，以保准确。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E</w:t>
      </w:r>
      <w:r>
        <w:rPr>
          <w:rFonts w:hint="default" w:ascii="Times New Roman" w:hAnsi="Times New Roman" w:cs="Times New Roman"/>
          <w:color w:val="auto"/>
          <w:sz w:val="24"/>
          <w:szCs w:val="24"/>
          <w:u w:val="single"/>
          <w:lang w:val="zh-CN"/>
        </w:rPr>
        <w:t>、沉桩作业技术要点</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i、事先计算好所有沉桩数据，经校核无误后方可使用。沉桩前探清桩位水下地形，若有坡度，则根据坡度大小，下桩时桩位适当上移；若有障碍物须先清障然后插桩。</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ii、沉桩船吊桩时按设计吊点进行捆桩、吊桩。桩吊至足够高度后方可立桩，沉桩船就位时要测水深。</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iii、定期复核定位用的施工基线或基点。直桩下桩过程中，桩架应保持垂直；斜桩下桩过程中，桩架要与桩的设计倾斜度保持一致。</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v、在沉桩过程中，采用替打和垫层块保护桩顶，以防损坏，并视使用情况及时更替。锤击沉桩时，桩锤替打应保持平整，并和桩保持在同一轴线上，避免产生偏心锤击。沉桩前须先检查桩锤、替打、桩身三位一体之轴心是否在同一线上。沉桩应连续进行，不要中途停锤，以免土体回塑而增加沉桩阻力。</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v、沉桩时要避免走锚、缆绳绊桩（特别是前进缆要穿过已沉桩区）、背板蹩桩以及驳船或打桩船碰撞。不得用移船方法纠正桩位，禁止在基桩尚未连成整体的上部结构上带缆。水位变化时应适时松、紧缆绳，以保持船位不变和防止个别锚缆受力过大。</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vi、沉桩后应及时夹桩并形成横向排架的联系，加强对桩的保护，设立明显的标志，防止船只碰撞。每根桩沉桩时填写“沉桩记录表”，每天沉完桩及时填写沉桩综合记录表。沉桩记录准确反映停锤前几阵的贯入度和锤击部的反跳高度。</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vii、当施工第一根桩时，汇同业主、监理、勘察设计单位现场观察沉桩过程，并确定停锤标准，作为以后施工的控制停锤标准。</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viii、在自沉或压上锤和替打后，纠正偏位，只能“微”调船位和龙口，以免因过大的调整而将桩断裂。根据起吊锤和替打前、后估测的桩偏位值，减去定位时偏差和桩（斜桩）悬臂下垂直，估验是否憋劲沉桩。</w:t>
      </w:r>
    </w:p>
    <w:p>
      <w:pPr>
        <w:adjustRightInd w:val="0"/>
        <w:snapToGrid w:val="0"/>
        <w:spacing w:line="360" w:lineRule="auto"/>
        <w:ind w:firstLine="480" w:firstLineChars="200"/>
        <w:rPr>
          <w:rFonts w:hint="default" w:ascii="Times New Roman" w:hAnsi="Times New Roman" w:eastAsia="TimesNewRomanPSMT" w:cs="Times New Roman"/>
          <w:color w:val="auto"/>
          <w:sz w:val="20"/>
          <w:szCs w:val="24"/>
        </w:rPr>
      </w:pPr>
      <w:r>
        <w:rPr>
          <w:rFonts w:hint="default" w:ascii="Times New Roman" w:hAnsi="Times New Roman" w:cs="Times New Roman"/>
          <w:color w:val="auto"/>
          <w:sz w:val="24"/>
          <w:szCs w:val="24"/>
          <w:u w:val="single"/>
          <w:lang w:val="zh-CN"/>
        </w:rPr>
        <w:t>ix、施工水域临近长江主航道，对已沉入到位的桩，及时进行夹桩处理，以免单根桩受到碰撞或其他原因产生倾斜或破坏。并做上醒目标志，提醒过往船舶。</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lang w:val="zh-CN"/>
        </w:rPr>
        <w:t>灌注桩施工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灌注桩共计10根，直径1000mm，为引桥接岸部分桩基础。施工期产生灌注桩桩基钻渣量约为0.05万m</w:t>
      </w:r>
      <w:r>
        <w:rPr>
          <w:rFonts w:hint="default" w:ascii="Times New Roman" w:hAnsi="Times New Roman" w:cs="Times New Roman"/>
          <w:color w:val="auto"/>
          <w:sz w:val="24"/>
          <w:szCs w:val="24"/>
          <w:u w:val="single"/>
          <w:vertAlign w:val="superscript"/>
          <w:lang w:val="zh-CN"/>
        </w:rPr>
        <w:t>3</w:t>
      </w:r>
      <w:r>
        <w:rPr>
          <w:rFonts w:hint="default" w:ascii="Times New Roman" w:hAnsi="Times New Roman" w:cs="Times New Roman"/>
          <w:color w:val="auto"/>
          <w:sz w:val="24"/>
          <w:szCs w:val="24"/>
          <w:u w:val="single"/>
          <w:lang w:val="zh-CN"/>
        </w:rPr>
        <w:t>。</w:t>
      </w:r>
      <w:r>
        <w:rPr>
          <w:rFonts w:hint="default" w:ascii="Times New Roman" w:hAnsi="Times New Roman" w:cs="Times New Roman"/>
          <w:color w:val="auto"/>
          <w:sz w:val="24"/>
          <w:szCs w:val="24"/>
          <w:u w:val="single"/>
          <w:lang w:val="en-US" w:eastAsia="zh-CN"/>
        </w:rPr>
        <w:t>该</w:t>
      </w:r>
      <w:r>
        <w:rPr>
          <w:rFonts w:hint="default" w:ascii="Times New Roman" w:hAnsi="Times New Roman" w:cs="Times New Roman"/>
          <w:color w:val="auto"/>
          <w:sz w:val="24"/>
          <w:szCs w:val="24"/>
          <w:u w:val="single"/>
          <w:lang w:val="zh-CN" w:eastAsia="zh-CN"/>
        </w:rPr>
        <w:t>桩基</w:t>
      </w:r>
      <w:r>
        <w:rPr>
          <w:rFonts w:hint="default" w:ascii="Times New Roman" w:hAnsi="Times New Roman" w:cs="Times New Roman"/>
          <w:color w:val="auto"/>
          <w:sz w:val="24"/>
          <w:szCs w:val="24"/>
          <w:u w:val="single"/>
          <w:lang w:val="zh-CN"/>
        </w:rPr>
        <w:t>钻渣</w:t>
      </w:r>
      <w:r>
        <w:rPr>
          <w:rFonts w:hint="default" w:ascii="Times New Roman" w:hAnsi="Times New Roman" w:cs="Times New Roman"/>
          <w:color w:val="auto"/>
          <w:sz w:val="24"/>
          <w:szCs w:val="24"/>
          <w:u w:val="single"/>
          <w:lang w:val="en-US" w:eastAsia="zh-CN"/>
        </w:rPr>
        <w:t>托运至三期工程用地范围干化后，用作三期工程</w:t>
      </w:r>
      <w:r>
        <w:rPr>
          <w:rFonts w:hint="default" w:ascii="Times New Roman" w:hAnsi="Times New Roman" w:cs="Times New Roman"/>
          <w:color w:val="auto"/>
          <w:sz w:val="24"/>
          <w:szCs w:val="24"/>
          <w:u w:val="single"/>
          <w:lang w:val="zh-CN" w:eastAsia="zh-CN"/>
        </w:rPr>
        <w:t>场区回填</w:t>
      </w:r>
      <w:r>
        <w:rPr>
          <w:rFonts w:hint="default" w:ascii="Times New Roman" w:hAnsi="Times New Roman" w:cs="Times New Roman"/>
          <w:color w:val="auto"/>
          <w:sz w:val="24"/>
          <w:szCs w:val="24"/>
          <w:u w:val="single"/>
          <w:lang w:val="zh-CN"/>
        </w:rPr>
        <w:t>处理。</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⑴ </w:t>
      </w:r>
      <w:r>
        <w:rPr>
          <w:rFonts w:hint="default" w:ascii="Times New Roman" w:hAnsi="Times New Roman" w:cs="Times New Roman"/>
          <w:color w:val="auto"/>
          <w:sz w:val="24"/>
          <w:szCs w:val="24"/>
          <w:u w:val="single"/>
          <w:lang w:val="zh-CN"/>
        </w:rPr>
        <w:t>施工工艺流程</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灌注桩施工工艺流程如下：</w:t>
      </w:r>
    </w:p>
    <w:p>
      <w:pPr>
        <w:adjustRightInd w:val="0"/>
        <w:snapToGrid w:val="0"/>
        <w:spacing w:line="360" w:lineRule="auto"/>
        <w:rPr>
          <w:rFonts w:hint="default" w:ascii="Times New Roman" w:hAnsi="Times New Roman" w:cs="Times New Roman"/>
          <w:color w:val="auto"/>
          <w:sz w:val="24"/>
          <w:szCs w:val="24"/>
          <w:u w:val="single"/>
          <w:lang w:val="zh-CN"/>
        </w:rPr>
      </w:pPr>
      <w:r>
        <w:rPr>
          <w:rFonts w:hint="default" w:ascii="Times New Roman" w:hAnsi="Times New Roman" w:cs="Times New Roman"/>
          <w:color w:val="auto"/>
        </w:rPr>
        <w:drawing>
          <wp:inline distT="0" distB="0" distL="114300" distR="114300">
            <wp:extent cx="5747385" cy="3230880"/>
            <wp:effectExtent l="0" t="0" r="5715" b="7620"/>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pic:cNvPicPr>
                  </pic:nvPicPr>
                  <pic:blipFill>
                    <a:blip r:embed="rId29"/>
                    <a:stretch>
                      <a:fillRect/>
                    </a:stretch>
                  </pic:blipFill>
                  <pic:spPr>
                    <a:xfrm>
                      <a:off x="0" y="0"/>
                      <a:ext cx="5747385" cy="32308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3.5-3 </w:t>
      </w:r>
      <w:r>
        <w:rPr>
          <w:rFonts w:hint="default" w:ascii="Times New Roman" w:hAnsi="Times New Roman" w:eastAsia="宋体" w:cs="Times New Roman"/>
          <w:b/>
          <w:bCs/>
          <w:color w:val="auto"/>
          <w:sz w:val="24"/>
          <w:szCs w:val="24"/>
          <w:u w:val="single"/>
          <w:lang w:val="zh-CN"/>
        </w:rPr>
        <w:t xml:space="preserve"> 灌注桩施工工艺流程图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 xml:space="preserve">⑵ </w:t>
      </w:r>
      <w:r>
        <w:rPr>
          <w:rFonts w:hint="default" w:ascii="Times New Roman" w:hAnsi="Times New Roman" w:cs="Times New Roman"/>
          <w:color w:val="auto"/>
          <w:sz w:val="24"/>
          <w:szCs w:val="24"/>
          <w:u w:val="single"/>
          <w:lang w:val="zh-CN"/>
        </w:rPr>
        <w:t>施工方法</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①</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施工平台</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首先将引桥靠近转角平台后方大堤斜坡段桩位处浆砌块石护面拆除，沿引桥轴线方向靠下游侧区域10m范围内进行分层回填至约+25m标高位置，具体填筑标高视当时长江水位变化趋势而定。同时沿固定联桥后沿约3m处开始填筑宽度约为15m的上部结构施工通道，填土上层3m用压路机进行分层碾压密实，并与预制场临时道路顺接，后面将用过预应力空心板运输通道以及履带吊安装时吊机站位场地。现场地形如下图。</w:t>
      </w:r>
    </w:p>
    <w:p>
      <w:pPr>
        <w:adjustRightInd w:val="0"/>
        <w:snapToGrid w:val="0"/>
        <w:spacing w:line="360" w:lineRule="auto"/>
        <w:jc w:val="center"/>
        <w:rPr>
          <w:rFonts w:hint="default" w:ascii="Times New Roman" w:hAnsi="Times New Roman" w:cs="Times New Roman"/>
          <w:color w:val="auto"/>
          <w:sz w:val="24"/>
          <w:szCs w:val="24"/>
          <w:u w:val="single"/>
          <w:lang w:val="zh-CN"/>
        </w:rPr>
      </w:pPr>
      <w:r>
        <w:rPr>
          <w:rFonts w:hint="default" w:ascii="Times New Roman" w:hAnsi="Times New Roman" w:cs="Times New Roman"/>
          <w:color w:val="auto"/>
        </w:rPr>
        <w:drawing>
          <wp:inline distT="0" distB="0" distL="114300" distR="114300">
            <wp:extent cx="4109085" cy="3030220"/>
            <wp:effectExtent l="0" t="0" r="5715" b="17780"/>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0"/>
                    <a:stretch>
                      <a:fillRect/>
                    </a:stretch>
                  </pic:blipFill>
                  <pic:spPr>
                    <a:xfrm>
                      <a:off x="0" y="0"/>
                      <a:ext cx="4109085" cy="30302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3.5-4 </w:t>
      </w:r>
      <w:r>
        <w:rPr>
          <w:rFonts w:hint="default" w:ascii="Times New Roman" w:hAnsi="Times New Roman" w:eastAsia="宋体" w:cs="Times New Roman"/>
          <w:b/>
          <w:bCs/>
          <w:color w:val="auto"/>
          <w:sz w:val="24"/>
          <w:szCs w:val="24"/>
          <w:u w:val="single"/>
          <w:lang w:val="zh-CN"/>
        </w:rPr>
        <w:t xml:space="preserve"> 施工现场地形</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②</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钢护筒埋设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测量首先进行桩位放样，做好桩中心位置标记。钢护筒按测量位置就位，测量报验后开始用振动锤振沉，时刻观察振沉过程，及时调整校正桩位以及垂直度。引桥岸坡上埋设护筒，先移除岸坡上护面层，平整钻机站位场地，测量测设桩位，开挖埋设护筒。护筒顶面高出地面0.3m，护筒埋设深度根据现场土质、水位情况具体定并不少于2m，填筑平台内施工的灌注桩护筒埋深应穿透回填土层并深入原泥面至少2m，护筒周边1m范围内夯填粘性土，至护筒底部0.5m深度。</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③</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钻机就位</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根据地层地质情况，钻机选用反循环回旋钻机，配尖底鱼尾式和圆笼式钻头。钻机运到灌注桩施工平台，吊机拼装就位，垫平对中后固定牢靠，保证钻孔过程中不发生移位、偏斜。回旋钻机顶部的起吊滑轮轮缘与转盘中心的连线应垂直，与孔位中心偏差不超过20mm。</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④</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泥浆配置及泥浆池的设置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护壁泥浆由水、黏土或膨润土、添加剂组成，各组分性能指标满足规范要求并能配制出所需合格泥浆。泥浆池在灌注桩就近位置开挖，做好防渗措施如黏土夯实并铺设塑料膜，泥浆池的容积满足循环泥浆量需要，泥浆排放须经过沉淀处理符合环保要求后方能排放，弃渣</w:t>
      </w:r>
      <w:r>
        <w:rPr>
          <w:rFonts w:hint="default" w:ascii="Times New Roman" w:hAnsi="Times New Roman" w:cs="Times New Roman"/>
          <w:color w:val="auto"/>
          <w:sz w:val="24"/>
          <w:szCs w:val="24"/>
          <w:u w:val="single"/>
          <w:lang w:val="en-US" w:eastAsia="zh-CN"/>
        </w:rPr>
        <w:t>用于三期工程场区平整回填</w:t>
      </w:r>
      <w:r>
        <w:rPr>
          <w:rFonts w:hint="default" w:ascii="Times New Roman" w:hAnsi="Times New Roman" w:cs="Times New Roman"/>
          <w:color w:val="auto"/>
          <w:sz w:val="24"/>
          <w:szCs w:val="24"/>
          <w:u w:val="single"/>
          <w:lang w:val="zh-CN"/>
        </w:rPr>
        <w:t>。</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⑤</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成孔</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钻机就位后，调平底座及支架的垂直度，定位后将钻机锁定，防止钻机在钻孔过程中发生移动确保钻机运行时不产生偏移和下沉。钻孔过程要及时反循环泵进行清渣。回旋钻钻进过程中保持足够的钻压力，采用扶正器导向，保证成孔的垂直度。钻进成孔过程中应保持孔内液面高于孔外水位1.5~2m。钻孔应连续进行，当遇到特殊情况需停钻时应提出钻头，并采取孔壁稳定的措施。开钻一个台班后，重新复核桩位，确保桩位在规范允许范围之内。在土层变化处应捞取土样，判断土层，并与地质剖面图对照，作好详细记录。</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⑥</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终孔、清孔及验收</w:t>
      </w:r>
    </w:p>
    <w:p>
      <w:pPr>
        <w:adjustRightInd w:val="0"/>
        <w:snapToGrid w:val="0"/>
        <w:spacing w:line="360" w:lineRule="auto"/>
        <w:ind w:firstLine="480" w:firstLineChars="200"/>
        <w:rPr>
          <w:rFonts w:hint="default" w:ascii="Times New Roman" w:hAnsi="Times New Roman" w:eastAsia="宋体" w:cs="Times New Roman"/>
          <w:color w:val="auto"/>
          <w:sz w:val="20"/>
          <w:szCs w:val="24"/>
          <w:u w:val="single"/>
        </w:rPr>
      </w:pPr>
      <w:r>
        <w:rPr>
          <w:rFonts w:hint="default" w:ascii="Times New Roman" w:hAnsi="Times New Roman" w:cs="Times New Roman"/>
          <w:color w:val="auto"/>
          <w:sz w:val="24"/>
          <w:szCs w:val="24"/>
          <w:u w:val="single"/>
          <w:lang w:val="zh-CN"/>
        </w:rPr>
        <w:t>当成孔标高达到设计要求，经验收确定终孔后，进行孔径及标高测量，桩位偏</w:t>
      </w:r>
      <w:r>
        <w:rPr>
          <w:rFonts w:hint="default" w:ascii="Times New Roman" w:hAnsi="Times New Roman" w:eastAsia="宋体" w:cs="Times New Roman"/>
          <w:color w:val="auto"/>
          <w:sz w:val="24"/>
          <w:szCs w:val="24"/>
          <w:u w:val="single"/>
        </w:rPr>
        <w:t>差复测，符合设计标准后立即进行清孔。采用反循环方法清孔。反循环清孔时，将反循环泵泵口靠近孔底。孔顶注入清水，反循环泵将孔底沉渣和泥将抽出。直至将孔内的泥浆换出，孔底沉渣达到设计要求。反循环抽出的泥浆抽放到泥浆沉淀池，经处理符合环保标准后排放，沉渣清运至制定位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⑦</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钢筋笼的制作、安放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en-US" w:eastAsia="zh-CN"/>
        </w:rPr>
        <w:t>i、</w:t>
      </w:r>
      <w:r>
        <w:rPr>
          <w:rFonts w:hint="default" w:ascii="Times New Roman" w:hAnsi="Times New Roman" w:cs="Times New Roman"/>
          <w:color w:val="auto"/>
          <w:sz w:val="24"/>
          <w:szCs w:val="24"/>
          <w:u w:val="single"/>
          <w:lang w:val="zh-CN"/>
        </w:rPr>
        <w:t>钢筋笼制作</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钢筋进场后按类别、批次进行取样、送检、验收。钢筋笼按12m长度分段制作，主筋连接采用镦粗直螺纹套筒连接。加劲环筋弯制成型后焊接成圆，在加劲环上按设计间距画好刻度标记，主筋与加劲环点焊固定，以保证钢筋笼的整体刚度，吊装时不会变形。钢筋笼在钢筋加工厂设置的固定台座上进行，制作时按照桩长设计长度先水平预拼。螺旋箍筋在专用钢筋弯曲机上卷制成型，按设计间距缠绕在主筋笼外周，扎丝绑扎牢固。钢筋笼制作完成后进行加工段编号，拆解吊运至堆放区存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ii、钢筋笼安放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将制作好的钢筋笼按安装顺序分段运至安装位置，采用25t汽车吊分段吊装。每段钢筋笼下放后在孔口位置用两根槽钢扁担将钢筋笼担搁在孔口，待次段钢筋笼吊装对接完成后抽出槽钢继续下放，如此反复直至整根桩的钢筋笼下放完成，同时将声测管进行焊接对接，要求对接严密，不得漏水。安装完成后应将钢筋笼固定牢固，位置正确，防止混凝土浇注时钢筋笼上浮。</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⑧</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二次清孔</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钢筋笼和声测管安装完毕后，下导管，利用导管再次清孔，清孔反循环抽浆法。清孔时护筒内保持原有水位，清孔结束后，及时检查沉渣厚度，合格后浇筑水下混凝土。</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⑨</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灌注水下混凝土</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浇筑水下混凝土用导管法施工，主要设备有刚性金属导管、承料漏斗、提升机具等。导管由内径200</w:t>
      </w:r>
      <w:r>
        <w:rPr>
          <w:rFonts w:hint="default" w:ascii="Times New Roman" w:hAnsi="Times New Roman" w:cs="Times New Roman"/>
          <w:color w:val="auto"/>
          <w:sz w:val="24"/>
          <w:szCs w:val="24"/>
          <w:u w:val="single"/>
          <w:lang w:val="en-US" w:eastAsia="zh-CN"/>
        </w:rPr>
        <w:t>~</w:t>
      </w:r>
      <w:r>
        <w:rPr>
          <w:rFonts w:hint="default" w:ascii="Times New Roman" w:hAnsi="Times New Roman" w:cs="Times New Roman"/>
          <w:color w:val="auto"/>
          <w:sz w:val="24"/>
          <w:szCs w:val="24"/>
          <w:u w:val="single"/>
          <w:lang w:val="zh-CN"/>
        </w:rPr>
        <w:t>300mm的无缝钢管分若干节组成，各节导管间通过快速接头加止水胶皮垫圈连接，以防漏水。导管在使用前必须进行水密承压试验，经压力试验强度和密封性均达到施工要求后方可使用。导管底口距离孔底30~50cm。</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混凝土由商混站连续供应，由混凝土罐车从商品混凝土搅拌站运输到现场。现场由汽车泵输送至料斗中。</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混凝土浇注满孔后应继续灌注，直至翻出的混凝土质地新鲜，不含泥沙、泥浆，确保桩顶凿除后混凝土质量。孔顶10m范围内混凝土用振捣棒振捣密实。</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灌注混凝土时为防止排出的泥浆污染环境，及时用排浆泵将泥浆抽出，抽放到至泥浆池，经处理符合环保要求后方能排放。</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⑩</w:t>
      </w:r>
      <w:r>
        <w:rPr>
          <w:rFonts w:hint="default" w:ascii="Times New Roman" w:hAnsi="Times New Roman" w:cs="Times New Roman"/>
          <w:color w:val="auto"/>
          <w:sz w:val="24"/>
          <w:szCs w:val="24"/>
          <w:u w:val="single"/>
          <w:lang w:val="en-US" w:eastAsia="zh-CN"/>
        </w:rPr>
        <w:t xml:space="preserve"> </w:t>
      </w:r>
      <w:r>
        <w:rPr>
          <w:rFonts w:hint="default" w:ascii="Times New Roman" w:hAnsi="Times New Roman" w:cs="Times New Roman"/>
          <w:color w:val="auto"/>
          <w:sz w:val="24"/>
          <w:szCs w:val="24"/>
          <w:u w:val="single"/>
          <w:lang w:val="zh-CN"/>
        </w:rPr>
        <w:t>护筒拔除与养护</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靠近大堤侧滩涂陆地的灌注桩浇注完成后用回旋钻提升架将护筒缓慢拔除，避免严重扰动新浇的混凝土，否则可用振捣棒再次进行适当振捣。回填平台区域灌注桩浇筑完成后护筒保留，以保证回填土挖除后桩身外观质量。混凝土初凝后即用土工布或者麻袋予以覆盖并洒水养护。</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混凝土预制构件预制</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预制预应力混凝土构件有引桥、固定联桥后张法预应力空心板108块，混凝土总方量约为941</w:t>
      </w:r>
      <w:r>
        <w:rPr>
          <w:rFonts w:hint="default" w:ascii="Times New Roman" w:hAnsi="Times New Roman" w:cs="Times New Roman"/>
          <w:color w:val="auto"/>
          <w:sz w:val="24"/>
          <w:szCs w:val="24"/>
          <w:u w:val="single"/>
          <w:lang w:val="en-US" w:eastAsia="zh-CN"/>
        </w:rPr>
        <w:t>m</w:t>
      </w:r>
      <w:r>
        <w:rPr>
          <w:rFonts w:hint="default" w:ascii="Times New Roman" w:hAnsi="Times New Roman" w:cs="Times New Roman"/>
          <w:color w:val="auto"/>
          <w:sz w:val="24"/>
          <w:szCs w:val="24"/>
          <w:u w:val="single"/>
          <w:vertAlign w:val="superscript"/>
          <w:lang w:val="en-US" w:eastAsia="zh-CN"/>
        </w:rPr>
        <w:t>3</w:t>
      </w:r>
      <w:r>
        <w:rPr>
          <w:rFonts w:hint="default" w:ascii="Times New Roman" w:hAnsi="Times New Roman" w:cs="Times New Roman"/>
          <w:color w:val="auto"/>
          <w:sz w:val="24"/>
          <w:szCs w:val="24"/>
          <w:u w:val="single"/>
          <w:lang w:val="zh-CN"/>
        </w:rPr>
        <w:t>，单块板重量约为32t；普通钢筋混凝土构件有码头靠船构件16个，混凝土总方量约为50</w:t>
      </w:r>
      <w:r>
        <w:rPr>
          <w:rFonts w:hint="default" w:ascii="Times New Roman" w:hAnsi="Times New Roman" w:cs="Times New Roman"/>
          <w:color w:val="auto"/>
          <w:sz w:val="24"/>
          <w:szCs w:val="24"/>
          <w:u w:val="single"/>
          <w:lang w:val="en-US" w:eastAsia="zh-CN"/>
        </w:rPr>
        <w:t>m</w:t>
      </w:r>
      <w:r>
        <w:rPr>
          <w:rFonts w:hint="default" w:ascii="Times New Roman" w:hAnsi="Times New Roman" w:cs="Times New Roman"/>
          <w:color w:val="auto"/>
          <w:sz w:val="24"/>
          <w:szCs w:val="24"/>
          <w:u w:val="single"/>
          <w:vertAlign w:val="superscript"/>
          <w:lang w:val="en-US" w:eastAsia="zh-CN"/>
        </w:rPr>
        <w:t>3</w:t>
      </w:r>
      <w:r>
        <w:rPr>
          <w:rFonts w:hint="default" w:ascii="Times New Roman" w:hAnsi="Times New Roman" w:cs="Times New Roman"/>
          <w:color w:val="auto"/>
          <w:sz w:val="24"/>
          <w:szCs w:val="24"/>
          <w:u w:val="single"/>
          <w:lang w:val="zh-CN"/>
        </w:rPr>
        <w:t>。预制构件在临时预制场进行预制。</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lang w:val="zh-CN"/>
        </w:rPr>
        <w:t>预应力空心板预制</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后张法预应力空心板数量为108块，计划在60天内完成预制，拟投入4套模板14个混凝土底胎模台座，胎模应坚固、无沉陷，并考虑利于排水，防止由于排水不畅造成地基下沉。台座须设反拱度，以消除预应力张拉时引起的梁板起拱，预拱度采用圆曲线设定。台座每隔0.5m设模板拉杆预留孔，台座与侧模接合部位座贴上黑色橡胶垫，防止漏浆。在安装钢筋前将底模清理并适量均匀地涂上脱模剂。</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预应力空心板施工工艺流程图如下：</w:t>
      </w:r>
    </w:p>
    <w:p>
      <w:pPr>
        <w:adjustRightInd w:val="0"/>
        <w:snapToGrid w:val="0"/>
        <w:spacing w:line="360" w:lineRule="auto"/>
        <w:jc w:val="center"/>
        <w:rPr>
          <w:rFonts w:hint="default" w:ascii="Times New Roman" w:hAnsi="Times New Roman" w:cs="Times New Roman"/>
          <w:color w:val="auto"/>
          <w:sz w:val="24"/>
          <w:szCs w:val="24"/>
          <w:lang w:val="zh-CN"/>
        </w:rPr>
      </w:pPr>
      <w:r>
        <w:rPr>
          <w:rFonts w:hint="default" w:ascii="Times New Roman" w:hAnsi="Times New Roman" w:cs="Times New Roman"/>
          <w:color w:val="auto"/>
        </w:rPr>
        <w:drawing>
          <wp:inline distT="0" distB="0" distL="114300" distR="114300">
            <wp:extent cx="4147185" cy="5877560"/>
            <wp:effectExtent l="0" t="0" r="5715" b="8890"/>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31"/>
                    <a:stretch>
                      <a:fillRect/>
                    </a:stretch>
                  </pic:blipFill>
                  <pic:spPr>
                    <a:xfrm>
                      <a:off x="0" y="0"/>
                      <a:ext cx="4147185" cy="58775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3.5-5 </w:t>
      </w:r>
      <w:r>
        <w:rPr>
          <w:rFonts w:hint="default" w:ascii="Times New Roman" w:hAnsi="Times New Roman" w:eastAsia="宋体" w:cs="Times New Roman"/>
          <w:b/>
          <w:bCs/>
          <w:color w:val="auto"/>
          <w:sz w:val="24"/>
          <w:szCs w:val="24"/>
          <w:u w:val="single"/>
          <w:lang w:val="zh-CN"/>
        </w:rPr>
        <w:t xml:space="preserve"> 后张法预应力空心板施工工艺流程图</w:t>
      </w:r>
    </w:p>
    <w:p>
      <w:pPr>
        <w:adjustRightInd w:val="0"/>
        <w:snapToGrid w:val="0"/>
        <w:spacing w:line="360" w:lineRule="auto"/>
        <w:ind w:firstLine="482"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lang w:val="zh-CN"/>
        </w:rPr>
        <w:t>靠船构件预制</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靠船构件为普通钢筋混凝土预制构件，采用卧制，预制工艺比较简单：</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底模铺设→钢筋绑扎→橡胶护舷预埋件定位安装→模板安装、加固→混凝土浇筑→养护→吊运至存放区。</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现浇承台施工</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lang w:val="zh-CN"/>
        </w:rPr>
        <w:t>现浇系靠缆墩台</w:t>
      </w:r>
    </w:p>
    <w:p>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u w:val="single"/>
          <w:lang w:val="zh-CN"/>
        </w:rPr>
        <w:t>本项目码头两个泊位一共有2个加注靠船墩、3个系缆墩、6个靠船墩，均为水上大体积混凝土浇筑。现浇系靠船墩台施工主要工艺流程如下。</w:t>
      </w:r>
    </w:p>
    <w:p>
      <w:pPr>
        <w:adjustRightInd w:val="0"/>
        <w:snapToGrid w:val="0"/>
        <w:spacing w:line="360" w:lineRule="auto"/>
        <w:jc w:val="center"/>
        <w:rPr>
          <w:rFonts w:hint="default" w:ascii="Times New Roman" w:hAnsi="Times New Roman" w:eastAsia="宋体" w:cs="Times New Roman"/>
          <w:color w:val="auto"/>
          <w:sz w:val="24"/>
          <w:szCs w:val="24"/>
        </w:rPr>
      </w:pPr>
      <w:r>
        <w:rPr>
          <w:rFonts w:hint="default" w:ascii="Times New Roman" w:hAnsi="Times New Roman" w:cs="Times New Roman"/>
          <w:color w:val="auto"/>
        </w:rPr>
        <w:drawing>
          <wp:inline distT="0" distB="0" distL="114300" distR="114300">
            <wp:extent cx="3428365" cy="4001135"/>
            <wp:effectExtent l="0" t="0" r="635" b="18415"/>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32"/>
                    <a:stretch>
                      <a:fillRect/>
                    </a:stretch>
                  </pic:blipFill>
                  <pic:spPr>
                    <a:xfrm>
                      <a:off x="0" y="0"/>
                      <a:ext cx="3428365" cy="4001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3.5-6 </w:t>
      </w:r>
      <w:r>
        <w:rPr>
          <w:rFonts w:hint="default" w:ascii="Times New Roman" w:hAnsi="Times New Roman" w:eastAsia="宋体" w:cs="Times New Roman"/>
          <w:b/>
          <w:bCs/>
          <w:color w:val="auto"/>
          <w:sz w:val="24"/>
          <w:szCs w:val="24"/>
          <w:u w:val="single"/>
          <w:lang w:val="zh-CN"/>
        </w:rPr>
        <w:t xml:space="preserve"> 现浇系靠船墩台主要工艺流程图</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eastAsia="zh-CN"/>
        </w:rPr>
      </w:pPr>
      <w:r>
        <w:rPr>
          <w:rFonts w:hint="default"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lang w:val="zh-CN" w:eastAsia="zh-CN"/>
        </w:rPr>
        <w:t>现浇卸车平台、</w:t>
      </w:r>
      <w:r>
        <w:rPr>
          <w:rFonts w:hint="eastAsia" w:ascii="Times New Roman" w:hAnsi="Times New Roman" w:cs="Times New Roman"/>
          <w:b/>
          <w:bCs/>
          <w:color w:val="auto"/>
          <w:sz w:val="24"/>
          <w:szCs w:val="24"/>
          <w:u w:val="single"/>
          <w:lang w:val="zh-CN" w:eastAsia="zh-CN"/>
        </w:rPr>
        <w:t>倒车</w:t>
      </w:r>
      <w:r>
        <w:rPr>
          <w:rFonts w:hint="default" w:ascii="Times New Roman" w:hAnsi="Times New Roman" w:cs="Times New Roman"/>
          <w:b/>
          <w:bCs/>
          <w:color w:val="auto"/>
          <w:sz w:val="24"/>
          <w:szCs w:val="24"/>
          <w:u w:val="single"/>
          <w:lang w:val="zh-CN" w:eastAsia="zh-CN"/>
        </w:rPr>
        <w:t>平台</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两个泊位分别设有一个卸车平台与一个</w:t>
      </w:r>
      <w:r>
        <w:rPr>
          <w:rFonts w:hint="eastAsia" w:ascii="Times New Roman" w:hAnsi="Times New Roman" w:cs="Times New Roman"/>
          <w:color w:val="auto"/>
          <w:sz w:val="24"/>
          <w:szCs w:val="24"/>
          <w:u w:val="single"/>
          <w:lang w:val="zh-CN"/>
        </w:rPr>
        <w:t>倒车</w:t>
      </w:r>
      <w:r>
        <w:rPr>
          <w:rFonts w:hint="default" w:ascii="Times New Roman" w:hAnsi="Times New Roman" w:cs="Times New Roman"/>
          <w:color w:val="auto"/>
          <w:sz w:val="24"/>
          <w:szCs w:val="24"/>
          <w:u w:val="single"/>
          <w:lang w:val="zh-CN"/>
        </w:rPr>
        <w:t>平台，均为高桩承台结构，桩基为直径1000mm的PHC桩。</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卸车、</w:t>
      </w:r>
      <w:r>
        <w:rPr>
          <w:rFonts w:hint="eastAsia" w:ascii="Times New Roman" w:hAnsi="Times New Roman" w:cs="Times New Roman"/>
          <w:color w:val="auto"/>
          <w:sz w:val="24"/>
          <w:szCs w:val="24"/>
          <w:u w:val="single"/>
          <w:lang w:val="zh-CN"/>
        </w:rPr>
        <w:t>倒车</w:t>
      </w:r>
      <w:r>
        <w:rPr>
          <w:rFonts w:hint="default" w:ascii="Times New Roman" w:hAnsi="Times New Roman" w:cs="Times New Roman"/>
          <w:color w:val="auto"/>
          <w:sz w:val="24"/>
          <w:szCs w:val="24"/>
          <w:u w:val="single"/>
          <w:lang w:val="zh-CN"/>
        </w:rPr>
        <w:t>平台的施工方法与系靠船墩底部承台施工方法基本相同，工艺流程为：施工平台搭设→铺设底模→钢筋绑扎→侧模安装→混凝土分层浇筑→混凝土养护、切缝→模板及底模承重平台拆除。</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引桥、固定联桥上部结构施工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引桥灌注桩浇筑顶标高与原地面相同，根据地表坡面标高不同而不同，根据引桥设计标高需要进行接桩，引桥上部结构施工顺序为：接桩至横梁底部→施工横梁→安装预应力空心板→面层施工。固定联桥桩基为打入的PHC桩，直接进行夹桩搭设承重平台即可施工横梁。</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lang w:val="zh-CN"/>
        </w:rPr>
        <w:t>接桩</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接桩工艺流程为：清理灌注桩桩头→钢筋笼加工、安装→定型钢模板安装→混凝土浇筑。</w:t>
      </w:r>
    </w:p>
    <w:p>
      <w:pPr>
        <w:adjustRightInd w:val="0"/>
        <w:snapToGrid w:val="0"/>
        <w:spacing w:line="360" w:lineRule="auto"/>
        <w:ind w:firstLine="482"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lang w:val="zh-CN"/>
        </w:rPr>
        <w:t>横梁施工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横梁施工工艺流程为：底模支承结构搭设→铺设底模→钢筋加工、安装→侧模安装→混凝土浇筑→模板及支承结构拆除。</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3、</w:t>
      </w:r>
      <w:r>
        <w:rPr>
          <w:rFonts w:hint="default" w:ascii="Times New Roman" w:hAnsi="Times New Roman" w:cs="Times New Roman"/>
          <w:b/>
          <w:bCs/>
          <w:color w:val="auto"/>
          <w:sz w:val="24"/>
          <w:szCs w:val="24"/>
          <w:u w:val="single"/>
          <w:lang w:val="zh-CN"/>
        </w:rPr>
        <w:t>预应力空心板安装</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预应力空心板的安装流程如下：</w:t>
      </w:r>
    </w:p>
    <w:p>
      <w:pPr>
        <w:adjustRightInd w:val="0"/>
        <w:snapToGrid w:val="0"/>
        <w:spacing w:line="240" w:lineRule="auto"/>
        <w:jc w:val="center"/>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rPr>
        <w:drawing>
          <wp:inline distT="0" distB="0" distL="114300" distR="114300">
            <wp:extent cx="3635375" cy="3125470"/>
            <wp:effectExtent l="0" t="0" r="3175" b="17780"/>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3"/>
                    <a:stretch>
                      <a:fillRect/>
                    </a:stretch>
                  </pic:blipFill>
                  <pic:spPr>
                    <a:xfrm>
                      <a:off x="0" y="0"/>
                      <a:ext cx="3635375" cy="31254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3.5-7 </w:t>
      </w:r>
      <w:r>
        <w:rPr>
          <w:rFonts w:hint="default" w:ascii="Times New Roman" w:hAnsi="Times New Roman" w:eastAsia="宋体" w:cs="Times New Roman"/>
          <w:b/>
          <w:bCs/>
          <w:color w:val="auto"/>
          <w:sz w:val="24"/>
          <w:szCs w:val="24"/>
          <w:u w:val="single"/>
          <w:lang w:val="zh-CN"/>
        </w:rPr>
        <w:t xml:space="preserve"> 预应力空心板安装流程图</w:t>
      </w:r>
    </w:p>
    <w:p>
      <w:pPr>
        <w:adjustRightInd w:val="0"/>
        <w:snapToGrid w:val="0"/>
        <w:spacing w:line="360" w:lineRule="auto"/>
        <w:ind w:firstLine="482" w:firstLineChars="200"/>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en-US" w:eastAsia="zh-CN"/>
        </w:rPr>
        <w:t>4、</w:t>
      </w:r>
      <w:r>
        <w:rPr>
          <w:rFonts w:hint="default" w:ascii="Times New Roman" w:hAnsi="Times New Roman" w:cs="Times New Roman"/>
          <w:b/>
          <w:bCs/>
          <w:color w:val="auto"/>
          <w:sz w:val="24"/>
          <w:szCs w:val="24"/>
          <w:u w:val="single"/>
          <w:lang w:val="zh-CN"/>
        </w:rPr>
        <w:t>面层施工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引桥、固定联桥面层施工工艺如下：</w:t>
      </w:r>
    </w:p>
    <w:p>
      <w:pPr>
        <w:adjustRightInd w:val="0"/>
        <w:snapToGrid w:val="0"/>
        <w:spacing w:line="240" w:lineRule="auto"/>
        <w:jc w:val="center"/>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rPr>
        <w:drawing>
          <wp:inline distT="0" distB="0" distL="114300" distR="114300">
            <wp:extent cx="2512060" cy="3312160"/>
            <wp:effectExtent l="0" t="0" r="2540" b="2540"/>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34"/>
                    <a:stretch>
                      <a:fillRect/>
                    </a:stretch>
                  </pic:blipFill>
                  <pic:spPr>
                    <a:xfrm>
                      <a:off x="0" y="0"/>
                      <a:ext cx="2512060" cy="3312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3.5-8 </w:t>
      </w:r>
      <w:r>
        <w:rPr>
          <w:rFonts w:hint="default" w:ascii="Times New Roman" w:hAnsi="Times New Roman" w:eastAsia="宋体" w:cs="Times New Roman"/>
          <w:b/>
          <w:bCs/>
          <w:color w:val="auto"/>
          <w:sz w:val="24"/>
          <w:szCs w:val="24"/>
          <w:u w:val="single"/>
          <w:lang w:val="zh-CN"/>
        </w:rPr>
        <w:t xml:space="preserve"> 面层施工流程图</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人行钢联桥制</w:t>
      </w:r>
      <w:r>
        <w:rPr>
          <w:rFonts w:hint="default" w:ascii="Times New Roman" w:hAnsi="Times New Roman" w:cs="Times New Roman" w:eastAsiaTheme="minorEastAsia"/>
          <w:color w:val="auto"/>
          <w:lang w:val="en-US" w:eastAsia="zh-CN"/>
        </w:rPr>
        <w:t>作安装</w:t>
      </w:r>
    </w:p>
    <w:p>
      <w:pPr>
        <w:adjustRightInd w:val="0"/>
        <w:snapToGrid w:val="0"/>
        <w:spacing w:line="360" w:lineRule="auto"/>
        <w:ind w:firstLine="480" w:firstLineChars="200"/>
        <w:rPr>
          <w:rFonts w:hint="eastAsia" w:ascii="Times New Roman" w:hAnsi="Times New Roman" w:eastAsia="宋体" w:cs="Times New Roman"/>
          <w:color w:val="auto"/>
          <w:sz w:val="24"/>
          <w:szCs w:val="24"/>
          <w:u w:val="single"/>
          <w:lang w:val="en-US" w:eastAsia="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人行钢联桥共10榀，#1泊位、#2泊位分别为5榀，长度7~54.5m不等，宽度2~3m。钢联桥制作工艺流程</w:t>
      </w:r>
      <w:r>
        <w:rPr>
          <w:rFonts w:hint="eastAsia" w:ascii="Times New Roman" w:hAnsi="Times New Roman" w:cs="Times New Roman"/>
          <w:color w:val="auto"/>
          <w:sz w:val="24"/>
          <w:szCs w:val="24"/>
          <w:u w:val="single"/>
          <w:lang w:val="en-US" w:eastAsia="zh-CN"/>
        </w:rPr>
        <w:t>如下图：</w:t>
      </w:r>
    </w:p>
    <w:p>
      <w:pPr>
        <w:adjustRightInd w:val="0"/>
        <w:snapToGrid w:val="0"/>
        <w:spacing w:line="360" w:lineRule="auto"/>
        <w:jc w:val="center"/>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rPr>
        <w:drawing>
          <wp:inline distT="0" distB="0" distL="114300" distR="114300">
            <wp:extent cx="5328285" cy="4162425"/>
            <wp:effectExtent l="0" t="0" r="5715" b="9525"/>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35">
                      <a:lum bright="-6000" contrast="12000"/>
                    </a:blip>
                    <a:stretch>
                      <a:fillRect/>
                    </a:stretch>
                  </pic:blipFill>
                  <pic:spPr>
                    <a:xfrm>
                      <a:off x="0" y="0"/>
                      <a:ext cx="5328285" cy="41624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beforeLines="0" w:afterLines="0" w:line="360" w:lineRule="auto"/>
        <w:jc w:val="center"/>
        <w:textAlignment w:val="auto"/>
        <w:rPr>
          <w:rFonts w:hint="default" w:ascii="Times New Roman" w:hAnsi="Times New Roman" w:eastAsia="宋体" w:cs="Times New Roman"/>
          <w:b/>
          <w:bCs/>
          <w:color w:val="auto"/>
          <w:sz w:val="24"/>
          <w:szCs w:val="24"/>
          <w:u w:val="single"/>
          <w:lang w:val="zh-CN"/>
        </w:rPr>
      </w:pPr>
      <w:r>
        <w:rPr>
          <w:rFonts w:hint="default" w:ascii="Times New Roman" w:hAnsi="Times New Roman" w:eastAsia="宋体" w:cs="Times New Roman"/>
          <w:b/>
          <w:bCs/>
          <w:color w:val="auto"/>
          <w:sz w:val="24"/>
          <w:szCs w:val="24"/>
          <w:u w:val="single"/>
          <w:lang w:val="zh-CN"/>
        </w:rPr>
        <w:t>图</w:t>
      </w:r>
      <w:r>
        <w:rPr>
          <w:rFonts w:hint="default" w:ascii="Times New Roman" w:hAnsi="Times New Roman" w:cs="Times New Roman"/>
          <w:b/>
          <w:bCs/>
          <w:color w:val="auto"/>
          <w:sz w:val="24"/>
          <w:szCs w:val="24"/>
          <w:u w:val="single"/>
          <w:lang w:val="en-US" w:eastAsia="zh-CN"/>
        </w:rPr>
        <w:t xml:space="preserve">3.5-9 </w:t>
      </w:r>
      <w:r>
        <w:rPr>
          <w:rFonts w:hint="default" w:ascii="Times New Roman" w:hAnsi="Times New Roman" w:eastAsia="宋体" w:cs="Times New Roman"/>
          <w:b/>
          <w:bCs/>
          <w:color w:val="auto"/>
          <w:sz w:val="24"/>
          <w:szCs w:val="24"/>
          <w:u w:val="single"/>
          <w:lang w:val="zh-CN"/>
        </w:rPr>
        <w:t xml:space="preserve"> 钢联桥制作工艺流程图</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码头附属设施施工</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附属设施包括橡胶护舷、系船柱、铁爬梯、栏杆等。</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zh-CN"/>
        </w:rPr>
      </w:pPr>
      <w:r>
        <w:rPr>
          <w:rFonts w:hint="default" w:ascii="Times New Roman" w:hAnsi="Times New Roman" w:cs="Times New Roman"/>
          <w:color w:val="auto"/>
          <w:sz w:val="24"/>
          <w:szCs w:val="24"/>
          <w:u w:val="single"/>
          <w:lang w:val="zh-CN"/>
        </w:rPr>
        <w:t>橡胶护舷的预埋件螺栓安装在靠船构件、靠船横梁和立柱上，竖向橡胶护舷型式为DA-A500H，水平向为DA-A300H。系船柱为550KN。橡胶护舷及系船柱采用汽车吊从材料、设备库区吊装到平板车，陆上运输至临时码头，船吊转吊至甲板上，运到安装运至进行水上吊装。铁爬梯、栏杆由专业厂家定制，然后运输到现场人工进行拼装、节点防腐。</w:t>
      </w:r>
    </w:p>
    <w:p>
      <w:pPr>
        <w:pStyle w:val="5"/>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码头上部安装工程</w:t>
      </w:r>
    </w:p>
    <w:p>
      <w:pPr>
        <w:adjustRightInd w:val="0"/>
        <w:snapToGrid w:val="0"/>
        <w:spacing w:line="360" w:lineRule="auto"/>
        <w:ind w:firstLine="480" w:firstLineChars="200"/>
        <w:rPr>
          <w:rFonts w:hint="default" w:ascii="Times New Roman" w:hAnsi="Times New Roman" w:cs="Times New Roman"/>
          <w:color w:val="auto"/>
          <w:lang w:val="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上部安装工程主要包括以下内容：</w:t>
      </w:r>
      <w:r>
        <w:rPr>
          <w:rFonts w:hint="default" w:ascii="Times New Roman" w:hAnsi="Times New Roman" w:cs="Times New Roman"/>
          <w:color w:val="auto"/>
          <w:sz w:val="24"/>
          <w:szCs w:val="24"/>
          <w:u w:val="single"/>
          <w:lang w:val="en-US" w:eastAsia="zh-CN"/>
        </w:rPr>
        <w:t xml:space="preserve">⑴ </w:t>
      </w:r>
      <w:r>
        <w:rPr>
          <w:rFonts w:hint="default" w:ascii="Times New Roman" w:hAnsi="Times New Roman" w:cs="Times New Roman"/>
          <w:color w:val="auto"/>
          <w:sz w:val="24"/>
          <w:szCs w:val="24"/>
          <w:u w:val="single"/>
          <w:lang w:val="zh-CN"/>
        </w:rPr>
        <w:t>工艺、消防、给排水、动力系统管道安装；</w:t>
      </w:r>
      <w:r>
        <w:rPr>
          <w:rFonts w:hint="default" w:ascii="Times New Roman" w:hAnsi="Times New Roman" w:cs="Times New Roman"/>
          <w:color w:val="auto"/>
          <w:sz w:val="24"/>
          <w:szCs w:val="24"/>
          <w:u w:val="single"/>
          <w:lang w:val="en-US" w:eastAsia="zh-CN"/>
        </w:rPr>
        <w:t xml:space="preserve">⑵ </w:t>
      </w:r>
      <w:r>
        <w:rPr>
          <w:rFonts w:hint="default" w:ascii="Times New Roman" w:hAnsi="Times New Roman" w:cs="Times New Roman"/>
          <w:color w:val="auto"/>
          <w:sz w:val="24"/>
          <w:szCs w:val="24"/>
          <w:u w:val="single"/>
          <w:lang w:val="zh-CN"/>
        </w:rPr>
        <w:t>码头设备安装；</w:t>
      </w:r>
      <w:r>
        <w:rPr>
          <w:rFonts w:hint="default" w:ascii="Times New Roman" w:hAnsi="Times New Roman" w:cs="Times New Roman"/>
          <w:color w:val="auto"/>
          <w:sz w:val="24"/>
          <w:szCs w:val="24"/>
          <w:u w:val="single"/>
          <w:lang w:val="en-US" w:eastAsia="zh-CN"/>
        </w:rPr>
        <w:t xml:space="preserve">⑶ </w:t>
      </w:r>
      <w:r>
        <w:rPr>
          <w:rFonts w:hint="default" w:ascii="Times New Roman" w:hAnsi="Times New Roman" w:cs="Times New Roman"/>
          <w:color w:val="auto"/>
          <w:sz w:val="24"/>
          <w:szCs w:val="24"/>
          <w:u w:val="single"/>
          <w:lang w:val="zh-CN"/>
        </w:rPr>
        <w:t>电气系统安装；</w:t>
      </w:r>
      <w:r>
        <w:rPr>
          <w:rFonts w:hint="default" w:ascii="Times New Roman" w:hAnsi="Times New Roman" w:cs="Times New Roman"/>
          <w:color w:val="auto"/>
          <w:sz w:val="24"/>
          <w:szCs w:val="24"/>
          <w:u w:val="single"/>
          <w:lang w:val="en-US" w:eastAsia="zh-CN"/>
        </w:rPr>
        <w:t xml:space="preserve">⑷ </w:t>
      </w:r>
      <w:r>
        <w:rPr>
          <w:rFonts w:hint="default" w:ascii="Times New Roman" w:hAnsi="Times New Roman" w:cs="Times New Roman"/>
          <w:color w:val="auto"/>
          <w:sz w:val="24"/>
          <w:szCs w:val="24"/>
          <w:u w:val="single"/>
          <w:lang w:val="zh-CN"/>
        </w:rPr>
        <w:t>控制和通信系统安装；</w:t>
      </w:r>
      <w:r>
        <w:rPr>
          <w:rFonts w:hint="default" w:ascii="Times New Roman" w:hAnsi="Times New Roman" w:cs="Times New Roman"/>
          <w:color w:val="auto"/>
          <w:sz w:val="24"/>
          <w:szCs w:val="24"/>
          <w:u w:val="single"/>
          <w:lang w:val="en-US" w:eastAsia="zh-CN"/>
        </w:rPr>
        <w:t xml:space="preserve">⑸ </w:t>
      </w:r>
      <w:r>
        <w:rPr>
          <w:rFonts w:hint="default" w:ascii="Times New Roman" w:hAnsi="Times New Roman" w:cs="Times New Roman"/>
          <w:color w:val="auto"/>
          <w:sz w:val="24"/>
          <w:szCs w:val="24"/>
          <w:u w:val="single"/>
          <w:lang w:val="zh-CN"/>
        </w:rPr>
        <w:t>暖通系统安装；</w:t>
      </w:r>
      <w:r>
        <w:rPr>
          <w:rFonts w:hint="default" w:ascii="Times New Roman" w:hAnsi="Times New Roman" w:cs="Times New Roman"/>
          <w:color w:val="auto"/>
          <w:sz w:val="24"/>
          <w:szCs w:val="24"/>
          <w:u w:val="single"/>
          <w:lang w:val="en-US" w:eastAsia="zh-CN"/>
        </w:rPr>
        <w:t xml:space="preserve">⑹ </w:t>
      </w:r>
      <w:r>
        <w:rPr>
          <w:rFonts w:hint="default" w:ascii="Times New Roman" w:hAnsi="Times New Roman" w:cs="Times New Roman"/>
          <w:color w:val="auto"/>
          <w:sz w:val="24"/>
          <w:szCs w:val="24"/>
          <w:u w:val="single"/>
          <w:lang w:val="zh-CN"/>
        </w:rPr>
        <w:t>系统调试、单机试车和联动试车。</w:t>
      </w:r>
    </w:p>
    <w:p>
      <w:pPr>
        <w:adjustRightInd w:val="0"/>
        <w:snapToGrid w:val="0"/>
        <w:spacing w:line="360" w:lineRule="auto"/>
        <w:jc w:val="left"/>
        <w:rPr>
          <w:rFonts w:hint="default" w:ascii="Times New Roman" w:hAnsi="Times New Roman" w:cs="Times New Roman" w:eastAsiaTheme="minorEastAsia"/>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lang w:val="zh-CN"/>
        </w:rPr>
      </w:pPr>
      <w:bookmarkStart w:id="52" w:name="_Toc29910"/>
      <w:bookmarkStart w:id="53" w:name="_Toc6028"/>
      <w:r>
        <w:rPr>
          <w:rFonts w:hint="default" w:ascii="Times New Roman" w:hAnsi="Times New Roman" w:cs="Times New Roman" w:eastAsiaTheme="minorEastAsia"/>
          <w:b/>
          <w:color w:val="auto"/>
          <w:sz w:val="32"/>
          <w:szCs w:val="32"/>
        </w:rPr>
        <w:t>工程分析</w:t>
      </w:r>
      <w:bookmarkEnd w:id="52"/>
      <w:bookmarkEnd w:id="53"/>
    </w:p>
    <w:p>
      <w:pPr>
        <w:pStyle w:val="3"/>
        <w:ind w:left="578" w:hanging="578"/>
        <w:rPr>
          <w:rFonts w:hint="default" w:ascii="Times New Roman" w:hAnsi="Times New Roman" w:cs="Times New Roman" w:eastAsiaTheme="minorEastAsia"/>
          <w:b/>
          <w:color w:val="auto"/>
          <w:lang w:val="zh-CN"/>
        </w:rPr>
      </w:pPr>
      <w:bookmarkStart w:id="54" w:name="_Toc13786"/>
      <w:bookmarkStart w:id="55" w:name="_Toc30246"/>
      <w:r>
        <w:rPr>
          <w:rFonts w:hint="default" w:ascii="Times New Roman" w:hAnsi="Times New Roman" w:cs="Times New Roman" w:eastAsiaTheme="minorEastAsia"/>
          <w:b/>
          <w:color w:val="auto"/>
          <w:lang w:val="zh-CN"/>
        </w:rPr>
        <w:t>装卸工艺污染环节</w:t>
      </w:r>
      <w:bookmarkEnd w:id="54"/>
      <w:bookmarkEnd w:id="55"/>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正常工况下，项目营运期产生的废气主要有到港船舶尾气及LNG装卸和设备管道接口、法兰处产生的无组织排放。</w:t>
      </w:r>
    </w:p>
    <w:p>
      <w:pPr>
        <w:pStyle w:val="3"/>
        <w:ind w:left="578" w:hanging="578"/>
        <w:rPr>
          <w:rFonts w:hint="default" w:ascii="Times New Roman" w:hAnsi="Times New Roman" w:cs="Times New Roman" w:eastAsiaTheme="minorEastAsia"/>
          <w:b/>
          <w:color w:val="auto"/>
          <w:lang w:val="zh-CN"/>
        </w:rPr>
      </w:pPr>
      <w:bookmarkStart w:id="56" w:name="_Toc23082"/>
      <w:bookmarkStart w:id="57" w:name="_Toc24352"/>
      <w:r>
        <w:rPr>
          <w:rFonts w:hint="default" w:ascii="Times New Roman" w:hAnsi="Times New Roman" w:cs="Times New Roman" w:eastAsiaTheme="minorEastAsia"/>
          <w:b/>
          <w:color w:val="auto"/>
          <w:lang w:val="zh-CN"/>
        </w:rPr>
        <w:t>物料理化与毒理性质</w:t>
      </w:r>
      <w:bookmarkEnd w:id="56"/>
      <w:bookmarkEnd w:id="57"/>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根据《建设项目环境风险评价技术导则》（HJ/T169-2018）附录B，本项目存在危险性的主要物质有存储和输送的液化天然气（LNG，主要成分为甲烷）。</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项目主要存储的LNG/天然气特性详见表4.2-1。</w:t>
      </w:r>
    </w:p>
    <w:p>
      <w:pPr>
        <w:adjustRightInd w:val="0"/>
        <w:snapToGrid w:val="0"/>
        <w:spacing w:line="276"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b/>
          <w:bCs/>
          <w:color w:val="auto"/>
          <w:kern w:val="0"/>
          <w:sz w:val="24"/>
          <w:szCs w:val="24"/>
        </w:rPr>
        <w:t>表4.2-1  天然气（压缩的、液化的）危险特性及防范措施一览表</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04"/>
        <w:gridCol w:w="1832"/>
        <w:gridCol w:w="1797"/>
        <w:gridCol w:w="1792"/>
        <w:gridCol w:w="18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标识</w:t>
            </w: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中文名</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天然气、甲烷</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英文名</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methane Marsh gas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分子式</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CH</w:t>
            </w:r>
            <w:r>
              <w:rPr>
                <w:rFonts w:hint="default" w:ascii="Times New Roman" w:hAnsi="Times New Roman" w:cs="Times New Roman"/>
                <w:color w:val="auto"/>
                <w:vertAlign w:val="subscript"/>
              </w:rPr>
              <w:t>4</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分子量</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16.04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危险货物编号</w:t>
            </w:r>
          </w:p>
        </w:tc>
        <w:tc>
          <w:tcPr>
            <w:tcW w:w="9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21007（压缩气体）</w:t>
            </w:r>
          </w:p>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21008（液化气体）</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UN 编号</w:t>
            </w:r>
          </w:p>
        </w:tc>
        <w:tc>
          <w:tcPr>
            <w:tcW w:w="102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1971（压缩气体）</w:t>
            </w:r>
          </w:p>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1972（液化气体）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CAS</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74-82-8</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危险性类别</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第2.1类易燃气体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理化特性</w:t>
            </w: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相对密度</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相对密度（水）：0.42（-164℃），相对密度（空气=1）：0.60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熔点：℃</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-182.5</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沸点：℃</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-161.5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外观与性状</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无色无臭气体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溶解性</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微溶于水，溶于醇、乙醚。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稳定性</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稳定</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聚合危害</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不聚合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禁忌物</w:t>
            </w:r>
          </w:p>
        </w:tc>
        <w:tc>
          <w:tcPr>
            <w:tcW w:w="98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强氧化剂、氟、氯</w:t>
            </w:r>
          </w:p>
        </w:tc>
        <w:tc>
          <w:tcPr>
            <w:tcW w:w="985"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燃烧（分解）产物</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一氧化碳、二氧化碳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主要用途</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用作燃料和用于炭黑、氢、乙炔、甲醛等的制造。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燃爆特性与消防</w:t>
            </w: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燃烧性</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易燃</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闪点（℃）</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爆炸上限%</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15</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引燃温度（℃）</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538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爆炸下限%</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5</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最小点火能（mj）</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无资料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火灾危险类别</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甲类</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爆炸危险级别、组别</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eastAsia="华文中宋" w:cs="Times New Roman"/>
                <w:color w:val="auto"/>
              </w:rPr>
              <w:t>ⅡA 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燃烧热（kJ/mol）</w:t>
            </w:r>
          </w:p>
        </w:tc>
        <w:tc>
          <w:tcPr>
            <w:tcW w:w="98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889.5</w:t>
            </w:r>
          </w:p>
        </w:tc>
        <w:tc>
          <w:tcPr>
            <w:tcW w:w="98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饱和蒸气压（kPa）：</w:t>
            </w:r>
          </w:p>
        </w:tc>
        <w:tc>
          <w:tcPr>
            <w:tcW w:w="102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53.32（-168.8℃）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危险特性</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易燃，与空气混合能形成爆炸性混合物，遇热源和明火有燃烧爆炸的危险。与五氧化溴、氯气、次氯酸、三氟化氮、液氧、二氟化氧及其他强氧化剂接触剧烈反应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灭火方法</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切断气源。若不能切断气源，则不允许熄灭泄漏处的火焰。喷水冷却容器，可能的话将容器从火场移至空旷处。灭火剂：雾状水、泡沫、二氧化碳、干粉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毒性、健康危害及防护措施</w:t>
            </w: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中国MAC</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未制定标准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苏联MAC</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300mg/m</w:t>
            </w:r>
            <w:r>
              <w:rPr>
                <w:rFonts w:hint="default" w:ascii="Times New Roman" w:hAnsi="Times New Roman" w:cs="Times New Roman"/>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美国TWA</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窒息性气体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美国STEL</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未制定标准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LD</w:t>
            </w:r>
            <w:r>
              <w:rPr>
                <w:rFonts w:hint="default" w:ascii="Times New Roman" w:hAnsi="Times New Roman" w:cs="Times New Roman"/>
                <w:color w:val="auto"/>
                <w:vertAlign w:val="subscript"/>
              </w:rPr>
              <w:t>50</w:t>
            </w:r>
            <w:r>
              <w:rPr>
                <w:rFonts w:hint="default" w:ascii="Times New Roman" w:hAnsi="Times New Roman" w:cs="Times New Roman"/>
                <w:color w:val="auto"/>
              </w:rPr>
              <w:t>：</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无资料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LC</w:t>
            </w:r>
            <w:r>
              <w:rPr>
                <w:rFonts w:hint="default" w:ascii="Times New Roman" w:hAnsi="Times New Roman" w:cs="Times New Roman"/>
                <w:color w:val="auto"/>
                <w:vertAlign w:val="subscript"/>
              </w:rPr>
              <w:t>50</w:t>
            </w:r>
            <w:r>
              <w:rPr>
                <w:rFonts w:hint="default" w:ascii="Times New Roman" w:hAnsi="Times New Roman" w:cs="Times New Roman"/>
                <w:color w:val="auto"/>
              </w:rPr>
              <w:t>：</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无资料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呼吸系统防护</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一般不需要特殊防护，但建议特殊情况下，佩戴自吸过滤式防毒面具（半面罩）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眼睛防护</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一般不需要特殊防护，高浓度接触时可戴安全防护眼镜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身体防护</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穿防静电工作服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手防护</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戴一般作业防护手套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其他防护</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工作现场严禁吸烟。避免长期反复接触。进入罐、限制性空间或其他高浓度区作业，须有人监护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急救措施</w:t>
            </w: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皮肤接触</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若有冻伤，就医治疗。冻结在皮肤上的衣服，要在解冻后才可脱去。接触液化气体，接触部位用温水浸泡复温。注意患者保暖并且保持安静。确保医务人员了解该物质相关的个体防护知识，注意自身防护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眼睛接触</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吸入</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100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食入</w:t>
            </w:r>
          </w:p>
        </w:tc>
        <w:tc>
          <w:tcPr>
            <w:tcW w:w="3000"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泄漏应急处理</w:t>
            </w:r>
          </w:p>
        </w:tc>
        <w:tc>
          <w:tcPr>
            <w:tcW w:w="4007" w:type="pct"/>
            <w:gridSpan w:val="4"/>
            <w:tcBorders>
              <w:tl2br w:val="nil"/>
              <w:tr2bl w:val="nil"/>
            </w:tcBorders>
            <w:vAlign w:val="center"/>
          </w:tcPr>
          <w:p>
            <w:pPr>
              <w:adjustRightInd w:val="0"/>
              <w:snapToGrid w:val="0"/>
              <w:rPr>
                <w:rFonts w:hint="default" w:ascii="Times New Roman" w:hAnsi="Times New Roman" w:cs="Times New Roman"/>
                <w:b/>
                <w:bCs/>
                <w:color w:val="auto"/>
                <w:kern w:val="0"/>
              </w:rPr>
            </w:pPr>
            <w:r>
              <w:rPr>
                <w:rFonts w:hint="default" w:ascii="Times New Roman" w:hAnsi="Times New Roman" w:cs="Times New Roman"/>
                <w:color w:val="auto"/>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储运注意事项</w:t>
            </w:r>
          </w:p>
        </w:tc>
        <w:tc>
          <w:tcPr>
            <w:tcW w:w="4007" w:type="pct"/>
            <w:gridSpan w:val="4"/>
            <w:tcBorders>
              <w:tl2br w:val="nil"/>
              <w:tr2bl w:val="nil"/>
            </w:tcBorders>
            <w:vAlign w:val="center"/>
          </w:tcPr>
          <w:p>
            <w:pPr>
              <w:adjustRightInd w:val="0"/>
              <w:snapToGrid w:val="0"/>
              <w:jc w:val="left"/>
              <w:rPr>
                <w:rFonts w:hint="default" w:ascii="Times New Roman" w:hAnsi="Times New Roman" w:cs="Times New Roman"/>
                <w:b/>
                <w:bCs/>
                <w:color w:val="auto"/>
                <w:kern w:val="0"/>
              </w:rPr>
            </w:pPr>
            <w:r>
              <w:rPr>
                <w:rFonts w:hint="default" w:ascii="Times New Roman" w:hAnsi="Times New Roman" w:cs="Times New Roman"/>
                <w:color w:val="auto"/>
              </w:rPr>
              <w:t>易燃压缩气体。储存于阴凉、通风仓间内。仓温不宜超过30℃。远离火种、热源。防止阳光直射。应与氧气、压缩空气、卤素（氟、氯、溴）等分开存放。切忌混储混运。储存间内的照明、通风等设施应采用防爆型，开关设在仓外。配备相应品种和数量的消防器材。罐储时要有防火防爆技术措施。露天储罐夏季要有降温措施。禁止使用易产生火花的机械设备和工具。验收时要注意品名，注意验瓶日期，先进仓的先发用。运输时运输车辆应配备相应品种和数量的消防器材。装运该物品的车辆排气管必须配备阻火装置，禁止使用易产生火花的机械设备和工具装卸。严禁与氧化剂等混装混运。夏季应早晚运输，防止日光曝晒。中途停留时应远离火种、热源。公路运输时要按规定路线行驶，勿在居民区和人口稠密区停留。铁路运输时要禁止溜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992"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包装</w:t>
            </w:r>
          </w:p>
        </w:tc>
        <w:tc>
          <w:tcPr>
            <w:tcW w:w="4007" w:type="pct"/>
            <w:gridSpan w:val="4"/>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II类包装；钢制气瓶</w:t>
            </w:r>
          </w:p>
        </w:tc>
      </w:tr>
    </w:tbl>
    <w:p>
      <w:pPr>
        <w:adjustRightInd w:val="0"/>
        <w:snapToGrid w:val="0"/>
        <w:spacing w:line="360" w:lineRule="auto"/>
        <w:ind w:firstLine="480" w:firstLineChars="200"/>
        <w:rPr>
          <w:rFonts w:hint="default" w:ascii="Times New Roman" w:hAnsi="Times New Roman" w:cs="Times New Roman"/>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LNG属于液化烃，天然气经过低温液化后即得到液化天然气，其组成绝大部分为甲烷，液化天然气具有低温、易挥发、易燃易爆，并且具有热膨胀性、汽化性、易扩散性以及静电荷集聚性。泄露的天然气容易挥发，单位体积的液化天然气气化后，体积将扩大625倍，当天然气的体积浓度为5~14%时就可以被引燃或引爆。液化天然气属于低毒性物质，但空气中甲烷含量过高可使人因缺氧引发窒息。天然气具体特性如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易燃性：天然气中主要组份闪点低、最小点火能小、燃烧速率快，是燃烧危险性很大的货种。根据《石油化工企业设计防火标准》（GB50160-2018），天然气火灾危险等级为甲类。</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爆性：天然气能与空气形成爆炸性混合物，且爆炸极限范围宽，爆炸下限较低，由于本项目后期建设的管线设计压力高，为9.0MPa，一旦发生泄漏，短时间内会有大量天然气泄漏到空气中，在特定条件下，在泄漏源周围有可能形成爆炸性天然气团，遇火源将发生爆炸甚至“爆轰”。</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扩散性：天然气中主要组份甲烷气体密度比空气小，泄漏后不易留在低凹处，有较好的扩散性。加之本项目后期建设的管线设计压力高、输送温度较低，一旦发生泄漏，泄漏的天然气将迅速扩散，并随空气流动，扩散距离远，扩散面宽，一处点燃波及一片并向泄漏点扩散燃烧。</w:t>
      </w:r>
    </w:p>
    <w:p>
      <w:pPr>
        <w:pStyle w:val="3"/>
        <w:ind w:left="578" w:hanging="578"/>
        <w:rPr>
          <w:rFonts w:hint="default" w:ascii="Times New Roman" w:hAnsi="Times New Roman" w:cs="Times New Roman" w:eastAsiaTheme="minorEastAsia"/>
          <w:b/>
          <w:color w:val="auto"/>
          <w:lang w:val="zh-CN"/>
        </w:rPr>
      </w:pPr>
      <w:bookmarkStart w:id="58" w:name="_Toc3464"/>
      <w:bookmarkStart w:id="59" w:name="_Toc2324"/>
      <w:r>
        <w:rPr>
          <w:rFonts w:hint="default" w:ascii="Times New Roman" w:hAnsi="Times New Roman" w:cs="Times New Roman" w:eastAsiaTheme="minorEastAsia"/>
          <w:b/>
          <w:color w:val="auto"/>
          <w:lang w:val="zh-CN"/>
        </w:rPr>
        <w:t>施工期污染源强分析</w:t>
      </w:r>
      <w:bookmarkEnd w:id="58"/>
      <w:bookmarkEnd w:id="59"/>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废气</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1、施工粉尘</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施工期间对大气环境的主要影响主要反映在码头栈桥施工阶段的桩基施工和建材运输等环节，施工阶段产生的施工扬尘会造成区域大气环境中悬浮微粒浓度的增加。</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根据</w:t>
      </w:r>
      <w:r>
        <w:rPr>
          <w:rFonts w:hint="default" w:ascii="Times New Roman" w:hAnsi="Times New Roman" w:cs="Times New Roman" w:eastAsiaTheme="minorEastAsia"/>
          <w:color w:val="auto"/>
          <w:sz w:val="24"/>
          <w:lang w:eastAsia="zh-CN"/>
        </w:rPr>
        <w:t>同类</w:t>
      </w:r>
      <w:r>
        <w:rPr>
          <w:rFonts w:hint="default" w:ascii="Times New Roman" w:hAnsi="Times New Roman" w:cs="Times New Roman" w:eastAsiaTheme="minorEastAsia"/>
          <w:color w:val="auto"/>
          <w:sz w:val="24"/>
        </w:rPr>
        <w:t>码头工地现场监测资料，施工作业场地附近地面粉尘浓度可达1.5~30mg/m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rPr>
        <w:t>。</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2、施工车辆废气</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lang w:val="zh-CN"/>
        </w:rPr>
      </w:pPr>
      <w:r>
        <w:rPr>
          <w:rFonts w:hint="default" w:ascii="Times New Roman" w:hAnsi="Times New Roman" w:cs="Times New Roman" w:eastAsiaTheme="minorEastAsia"/>
          <w:color w:val="auto"/>
          <w:sz w:val="24"/>
        </w:rPr>
        <w:t>工程部分结构件和工艺管线采用汽车运进，会带来汽车尾气污染。具体见表4.3-1。</w:t>
      </w:r>
    </w:p>
    <w:p>
      <w:pPr>
        <w:adjustRightInd w:val="0"/>
        <w:snapToGrid w:val="0"/>
        <w:spacing w:line="276" w:lineRule="auto"/>
        <w:jc w:val="center"/>
        <w:rPr>
          <w:rFonts w:hint="default" w:ascii="Times New Roman" w:hAnsi="Times New Roman" w:cs="Times New Roman"/>
          <w:b/>
          <w:bCs/>
          <w:color w:val="auto"/>
          <w:sz w:val="24"/>
          <w:szCs w:val="24"/>
          <w:lang w:val="zh-CN"/>
        </w:rPr>
      </w:pPr>
      <w:r>
        <w:rPr>
          <w:rFonts w:hint="default" w:ascii="Times New Roman" w:hAnsi="Times New Roman" w:cs="Times New Roman"/>
          <w:b/>
          <w:bCs/>
          <w:color w:val="auto"/>
          <w:sz w:val="24"/>
          <w:szCs w:val="24"/>
          <w:lang w:val="zh-CN"/>
        </w:rPr>
        <w:t>表4.</w:t>
      </w:r>
      <w:r>
        <w:rPr>
          <w:rFonts w:hint="default" w:ascii="Times New Roman" w:hAnsi="Times New Roman" w:cs="Times New Roman"/>
          <w:b/>
          <w:bCs/>
          <w:color w:val="auto"/>
          <w:sz w:val="24"/>
          <w:szCs w:val="24"/>
        </w:rPr>
        <w:t>3</w:t>
      </w:r>
      <w:r>
        <w:rPr>
          <w:rFonts w:hint="default" w:ascii="Times New Roman" w:hAnsi="Times New Roman" w:cs="Times New Roman"/>
          <w:b/>
          <w:bCs/>
          <w:color w:val="auto"/>
          <w:sz w:val="24"/>
          <w:szCs w:val="24"/>
          <w:lang w:val="zh-CN"/>
        </w:rPr>
        <w:t>-</w:t>
      </w:r>
      <w:r>
        <w:rPr>
          <w:rFonts w:hint="default" w:ascii="Times New Roman" w:hAnsi="Times New Roman" w:cs="Times New Roman"/>
          <w:b/>
          <w:bCs/>
          <w:color w:val="auto"/>
          <w:sz w:val="24"/>
          <w:szCs w:val="24"/>
        </w:rPr>
        <w:t xml:space="preserve">1 </w:t>
      </w:r>
      <w:r>
        <w:rPr>
          <w:rFonts w:hint="default" w:ascii="Times New Roman" w:hAnsi="Times New Roman" w:cs="Times New Roman"/>
          <w:b/>
          <w:bCs/>
          <w:color w:val="auto"/>
          <w:sz w:val="24"/>
          <w:szCs w:val="24"/>
          <w:lang w:val="zh-CN"/>
        </w:rPr>
        <w:t xml:space="preserve"> 机动车污染物排放情况</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49"/>
        <w:gridCol w:w="2253"/>
        <w:gridCol w:w="2253"/>
        <w:gridCol w:w="23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36" w:type="pct"/>
            <w:tcBorders>
              <w:tl2br w:val="single" w:color="auto" w:sz="4" w:space="0"/>
            </w:tcBorders>
            <w:vAlign w:val="center"/>
          </w:tcPr>
          <w:p>
            <w:pPr>
              <w:adjustRightInd w:val="0"/>
              <w:snapToGrid w:val="0"/>
              <w:jc w:val="right"/>
              <w:rPr>
                <w:rFonts w:hint="default" w:ascii="Times New Roman" w:hAnsi="Times New Roman" w:cs="Times New Roman"/>
                <w:b/>
                <w:bCs/>
                <w:color w:val="auto"/>
                <w:lang w:val="zh-CN"/>
              </w:rPr>
            </w:pPr>
            <w:r>
              <w:rPr>
                <w:rFonts w:hint="default" w:ascii="Times New Roman" w:hAnsi="Times New Roman" w:cs="Times New Roman"/>
                <w:b/>
                <w:bCs/>
                <w:color w:val="auto"/>
                <w:lang w:val="zh-CN"/>
              </w:rPr>
              <w:t>污染物</w:t>
            </w:r>
          </w:p>
          <w:p>
            <w:pPr>
              <w:adjustRightInd w:val="0"/>
              <w:snapToGrid w:val="0"/>
              <w:jc w:val="left"/>
              <w:rPr>
                <w:rFonts w:hint="default" w:ascii="Times New Roman" w:hAnsi="Times New Roman" w:cs="Times New Roman"/>
                <w:b/>
                <w:bCs/>
                <w:color w:val="auto"/>
                <w:lang w:val="zh-CN"/>
              </w:rPr>
            </w:pPr>
            <w:r>
              <w:rPr>
                <w:rFonts w:hint="default" w:ascii="Times New Roman" w:hAnsi="Times New Roman" w:cs="Times New Roman"/>
                <w:b/>
                <w:bCs/>
                <w:color w:val="auto"/>
                <w:lang w:val="zh-CN"/>
              </w:rPr>
              <w:t>类别</w:t>
            </w:r>
          </w:p>
        </w:tc>
        <w:tc>
          <w:tcPr>
            <w:tcW w:w="1238" w:type="pct"/>
            <w:tcBorders>
              <w:tl2br w:val="nil"/>
              <w:tr2bl w:val="nil"/>
            </w:tcBorders>
            <w:vAlign w:val="center"/>
          </w:tcPr>
          <w:p>
            <w:pPr>
              <w:jc w:val="center"/>
              <w:rPr>
                <w:rFonts w:hint="default" w:ascii="Times New Roman" w:hAnsi="Times New Roman" w:cs="Times New Roman"/>
                <w:b/>
                <w:bCs/>
                <w:color w:val="auto"/>
                <w:lang w:val="zh-CN"/>
              </w:rPr>
            </w:pPr>
            <w:r>
              <w:rPr>
                <w:rFonts w:hint="default" w:ascii="Times New Roman" w:hAnsi="Times New Roman" w:eastAsia="CIDFont+F3" w:cs="Times New Roman"/>
                <w:b/>
                <w:bCs/>
                <w:color w:val="auto"/>
              </w:rPr>
              <w:t>污染物排放量（</w:t>
            </w:r>
            <w:r>
              <w:rPr>
                <w:rFonts w:hint="default" w:ascii="Times New Roman" w:hAnsi="Times New Roman" w:eastAsia="CIDFont+F1" w:cs="Times New Roman"/>
                <w:b/>
                <w:bCs/>
                <w:color w:val="auto"/>
              </w:rPr>
              <w:t>g/L</w:t>
            </w:r>
            <w:r>
              <w:rPr>
                <w:rFonts w:hint="default" w:ascii="Times New Roman" w:hAnsi="Times New Roman" w:eastAsia="CIDFont+F3" w:cs="Times New Roman"/>
                <w:b/>
                <w:bCs/>
                <w:color w:val="auto"/>
              </w:rPr>
              <w:t>汽油）</w:t>
            </w:r>
          </w:p>
        </w:tc>
        <w:tc>
          <w:tcPr>
            <w:tcW w:w="1238" w:type="pct"/>
            <w:tcBorders>
              <w:tl2br w:val="nil"/>
              <w:tr2bl w:val="nil"/>
            </w:tcBorders>
            <w:vAlign w:val="center"/>
          </w:tcPr>
          <w:p>
            <w:pPr>
              <w:jc w:val="center"/>
              <w:rPr>
                <w:rFonts w:hint="default" w:ascii="Times New Roman" w:hAnsi="Times New Roman" w:cs="Times New Roman"/>
                <w:b/>
                <w:bCs/>
                <w:color w:val="auto"/>
                <w:lang w:val="zh-CN"/>
              </w:rPr>
            </w:pPr>
            <w:r>
              <w:rPr>
                <w:rFonts w:hint="default" w:ascii="Times New Roman" w:hAnsi="Times New Roman" w:eastAsia="CIDFont+F3" w:cs="Times New Roman"/>
                <w:b/>
                <w:bCs/>
                <w:color w:val="auto"/>
              </w:rPr>
              <w:t>污染物排放量（</w:t>
            </w:r>
            <w:r>
              <w:rPr>
                <w:rFonts w:hint="default" w:ascii="Times New Roman" w:hAnsi="Times New Roman" w:eastAsia="CIDFont+F1" w:cs="Times New Roman"/>
                <w:b/>
                <w:bCs/>
                <w:color w:val="auto"/>
              </w:rPr>
              <w:t>g/L</w:t>
            </w:r>
            <w:r>
              <w:rPr>
                <w:rFonts w:hint="default" w:ascii="Times New Roman" w:hAnsi="Times New Roman" w:eastAsia="CIDFont+F3" w:cs="Times New Roman"/>
                <w:b/>
                <w:bCs/>
                <w:color w:val="auto"/>
              </w:rPr>
              <w:t>柴油）</w:t>
            </w:r>
          </w:p>
        </w:tc>
        <w:tc>
          <w:tcPr>
            <w:tcW w:w="1286" w:type="pct"/>
            <w:tcBorders>
              <w:tl2br w:val="nil"/>
              <w:tr2bl w:val="nil"/>
            </w:tcBorders>
            <w:vAlign w:val="center"/>
          </w:tcPr>
          <w:p>
            <w:pPr>
              <w:jc w:val="center"/>
              <w:rPr>
                <w:rFonts w:hint="default" w:ascii="Times New Roman" w:hAnsi="Times New Roman" w:cs="Times New Roman"/>
                <w:b/>
                <w:bCs/>
                <w:color w:val="auto"/>
                <w:lang w:val="zh-CN"/>
              </w:rPr>
            </w:pPr>
            <w:r>
              <w:rPr>
                <w:rFonts w:hint="default" w:ascii="Times New Roman" w:hAnsi="Times New Roman" w:eastAsia="CIDFont+F1" w:cs="Times New Roman"/>
                <w:b/>
                <w:bCs/>
                <w:color w:val="auto"/>
              </w:rPr>
              <w:t>8</w:t>
            </w:r>
            <w:r>
              <w:rPr>
                <w:rFonts w:hint="default" w:ascii="Times New Roman" w:hAnsi="Times New Roman" w:eastAsia="CIDFont+F3" w:cs="Times New Roman"/>
                <w:b/>
                <w:bCs/>
                <w:color w:val="auto"/>
              </w:rPr>
              <w:t>吨柴油载重车排放量（</w:t>
            </w:r>
            <w:r>
              <w:rPr>
                <w:rFonts w:hint="default" w:ascii="Times New Roman" w:hAnsi="Times New Roman" w:eastAsia="CIDFont+F1" w:cs="Times New Roman"/>
                <w:b/>
                <w:bCs/>
                <w:color w:val="auto"/>
              </w:rPr>
              <w:t>g/100km</w:t>
            </w:r>
            <w:r>
              <w:rPr>
                <w:rFonts w:hint="default" w:ascii="Times New Roman" w:hAnsi="Times New Roman" w:eastAsia="CIDFont+F3" w:cs="Times New Roman"/>
                <w:b/>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3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0.295</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3.24</w:t>
            </w:r>
          </w:p>
        </w:tc>
        <w:tc>
          <w:tcPr>
            <w:tcW w:w="1286"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815.13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3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CO</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169.0</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27.0</w:t>
            </w:r>
          </w:p>
        </w:tc>
        <w:tc>
          <w:tcPr>
            <w:tcW w:w="1286"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1340.44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3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21.1</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44.4</w:t>
            </w:r>
          </w:p>
        </w:tc>
        <w:tc>
          <w:tcPr>
            <w:tcW w:w="1286"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97.82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3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烃类</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33.3</w:t>
            </w:r>
          </w:p>
        </w:tc>
        <w:tc>
          <w:tcPr>
            <w:tcW w:w="1238"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4.44</w:t>
            </w:r>
          </w:p>
        </w:tc>
        <w:tc>
          <w:tcPr>
            <w:tcW w:w="1286"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rPr>
              <w:t>134.04</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rPr>
      </w:pPr>
    </w:p>
    <w:p>
      <w:pPr>
        <w:adjustRightInd w:val="0"/>
        <w:snapToGrid w:val="0"/>
        <w:spacing w:line="360" w:lineRule="auto"/>
        <w:ind w:firstLine="482"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b/>
          <w:bCs/>
          <w:color w:val="auto"/>
          <w:sz w:val="24"/>
        </w:rPr>
        <w:t>3、施工船舶废气</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施工船舶的单船耗油量约300kg/h。根据《大气废气估算手册》（清华大学编），柴油中污染物排放情况具体见表4.3-2。</w:t>
      </w:r>
    </w:p>
    <w:p>
      <w:pPr>
        <w:adjustRightInd w:val="0"/>
        <w:snapToGrid w:val="0"/>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表4.3-2  施工船舶废气排放情况</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80"/>
        <w:gridCol w:w="2271"/>
        <w:gridCol w:w="2273"/>
        <w:gridCol w:w="22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3"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污染物</w:t>
            </w:r>
          </w:p>
        </w:tc>
        <w:tc>
          <w:tcPr>
            <w:tcW w:w="124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p>
        </w:tc>
        <w:tc>
          <w:tcPr>
            <w:tcW w:w="124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p>
        </w:tc>
        <w:tc>
          <w:tcPr>
            <w:tcW w:w="1248"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3"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rPr>
              <w:t>排放量（g/kg油）</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7.5</w:t>
            </w:r>
          </w:p>
        </w:tc>
        <w:tc>
          <w:tcPr>
            <w:tcW w:w="124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16.5</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3"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rPr>
              <w:t>排放源强（kg/h）</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2.25</w:t>
            </w:r>
          </w:p>
        </w:tc>
        <w:tc>
          <w:tcPr>
            <w:tcW w:w="124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4.95</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9.00</w:t>
            </w:r>
          </w:p>
        </w:tc>
      </w:tr>
    </w:tbl>
    <w:p>
      <w:pPr>
        <w:adjustRightInd w:val="0"/>
        <w:snapToGrid w:val="0"/>
        <w:spacing w:line="360" w:lineRule="auto"/>
        <w:ind w:firstLine="420" w:firstLineChars="200"/>
        <w:rPr>
          <w:rFonts w:hint="default" w:ascii="Times New Roman" w:hAnsi="Times New Roman" w:cs="Times New Roman"/>
          <w:color w:val="auto"/>
        </w:rPr>
      </w:pPr>
    </w:p>
    <w:p>
      <w:pPr>
        <w:adjustRightInd w:val="0"/>
        <w:snapToGrid w:val="0"/>
        <w:spacing w:line="360" w:lineRule="auto"/>
        <w:ind w:firstLine="482" w:firstLineChars="200"/>
        <w:rPr>
          <w:rFonts w:hint="default" w:ascii="Times New Roman" w:hAnsi="Times New Roman" w:cs="Times New Roman"/>
          <w:b/>
          <w:bCs/>
          <w:color w:val="auto"/>
          <w:u w:val="single"/>
        </w:rPr>
      </w:pPr>
      <w:r>
        <w:rPr>
          <w:rFonts w:hint="eastAsia" w:ascii="Times New Roman" w:hAnsi="Times New Roman" w:cs="Times New Roman"/>
          <w:b/>
          <w:bCs/>
          <w:color w:val="auto"/>
          <w:sz w:val="24"/>
          <w:szCs w:val="24"/>
          <w:u w:val="single"/>
          <w:lang w:val="en-US" w:eastAsia="zh-CN"/>
        </w:rPr>
        <w:t>4、</w:t>
      </w:r>
      <w:r>
        <w:rPr>
          <w:rFonts w:hint="default" w:ascii="Times New Roman" w:hAnsi="Times New Roman" w:cs="Times New Roman"/>
          <w:b/>
          <w:bCs/>
          <w:color w:val="auto"/>
          <w:sz w:val="24"/>
          <w:szCs w:val="24"/>
          <w:u w:val="single"/>
          <w:lang w:val="en-US" w:eastAsia="zh-CN"/>
        </w:rPr>
        <w:t>焊接烟</w:t>
      </w:r>
      <w:r>
        <w:rPr>
          <w:rFonts w:hint="eastAsia" w:ascii="Times New Roman" w:hAnsi="Times New Roman" w:cs="Times New Roman"/>
          <w:b/>
          <w:bCs/>
          <w:color w:val="auto"/>
          <w:sz w:val="24"/>
          <w:szCs w:val="24"/>
          <w:u w:val="single"/>
          <w:lang w:val="en-US" w:eastAsia="zh-CN"/>
        </w:rPr>
        <w:t>尘</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lang w:val="en-US" w:eastAsia="zh-CN"/>
        </w:rPr>
      </w:pPr>
      <w:r>
        <w:rPr>
          <w:rFonts w:hint="default" w:ascii="Times New Roman" w:hAnsi="Times New Roman" w:cs="Times New Roman" w:eastAsiaTheme="minorEastAsia"/>
          <w:color w:val="auto"/>
          <w:sz w:val="24"/>
          <w:u w:val="single"/>
          <w:lang w:val="en-US" w:eastAsia="zh-CN"/>
        </w:rPr>
        <w:t>焊接烟尘粒径极小，焊接烟尘颗粒主要由0.01~5μm左右的球状颗粒聚集而成，而且这些球状颗粒物在空气中浮游，常会集聚成相互连锁的树枝状微粒。焊接烟尘的粒度极细，根据相关资料，手工电弧焊烟尘粒径通常在0.1~1.25μm之间，自动埋弧焊如采用“氟碱型”焊剂其烟尘粒径在2μm~0.28mm之间，CO</w:t>
      </w:r>
      <w:r>
        <w:rPr>
          <w:rFonts w:hint="default" w:ascii="Times New Roman" w:hAnsi="Times New Roman" w:cs="Times New Roman" w:eastAsiaTheme="minorEastAsia"/>
          <w:color w:val="auto"/>
          <w:sz w:val="24"/>
          <w:u w:val="single"/>
          <w:vertAlign w:val="subscript"/>
          <w:lang w:val="en-US" w:eastAsia="zh-CN"/>
        </w:rPr>
        <w:t>2</w:t>
      </w:r>
      <w:r>
        <w:rPr>
          <w:rFonts w:hint="default" w:ascii="Times New Roman" w:hAnsi="Times New Roman" w:cs="Times New Roman" w:eastAsiaTheme="minorEastAsia"/>
          <w:color w:val="auto"/>
          <w:sz w:val="24"/>
          <w:u w:val="single"/>
          <w:lang w:val="en-US" w:eastAsia="zh-CN"/>
        </w:rPr>
        <w:t>气体保护焊烟尘平均粒径约为0.03μm。焊接烟尘的粘性大，随着温度和湿度的变化在空中漂浮，通常在焊接操作过程中，焊接烟尘漂浮在地面高3~5m的位置。</w:t>
      </w:r>
    </w:p>
    <w:p>
      <w:pPr>
        <w:adjustRightInd w:val="0"/>
        <w:snapToGrid w:val="0"/>
        <w:spacing w:line="360" w:lineRule="auto"/>
        <w:ind w:firstLine="480" w:firstLineChars="200"/>
        <w:rPr>
          <w:rFonts w:hint="default" w:ascii="Times New Roman" w:hAnsi="Times New Roman" w:cs="Times New Roman" w:eastAsiaTheme="minorEastAsia"/>
          <w:color w:val="auto"/>
          <w:sz w:val="24"/>
          <w:lang w:val="en-US" w:eastAsia="zh-CN"/>
        </w:rPr>
      </w:pPr>
      <w:r>
        <w:rPr>
          <w:rFonts w:hint="eastAsia" w:ascii="Times New Roman" w:hAnsi="Times New Roman" w:cs="Times New Roman" w:eastAsiaTheme="minorEastAsia"/>
          <w:color w:val="auto"/>
          <w:sz w:val="24"/>
          <w:u w:val="single"/>
          <w:lang w:val="en-US" w:eastAsia="zh-CN"/>
        </w:rPr>
        <w:t>本项目主要是在</w:t>
      </w:r>
      <w:r>
        <w:rPr>
          <w:rFonts w:hint="default" w:ascii="Times New Roman" w:hAnsi="Times New Roman" w:cs="Times New Roman" w:eastAsiaTheme="minorEastAsia"/>
          <w:color w:val="auto"/>
          <w:sz w:val="24"/>
          <w:u w:val="single"/>
          <w:lang w:val="zh-CN" w:eastAsia="zh-CN"/>
        </w:rPr>
        <w:t>人行钢联桥制</w:t>
      </w:r>
      <w:r>
        <w:rPr>
          <w:rFonts w:hint="default" w:ascii="Times New Roman" w:hAnsi="Times New Roman" w:cs="Times New Roman" w:eastAsiaTheme="minorEastAsia"/>
          <w:color w:val="auto"/>
          <w:sz w:val="24"/>
          <w:u w:val="single"/>
          <w:lang w:val="en-US" w:eastAsia="zh-CN"/>
        </w:rPr>
        <w:t>作安装</w:t>
      </w:r>
      <w:r>
        <w:rPr>
          <w:rFonts w:hint="eastAsia" w:ascii="Times New Roman" w:hAnsi="Times New Roman" w:cs="Times New Roman" w:eastAsiaTheme="minorEastAsia"/>
          <w:color w:val="auto"/>
          <w:sz w:val="24"/>
          <w:u w:val="single"/>
          <w:lang w:val="en-US" w:eastAsia="zh-CN"/>
        </w:rPr>
        <w:t>过程中产生少量</w:t>
      </w:r>
      <w:r>
        <w:rPr>
          <w:rFonts w:hint="default" w:ascii="Times New Roman" w:hAnsi="Times New Roman" w:cs="Times New Roman" w:eastAsiaTheme="minorEastAsia"/>
          <w:color w:val="auto"/>
          <w:sz w:val="24"/>
          <w:u w:val="single"/>
          <w:lang w:val="en-US" w:eastAsia="zh-CN"/>
        </w:rPr>
        <w:t>焊接烟</w:t>
      </w:r>
      <w:r>
        <w:rPr>
          <w:rFonts w:hint="eastAsia" w:ascii="Times New Roman" w:hAnsi="Times New Roman" w:cs="Times New Roman" w:eastAsiaTheme="minorEastAsia"/>
          <w:color w:val="auto"/>
          <w:sz w:val="24"/>
          <w:u w:val="single"/>
          <w:lang w:val="en-US" w:eastAsia="zh-CN"/>
        </w:rPr>
        <w:t>尘。</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废水</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工程施工过程带来的污染主要包括施工废水，施工人员的生活污水和施工船舶油污水等，具体如下：</w:t>
      </w:r>
    </w:p>
    <w:p>
      <w:pPr>
        <w:adjustRightInd w:val="0"/>
        <w:snapToGrid w:val="0"/>
        <w:spacing w:line="360" w:lineRule="auto"/>
        <w:ind w:firstLine="482"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b/>
          <w:bCs/>
          <w:color w:val="auto"/>
          <w:sz w:val="24"/>
        </w:rPr>
        <w:t>1、施工废水</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施工废水包括混凝土养护废水</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施工机械冲洗废水</w:t>
      </w:r>
      <w:r>
        <w:rPr>
          <w:rFonts w:hint="eastAsia" w:ascii="Times New Roman" w:hAnsi="Times New Roman" w:cs="Times New Roman" w:eastAsiaTheme="minorEastAsia"/>
          <w:color w:val="auto"/>
          <w:sz w:val="24"/>
          <w:lang w:val="en-US" w:eastAsia="zh-CN"/>
        </w:rPr>
        <w:t>和基坑废水</w:t>
      </w:r>
      <w:r>
        <w:rPr>
          <w:rFonts w:hint="eastAsia" w:ascii="Times New Roman" w:hAnsi="Times New Roman" w:cs="Times New Roman" w:eastAsiaTheme="minorEastAsia"/>
          <w:color w:val="auto"/>
          <w:sz w:val="24"/>
          <w:lang w:eastAsia="zh-CN"/>
        </w:rPr>
        <w:t>。</w:t>
      </w:r>
      <w:r>
        <w:rPr>
          <w:rFonts w:hint="default" w:ascii="Times New Roman" w:hAnsi="Times New Roman" w:cs="Times New Roman" w:eastAsiaTheme="minorEastAsia"/>
          <w:color w:val="auto"/>
          <w:sz w:val="24"/>
        </w:rPr>
        <w:t>施工过程中废水主要污染因子为SS，浓度可达到2000~4000mg/</w:t>
      </w:r>
      <w:r>
        <w:rPr>
          <w:rFonts w:hint="eastAsia" w:ascii="Times New Roman" w:hAnsi="Times New Roman" w:cs="Times New Roman" w:eastAsiaTheme="minorEastAsia"/>
          <w:color w:val="auto"/>
          <w:sz w:val="24"/>
          <w:lang w:val="en-US" w:eastAsia="zh-CN"/>
        </w:rPr>
        <w:t>L</w:t>
      </w:r>
      <w:r>
        <w:rPr>
          <w:rFonts w:hint="default" w:ascii="Times New Roman" w:hAnsi="Times New Roman" w:cs="Times New Roman" w:eastAsiaTheme="minorEastAsia"/>
          <w:color w:val="auto"/>
          <w:sz w:val="24"/>
        </w:rPr>
        <w:t>，经简易沉淀池处理后回用于施工现场洒水，不排放。</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小部分预制件生产及混凝土构筑物浇筑和养护将产生少量的生产废水，为间歇式排放。根据同类工程类比分析，工程产生碱性废水最大2t/d，污水中主要污染因子为SS，</w:t>
      </w:r>
      <w:r>
        <w:rPr>
          <w:rFonts w:hint="eastAsia" w:ascii="Times New Roman" w:hAnsi="Times New Roman" w:cs="Times New Roman" w:eastAsiaTheme="minorEastAsia"/>
          <w:color w:val="auto"/>
          <w:sz w:val="24"/>
          <w:lang w:val="en-US" w:eastAsia="zh-CN"/>
        </w:rPr>
        <w:t>SS</w:t>
      </w:r>
      <w:r>
        <w:rPr>
          <w:rFonts w:hint="default" w:ascii="Times New Roman" w:hAnsi="Times New Roman" w:cs="Times New Roman" w:eastAsiaTheme="minorEastAsia"/>
          <w:color w:val="auto"/>
          <w:sz w:val="24"/>
        </w:rPr>
        <w:t>浓度约500mg/L，pH值8~9。</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施工机械和车辆冲洗废水中主要的污染因子为SS和石油类。根据实际调查和类比分析，冲洗废水排放量约为1t/d。此类废水中主要污染物为SS、石油类，处理前浓度一般分别为300mg/L、25mg/L；经隔油池和沉淀池处理后浓度分别为60mg/L、4mg/L。</w:t>
      </w:r>
    </w:p>
    <w:p>
      <w:pPr>
        <w:adjustRightInd w:val="0"/>
        <w:snapToGrid w:val="0"/>
        <w:spacing w:line="360" w:lineRule="auto"/>
        <w:ind w:firstLine="480" w:firstLineChars="200"/>
        <w:rPr>
          <w:rFonts w:hint="default" w:ascii="Times New Roman" w:hAnsi="Times New Roman" w:cs="Times New Roman"/>
          <w:color w:val="auto"/>
          <w:sz w:val="24"/>
          <w:szCs w:val="24"/>
          <w:u w:val="single"/>
          <w:lang w:val="en-US" w:eastAsia="zh-CN"/>
        </w:rPr>
      </w:pPr>
      <w:r>
        <w:rPr>
          <w:rFonts w:hint="default" w:ascii="Times New Roman" w:hAnsi="Times New Roman" w:cs="Times New Roman"/>
          <w:color w:val="auto"/>
          <w:sz w:val="24"/>
          <w:szCs w:val="24"/>
          <w:u w:val="single"/>
          <w:lang w:val="zh-CN"/>
        </w:rPr>
        <w:t>本</w:t>
      </w:r>
      <w:r>
        <w:rPr>
          <w:rFonts w:hint="default" w:ascii="Times New Roman" w:hAnsi="Times New Roman" w:cs="Times New Roman"/>
          <w:color w:val="auto"/>
          <w:sz w:val="24"/>
          <w:szCs w:val="24"/>
          <w:u w:val="single"/>
          <w:lang w:val="en-US" w:eastAsia="zh-CN"/>
        </w:rPr>
        <w:t>项目</w:t>
      </w:r>
      <w:r>
        <w:rPr>
          <w:rFonts w:hint="default" w:ascii="Times New Roman" w:hAnsi="Times New Roman" w:cs="Times New Roman"/>
          <w:color w:val="auto"/>
          <w:sz w:val="24"/>
          <w:szCs w:val="24"/>
          <w:u w:val="single"/>
          <w:lang w:val="zh-CN"/>
        </w:rPr>
        <w:t>引桥接岸部分</w:t>
      </w:r>
      <w:r>
        <w:rPr>
          <w:rFonts w:hint="eastAsia" w:ascii="Times New Roman" w:hAnsi="Times New Roman" w:cs="Times New Roman"/>
          <w:color w:val="auto"/>
          <w:sz w:val="24"/>
          <w:szCs w:val="24"/>
          <w:u w:val="single"/>
          <w:lang w:val="en-US" w:eastAsia="zh-CN"/>
        </w:rPr>
        <w:t>设置</w:t>
      </w:r>
      <w:r>
        <w:rPr>
          <w:rFonts w:hint="default" w:ascii="Times New Roman" w:hAnsi="Times New Roman" w:cs="Times New Roman"/>
          <w:color w:val="auto"/>
          <w:sz w:val="24"/>
          <w:szCs w:val="24"/>
          <w:u w:val="single"/>
          <w:lang w:val="zh-CN"/>
        </w:rPr>
        <w:t>灌注桩基础</w:t>
      </w:r>
      <w:r>
        <w:rPr>
          <w:rFonts w:hint="eastAsia" w:ascii="Times New Roman" w:hAnsi="Times New Roman" w:cs="Times New Roman"/>
          <w:color w:val="auto"/>
          <w:sz w:val="24"/>
          <w:szCs w:val="24"/>
          <w:u w:val="single"/>
          <w:lang w:val="en-US" w:eastAsia="zh-CN"/>
        </w:rPr>
        <w:t>10根</w:t>
      </w:r>
      <w:r>
        <w:rPr>
          <w:rFonts w:hint="eastAsia" w:ascii="Times New Roman" w:hAnsi="Times New Roman" w:cs="Times New Roman"/>
          <w:color w:val="auto"/>
          <w:sz w:val="24"/>
          <w:szCs w:val="24"/>
          <w:u w:val="single"/>
          <w:lang w:val="zh-CN"/>
        </w:rPr>
        <w:t>，</w:t>
      </w:r>
      <w:r>
        <w:rPr>
          <w:rFonts w:hint="default" w:ascii="Times New Roman" w:hAnsi="Times New Roman" w:cs="Times New Roman"/>
          <w:color w:val="auto"/>
          <w:sz w:val="24"/>
          <w:szCs w:val="24"/>
          <w:u w:val="single"/>
          <w:lang w:val="zh-CN"/>
        </w:rPr>
        <w:t>直径1000mm</w:t>
      </w:r>
      <w:r>
        <w:rPr>
          <w:rFonts w:hint="eastAsia" w:ascii="Times New Roman" w:hAnsi="Times New Roman" w:cs="Times New Roman"/>
          <w:color w:val="auto"/>
          <w:sz w:val="24"/>
          <w:szCs w:val="24"/>
          <w:u w:val="single"/>
          <w:lang w:val="zh-CN"/>
        </w:rPr>
        <w:t>。</w:t>
      </w:r>
      <w:r>
        <w:rPr>
          <w:rFonts w:hint="eastAsia" w:ascii="Times New Roman" w:hAnsi="Times New Roman" w:cs="Times New Roman"/>
          <w:color w:val="auto"/>
          <w:sz w:val="24"/>
          <w:szCs w:val="24"/>
          <w:u w:val="single"/>
          <w:lang w:val="en-US" w:eastAsia="zh-CN"/>
        </w:rPr>
        <w:t>本项目产生的基坑废水主要产生在钻孔施工环节，基坑废水主要为泥浆，在</w:t>
      </w:r>
      <w:r>
        <w:rPr>
          <w:rFonts w:hint="default" w:ascii="Times New Roman" w:hAnsi="Times New Roman" w:cs="Times New Roman"/>
          <w:color w:val="auto"/>
          <w:sz w:val="24"/>
          <w:szCs w:val="24"/>
          <w:u w:val="single"/>
          <w:lang w:val="zh-CN"/>
        </w:rPr>
        <w:t>灌注桩</w:t>
      </w:r>
      <w:r>
        <w:rPr>
          <w:rFonts w:hint="eastAsia" w:ascii="Times New Roman" w:hAnsi="Times New Roman" w:cs="Times New Roman"/>
          <w:color w:val="auto"/>
          <w:sz w:val="24"/>
          <w:szCs w:val="24"/>
          <w:u w:val="single"/>
          <w:lang w:val="en-US" w:eastAsia="zh-CN"/>
        </w:rPr>
        <w:t>附近设置一处泥浆池进行沉淀，沉淀出沉渣托运至</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cs="Times New Roman"/>
          <w:color w:val="auto"/>
          <w:sz w:val="24"/>
          <w:szCs w:val="24"/>
          <w:u w:val="single"/>
          <w:lang w:val="en-US" w:eastAsia="zh-CN"/>
        </w:rPr>
        <w:t>干化后，用作三期工程</w:t>
      </w:r>
      <w:r>
        <w:rPr>
          <w:rFonts w:hint="default" w:ascii="Times New Roman" w:hAnsi="Times New Roman" w:cs="Times New Roman"/>
          <w:color w:val="auto"/>
          <w:sz w:val="24"/>
          <w:szCs w:val="24"/>
          <w:u w:val="single"/>
          <w:lang w:val="zh-CN" w:eastAsia="zh-CN"/>
        </w:rPr>
        <w:t>场区回填</w:t>
      </w:r>
      <w:r>
        <w:rPr>
          <w:rFonts w:hint="default" w:ascii="Times New Roman" w:hAnsi="Times New Roman" w:cs="Times New Roman"/>
          <w:color w:val="auto"/>
          <w:sz w:val="24"/>
          <w:szCs w:val="24"/>
          <w:u w:val="single"/>
          <w:lang w:val="zh-CN"/>
        </w:rPr>
        <w:t>处理。</w:t>
      </w:r>
      <w:r>
        <w:rPr>
          <w:rFonts w:hint="eastAsia" w:ascii="Times New Roman" w:hAnsi="Times New Roman" w:cs="Times New Roman"/>
          <w:color w:val="auto"/>
          <w:sz w:val="24"/>
          <w:szCs w:val="24"/>
          <w:u w:val="single"/>
          <w:lang w:val="en-US" w:eastAsia="zh-CN"/>
        </w:rPr>
        <w:t>本项目加注平台、</w:t>
      </w:r>
      <w:r>
        <w:rPr>
          <w:rFonts w:hint="default" w:ascii="Times New Roman" w:hAnsi="Times New Roman" w:cs="Times New Roman"/>
          <w:color w:val="auto"/>
          <w:sz w:val="24"/>
          <w:szCs w:val="24"/>
          <w:u w:val="single"/>
          <w:lang w:val="zh-CN"/>
        </w:rPr>
        <w:t>引桥</w:t>
      </w:r>
      <w:r>
        <w:rPr>
          <w:rFonts w:hint="eastAsia" w:ascii="Times New Roman" w:hAnsi="Times New Roman" w:cs="Times New Roman"/>
          <w:color w:val="auto"/>
          <w:sz w:val="24"/>
          <w:szCs w:val="24"/>
          <w:u w:val="single"/>
          <w:lang w:val="zh-CN"/>
        </w:rPr>
        <w:t>（</w:t>
      </w:r>
      <w:r>
        <w:rPr>
          <w:rFonts w:hint="eastAsia" w:ascii="Times New Roman" w:hAnsi="Times New Roman" w:cs="Times New Roman"/>
          <w:color w:val="auto"/>
          <w:sz w:val="24"/>
          <w:szCs w:val="24"/>
          <w:u w:val="single"/>
          <w:lang w:val="en-US" w:eastAsia="zh-CN"/>
        </w:rPr>
        <w:t>水中</w:t>
      </w:r>
      <w:r>
        <w:rPr>
          <w:rFonts w:hint="eastAsia" w:ascii="Times New Roman" w:hAnsi="Times New Roman" w:cs="Times New Roman"/>
          <w:color w:val="auto"/>
          <w:sz w:val="24"/>
          <w:szCs w:val="24"/>
          <w:u w:val="single"/>
          <w:lang w:val="zh-CN"/>
        </w:rPr>
        <w:t>）</w:t>
      </w:r>
      <w:r>
        <w:rPr>
          <w:rFonts w:hint="default" w:ascii="Times New Roman" w:hAnsi="Times New Roman" w:cs="Times New Roman"/>
          <w:color w:val="auto"/>
          <w:sz w:val="24"/>
          <w:szCs w:val="24"/>
          <w:u w:val="single"/>
          <w:lang w:val="zh-CN"/>
        </w:rPr>
        <w:t>、固定联桥及倒、卸平台</w:t>
      </w:r>
      <w:r>
        <w:rPr>
          <w:rFonts w:hint="eastAsia" w:ascii="Times New Roman" w:hAnsi="Times New Roman" w:cs="Times New Roman"/>
          <w:color w:val="auto"/>
          <w:sz w:val="24"/>
          <w:szCs w:val="24"/>
          <w:u w:val="single"/>
          <w:lang w:val="en-US" w:eastAsia="zh-CN"/>
        </w:rPr>
        <w:t>均采用预制管桩PHC，利用打桩机进行水上沉桩，该施工环节不会产生基坑废水。</w:t>
      </w:r>
    </w:p>
    <w:p>
      <w:pPr>
        <w:adjustRightInd w:val="0"/>
        <w:snapToGrid w:val="0"/>
        <w:spacing w:line="360" w:lineRule="auto"/>
        <w:ind w:firstLine="482"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b/>
          <w:bCs/>
          <w:color w:val="auto"/>
          <w:sz w:val="24"/>
        </w:rPr>
        <w:t>2、施工人员生活污水</w:t>
      </w:r>
    </w:p>
    <w:p>
      <w:pPr>
        <w:adjustRightInd w:val="0"/>
        <w:snapToGrid w:val="0"/>
        <w:spacing w:line="360" w:lineRule="auto"/>
        <w:ind w:firstLine="480" w:firstLineChars="200"/>
        <w:jc w:val="left"/>
        <w:rPr>
          <w:rFonts w:hint="eastAsia" w:ascii="Times New Roman" w:hAnsi="Times New Roman" w:cs="Times New Roman" w:eastAsiaTheme="minorEastAsia"/>
          <w:color w:val="auto"/>
          <w:sz w:val="24"/>
          <w:lang w:eastAsia="zh-CN"/>
        </w:rPr>
      </w:pPr>
      <w:r>
        <w:rPr>
          <w:rFonts w:hint="default" w:ascii="Times New Roman" w:hAnsi="Times New Roman" w:cs="Times New Roman" w:eastAsiaTheme="minorEastAsia"/>
          <w:color w:val="auto"/>
          <w:sz w:val="24"/>
        </w:rPr>
        <w:t>码头施工主要集中在水工结构施工及工艺管线安装等，施工人员数量与施工内容密切相关。按施工高峰期</w:t>
      </w:r>
      <w:r>
        <w:rPr>
          <w:rFonts w:hint="default" w:ascii="Times New Roman" w:hAnsi="Times New Roman" w:cs="Times New Roman" w:eastAsiaTheme="minorEastAsia"/>
          <w:color w:val="auto"/>
          <w:sz w:val="24"/>
          <w:highlight w:val="none"/>
        </w:rPr>
        <w:t>50人计算，施工人员用水量按1</w:t>
      </w:r>
      <w:r>
        <w:rPr>
          <w:rFonts w:hint="default" w:ascii="Times New Roman" w:hAnsi="Times New Roman" w:cs="Times New Roman" w:eastAsiaTheme="minorEastAsia"/>
          <w:color w:val="auto"/>
          <w:sz w:val="24"/>
          <w:highlight w:val="none"/>
          <w:lang w:val="en-US" w:eastAsia="zh-CN"/>
        </w:rPr>
        <w:t>0</w:t>
      </w:r>
      <w:r>
        <w:rPr>
          <w:rFonts w:hint="default" w:ascii="Times New Roman" w:hAnsi="Times New Roman" w:cs="Times New Roman" w:eastAsiaTheme="minorEastAsia"/>
          <w:color w:val="auto"/>
          <w:sz w:val="24"/>
          <w:highlight w:val="none"/>
        </w:rPr>
        <w:t>0L/d，污水排放系数按0.8计，则施工期生活污水发生量最大为</w:t>
      </w:r>
      <w:r>
        <w:rPr>
          <w:rFonts w:hint="default" w:ascii="Times New Roman" w:hAnsi="Times New Roman" w:cs="Times New Roman" w:eastAsiaTheme="minorEastAsia"/>
          <w:color w:val="auto"/>
          <w:sz w:val="24"/>
          <w:highlight w:val="none"/>
          <w:lang w:val="en-US" w:eastAsia="zh-CN"/>
        </w:rPr>
        <w:t>4</w:t>
      </w:r>
      <w:r>
        <w:rPr>
          <w:rFonts w:hint="default" w:ascii="Times New Roman" w:hAnsi="Times New Roman" w:cs="Times New Roman" w:eastAsiaTheme="minorEastAsia"/>
          <w:color w:val="auto"/>
          <w:sz w:val="24"/>
          <w:highlight w:val="none"/>
        </w:rPr>
        <w:t>m</w:t>
      </w:r>
      <w:r>
        <w:rPr>
          <w:rFonts w:hint="default" w:ascii="Times New Roman" w:hAnsi="Times New Roman" w:cs="Times New Roman" w:eastAsiaTheme="minorEastAsia"/>
          <w:color w:val="auto"/>
          <w:sz w:val="24"/>
          <w:highlight w:val="none"/>
          <w:vertAlign w:val="superscript"/>
        </w:rPr>
        <w:t>3</w:t>
      </w:r>
      <w:r>
        <w:rPr>
          <w:rFonts w:hint="default" w:ascii="Times New Roman" w:hAnsi="Times New Roman" w:cs="Times New Roman" w:eastAsiaTheme="minorEastAsia"/>
          <w:color w:val="auto"/>
          <w:sz w:val="24"/>
          <w:highlight w:val="none"/>
        </w:rPr>
        <w:t>/d，</w:t>
      </w:r>
      <w:r>
        <w:rPr>
          <w:rFonts w:hint="default" w:ascii="Times New Roman" w:hAnsi="Times New Roman" w:cs="Times New Roman" w:eastAsiaTheme="minorEastAsia"/>
          <w:color w:val="auto"/>
          <w:sz w:val="24"/>
        </w:rPr>
        <w:t>施工人员生活污水处理后回用于绿化。施工期生活废水中主要污染物浓度见表4.3-3</w:t>
      </w:r>
      <w:r>
        <w:rPr>
          <w:rFonts w:hint="eastAsia" w:ascii="Times New Roman" w:hAnsi="Times New Roman" w:cs="Times New Roman" w:eastAsiaTheme="minorEastAsia"/>
          <w:color w:val="auto"/>
          <w:sz w:val="24"/>
          <w:lang w:eastAsia="zh-CN"/>
        </w:rPr>
        <w:t>。</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p>
    <w:p>
      <w:pPr>
        <w:adjustRightInd w:val="0"/>
        <w:snapToGrid w:val="0"/>
        <w:spacing w:line="276" w:lineRule="auto"/>
        <w:jc w:val="center"/>
        <w:rPr>
          <w:rFonts w:hint="default" w:ascii="Times New Roman" w:hAnsi="Times New Roman" w:cs="Times New Roman"/>
          <w:b/>
          <w:bCs/>
          <w:color w:val="auto"/>
          <w:sz w:val="24"/>
          <w:szCs w:val="24"/>
          <w:lang w:val="zh-CN"/>
        </w:rPr>
      </w:pPr>
      <w:r>
        <w:rPr>
          <w:rFonts w:hint="default" w:ascii="Times New Roman" w:hAnsi="Times New Roman" w:cs="Times New Roman"/>
          <w:b/>
          <w:bCs/>
          <w:color w:val="auto"/>
          <w:sz w:val="24"/>
          <w:szCs w:val="24"/>
          <w:lang w:val="zh-CN"/>
        </w:rPr>
        <w:t>表4.</w:t>
      </w:r>
      <w:r>
        <w:rPr>
          <w:rFonts w:hint="default" w:ascii="Times New Roman" w:hAnsi="Times New Roman" w:cs="Times New Roman"/>
          <w:b/>
          <w:bCs/>
          <w:color w:val="auto"/>
          <w:sz w:val="24"/>
          <w:szCs w:val="24"/>
        </w:rPr>
        <w:t>3</w:t>
      </w:r>
      <w:r>
        <w:rPr>
          <w:rFonts w:hint="default" w:ascii="Times New Roman" w:hAnsi="Times New Roman" w:cs="Times New Roman"/>
          <w:b/>
          <w:bCs/>
          <w:color w:val="auto"/>
          <w:sz w:val="24"/>
          <w:szCs w:val="24"/>
          <w:lang w:val="zh-CN"/>
        </w:rPr>
        <w:t>-</w:t>
      </w:r>
      <w:r>
        <w:rPr>
          <w:rFonts w:hint="default" w:ascii="Times New Roman" w:hAnsi="Times New Roman" w:cs="Times New Roman"/>
          <w:b/>
          <w:bCs/>
          <w:color w:val="auto"/>
          <w:sz w:val="24"/>
          <w:szCs w:val="24"/>
        </w:rPr>
        <w:t xml:space="preserve">3 </w:t>
      </w:r>
      <w:r>
        <w:rPr>
          <w:rFonts w:hint="default" w:ascii="Times New Roman" w:hAnsi="Times New Roman" w:cs="Times New Roman"/>
          <w:b/>
          <w:bCs/>
          <w:color w:val="auto"/>
          <w:sz w:val="24"/>
          <w:szCs w:val="24"/>
          <w:lang w:val="zh-CN"/>
        </w:rPr>
        <w:t xml:space="preserve"> 施工期生活废水处理前后主要污染物浓度</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05"/>
        <w:gridCol w:w="908"/>
        <w:gridCol w:w="908"/>
        <w:gridCol w:w="908"/>
        <w:gridCol w:w="908"/>
        <w:gridCol w:w="915"/>
        <w:gridCol w:w="908"/>
        <w:gridCol w:w="908"/>
        <w:gridCol w:w="908"/>
        <w:gridCol w:w="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97"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污染发生环节</w:t>
            </w:r>
          </w:p>
        </w:tc>
        <w:tc>
          <w:tcPr>
            <w:tcW w:w="499"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rPr>
              <w:t>废水发生量（t/d）</w:t>
            </w:r>
          </w:p>
        </w:tc>
        <w:tc>
          <w:tcPr>
            <w:tcW w:w="2000" w:type="pct"/>
            <w:gridSpan w:val="4"/>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rPr>
              <w:t>处理前污染物平均浓度（mg/L）</w:t>
            </w:r>
          </w:p>
        </w:tc>
        <w:tc>
          <w:tcPr>
            <w:tcW w:w="2002" w:type="pct"/>
            <w:gridSpan w:val="4"/>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rPr>
              <w:t>处理后污染物产生浓度（mg/L）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97"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p>
        </w:tc>
        <w:tc>
          <w:tcPr>
            <w:tcW w:w="499"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rPr>
              <w:t>COD</w:t>
            </w: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动植物油</w:t>
            </w: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悬浮物</w:t>
            </w:r>
          </w:p>
        </w:tc>
        <w:tc>
          <w:tcPr>
            <w:tcW w:w="503"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氨氮</w:t>
            </w: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rPr>
              <w:t>COD</w:t>
            </w: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动植物油</w:t>
            </w:r>
          </w:p>
        </w:tc>
        <w:tc>
          <w:tcPr>
            <w:tcW w:w="499"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悬浮物</w:t>
            </w:r>
          </w:p>
        </w:tc>
        <w:tc>
          <w:tcPr>
            <w:tcW w:w="505" w:type="pct"/>
            <w:tcBorders>
              <w:tl2br w:val="nil"/>
              <w:tr2bl w:val="nil"/>
            </w:tcBorders>
            <w:vAlign w:val="center"/>
          </w:tcPr>
          <w:p>
            <w:pPr>
              <w:adjustRightInd w:val="0"/>
              <w:snapToGrid w:val="0"/>
              <w:jc w:val="center"/>
              <w:rPr>
                <w:rFonts w:hint="default" w:ascii="Times New Roman" w:hAnsi="Times New Roman" w:cs="Times New Roman"/>
                <w:b/>
                <w:bCs/>
                <w:color w:val="auto"/>
                <w:lang w:val="zh-CN"/>
              </w:rPr>
            </w:pPr>
            <w:r>
              <w:rPr>
                <w:rFonts w:hint="default" w:ascii="Times New Roman" w:hAnsi="Times New Roman" w:cs="Times New Roman"/>
                <w:b/>
                <w:bCs/>
                <w:color w:val="auto"/>
                <w:lang w:val="zh-CN"/>
              </w:rPr>
              <w:t>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7" w:type="pct"/>
            <w:tcBorders>
              <w:tl2br w:val="nil"/>
              <w:tr2bl w:val="nil"/>
            </w:tcBorders>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lang w:val="zh-CN"/>
              </w:rPr>
              <w:t>施工人员生活污水</w:t>
            </w:r>
          </w:p>
        </w:tc>
        <w:tc>
          <w:tcPr>
            <w:tcW w:w="499" w:type="pct"/>
            <w:tcBorders>
              <w:tl2br w:val="nil"/>
              <w:tr2bl w:val="nil"/>
            </w:tcBorders>
            <w:vAlign w:val="center"/>
          </w:tcPr>
          <w:p>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4</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400</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w:t>
            </w:r>
          </w:p>
        </w:tc>
        <w:tc>
          <w:tcPr>
            <w:tcW w:w="50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49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50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bl>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p>
    <w:p>
      <w:pPr>
        <w:adjustRightInd w:val="0"/>
        <w:snapToGrid w:val="0"/>
        <w:spacing w:line="360" w:lineRule="auto"/>
        <w:ind w:firstLine="482" w:firstLineChars="200"/>
        <w:jc w:val="left"/>
        <w:rPr>
          <w:rFonts w:hint="default" w:ascii="Times New Roman" w:hAnsi="Times New Roman" w:cs="Times New Roman" w:eastAsiaTheme="minorEastAsia"/>
          <w:b/>
          <w:bCs/>
          <w:color w:val="auto"/>
          <w:sz w:val="24"/>
          <w:szCs w:val="24"/>
          <w:lang w:val="zh-CN"/>
        </w:rPr>
      </w:pPr>
      <w:r>
        <w:rPr>
          <w:rFonts w:hint="default" w:ascii="Times New Roman" w:hAnsi="Times New Roman" w:cs="Times New Roman" w:eastAsiaTheme="minorEastAsia"/>
          <w:b/>
          <w:bCs/>
          <w:color w:val="auto"/>
          <w:sz w:val="24"/>
        </w:rPr>
        <w:t>3、</w:t>
      </w:r>
      <w:r>
        <w:rPr>
          <w:rFonts w:hint="default" w:ascii="Times New Roman" w:hAnsi="Times New Roman" w:cs="Times New Roman" w:eastAsiaTheme="minorEastAsia"/>
          <w:b/>
          <w:bCs/>
          <w:color w:val="auto"/>
          <w:sz w:val="24"/>
          <w:lang w:val="zh-CN"/>
        </w:rPr>
        <w:t>施工</w:t>
      </w:r>
      <w:r>
        <w:rPr>
          <w:rFonts w:hint="default" w:ascii="Times New Roman" w:hAnsi="Times New Roman" w:cs="Times New Roman" w:eastAsiaTheme="minorEastAsia"/>
          <w:b/>
          <w:bCs/>
          <w:color w:val="auto"/>
          <w:sz w:val="24"/>
          <w:szCs w:val="24"/>
          <w:lang w:val="zh-CN"/>
        </w:rPr>
        <w:t>船舶废水</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lang w:val="zh-CN"/>
        </w:rPr>
      </w:pPr>
      <w:r>
        <w:rPr>
          <w:rFonts w:hint="default" w:ascii="Times New Roman" w:hAnsi="Times New Roman" w:cs="Times New Roman" w:eastAsiaTheme="minorEastAsia"/>
          <w:color w:val="auto"/>
          <w:sz w:val="24"/>
          <w:szCs w:val="24"/>
          <w:lang w:val="zh-CN"/>
        </w:rPr>
        <w:t>施工船舶污水包括船舶舱底油污水和船舶生活污水。施工船舶为打桩船等，水上施工主要集中在灌注桩施工、沉桩过程，船舶水上施工按30天计。根据《水运工程环境保护设计规范》（JTS149-2018），船舶舱底油污水产生量为0.7t/d，石油类产生浓度为2000</w:t>
      </w:r>
      <w:r>
        <w:rPr>
          <w:rFonts w:hint="eastAsia"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zh-CN"/>
        </w:rPr>
        <w:t>5000mg/L。船舶舱底油污水需经自带的油水分离器处理，石油类的浓度不大于15mg/</w:t>
      </w:r>
      <w:r>
        <w:rPr>
          <w:rFonts w:hint="eastAsia" w:ascii="Times New Roman" w:hAnsi="Times New Roman" w:cs="Times New Roman" w:eastAsiaTheme="minorEastAsia"/>
          <w:color w:val="auto"/>
          <w:sz w:val="24"/>
          <w:szCs w:val="24"/>
          <w:lang w:val="en-US" w:eastAsia="zh-CN"/>
        </w:rPr>
        <w:t>L</w:t>
      </w:r>
      <w:r>
        <w:rPr>
          <w:rFonts w:hint="default" w:ascii="Times New Roman" w:hAnsi="Times New Roman" w:cs="Times New Roman" w:eastAsiaTheme="minorEastAsia"/>
          <w:color w:val="auto"/>
          <w:sz w:val="24"/>
          <w:szCs w:val="24"/>
          <w:lang w:val="zh-CN"/>
        </w:rPr>
        <w:t>，施工期船舶舱底油污水发生量为21t，石油类0.32kg。</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lang w:val="zh-CN"/>
        </w:rPr>
      </w:pPr>
      <w:r>
        <w:rPr>
          <w:rFonts w:hint="default" w:ascii="Times New Roman" w:hAnsi="Times New Roman" w:cs="Times New Roman" w:eastAsiaTheme="minorEastAsia"/>
          <w:color w:val="auto"/>
          <w:sz w:val="24"/>
          <w:szCs w:val="24"/>
          <w:lang w:val="zh-CN"/>
        </w:rPr>
        <w:t>施工人员中约20人为水上施工，则船舶生活污水发生量约为</w:t>
      </w:r>
      <w:r>
        <w:rPr>
          <w:rFonts w:hint="default" w:ascii="Times New Roman" w:hAnsi="Times New Roman" w:cs="Times New Roman" w:eastAsiaTheme="minorEastAsia"/>
          <w:color w:val="auto"/>
          <w:sz w:val="24"/>
          <w:szCs w:val="24"/>
          <w:lang w:val="en-US" w:eastAsia="zh-CN"/>
        </w:rPr>
        <w:t>1.6</w:t>
      </w:r>
      <w:r>
        <w:rPr>
          <w:rFonts w:hint="default" w:ascii="Times New Roman" w:hAnsi="Times New Roman" w:cs="Times New Roman" w:eastAsiaTheme="minorEastAsia"/>
          <w:color w:val="auto"/>
          <w:sz w:val="24"/>
          <w:szCs w:val="24"/>
          <w:lang w:val="zh-CN"/>
        </w:rPr>
        <w:t>t/d。</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sz w:val="24"/>
          <w:szCs w:val="24"/>
          <w:lang w:val="zh-CN"/>
        </w:rPr>
      </w:pP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val="zh-CN"/>
        </w:rPr>
        <w:t>港池疏浚、桩基施工废水</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lang w:val="zh-CN"/>
        </w:rPr>
      </w:pPr>
      <w:r>
        <w:rPr>
          <w:rFonts w:hint="default" w:ascii="Times New Roman" w:hAnsi="Times New Roman" w:cs="Times New Roman" w:eastAsiaTheme="minorEastAsia"/>
          <w:color w:val="auto"/>
          <w:sz w:val="24"/>
          <w:szCs w:val="24"/>
          <w:lang w:val="zh-CN"/>
        </w:rPr>
        <w:t>疏浚作业悬浮物发生量计算：</w:t>
      </w:r>
    </w:p>
    <w:p>
      <w:pPr>
        <w:adjustRightInd w:val="0"/>
        <w:snapToGrid w:val="0"/>
        <w:spacing w:line="360" w:lineRule="auto"/>
        <w:jc w:val="center"/>
        <w:rPr>
          <w:rFonts w:hint="default" w:ascii="Times New Roman" w:hAnsi="Times New Roman" w:cs="Times New Roman"/>
          <w:color w:val="auto"/>
          <w:lang w:val="zh-CN"/>
        </w:rPr>
      </w:pPr>
      <w:r>
        <w:rPr>
          <w:rFonts w:hint="default" w:ascii="Times New Roman" w:hAnsi="Times New Roman" w:cs="Times New Roman"/>
          <w:color w:val="auto"/>
          <w:sz w:val="24"/>
        </w:rPr>
        <w:object>
          <v:shape id="_x0000_i1030" o:spt="75" type="#_x0000_t75" style="height:31.35pt;width:84.85pt;" o:ole="t" filled="f" o:preferrelative="t" stroked="f" coordsize="21600,21600">
            <v:path/>
            <v:fill on="f" focussize="0,0"/>
            <v:stroke on="f" joinstyle="miter"/>
            <v:imagedata r:id="rId37" o:title=""/>
            <o:lock v:ext="edit" aspectratio="t"/>
            <w10:wrap type="none"/>
            <w10:anchorlock/>
          </v:shape>
          <o:OLEObject Type="Embed" ProgID="Equation.3" ShapeID="_x0000_i1030" DrawAspect="Content" ObjectID="_1468075730" r:id="rId36">
            <o:LockedField>false</o:LockedField>
          </o:OLEObject>
        </w:objec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式中：Q——疏浚时悬浮物发生量，t/h；</w:t>
      </w:r>
    </w:p>
    <w:p>
      <w:pPr>
        <w:adjustRightInd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W</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——悬浮物发生系数，t/m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adjustRightInd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R——发生系数W</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时的悬浮物粒径累计百分比；</w:t>
      </w:r>
    </w:p>
    <w:p>
      <w:pPr>
        <w:adjustRightInd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——现场流速悬浮物临界粒子累计百分比；</w:t>
      </w:r>
    </w:p>
    <w:p>
      <w:pPr>
        <w:adjustRightInd w:val="0"/>
        <w:snapToGri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T——挖泥船疏浚效率m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悬浮物的发生系数不是一个定数，它与取沙的粒径级配有关；同时污染源强还取决于挖泥船的作业方式和效率。根据《环境影响评价工程师职业资格登记培训交通运输培训教材》，在没有粒径分析数据的情况下，可参照表4.3-4选取。</w:t>
      </w:r>
    </w:p>
    <w:p>
      <w:pPr>
        <w:adjustRightInd w:val="0"/>
        <w:snapToGrid w:val="0"/>
        <w:spacing w:line="276" w:lineRule="auto"/>
        <w:jc w:val="center"/>
        <w:rPr>
          <w:rFonts w:hint="default" w:ascii="Times New Roman" w:hAnsi="Times New Roman" w:cs="Times New Roman"/>
          <w:b/>
          <w:bCs/>
          <w:color w:val="auto"/>
          <w:sz w:val="24"/>
          <w:szCs w:val="24"/>
          <w:lang w:val="zh-CN"/>
        </w:rPr>
      </w:pPr>
      <w:r>
        <w:rPr>
          <w:rFonts w:hint="default" w:ascii="Times New Roman" w:hAnsi="Times New Roman" w:cs="Times New Roman"/>
          <w:b/>
          <w:bCs/>
          <w:color w:val="auto"/>
          <w:sz w:val="24"/>
          <w:szCs w:val="24"/>
          <w:lang w:val="zh-CN"/>
        </w:rPr>
        <w:t>表4.</w:t>
      </w:r>
      <w:r>
        <w:rPr>
          <w:rFonts w:hint="default" w:ascii="Times New Roman" w:hAnsi="Times New Roman" w:cs="Times New Roman"/>
          <w:b/>
          <w:bCs/>
          <w:color w:val="auto"/>
          <w:sz w:val="24"/>
          <w:szCs w:val="24"/>
        </w:rPr>
        <w:t>3</w:t>
      </w:r>
      <w:r>
        <w:rPr>
          <w:rFonts w:hint="default" w:ascii="Times New Roman" w:hAnsi="Times New Roman" w:cs="Times New Roman"/>
          <w:b/>
          <w:bCs/>
          <w:color w:val="auto"/>
          <w:sz w:val="24"/>
          <w:szCs w:val="24"/>
          <w:lang w:val="zh-CN"/>
        </w:rPr>
        <w:t>-</w:t>
      </w:r>
      <w:r>
        <w:rPr>
          <w:rFonts w:hint="default" w:ascii="Times New Roman" w:hAnsi="Times New Roman" w:cs="Times New Roman"/>
          <w:b/>
          <w:bCs/>
          <w:color w:val="auto"/>
          <w:sz w:val="24"/>
          <w:szCs w:val="24"/>
        </w:rPr>
        <w:t>4</w:t>
      </w:r>
      <w:r>
        <w:rPr>
          <w:rFonts w:hint="default" w:ascii="Times New Roman" w:hAnsi="Times New Roman" w:cs="Times New Roman"/>
          <w:b/>
          <w:bCs/>
          <w:color w:val="auto"/>
          <w:sz w:val="24"/>
          <w:szCs w:val="24"/>
          <w:lang w:val="zh-CN"/>
        </w:rPr>
        <w:t xml:space="preserve">  疏浚悬浮物粒径分布参考值表</w:t>
      </w:r>
    </w:p>
    <w:tbl>
      <w:tblPr>
        <w:tblStyle w:val="7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273"/>
        <w:gridCol w:w="2275"/>
        <w:gridCol w:w="2275"/>
        <w:gridCol w:w="22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249" w:type="pct"/>
            <w:tcBorders>
              <w:lef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施工项目</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R</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R</w:t>
            </w:r>
            <w:r>
              <w:rPr>
                <w:rFonts w:hint="default" w:ascii="Times New Roman" w:hAnsi="Times New Roman" w:cs="Times New Roman"/>
                <w:b/>
                <w:bCs/>
                <w:color w:val="auto"/>
                <w:sz w:val="21"/>
                <w:szCs w:val="21"/>
                <w:vertAlign w:val="subscript"/>
              </w:rPr>
              <w:t>0</w:t>
            </w:r>
          </w:p>
        </w:tc>
        <w:tc>
          <w:tcPr>
            <w:tcW w:w="1250" w:type="pct"/>
            <w:tcBorders>
              <w:righ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W</w:t>
            </w:r>
            <w:r>
              <w:rPr>
                <w:rFonts w:hint="default" w:ascii="Times New Roman" w:hAnsi="Times New Roman" w:cs="Times New Roman"/>
                <w:b/>
                <w:bCs/>
                <w:color w:val="auto"/>
                <w:sz w:val="21"/>
                <w:szCs w:val="21"/>
                <w:vertAlign w:val="subscript"/>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249" w:type="pct"/>
            <w:tcBorders>
              <w:lef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填筑</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23.0%</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36.55%</w:t>
            </w:r>
          </w:p>
        </w:tc>
        <w:tc>
          <w:tcPr>
            <w:tcW w:w="1250" w:type="pct"/>
            <w:tcBorders>
              <w:righ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1.49×10</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t/m</w:t>
            </w:r>
            <w:r>
              <w:rPr>
                <w:rFonts w:hint="default"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249" w:type="pct"/>
            <w:tcBorders>
              <w:lef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疏浚</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89.2%</w:t>
            </w:r>
          </w:p>
        </w:tc>
        <w:tc>
          <w:tcPr>
            <w:tcW w:w="1250" w:type="pct"/>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80.2%</w:t>
            </w:r>
          </w:p>
        </w:tc>
        <w:tc>
          <w:tcPr>
            <w:tcW w:w="1250" w:type="pct"/>
            <w:tcBorders>
              <w:right w:val="single" w:color="auto" w:sz="12" w:space="0"/>
            </w:tcBorders>
            <w:vAlign w:val="center"/>
          </w:tcPr>
          <w:p>
            <w:pPr>
              <w:pStyle w:val="845"/>
              <w:adjustRightInd w:val="0"/>
              <w:snapToGrid w:val="0"/>
              <w:spacing w:before="0"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38.0×10</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t/m</w:t>
            </w:r>
            <w:r>
              <w:rPr>
                <w:rFonts w:hint="default" w:ascii="Times New Roman" w:hAnsi="Times New Roman" w:cs="Times New Roman"/>
                <w:color w:val="auto"/>
                <w:sz w:val="21"/>
                <w:szCs w:val="21"/>
                <w:vertAlign w:val="superscript"/>
              </w:rPr>
              <w:t>3</w:t>
            </w:r>
          </w:p>
        </w:tc>
      </w:tr>
    </w:tbl>
    <w:p>
      <w:pPr>
        <w:adjustRightInd w:val="0"/>
        <w:snapToGrid w:val="0"/>
        <w:spacing w:line="360" w:lineRule="auto"/>
        <w:ind w:firstLine="480" w:firstLineChars="200"/>
        <w:rPr>
          <w:rFonts w:hint="default" w:ascii="Times New Roman" w:hAnsi="Times New Roman" w:cs="Times New Roman"/>
          <w:color w:val="auto"/>
          <w:sz w:val="24"/>
          <w:lang w:val="zh-CN"/>
        </w:rPr>
      </w:pPr>
    </w:p>
    <w:p>
      <w:pPr>
        <w:adjustRightInd w:val="0"/>
        <w:snapToGrid w:val="0"/>
        <w:spacing w:line="360" w:lineRule="auto"/>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根据本项目研究可行性报告，项目工程建设不涉及港池疏浚工程。因此，</w:t>
      </w:r>
      <w:r>
        <w:rPr>
          <w:rFonts w:hint="default" w:ascii="Times New Roman" w:hAnsi="Times New Roman" w:cs="Times New Roman"/>
          <w:color w:val="auto"/>
          <w:sz w:val="24"/>
        </w:rPr>
        <w:t>建设项目港池疏浚时不产生悬浮物。</w:t>
      </w:r>
    </w:p>
    <w:p>
      <w:pPr>
        <w:adjustRightInd w:val="0"/>
        <w:snapToGrid w:val="0"/>
        <w:spacing w:line="360" w:lineRule="auto"/>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码头打桩、码头面施工将造成码头前沿局部水域悬浮物浓度增加。码头桩基采用钻孔灌注桩基础施工时，施工过程中的泥浆一般循环使用，如果直接排放将增加长江悬浮物浓度，排放量为30L/s，泥沙浓度为20000mg/L；悬浮的底泥物质在水流扩散等因素的作用下，在一定范围内将导致水质泥沙含量增大，水体浑浊度相应增加。</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噪声</w:t>
      </w:r>
    </w:p>
    <w:p>
      <w:pPr>
        <w:adjustRightInd w:val="0"/>
        <w:snapToGrid w:val="0"/>
        <w:spacing w:line="360" w:lineRule="auto"/>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施工机械和运输车辆的噪声是施工期间的主要噪声源。典型施工机械和噪声见表4.</w:t>
      </w:r>
      <w:r>
        <w:rPr>
          <w:rFonts w:hint="default" w:ascii="Times New Roman" w:hAnsi="Times New Roman" w:cs="Times New Roman"/>
          <w:color w:val="auto"/>
          <w:sz w:val="24"/>
        </w:rPr>
        <w:t>3</w:t>
      </w:r>
      <w:r>
        <w:rPr>
          <w:rFonts w:hint="default" w:ascii="Times New Roman" w:hAnsi="Times New Roman" w:cs="Times New Roman"/>
          <w:color w:val="auto"/>
          <w:sz w:val="24"/>
          <w:lang w:val="zh-CN"/>
        </w:rPr>
        <w:t>-</w:t>
      </w:r>
      <w:r>
        <w:rPr>
          <w:rFonts w:hint="default" w:ascii="Times New Roman" w:hAnsi="Times New Roman" w:cs="Times New Roman"/>
          <w:color w:val="auto"/>
          <w:sz w:val="24"/>
        </w:rPr>
        <w:t>5</w:t>
      </w:r>
      <w:r>
        <w:rPr>
          <w:rFonts w:hint="default" w:ascii="Times New Roman" w:hAnsi="Times New Roman" w:cs="Times New Roman"/>
          <w:color w:val="auto"/>
          <w:sz w:val="24"/>
          <w:lang w:val="zh-CN"/>
        </w:rPr>
        <w:t>。</w:t>
      </w:r>
    </w:p>
    <w:p>
      <w:pPr>
        <w:adjustRightInd w:val="0"/>
        <w:snapToGrid w:val="0"/>
        <w:spacing w:line="276" w:lineRule="auto"/>
        <w:jc w:val="right"/>
        <w:rPr>
          <w:rFonts w:hint="default" w:ascii="Times New Roman" w:hAnsi="Times New Roman" w:cs="Times New Roman"/>
          <w:b/>
          <w:bCs/>
          <w:color w:val="auto"/>
          <w:sz w:val="24"/>
          <w:szCs w:val="24"/>
          <w:lang w:val="zh-CN"/>
        </w:rPr>
      </w:pPr>
      <w:r>
        <w:rPr>
          <w:rFonts w:hint="default" w:ascii="Times New Roman" w:hAnsi="Times New Roman" w:cs="Times New Roman"/>
          <w:b/>
          <w:bCs/>
          <w:color w:val="auto"/>
          <w:sz w:val="24"/>
          <w:szCs w:val="24"/>
          <w:lang w:val="zh-CN"/>
        </w:rPr>
        <w:t>表4.</w:t>
      </w:r>
      <w:r>
        <w:rPr>
          <w:rFonts w:hint="default" w:ascii="Times New Roman" w:hAnsi="Times New Roman" w:cs="Times New Roman"/>
          <w:b/>
          <w:bCs/>
          <w:color w:val="auto"/>
          <w:sz w:val="24"/>
          <w:szCs w:val="24"/>
        </w:rPr>
        <w:t>3</w:t>
      </w:r>
      <w:r>
        <w:rPr>
          <w:rFonts w:hint="default" w:ascii="Times New Roman" w:hAnsi="Times New Roman" w:cs="Times New Roman"/>
          <w:b/>
          <w:bCs/>
          <w:color w:val="auto"/>
          <w:sz w:val="24"/>
          <w:szCs w:val="24"/>
          <w:lang w:val="zh-CN"/>
        </w:rPr>
        <w:t>-</w:t>
      </w:r>
      <w:r>
        <w:rPr>
          <w:rFonts w:hint="default" w:ascii="Times New Roman" w:hAnsi="Times New Roman" w:cs="Times New Roman"/>
          <w:b/>
          <w:bCs/>
          <w:color w:val="auto"/>
          <w:sz w:val="24"/>
          <w:szCs w:val="24"/>
        </w:rPr>
        <w:t xml:space="preserve">5 </w:t>
      </w:r>
      <w:r>
        <w:rPr>
          <w:rFonts w:hint="default" w:ascii="Times New Roman" w:hAnsi="Times New Roman" w:cs="Times New Roman"/>
          <w:b/>
          <w:bCs/>
          <w:color w:val="auto"/>
          <w:sz w:val="24"/>
          <w:szCs w:val="24"/>
          <w:lang w:val="zh-CN"/>
        </w:rPr>
        <w:t xml:space="preserve"> 主要施工机械噪声值 </w:t>
      </w:r>
      <w:r>
        <w:rPr>
          <w:rFonts w:hint="default" w:ascii="Times New Roman" w:hAnsi="Times New Roman" w:cs="Times New Roman"/>
          <w:b/>
          <w:bCs/>
          <w:color w:val="auto"/>
          <w:sz w:val="24"/>
          <w:szCs w:val="24"/>
        </w:rPr>
        <w:t xml:space="preserve">          </w:t>
      </w:r>
      <w:r>
        <w:rPr>
          <w:rFonts w:hint="default" w:ascii="Times New Roman" w:hAnsi="Times New Roman" w:cs="Times New Roman"/>
          <w:color w:val="auto"/>
          <w:sz w:val="24"/>
          <w:szCs w:val="24"/>
          <w:lang w:val="zh-CN"/>
        </w:rPr>
        <w:t>单位：dB(A)</w:t>
      </w:r>
    </w:p>
    <w:tbl>
      <w:tblPr>
        <w:tblStyle w:val="71"/>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174"/>
        <w:gridCol w:w="2830"/>
        <w:gridCol w:w="2830"/>
        <w:gridCol w:w="226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position w:val="-1"/>
              </w:rPr>
              <w:t>序号</w:t>
            </w:r>
          </w:p>
        </w:tc>
        <w:tc>
          <w:tcPr>
            <w:tcW w:w="1555"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position w:val="-1"/>
              </w:rPr>
              <w:t>机械</w:t>
            </w:r>
            <w:r>
              <w:rPr>
                <w:rFonts w:hint="default" w:ascii="Times New Roman" w:hAnsi="Times New Roman" w:cs="Times New Roman"/>
                <w:b/>
                <w:bCs/>
                <w:color w:val="auto"/>
                <w:spacing w:val="-2"/>
                <w:position w:val="-1"/>
              </w:rPr>
              <w:t>类</w:t>
            </w:r>
            <w:r>
              <w:rPr>
                <w:rFonts w:hint="default" w:ascii="Times New Roman" w:hAnsi="Times New Roman" w:cs="Times New Roman"/>
                <w:b/>
                <w:bCs/>
                <w:color w:val="auto"/>
                <w:position w:val="-1"/>
              </w:rPr>
              <w:t>型</w:t>
            </w:r>
          </w:p>
        </w:tc>
        <w:tc>
          <w:tcPr>
            <w:tcW w:w="1555"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position w:val="-1"/>
              </w:rPr>
              <w:t>声源</w:t>
            </w:r>
            <w:r>
              <w:rPr>
                <w:rFonts w:hint="default" w:ascii="Times New Roman" w:hAnsi="Times New Roman" w:cs="Times New Roman"/>
                <w:b/>
                <w:bCs/>
                <w:color w:val="auto"/>
                <w:spacing w:val="-2"/>
                <w:position w:val="-1"/>
              </w:rPr>
              <w:t>特</w:t>
            </w:r>
            <w:r>
              <w:rPr>
                <w:rFonts w:hint="default" w:ascii="Times New Roman" w:hAnsi="Times New Roman" w:cs="Times New Roman"/>
                <w:b/>
                <w:bCs/>
                <w:color w:val="auto"/>
                <w:position w:val="-1"/>
              </w:rPr>
              <w:t>点</w:t>
            </w:r>
          </w:p>
        </w:tc>
        <w:tc>
          <w:tcPr>
            <w:tcW w:w="1244" w:type="pct"/>
            <w:tcBorders>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b/>
                <w:bCs/>
                <w:color w:val="auto"/>
                <w:spacing w:val="-2"/>
              </w:rPr>
              <w:t>L</w:t>
            </w:r>
            <w:r>
              <w:rPr>
                <w:rFonts w:hint="default" w:ascii="Times New Roman" w:hAnsi="Times New Roman" w:eastAsia="Times New Roman" w:cs="Times New Roman"/>
                <w:b/>
                <w:bCs/>
                <w:color w:val="auto"/>
                <w:spacing w:val="-4"/>
              </w:rPr>
              <w:t>m</w:t>
            </w:r>
            <w:r>
              <w:rPr>
                <w:rFonts w:hint="default" w:ascii="Times New Roman" w:hAnsi="Times New Roman" w:eastAsia="Times New Roman" w:cs="Times New Roman"/>
                <w:b/>
                <w:bCs/>
                <w:color w:val="auto"/>
              </w:rPr>
              <w:t>ax</w:t>
            </w:r>
            <w:r>
              <w:rPr>
                <w:rFonts w:hint="default" w:ascii="Times New Roman" w:hAnsi="Times New Roman" w:cs="Times New Roman"/>
                <w:b/>
                <w:bCs/>
                <w:color w:val="auto"/>
              </w:rPr>
              <w:t>(</w:t>
            </w:r>
            <w:r>
              <w:rPr>
                <w:rFonts w:hint="default" w:ascii="Times New Roman" w:hAnsi="Times New Roman" w:eastAsia="Times New Roman" w:cs="Times New Roman"/>
                <w:b/>
                <w:bCs/>
                <w:color w:val="auto"/>
              </w:rPr>
              <w:t>d</w:t>
            </w:r>
            <w:r>
              <w:rPr>
                <w:rFonts w:hint="default" w:ascii="Times New Roman" w:hAnsi="Times New Roman" w:eastAsia="Times New Roman" w:cs="Times New Roman"/>
                <w:b/>
                <w:bCs/>
                <w:color w:val="auto"/>
                <w:spacing w:val="1"/>
              </w:rPr>
              <w:t>B</w:t>
            </w:r>
            <w:r>
              <w:rPr>
                <w:rFonts w:hint="default" w:ascii="Times New Roman" w:hAnsi="Times New Roman" w:cs="Times New Roman"/>
                <w:b/>
                <w:bCs/>
                <w:color w:val="auto"/>
                <w:spacing w:val="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1</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轮胎</w:t>
            </w:r>
            <w:r>
              <w:rPr>
                <w:rFonts w:hint="default" w:ascii="Times New Roman" w:hAnsi="Times New Roman" w:cs="Times New Roman"/>
                <w:color w:val="auto"/>
                <w:spacing w:val="-2"/>
                <w:position w:val="-1"/>
              </w:rPr>
              <w:t>式</w:t>
            </w:r>
            <w:r>
              <w:rPr>
                <w:rFonts w:hint="default" w:ascii="Times New Roman" w:hAnsi="Times New Roman" w:cs="Times New Roman"/>
                <w:color w:val="auto"/>
                <w:position w:val="-1"/>
              </w:rPr>
              <w:t>液</w:t>
            </w:r>
            <w:r>
              <w:rPr>
                <w:rFonts w:hint="default" w:ascii="Times New Roman" w:hAnsi="Times New Roman" w:cs="Times New Roman"/>
                <w:color w:val="auto"/>
                <w:spacing w:val="-2"/>
                <w:position w:val="-1"/>
              </w:rPr>
              <w:t>压</w:t>
            </w:r>
            <w:r>
              <w:rPr>
                <w:rFonts w:hint="default" w:ascii="Times New Roman" w:hAnsi="Times New Roman" w:cs="Times New Roman"/>
                <w:color w:val="auto"/>
                <w:position w:val="-1"/>
              </w:rPr>
              <w:t>挖</w:t>
            </w:r>
            <w:r>
              <w:rPr>
                <w:rFonts w:hint="default" w:ascii="Times New Roman" w:hAnsi="Times New Roman" w:cs="Times New Roman"/>
                <w:color w:val="auto"/>
                <w:spacing w:val="-2"/>
                <w:position w:val="-1"/>
              </w:rPr>
              <w:t>掘</w:t>
            </w:r>
            <w:r>
              <w:rPr>
                <w:rFonts w:hint="default" w:ascii="Times New Roman" w:hAnsi="Times New Roman" w:cs="Times New Roman"/>
                <w:color w:val="auto"/>
                <w:position w:val="-1"/>
              </w:rPr>
              <w:t>机</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不稳</w:t>
            </w:r>
            <w:r>
              <w:rPr>
                <w:rFonts w:hint="default" w:ascii="Times New Roman" w:hAnsi="Times New Roman" w:cs="Times New Roman"/>
                <w:color w:val="auto"/>
                <w:spacing w:val="-2"/>
                <w:position w:val="-1"/>
              </w:rPr>
              <w:t>态</w:t>
            </w:r>
            <w:r>
              <w:rPr>
                <w:rFonts w:hint="default" w:ascii="Times New Roman" w:hAnsi="Times New Roman" w:cs="Times New Roman"/>
                <w:color w:val="auto"/>
                <w:position w:val="-1"/>
              </w:rPr>
              <w:t>源</w:t>
            </w:r>
          </w:p>
        </w:tc>
        <w:tc>
          <w:tcPr>
            <w:tcW w:w="1244" w:type="pct"/>
            <w:tcBorders>
              <w:righ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2</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推土机</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流动</w:t>
            </w:r>
            <w:r>
              <w:rPr>
                <w:rFonts w:hint="default" w:ascii="Times New Roman" w:hAnsi="Times New Roman" w:cs="Times New Roman"/>
                <w:color w:val="auto"/>
                <w:spacing w:val="-2"/>
                <w:position w:val="-1"/>
              </w:rPr>
              <w:t>不</w:t>
            </w:r>
            <w:r>
              <w:rPr>
                <w:rFonts w:hint="default" w:ascii="Times New Roman" w:hAnsi="Times New Roman" w:cs="Times New Roman"/>
                <w:color w:val="auto"/>
                <w:position w:val="-1"/>
              </w:rPr>
              <w:t>稳</w:t>
            </w:r>
            <w:r>
              <w:rPr>
                <w:rFonts w:hint="default" w:ascii="Times New Roman" w:hAnsi="Times New Roman" w:cs="Times New Roman"/>
                <w:color w:val="auto"/>
                <w:spacing w:val="-2"/>
                <w:position w:val="-1"/>
              </w:rPr>
              <w:t>态</w:t>
            </w:r>
            <w:r>
              <w:rPr>
                <w:rFonts w:hint="default" w:ascii="Times New Roman" w:hAnsi="Times New Roman" w:cs="Times New Roman"/>
                <w:color w:val="auto"/>
                <w:position w:val="-1"/>
              </w:rPr>
              <w:t>源</w:t>
            </w:r>
          </w:p>
        </w:tc>
        <w:tc>
          <w:tcPr>
            <w:tcW w:w="1244" w:type="pct"/>
            <w:tcBorders>
              <w:righ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3</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轮式</w:t>
            </w:r>
            <w:r>
              <w:rPr>
                <w:rFonts w:hint="default" w:ascii="Times New Roman" w:hAnsi="Times New Roman" w:cs="Times New Roman"/>
                <w:color w:val="auto"/>
                <w:spacing w:val="-2"/>
                <w:position w:val="-1"/>
              </w:rPr>
              <w:t>装</w:t>
            </w:r>
            <w:r>
              <w:rPr>
                <w:rFonts w:hint="default" w:ascii="Times New Roman" w:hAnsi="Times New Roman" w:cs="Times New Roman"/>
                <w:color w:val="auto"/>
                <w:position w:val="-1"/>
              </w:rPr>
              <w:t>载机</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不稳</w:t>
            </w:r>
            <w:r>
              <w:rPr>
                <w:rFonts w:hint="default" w:ascii="Times New Roman" w:hAnsi="Times New Roman" w:cs="Times New Roman"/>
                <w:color w:val="auto"/>
                <w:spacing w:val="-2"/>
                <w:position w:val="-1"/>
              </w:rPr>
              <w:t>态</w:t>
            </w:r>
            <w:r>
              <w:rPr>
                <w:rFonts w:hint="default" w:ascii="Times New Roman" w:hAnsi="Times New Roman" w:cs="Times New Roman"/>
                <w:color w:val="auto"/>
                <w:position w:val="-1"/>
              </w:rPr>
              <w:t>源</w:t>
            </w:r>
          </w:p>
        </w:tc>
        <w:tc>
          <w:tcPr>
            <w:tcW w:w="1244" w:type="pct"/>
            <w:tcBorders>
              <w:righ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4</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建筑</w:t>
            </w:r>
            <w:r>
              <w:rPr>
                <w:rFonts w:hint="default" w:ascii="Times New Roman" w:hAnsi="Times New Roman" w:cs="Times New Roman"/>
                <w:color w:val="auto"/>
                <w:spacing w:val="-2"/>
                <w:position w:val="-1"/>
              </w:rPr>
              <w:t>起</w:t>
            </w:r>
            <w:r>
              <w:rPr>
                <w:rFonts w:hint="default" w:ascii="Times New Roman" w:hAnsi="Times New Roman" w:cs="Times New Roman"/>
                <w:color w:val="auto"/>
                <w:position w:val="-1"/>
              </w:rPr>
              <w:t>重机</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稳态源</w:t>
            </w:r>
          </w:p>
        </w:tc>
        <w:tc>
          <w:tcPr>
            <w:tcW w:w="1244" w:type="pct"/>
            <w:tcBorders>
              <w:righ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color w:val="auto"/>
              </w:rPr>
              <w:t>7</w:t>
            </w:r>
            <w:r>
              <w:rPr>
                <w:rFonts w:hint="default" w:ascii="Times New Roman" w:hAnsi="Times New Roman" w:cs="Times New Roman"/>
                <w:color w:val="auto"/>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5</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卷扬机</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不稳</w:t>
            </w:r>
            <w:r>
              <w:rPr>
                <w:rFonts w:hint="default" w:ascii="Times New Roman" w:hAnsi="Times New Roman" w:cs="Times New Roman"/>
                <w:color w:val="auto"/>
                <w:spacing w:val="-2"/>
                <w:position w:val="-1"/>
              </w:rPr>
              <w:t>态</w:t>
            </w:r>
            <w:r>
              <w:rPr>
                <w:rFonts w:hint="default" w:ascii="Times New Roman" w:hAnsi="Times New Roman" w:cs="Times New Roman"/>
                <w:color w:val="auto"/>
                <w:position w:val="-1"/>
              </w:rPr>
              <w:t>源</w:t>
            </w:r>
          </w:p>
        </w:tc>
        <w:tc>
          <w:tcPr>
            <w:tcW w:w="1244" w:type="pct"/>
            <w:tcBorders>
              <w:righ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color w:val="auto"/>
              </w:rPr>
              <w:t>6</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挖泥船</w:t>
            </w:r>
          </w:p>
        </w:tc>
        <w:tc>
          <w:tcPr>
            <w:tcW w:w="155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position w:val="-1"/>
              </w:rPr>
              <w:t>不稳</w:t>
            </w:r>
            <w:r>
              <w:rPr>
                <w:rFonts w:hint="default" w:ascii="Times New Roman" w:hAnsi="Times New Roman" w:cs="Times New Roman"/>
                <w:color w:val="auto"/>
                <w:spacing w:val="-2"/>
                <w:position w:val="-1"/>
              </w:rPr>
              <w:t>态</w:t>
            </w:r>
            <w:r>
              <w:rPr>
                <w:rFonts w:hint="default" w:ascii="Times New Roman" w:hAnsi="Times New Roman" w:cs="Times New Roman"/>
                <w:color w:val="auto"/>
                <w:position w:val="-1"/>
              </w:rPr>
              <w:t>源</w:t>
            </w:r>
          </w:p>
        </w:tc>
        <w:tc>
          <w:tcPr>
            <w:tcW w:w="1244" w:type="pct"/>
            <w:tcBorders>
              <w:righ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1555" w:type="pct"/>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冲击式钻井机</w:t>
            </w:r>
          </w:p>
        </w:tc>
        <w:tc>
          <w:tcPr>
            <w:tcW w:w="1555" w:type="pct"/>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position w:val="-1"/>
              </w:rPr>
              <w:t>不稳态源</w:t>
            </w:r>
          </w:p>
        </w:tc>
        <w:tc>
          <w:tcPr>
            <w:tcW w:w="1244" w:type="pct"/>
            <w:tcBorders>
              <w:righ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45" w:type="pct"/>
            <w:tcBorders>
              <w:lef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1555" w:type="pct"/>
            <w:vAlign w:val="center"/>
          </w:tcPr>
          <w:p>
            <w:pPr>
              <w:adjustRightInd w:val="0"/>
              <w:snapToGrid w:val="0"/>
              <w:jc w:val="center"/>
              <w:rPr>
                <w:rFonts w:hint="default" w:ascii="Times New Roman" w:hAnsi="Times New Roman" w:cs="Times New Roman"/>
                <w:color w:val="auto"/>
                <w:position w:val="-1"/>
              </w:rPr>
            </w:pPr>
            <w:r>
              <w:rPr>
                <w:rFonts w:hint="default" w:ascii="Times New Roman" w:hAnsi="Times New Roman" w:cs="Times New Roman"/>
                <w:color w:val="auto"/>
                <w:lang w:val="zh-CN"/>
              </w:rPr>
              <w:t>打桩船</w:t>
            </w:r>
          </w:p>
        </w:tc>
        <w:tc>
          <w:tcPr>
            <w:tcW w:w="1555" w:type="pct"/>
            <w:vAlign w:val="center"/>
          </w:tcPr>
          <w:p>
            <w:pPr>
              <w:adjustRightInd w:val="0"/>
              <w:snapToGrid w:val="0"/>
              <w:jc w:val="center"/>
              <w:rPr>
                <w:rFonts w:hint="default" w:ascii="Times New Roman" w:hAnsi="Times New Roman" w:cs="Times New Roman"/>
                <w:color w:val="auto"/>
                <w:lang w:val="zh-CN"/>
              </w:rPr>
            </w:pPr>
            <w:r>
              <w:rPr>
                <w:rFonts w:hint="default" w:ascii="Times New Roman" w:hAnsi="Times New Roman" w:cs="Times New Roman"/>
                <w:color w:val="auto"/>
                <w:position w:val="-1"/>
              </w:rPr>
              <w:t>不稳态源</w:t>
            </w:r>
          </w:p>
        </w:tc>
        <w:tc>
          <w:tcPr>
            <w:tcW w:w="1244" w:type="pct"/>
            <w:tcBorders>
              <w:right w:val="single" w:color="000000"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120</w:t>
            </w:r>
          </w:p>
        </w:tc>
      </w:tr>
    </w:tbl>
    <w:p>
      <w:pPr>
        <w:adjustRightInd w:val="0"/>
        <w:snapToGri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zh-CN"/>
        </w:rPr>
        <w:t>注：引自《</w:t>
      </w:r>
      <w:r>
        <w:rPr>
          <w:rFonts w:hint="default" w:ascii="Times New Roman" w:hAnsi="Times New Roman" w:cs="Times New Roman" w:eastAsiaTheme="minorEastAsia"/>
          <w:color w:val="auto"/>
        </w:rPr>
        <w:t>水运工程环境保护设计规范</w:t>
      </w:r>
      <w:r>
        <w:rPr>
          <w:rFonts w:hint="default" w:ascii="Times New Roman" w:hAnsi="Times New Roman" w:cs="Times New Roman" w:eastAsiaTheme="minorEastAsia"/>
          <w:color w:val="auto"/>
          <w:lang w:val="zh-CN"/>
        </w:rPr>
        <w:t>》（</w:t>
      </w:r>
      <w:r>
        <w:rPr>
          <w:rFonts w:hint="default" w:ascii="Times New Roman" w:hAnsi="Times New Roman" w:cs="Times New Roman" w:eastAsiaTheme="minorEastAsia"/>
          <w:color w:val="auto"/>
        </w:rPr>
        <w:t>JTS149-2018</w:t>
      </w:r>
      <w:r>
        <w:rPr>
          <w:rFonts w:hint="default" w:ascii="Times New Roman" w:hAnsi="Times New Roman" w:cs="Times New Roman" w:eastAsiaTheme="minorEastAsia"/>
          <w:color w:val="auto"/>
          <w:lang w:val="zh-CN"/>
        </w:rPr>
        <w:t>）</w:t>
      </w:r>
      <w:r>
        <w:rPr>
          <w:rFonts w:hint="default" w:ascii="Times New Roman" w:hAnsi="Times New Roman" w:cs="Times New Roman" w:eastAsiaTheme="minorEastAsia"/>
          <w:color w:val="auto"/>
        </w:rPr>
        <w:t>实测资料。</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固体废弃物</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zh-CN"/>
        </w:rPr>
        <w:t>包括建筑垃圾和施工人员生活垃圾。施工高峰期陆域及船舶施工人员将达到50人，按每人每天产生1.0kg生活垃圾计算，施工期生活垃圾发生量为50kg/d；施工期建筑垃圾发生量约为0.5万m</w:t>
      </w:r>
      <w:r>
        <w:rPr>
          <w:rFonts w:hint="default" w:ascii="Times New Roman" w:hAnsi="Times New Roman" w:cs="Times New Roman" w:eastAsiaTheme="minorEastAsia"/>
          <w:color w:val="auto"/>
          <w:sz w:val="24"/>
          <w:szCs w:val="24"/>
          <w:vertAlign w:val="superscript"/>
          <w:lang w:val="zh-CN"/>
        </w:rPr>
        <w:t>3</w:t>
      </w:r>
      <w:r>
        <w:rPr>
          <w:rFonts w:hint="default" w:ascii="Times New Roman" w:hAnsi="Times New Roman" w:cs="Times New Roman" w:eastAsiaTheme="minorEastAsia"/>
          <w:color w:val="auto"/>
          <w:sz w:val="24"/>
          <w:szCs w:val="24"/>
          <w:lang w:val="zh-CN"/>
        </w:rPr>
        <w:t>；施工期的桩基钻渣量约为0.</w:t>
      </w:r>
      <w:r>
        <w:rPr>
          <w:rFonts w:hint="default" w:ascii="Times New Roman" w:hAnsi="Times New Roman" w:cs="Times New Roman" w:eastAsiaTheme="minorEastAsia"/>
          <w:color w:val="auto"/>
          <w:sz w:val="24"/>
          <w:szCs w:val="24"/>
        </w:rPr>
        <w:t>0</w:t>
      </w:r>
      <w:r>
        <w:rPr>
          <w:rFonts w:hint="default" w:ascii="Times New Roman" w:hAnsi="Times New Roman" w:cs="Times New Roman" w:eastAsiaTheme="minorEastAsia"/>
          <w:color w:val="auto"/>
          <w:sz w:val="24"/>
          <w:szCs w:val="24"/>
          <w:lang w:val="zh-CN"/>
        </w:rPr>
        <w:t>5万m</w:t>
      </w:r>
      <w:r>
        <w:rPr>
          <w:rFonts w:hint="default" w:ascii="Times New Roman" w:hAnsi="Times New Roman" w:cs="Times New Roman" w:eastAsiaTheme="minorEastAsia"/>
          <w:color w:val="auto"/>
          <w:sz w:val="24"/>
          <w:szCs w:val="24"/>
          <w:vertAlign w:val="superscript"/>
          <w:lang w:val="zh-CN"/>
        </w:rPr>
        <w:t>3</w:t>
      </w:r>
      <w:r>
        <w:rPr>
          <w:rFonts w:hint="default" w:ascii="Times New Roman" w:hAnsi="Times New Roman" w:cs="Times New Roman" w:eastAsiaTheme="minorEastAsia"/>
          <w:color w:val="auto"/>
          <w:sz w:val="24"/>
          <w:szCs w:val="24"/>
          <w:lang w:val="zh-CN"/>
        </w:rPr>
        <w:t>。本项目施工范围较小，可以做到挖填平衡。</w:t>
      </w:r>
    </w:p>
    <w:p>
      <w:pPr>
        <w:pStyle w:val="4"/>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生态影响</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zh-CN"/>
        </w:rPr>
        <w:t>⑴ 施工船舶油污水进入水体，对水生生物的影响较大，能引起生物的积累作用。</w:t>
      </w:r>
      <w:r>
        <w:rPr>
          <w:rFonts w:hint="default" w:ascii="Times New Roman" w:hAnsi="Times New Roman" w:cs="Times New Roman" w:eastAsiaTheme="minorEastAsia"/>
          <w:color w:val="auto"/>
          <w:sz w:val="24"/>
          <w:szCs w:val="24"/>
        </w:rPr>
        <w:t>高积累性的有害物质通过食物链的生物浓缩和放大，危及较高营养级水平的生物。</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 xml:space="preserve">⑵ </w:t>
      </w:r>
      <w:r>
        <w:rPr>
          <w:rFonts w:hint="eastAsia" w:ascii="Times New Roman" w:hAnsi="Times New Roman" w:cs="Times New Roman" w:eastAsiaTheme="minorEastAsia"/>
          <w:color w:val="auto"/>
          <w:sz w:val="24"/>
          <w:szCs w:val="24"/>
          <w:lang w:eastAsia="zh-CN"/>
        </w:rPr>
        <w:t>本项目</w:t>
      </w:r>
      <w:r>
        <w:rPr>
          <w:rFonts w:hint="default" w:ascii="Times New Roman" w:hAnsi="Times New Roman" w:cs="Times New Roman" w:eastAsiaTheme="minorEastAsia"/>
          <w:color w:val="auto"/>
          <w:sz w:val="24"/>
          <w:szCs w:val="24"/>
        </w:rPr>
        <w:t>滩地分布有狗牙根和芦苇植物群落，码头引桥桩基施工将对占地范围内的植被造成破坏；工程开挖植被后地表裸露，若不及时进行防护，还有可能产生水土流失。码头水下施工过程会对底栖生物带来一定的破坏影响。</w:t>
      </w:r>
    </w:p>
    <w:p>
      <w:pPr>
        <w:pStyle w:val="3"/>
        <w:ind w:left="578" w:hanging="578"/>
        <w:rPr>
          <w:rFonts w:hint="default" w:ascii="Times New Roman" w:hAnsi="Times New Roman" w:cs="Times New Roman" w:eastAsiaTheme="minorEastAsia"/>
          <w:b/>
          <w:color w:val="auto"/>
          <w:lang w:val="zh-CN"/>
        </w:rPr>
      </w:pPr>
      <w:bookmarkStart w:id="60" w:name="_Toc30228"/>
      <w:bookmarkStart w:id="61" w:name="_Toc7209"/>
      <w:r>
        <w:rPr>
          <w:rFonts w:hint="default" w:ascii="Times New Roman" w:hAnsi="Times New Roman" w:cs="Times New Roman" w:eastAsiaTheme="minorEastAsia"/>
          <w:b/>
          <w:color w:val="auto"/>
          <w:lang w:val="zh-CN"/>
        </w:rPr>
        <w:t>营运期污染源分析</w:t>
      </w:r>
      <w:bookmarkEnd w:id="60"/>
      <w:bookmarkEnd w:id="61"/>
    </w:p>
    <w:p>
      <w:pPr>
        <w:pStyle w:val="4"/>
        <w:ind w:left="578" w:hanging="578"/>
        <w:rPr>
          <w:rFonts w:hint="default" w:ascii="Times New Roman" w:hAnsi="Times New Roman" w:cs="Times New Roman" w:eastAsiaTheme="minorEastAsia"/>
          <w:color w:val="auto"/>
          <w:lang w:val="zh-CN"/>
        </w:rPr>
      </w:pPr>
      <w:r>
        <w:rPr>
          <w:rFonts w:hint="default" w:ascii="Times New Roman" w:hAnsi="Times New Roman" w:cs="Times New Roman" w:eastAsiaTheme="minorEastAsia"/>
          <w:color w:val="auto"/>
          <w:lang w:val="zh-CN"/>
        </w:rPr>
        <w:t>废气</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u w:val="single"/>
        </w:rPr>
      </w:pPr>
      <w:r>
        <w:rPr>
          <w:rFonts w:hint="default" w:ascii="Times New Roman" w:hAnsi="Times New Roman" w:cs="Times New Roman" w:eastAsiaTheme="minorEastAsia"/>
          <w:b/>
          <w:bCs/>
          <w:color w:val="auto"/>
          <w:sz w:val="24"/>
          <w:szCs w:val="24"/>
          <w:u w:val="single"/>
        </w:rPr>
        <w:t>1、大气主要污染环节</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营运期大气污染环节主要为物料装船过程通过呼吸口产生的废气（俗称“大呼吸”）、管道扫线过程产生的废气和靠泊船舶辅机燃油产生的废气等。“大呼吸”挥发量、管道扫线过程产生的废气量与物料饱和蒸汽压基本成正比关系，饱和蒸汽压越大，损耗越大。</w:t>
      </w:r>
    </w:p>
    <w:p>
      <w:pPr>
        <w:adjustRightInd w:val="0"/>
        <w:snapToGrid w:val="0"/>
        <w:spacing w:line="360" w:lineRule="auto"/>
        <w:ind w:firstLine="482"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b/>
          <w:bCs/>
          <w:color w:val="auto"/>
          <w:sz w:val="24"/>
          <w:szCs w:val="24"/>
          <w:u w:val="single"/>
        </w:rPr>
        <w:t>2、污染物产生量</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⑴ LNG排放</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由于项目LNG装卸及储存过程中产生的蒸发气通过蒸发气回收系统进行回收，因此项目蒸发气基本不外泄。本项目码头产生的无组织排放主要来自设备及管道、法兰接口处的挥发等处的LNG 挥发。</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lang w:eastAsia="zh-CN"/>
        </w:rPr>
        <w:t>根据</w:t>
      </w:r>
      <w:r>
        <w:rPr>
          <w:rFonts w:hint="default" w:ascii="Times New Roman" w:hAnsi="Times New Roman" w:cs="Times New Roman"/>
          <w:color w:val="auto"/>
          <w:sz w:val="24"/>
          <w:u w:val="single"/>
        </w:rPr>
        <w:t>《船舶液化天然气加注站设计标准》（GB/T 51312-2018）</w:t>
      </w:r>
      <w:r>
        <w:rPr>
          <w:rFonts w:hint="default" w:ascii="Times New Roman" w:hAnsi="Times New Roman" w:cs="Times New Roman"/>
          <w:color w:val="auto"/>
          <w:sz w:val="24"/>
          <w:u w:val="single"/>
          <w:lang w:eastAsia="zh-CN"/>
        </w:rPr>
        <w:t>，</w:t>
      </w:r>
      <w:r>
        <w:rPr>
          <w:rFonts w:hint="default" w:ascii="Times New Roman" w:hAnsi="Times New Roman" w:cs="Times New Roman" w:eastAsiaTheme="minorEastAsia"/>
          <w:color w:val="auto"/>
          <w:sz w:val="24"/>
          <w:szCs w:val="24"/>
          <w:u w:val="single"/>
        </w:rPr>
        <w:t>本项目LNG 无组织排放量按总周转量的0.001%计算，本项目LNG设计组分中甲烷含量为91.46%，非甲烷总烃含量为8.36%，N</w:t>
      </w:r>
      <w:r>
        <w:rPr>
          <w:rFonts w:hint="default" w:ascii="Times New Roman" w:hAnsi="Times New Roman" w:cs="Times New Roman" w:eastAsiaTheme="minorEastAsia"/>
          <w:color w:val="auto"/>
          <w:sz w:val="24"/>
          <w:szCs w:val="24"/>
          <w:u w:val="single"/>
          <w:vertAlign w:val="subscript"/>
        </w:rPr>
        <w:t>2</w:t>
      </w:r>
      <w:r>
        <w:rPr>
          <w:rFonts w:hint="default" w:ascii="Times New Roman" w:hAnsi="Times New Roman" w:cs="Times New Roman" w:eastAsiaTheme="minorEastAsia"/>
          <w:color w:val="auto"/>
          <w:sz w:val="24"/>
          <w:szCs w:val="24"/>
          <w:u w:val="single"/>
        </w:rPr>
        <w:t xml:space="preserve"> 含量为0.09%，项目LNG周转量为2.6万吨/a。因此，项目甲烷无组织排放量为0.238t/a，非甲烷总烃无组织排放量为0.022t/a。结果见表表4.4-1。</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⑵ 船舶废气</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lang w:eastAsia="zh-CN"/>
        </w:rPr>
      </w:pPr>
      <w:r>
        <w:rPr>
          <w:rFonts w:hint="default" w:ascii="Times New Roman" w:hAnsi="Times New Roman" w:cs="Times New Roman" w:eastAsiaTheme="minorEastAsia"/>
          <w:color w:val="auto"/>
          <w:sz w:val="24"/>
          <w:szCs w:val="24"/>
          <w:u w:val="single"/>
        </w:rPr>
        <w:t>本加注站码头采用岸电，不产生靠泊码头船舶辅机燃油污染物</w:t>
      </w:r>
      <w:r>
        <w:rPr>
          <w:rFonts w:hint="default" w:ascii="Times New Roman" w:hAnsi="Times New Roman" w:cs="Times New Roman" w:eastAsiaTheme="minorEastAsia"/>
          <w:color w:val="auto"/>
          <w:sz w:val="24"/>
          <w:szCs w:val="24"/>
          <w:u w:val="single"/>
          <w:lang w:eastAsia="zh-CN"/>
        </w:rPr>
        <w:t>。</w:t>
      </w:r>
    </w:p>
    <w:p>
      <w:pPr>
        <w:adjustRightInd w:val="0"/>
        <w:snapToGrid w:val="0"/>
        <w:spacing w:line="276" w:lineRule="auto"/>
        <w:jc w:val="center"/>
        <w:rPr>
          <w:rFonts w:hint="default" w:ascii="Times New Roman" w:hAnsi="Times New Roman" w:cs="Times New Roman"/>
          <w:b/>
          <w:bCs/>
          <w:color w:val="auto"/>
          <w:sz w:val="24"/>
          <w:szCs w:val="24"/>
          <w:u w:val="single"/>
          <w:lang w:val="zh-CN"/>
        </w:rPr>
      </w:pPr>
      <w:r>
        <w:rPr>
          <w:rFonts w:hint="default" w:ascii="Times New Roman" w:hAnsi="Times New Roman" w:cs="Times New Roman"/>
          <w:b/>
          <w:bCs/>
          <w:color w:val="auto"/>
          <w:sz w:val="24"/>
          <w:szCs w:val="24"/>
          <w:u w:val="single"/>
          <w:lang w:val="zh-CN"/>
        </w:rPr>
        <w:t>表4.</w:t>
      </w:r>
      <w:r>
        <w:rPr>
          <w:rFonts w:hint="default" w:ascii="Times New Roman" w:hAnsi="Times New Roman" w:cs="Times New Roman"/>
          <w:b/>
          <w:bCs/>
          <w:color w:val="auto"/>
          <w:sz w:val="24"/>
          <w:szCs w:val="24"/>
          <w:u w:val="single"/>
        </w:rPr>
        <w:t>4</w:t>
      </w:r>
      <w:r>
        <w:rPr>
          <w:rFonts w:hint="default" w:ascii="Times New Roman" w:hAnsi="Times New Roman" w:cs="Times New Roman"/>
          <w:b/>
          <w:bCs/>
          <w:color w:val="auto"/>
          <w:sz w:val="24"/>
          <w:szCs w:val="24"/>
          <w:u w:val="single"/>
          <w:lang w:val="zh-CN"/>
        </w:rPr>
        <w:t>-</w:t>
      </w:r>
      <w:r>
        <w:rPr>
          <w:rFonts w:hint="default" w:ascii="Times New Roman" w:hAnsi="Times New Roman" w:cs="Times New Roman"/>
          <w:b/>
          <w:bCs/>
          <w:color w:val="auto"/>
          <w:sz w:val="24"/>
          <w:szCs w:val="24"/>
          <w:u w:val="single"/>
        </w:rPr>
        <w:t xml:space="preserve">1  </w:t>
      </w:r>
      <w:r>
        <w:rPr>
          <w:rFonts w:hint="default" w:ascii="Times New Roman" w:hAnsi="Times New Roman" w:cs="Times New Roman"/>
          <w:b/>
          <w:bCs/>
          <w:color w:val="auto"/>
          <w:sz w:val="24"/>
          <w:szCs w:val="24"/>
          <w:u w:val="single"/>
          <w:lang w:val="zh-CN"/>
        </w:rPr>
        <w:t>项目废气排放一览表</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14"/>
        <w:gridCol w:w="1514"/>
        <w:gridCol w:w="1514"/>
        <w:gridCol w:w="1523"/>
        <w:gridCol w:w="1514"/>
        <w:gridCol w:w="15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cs="Times New Roman" w:eastAsiaTheme="minorEastAsia"/>
                <w:b/>
                <w:bCs/>
                <w:color w:val="auto"/>
                <w:u w:val="single"/>
                <w:lang w:val="zh-CN"/>
              </w:rPr>
              <w:t>类型</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cs="Times New Roman" w:eastAsiaTheme="minorEastAsia"/>
                <w:b/>
                <w:bCs/>
                <w:color w:val="auto"/>
                <w:u w:val="single"/>
                <w:lang w:val="zh-CN"/>
              </w:rPr>
              <w:t>污染物</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cs="Times New Roman" w:eastAsiaTheme="minorEastAsia"/>
                <w:b/>
                <w:bCs/>
                <w:color w:val="auto"/>
                <w:u w:val="single"/>
                <w:lang w:val="zh-CN"/>
              </w:rPr>
              <w:t>排放点</w:t>
            </w:r>
          </w:p>
        </w:tc>
        <w:tc>
          <w:tcPr>
            <w:tcW w:w="837"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eastAsia="CIDFont+F3" w:cs="Times New Roman"/>
                <w:b/>
                <w:bCs/>
                <w:color w:val="auto"/>
                <w:u w:val="single"/>
              </w:rPr>
              <w:t>排放量（</w:t>
            </w:r>
            <w:r>
              <w:rPr>
                <w:rFonts w:hint="default" w:ascii="Times New Roman" w:hAnsi="Times New Roman" w:eastAsia="CIDFont+F1" w:cs="Times New Roman"/>
                <w:b/>
                <w:bCs/>
                <w:color w:val="auto"/>
                <w:u w:val="single"/>
              </w:rPr>
              <w:t>t/a</w:t>
            </w:r>
            <w:r>
              <w:rPr>
                <w:rFonts w:hint="default" w:ascii="Times New Roman" w:hAnsi="Times New Roman" w:cs="Times New Roman"/>
                <w:b/>
                <w:bCs/>
                <w:color w:val="auto"/>
                <w:u w:val="single"/>
              </w:rPr>
              <w:t>）</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cs="Times New Roman" w:eastAsiaTheme="minorEastAsia"/>
                <w:b/>
                <w:bCs/>
                <w:color w:val="auto"/>
                <w:u w:val="single"/>
                <w:lang w:val="zh-CN"/>
              </w:rPr>
              <w:t>排放特点</w:t>
            </w:r>
          </w:p>
        </w:tc>
        <w:tc>
          <w:tcPr>
            <w:tcW w:w="83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cs="Times New Roman" w:eastAsiaTheme="minorEastAsia"/>
                <w:b/>
                <w:bCs/>
                <w:color w:val="auto"/>
                <w:u w:val="single"/>
                <w:lang w:val="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2"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r>
              <w:rPr>
                <w:rFonts w:hint="default" w:ascii="Times New Roman" w:hAnsi="Times New Roman" w:eastAsia="CIDFont+F1" w:cs="Times New Roman"/>
                <w:color w:val="auto"/>
                <w:u w:val="single"/>
              </w:rPr>
              <w:t xml:space="preserve">LNG </w:t>
            </w:r>
            <w:r>
              <w:rPr>
                <w:rFonts w:hint="default" w:ascii="Times New Roman" w:hAnsi="Times New Roman" w:eastAsia="CIDFont+F3" w:cs="Times New Roman"/>
                <w:color w:val="auto"/>
                <w:u w:val="single"/>
              </w:rPr>
              <w:t>装卸</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r>
              <w:rPr>
                <w:rFonts w:hint="default" w:ascii="Times New Roman" w:hAnsi="Times New Roman" w:cs="Times New Roman" w:eastAsiaTheme="minorEastAsia"/>
                <w:color w:val="auto"/>
                <w:u w:val="single"/>
                <w:lang w:val="zh-CN"/>
              </w:rPr>
              <w:t>甲烷</w:t>
            </w:r>
          </w:p>
        </w:tc>
        <w:tc>
          <w:tcPr>
            <w:tcW w:w="832"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r>
              <w:rPr>
                <w:rFonts w:hint="default" w:ascii="Times New Roman" w:hAnsi="Times New Roman" w:cs="Times New Roman" w:eastAsiaTheme="minorEastAsia"/>
                <w:color w:val="auto"/>
                <w:u w:val="single"/>
                <w:lang w:val="zh-CN"/>
              </w:rPr>
              <w:t>码头区域</w:t>
            </w:r>
          </w:p>
        </w:tc>
        <w:tc>
          <w:tcPr>
            <w:tcW w:w="8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rPr>
            </w:pPr>
            <w:r>
              <w:rPr>
                <w:rFonts w:hint="default" w:ascii="Times New Roman" w:hAnsi="Times New Roman" w:cs="Times New Roman" w:eastAsiaTheme="minorEastAsia"/>
                <w:color w:val="auto"/>
                <w:u w:val="single"/>
              </w:rPr>
              <w:t>0.238</w:t>
            </w:r>
          </w:p>
        </w:tc>
        <w:tc>
          <w:tcPr>
            <w:tcW w:w="832"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r>
              <w:rPr>
                <w:rFonts w:hint="default" w:ascii="Times New Roman" w:hAnsi="Times New Roman" w:cs="Times New Roman" w:eastAsiaTheme="minorEastAsia"/>
                <w:color w:val="auto"/>
                <w:u w:val="single"/>
                <w:lang w:val="zh-CN"/>
              </w:rPr>
              <w:t>无组织排放</w:t>
            </w:r>
          </w:p>
        </w:tc>
        <w:tc>
          <w:tcPr>
            <w:tcW w:w="83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2"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r>
              <w:rPr>
                <w:rFonts w:hint="default" w:ascii="Times New Roman" w:hAnsi="Times New Roman" w:cs="Times New Roman" w:eastAsiaTheme="minorEastAsia"/>
                <w:color w:val="auto"/>
                <w:u w:val="single"/>
                <w:lang w:val="zh-CN"/>
              </w:rPr>
              <w:t>非甲烷总烃</w:t>
            </w:r>
          </w:p>
        </w:tc>
        <w:tc>
          <w:tcPr>
            <w:tcW w:w="832"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p>
        </w:tc>
        <w:tc>
          <w:tcPr>
            <w:tcW w:w="8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rPr>
            </w:pPr>
            <w:r>
              <w:rPr>
                <w:rFonts w:hint="default" w:ascii="Times New Roman" w:hAnsi="Times New Roman" w:cs="Times New Roman" w:eastAsiaTheme="minorEastAsia"/>
                <w:color w:val="auto"/>
                <w:u w:val="single"/>
              </w:rPr>
              <w:t>0.022</w:t>
            </w:r>
          </w:p>
        </w:tc>
        <w:tc>
          <w:tcPr>
            <w:tcW w:w="832"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u w:val="single"/>
                <w:lang w:val="zh-CN"/>
              </w:rPr>
            </w:pPr>
          </w:p>
        </w:tc>
        <w:tc>
          <w:tcPr>
            <w:tcW w:w="83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u w:val="single"/>
                <w:lang w:val="zh-CN"/>
              </w:rPr>
            </w:pP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lang w:val="zh-CN"/>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废水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u w:val="single"/>
        </w:rPr>
      </w:pPr>
      <w:r>
        <w:rPr>
          <w:rFonts w:hint="eastAsia" w:ascii="Times New Roman" w:hAnsi="Times New Roman" w:cs="Times New Roman" w:eastAsiaTheme="minorEastAsia"/>
          <w:color w:val="auto"/>
          <w:sz w:val="24"/>
          <w:szCs w:val="24"/>
          <w:u w:val="single"/>
          <w:lang w:val="en-US" w:eastAsia="zh-CN"/>
        </w:rPr>
        <w:t>本项目加注LNG船舶上的产生的</w:t>
      </w:r>
      <w:r>
        <w:rPr>
          <w:rFonts w:hint="default" w:ascii="Times New Roman" w:hAnsi="Times New Roman" w:cs="Times New Roman" w:eastAsiaTheme="minorEastAsia"/>
          <w:color w:val="auto"/>
          <w:sz w:val="24"/>
          <w:szCs w:val="24"/>
          <w:u w:val="single"/>
        </w:rPr>
        <w:t>船舶污水</w:t>
      </w:r>
      <w:r>
        <w:rPr>
          <w:rFonts w:hint="eastAsia" w:ascii="Times New Roman" w:hAnsi="Times New Roman" w:cs="Times New Roman" w:eastAsiaTheme="minorEastAsia"/>
          <w:color w:val="auto"/>
          <w:sz w:val="24"/>
          <w:szCs w:val="24"/>
          <w:u w:val="single"/>
          <w:lang w:val="en-US" w:eastAsia="zh-CN"/>
        </w:rPr>
        <w:t>均在指定位置上岸，或交由</w:t>
      </w:r>
      <w:r>
        <w:rPr>
          <w:rFonts w:hint="default" w:ascii="Times New Roman" w:hAnsi="Times New Roman" w:cs="Times New Roman" w:eastAsiaTheme="minorEastAsia"/>
          <w:color w:val="auto"/>
          <w:sz w:val="24"/>
          <w:szCs w:val="24"/>
          <w:u w:val="single"/>
        </w:rPr>
        <w:t>海事部门认可的有资质单位污染物接收船运至污水处理厂</w:t>
      </w:r>
      <w:r>
        <w:rPr>
          <w:rFonts w:hint="eastAsia" w:ascii="Times New Roman" w:hAnsi="Times New Roman" w:cs="Times New Roman" w:eastAsiaTheme="minorEastAsia"/>
          <w:color w:val="auto"/>
          <w:sz w:val="24"/>
          <w:szCs w:val="24"/>
          <w:u w:val="single"/>
          <w:lang w:val="en-US" w:eastAsia="zh-CN"/>
        </w:rPr>
        <w:t>集中处置</w:t>
      </w:r>
      <w:r>
        <w:rPr>
          <w:rFonts w:hint="eastAsia" w:ascii="Times New Roman" w:hAnsi="Times New Roman" w:cs="Times New Roman" w:eastAsiaTheme="minorEastAsia"/>
          <w:color w:val="auto"/>
          <w:sz w:val="24"/>
          <w:szCs w:val="24"/>
          <w:u w:val="single"/>
          <w:lang w:eastAsia="zh-CN"/>
        </w:rPr>
        <w:t>，</w:t>
      </w:r>
      <w:r>
        <w:rPr>
          <w:rFonts w:hint="eastAsia" w:ascii="Times New Roman" w:hAnsi="Times New Roman" w:cs="Times New Roman" w:eastAsiaTheme="minorEastAsia"/>
          <w:color w:val="auto"/>
          <w:sz w:val="24"/>
          <w:szCs w:val="24"/>
          <w:u w:val="single"/>
          <w:lang w:val="en-US" w:eastAsia="zh-CN"/>
        </w:rPr>
        <w:t>不在本项目上岸处理。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1、船舶污水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到港船舶舱底油污水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的设计代表船型为：5000DWT内河干散货船。5000DWT内河干散货船仅靠泊加注后即离开，不会在本项目港区停留，未经处理的舱底油污水浓度大约为2000mg/L，经油水分离器处理后，石油类排放浓度为15mg/L。本项目不会产生船舶舱底油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⑵ 船舶生活污水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本项目日加注船舶数量10艘/天，到港加注船舶不停留，加满即走。污水中主要污染因子为COD、BOD</w:t>
      </w:r>
      <w:r>
        <w:rPr>
          <w:rFonts w:hint="default" w:ascii="Times New Roman" w:hAnsi="Times New Roman" w:cs="Times New Roman" w:eastAsiaTheme="minorEastAsia"/>
          <w:color w:val="auto"/>
          <w:sz w:val="24"/>
          <w:szCs w:val="24"/>
          <w:vertAlign w:val="subscript"/>
        </w:rPr>
        <w:t>5</w:t>
      </w:r>
      <w:r>
        <w:rPr>
          <w:rFonts w:hint="default" w:ascii="Times New Roman" w:hAnsi="Times New Roman" w:cs="Times New Roman" w:eastAsiaTheme="minorEastAsia"/>
          <w:color w:val="auto"/>
          <w:sz w:val="24"/>
          <w:szCs w:val="24"/>
        </w:rPr>
        <w:t xml:space="preserve"> 和NH</w:t>
      </w:r>
      <w:r>
        <w:rPr>
          <w:rFonts w:hint="default" w:ascii="Times New Roman" w:hAnsi="Times New Roman" w:cs="Times New Roman" w:eastAsiaTheme="minorEastAsia"/>
          <w:color w:val="auto"/>
          <w:sz w:val="24"/>
          <w:szCs w:val="24"/>
          <w:vertAlign w:val="subscript"/>
        </w:rPr>
        <w:t>3</w:t>
      </w:r>
      <w:r>
        <w:rPr>
          <w:rFonts w:hint="default" w:ascii="Times New Roman" w:hAnsi="Times New Roman" w:cs="Times New Roman" w:eastAsiaTheme="minorEastAsia"/>
          <w:color w:val="auto"/>
          <w:sz w:val="24"/>
          <w:szCs w:val="24"/>
        </w:rPr>
        <w:t>-N，根据《水运工程环境保护设计规范》（JTS149-2018）及同类港口有关资料类比分析，其浓度分别达到300mg/L、200mg/L和35mg/L。本项目不会产生船舶生活污水。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⑶ 压舱废水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本项目船舶为载货入港加注，因此不产生压舱废水。</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2、码头工作人员生活污水</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highlight w:val="yellow"/>
        </w:rPr>
      </w:pPr>
      <w:r>
        <w:rPr>
          <w:rFonts w:hint="default" w:ascii="Times New Roman" w:hAnsi="Times New Roman" w:cs="Times New Roman" w:eastAsiaTheme="minorEastAsia"/>
          <w:color w:val="auto"/>
          <w:sz w:val="24"/>
          <w:szCs w:val="24"/>
        </w:rPr>
        <w:t>本项目码头区域</w:t>
      </w:r>
      <w:r>
        <w:rPr>
          <w:rFonts w:hint="default" w:ascii="Times New Roman" w:hAnsi="Times New Roman" w:cs="Times New Roman" w:eastAsiaTheme="minorEastAsia"/>
          <w:color w:val="auto"/>
          <w:sz w:val="24"/>
          <w:szCs w:val="24"/>
          <w:highlight w:val="none"/>
        </w:rPr>
        <w:t>工作人员共18人</w:t>
      </w:r>
      <w:r>
        <w:rPr>
          <w:rFonts w:hint="default" w:ascii="Times New Roman" w:hAnsi="Times New Roman" w:cs="Times New Roman" w:eastAsiaTheme="minorEastAsia"/>
          <w:color w:val="auto"/>
          <w:sz w:val="24"/>
          <w:szCs w:val="24"/>
          <w:highlight w:val="none"/>
          <w:lang w:eastAsia="zh-CN"/>
        </w:rPr>
        <w:t>，均为本项目（二期工程）新增定员</w:t>
      </w:r>
      <w:r>
        <w:rPr>
          <w:rFonts w:hint="default" w:ascii="Times New Roman" w:hAnsi="Times New Roman" w:cs="Times New Roman" w:eastAsiaTheme="minorEastAsia"/>
          <w:color w:val="auto"/>
          <w:sz w:val="24"/>
          <w:szCs w:val="24"/>
          <w:highlight w:val="none"/>
        </w:rPr>
        <w:t>，人均用水量1</w:t>
      </w:r>
      <w:r>
        <w:rPr>
          <w:rFonts w:hint="default" w:ascii="Times New Roman" w:hAnsi="Times New Roman" w:cs="Times New Roman" w:eastAsiaTheme="minorEastAsia"/>
          <w:color w:val="auto"/>
          <w:sz w:val="24"/>
          <w:szCs w:val="24"/>
          <w:highlight w:val="none"/>
          <w:lang w:val="en-US" w:eastAsia="zh-CN"/>
        </w:rPr>
        <w:t>0</w:t>
      </w:r>
      <w:r>
        <w:rPr>
          <w:rFonts w:hint="default" w:ascii="Times New Roman" w:hAnsi="Times New Roman" w:cs="Times New Roman" w:eastAsiaTheme="minorEastAsia"/>
          <w:color w:val="auto"/>
          <w:sz w:val="24"/>
          <w:szCs w:val="24"/>
          <w:highlight w:val="none"/>
        </w:rPr>
        <w:t>0L/d·人，</w:t>
      </w:r>
      <w:r>
        <w:rPr>
          <w:rFonts w:hint="default" w:ascii="Times New Roman" w:hAnsi="Times New Roman" w:cs="Times New Roman" w:eastAsiaTheme="minorEastAsia"/>
          <w:color w:val="auto"/>
          <w:sz w:val="24"/>
          <w:szCs w:val="24"/>
          <w:highlight w:val="none"/>
          <w:lang w:eastAsia="zh-CN"/>
        </w:rPr>
        <w:t>污水排放系数按</w:t>
      </w:r>
      <w:r>
        <w:rPr>
          <w:rFonts w:hint="default" w:ascii="Times New Roman" w:hAnsi="Times New Roman" w:cs="Times New Roman" w:eastAsiaTheme="minorEastAsia"/>
          <w:color w:val="auto"/>
          <w:sz w:val="24"/>
          <w:szCs w:val="24"/>
          <w:highlight w:val="none"/>
          <w:lang w:val="en-US" w:eastAsia="zh-CN"/>
        </w:rPr>
        <w:t>0.8计，</w:t>
      </w:r>
      <w:r>
        <w:rPr>
          <w:rFonts w:hint="default" w:ascii="Times New Roman" w:hAnsi="Times New Roman" w:cs="Times New Roman" w:eastAsiaTheme="minorEastAsia"/>
          <w:color w:val="auto"/>
          <w:sz w:val="24"/>
          <w:szCs w:val="24"/>
          <w:highlight w:val="none"/>
        </w:rPr>
        <w:t>生活污水量约为</w:t>
      </w:r>
      <w:r>
        <w:rPr>
          <w:rFonts w:hint="default" w:ascii="Times New Roman" w:hAnsi="Times New Roman" w:cs="Times New Roman" w:eastAsiaTheme="minorEastAsia"/>
          <w:color w:val="auto"/>
          <w:sz w:val="24"/>
          <w:szCs w:val="24"/>
          <w:highlight w:val="none"/>
          <w:lang w:val="en-US" w:eastAsia="zh-CN"/>
        </w:rPr>
        <w:t>1.44</w:t>
      </w:r>
      <w:r>
        <w:rPr>
          <w:rFonts w:hint="default" w:ascii="Times New Roman" w:hAnsi="Times New Roman" w:cs="Times New Roman" w:eastAsiaTheme="minorEastAsia"/>
          <w:color w:val="auto"/>
          <w:sz w:val="24"/>
          <w:szCs w:val="24"/>
          <w:highlight w:val="none"/>
        </w:rPr>
        <w:t>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/d，年发生量为</w:t>
      </w:r>
      <w:r>
        <w:rPr>
          <w:rFonts w:hint="default" w:ascii="Times New Roman" w:hAnsi="Times New Roman" w:cs="Times New Roman" w:eastAsiaTheme="minorEastAsia"/>
          <w:color w:val="auto"/>
          <w:sz w:val="24"/>
          <w:szCs w:val="24"/>
          <w:highlight w:val="none"/>
          <w:lang w:val="en-US" w:eastAsia="zh-CN"/>
        </w:rPr>
        <w:t>475.2</w:t>
      </w:r>
      <w:r>
        <w:rPr>
          <w:rFonts w:hint="default" w:ascii="Times New Roman" w:hAnsi="Times New Roman" w:cs="Times New Roman" w:eastAsiaTheme="minorEastAsia"/>
          <w:color w:val="auto"/>
          <w:sz w:val="24"/>
          <w:szCs w:val="24"/>
          <w:highlight w:val="none"/>
        </w:rPr>
        <w:t>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/a。污水中主要污染因子</w:t>
      </w:r>
      <w:r>
        <w:rPr>
          <w:rFonts w:hint="default" w:ascii="Times New Roman" w:hAnsi="Times New Roman" w:cs="Times New Roman" w:eastAsiaTheme="minorEastAsia"/>
          <w:color w:val="auto"/>
          <w:sz w:val="24"/>
          <w:szCs w:val="24"/>
        </w:rPr>
        <w:t>为COD、BOD</w:t>
      </w:r>
      <w:r>
        <w:rPr>
          <w:rFonts w:hint="default" w:ascii="Times New Roman" w:hAnsi="Times New Roman" w:cs="Times New Roman" w:eastAsiaTheme="minorEastAsia"/>
          <w:color w:val="auto"/>
          <w:sz w:val="24"/>
          <w:szCs w:val="24"/>
          <w:vertAlign w:val="subscript"/>
        </w:rPr>
        <w:t>5</w:t>
      </w:r>
      <w:r>
        <w:rPr>
          <w:rFonts w:hint="default" w:ascii="Times New Roman" w:hAnsi="Times New Roman" w:cs="Times New Roman" w:eastAsiaTheme="minorEastAsia"/>
          <w:color w:val="auto"/>
          <w:sz w:val="24"/>
          <w:szCs w:val="24"/>
        </w:rPr>
        <w:t xml:space="preserve"> 和NH</w:t>
      </w:r>
      <w:r>
        <w:rPr>
          <w:rFonts w:hint="default" w:ascii="Times New Roman" w:hAnsi="Times New Roman" w:cs="Times New Roman" w:eastAsiaTheme="minorEastAsia"/>
          <w:color w:val="auto"/>
          <w:sz w:val="24"/>
          <w:szCs w:val="24"/>
          <w:vertAlign w:val="subscript"/>
        </w:rPr>
        <w:t>3</w:t>
      </w:r>
      <w:r>
        <w:rPr>
          <w:rFonts w:hint="default" w:ascii="Times New Roman" w:hAnsi="Times New Roman" w:cs="Times New Roman" w:eastAsiaTheme="minorEastAsia"/>
          <w:color w:val="auto"/>
          <w:sz w:val="24"/>
          <w:szCs w:val="24"/>
        </w:rPr>
        <w:t>-N，根据《水运工程环境保护设计规范》（JTS149-2018）及同类港口有关资料类比分析，其浓度分别达到300mg/L、</w:t>
      </w:r>
      <w:r>
        <w:rPr>
          <w:rFonts w:hint="default" w:ascii="Times New Roman" w:hAnsi="Times New Roman" w:cs="Times New Roman" w:eastAsiaTheme="minorEastAsia"/>
          <w:color w:val="auto"/>
          <w:sz w:val="24"/>
          <w:szCs w:val="24"/>
          <w:highlight w:val="none"/>
        </w:rPr>
        <w:t>200mg/L和35mg/L，COD、BOD</w:t>
      </w:r>
      <w:r>
        <w:rPr>
          <w:rFonts w:hint="default" w:ascii="Times New Roman" w:hAnsi="Times New Roman" w:cs="Times New Roman" w:eastAsiaTheme="minorEastAsia"/>
          <w:color w:val="auto"/>
          <w:sz w:val="24"/>
          <w:szCs w:val="24"/>
          <w:highlight w:val="none"/>
          <w:vertAlign w:val="subscript"/>
        </w:rPr>
        <w:t>5</w:t>
      </w:r>
      <w:r>
        <w:rPr>
          <w:rFonts w:hint="default" w:ascii="Times New Roman" w:hAnsi="Times New Roman" w:cs="Times New Roman" w:eastAsiaTheme="minorEastAsia"/>
          <w:color w:val="auto"/>
          <w:sz w:val="24"/>
          <w:szCs w:val="24"/>
          <w:highlight w:val="none"/>
        </w:rPr>
        <w:t xml:space="preserve"> 和NH</w:t>
      </w:r>
      <w:r>
        <w:rPr>
          <w:rFonts w:hint="default" w:ascii="Times New Roman" w:hAnsi="Times New Roman" w:cs="Times New Roman" w:eastAsiaTheme="minorEastAsia"/>
          <w:color w:val="auto"/>
          <w:sz w:val="24"/>
          <w:szCs w:val="24"/>
          <w:highlight w:val="none"/>
          <w:vertAlign w:val="subscript"/>
        </w:rPr>
        <w:t>3</w:t>
      </w:r>
      <w:r>
        <w:rPr>
          <w:rFonts w:hint="default" w:ascii="Times New Roman" w:hAnsi="Times New Roman" w:cs="Times New Roman" w:eastAsiaTheme="minorEastAsia"/>
          <w:color w:val="auto"/>
          <w:sz w:val="24"/>
          <w:szCs w:val="24"/>
          <w:highlight w:val="none"/>
        </w:rPr>
        <w:t>-N的发生量分别为0.</w:t>
      </w:r>
      <w:r>
        <w:rPr>
          <w:rFonts w:hint="default" w:ascii="Times New Roman" w:hAnsi="Times New Roman" w:cs="Times New Roman" w:eastAsiaTheme="minorEastAsia"/>
          <w:color w:val="auto"/>
          <w:sz w:val="24"/>
          <w:szCs w:val="24"/>
          <w:highlight w:val="none"/>
          <w:lang w:val="en-US" w:eastAsia="zh-CN"/>
        </w:rPr>
        <w:t>143</w:t>
      </w:r>
      <w:r>
        <w:rPr>
          <w:rFonts w:hint="default" w:ascii="Times New Roman" w:hAnsi="Times New Roman" w:cs="Times New Roman" w:eastAsiaTheme="minorEastAsia"/>
          <w:color w:val="auto"/>
          <w:sz w:val="24"/>
          <w:szCs w:val="24"/>
          <w:highlight w:val="none"/>
        </w:rPr>
        <w:t>t/a、0.</w:t>
      </w:r>
      <w:r>
        <w:rPr>
          <w:rFonts w:hint="default" w:ascii="Times New Roman" w:hAnsi="Times New Roman" w:cs="Times New Roman" w:eastAsiaTheme="minorEastAsia"/>
          <w:color w:val="auto"/>
          <w:sz w:val="24"/>
          <w:szCs w:val="24"/>
          <w:highlight w:val="none"/>
          <w:lang w:val="en-US" w:eastAsia="zh-CN"/>
        </w:rPr>
        <w:t>095</w:t>
      </w:r>
      <w:r>
        <w:rPr>
          <w:rFonts w:hint="default" w:ascii="Times New Roman" w:hAnsi="Times New Roman" w:cs="Times New Roman" w:eastAsiaTheme="minorEastAsia"/>
          <w:color w:val="auto"/>
          <w:sz w:val="24"/>
          <w:szCs w:val="24"/>
          <w:highlight w:val="none"/>
        </w:rPr>
        <w:t>t/a和0.0</w:t>
      </w:r>
      <w:r>
        <w:rPr>
          <w:rFonts w:hint="default" w:ascii="Times New Roman" w:hAnsi="Times New Roman" w:cs="Times New Roman" w:eastAsiaTheme="minorEastAsia"/>
          <w:color w:val="auto"/>
          <w:sz w:val="24"/>
          <w:szCs w:val="24"/>
          <w:highlight w:val="none"/>
          <w:lang w:val="en-US" w:eastAsia="zh-CN"/>
        </w:rPr>
        <w:t>17</w:t>
      </w:r>
      <w:r>
        <w:rPr>
          <w:rFonts w:hint="default" w:ascii="Times New Roman" w:hAnsi="Times New Roman" w:cs="Times New Roman" w:eastAsiaTheme="minorEastAsia"/>
          <w:color w:val="auto"/>
          <w:sz w:val="24"/>
          <w:szCs w:val="24"/>
          <w:highlight w:val="none"/>
        </w:rPr>
        <w:t>t/a。</w:t>
      </w:r>
    </w:p>
    <w:p>
      <w:pPr>
        <w:keepNext w:val="0"/>
        <w:keepLines w:val="0"/>
        <w:pageBreakBefore w:val="0"/>
        <w:tabs>
          <w:tab w:val="left" w:pos="900"/>
        </w:tabs>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eastAsiaTheme="minorEastAsia"/>
          <w:b/>
          <w:color w:val="auto"/>
          <w:sz w:val="24"/>
          <w:szCs w:val="24"/>
          <w:u w:val="single"/>
        </w:rPr>
      </w:pPr>
      <w:r>
        <w:rPr>
          <w:rFonts w:hint="eastAsia" w:ascii="Times New Roman" w:hAnsi="Times New Roman" w:eastAsiaTheme="minorEastAsia"/>
          <w:b/>
          <w:color w:val="auto"/>
          <w:sz w:val="24"/>
          <w:szCs w:val="24"/>
          <w:u w:val="single"/>
          <w:lang w:val="en-US" w:eastAsia="zh-CN"/>
        </w:rPr>
        <w:t>3</w:t>
      </w:r>
      <w:r>
        <w:rPr>
          <w:rFonts w:ascii="Times New Roman" w:hAnsi="Times New Roman" w:eastAsiaTheme="minorEastAsia"/>
          <w:b/>
          <w:color w:val="auto"/>
          <w:sz w:val="24"/>
          <w:szCs w:val="24"/>
          <w:u w:val="single"/>
        </w:rPr>
        <w:t>、初期雨水</w:t>
      </w:r>
    </w:p>
    <w:p>
      <w:pPr>
        <w:keepNext w:val="0"/>
        <w:keepLines w:val="0"/>
        <w:pageBreakBefore w:val="0"/>
        <w:tabs>
          <w:tab w:val="left" w:pos="900"/>
        </w:tabs>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sz w:val="24"/>
          <w:szCs w:val="24"/>
        </w:rPr>
      </w:pPr>
      <w:r>
        <w:rPr>
          <w:rFonts w:ascii="Times New Roman" w:hAnsi="Times New Roman" w:eastAsiaTheme="minorEastAsia"/>
          <w:color w:val="auto"/>
          <w:sz w:val="24"/>
          <w:szCs w:val="24"/>
        </w:rPr>
        <w:t>初期雨水量按下式计算：</w:t>
      </w:r>
    </w:p>
    <w:p>
      <w:pPr>
        <w:keepNext w:val="0"/>
        <w:keepLines w:val="0"/>
        <w:pageBreakBefore w:val="0"/>
        <w:tabs>
          <w:tab w:val="left" w:pos="900"/>
        </w:tabs>
        <w:kinsoku/>
        <w:wordWrap/>
        <w:overflowPunct/>
        <w:topLinePunct w:val="0"/>
        <w:autoSpaceDE/>
        <w:autoSpaceDN/>
        <w:bidi w:val="0"/>
        <w:adjustRightInd w:val="0"/>
        <w:snapToGrid w:val="0"/>
        <w:spacing w:line="360" w:lineRule="auto"/>
        <w:ind w:firstLine="480" w:firstLineChars="200"/>
        <w:jc w:val="center"/>
        <w:textAlignment w:val="auto"/>
        <w:rPr>
          <w:rFonts w:ascii="Times New Roman" w:hAnsi="Times New Roman" w:eastAsiaTheme="minorEastAsia"/>
          <w:color w:val="auto"/>
          <w:sz w:val="24"/>
          <w:szCs w:val="24"/>
        </w:rPr>
      </w:pPr>
      <w:r>
        <w:rPr>
          <w:rFonts w:ascii="Times New Roman" w:hAnsi="Times New Roman" w:eastAsiaTheme="minorEastAsia"/>
          <w:i/>
          <w:color w:val="auto"/>
          <w:sz w:val="24"/>
          <w:szCs w:val="24"/>
        </w:rPr>
        <w:t>Q</w:t>
      </w:r>
      <w:r>
        <w:rPr>
          <w:rFonts w:ascii="Times New Roman" w:hAnsi="Times New Roman" w:eastAsiaTheme="minorEastAsia"/>
          <w:color w:val="auto"/>
          <w:sz w:val="24"/>
          <w:szCs w:val="24"/>
        </w:rPr>
        <w:t>=</w:t>
      </w:r>
      <w:r>
        <w:rPr>
          <w:rFonts w:ascii="Times New Roman" w:hAnsi="Times New Roman" w:eastAsiaTheme="minorEastAsia"/>
          <w:i/>
          <w:color w:val="auto"/>
          <w:kern w:val="0"/>
          <w:sz w:val="24"/>
        </w:rPr>
        <w:t>Ψ</w:t>
      </w:r>
      <w:r>
        <w:rPr>
          <w:rFonts w:ascii="Times New Roman" w:hAnsi="Times New Roman" w:eastAsiaTheme="minorEastAsia"/>
          <w:color w:val="auto"/>
          <w:kern w:val="0"/>
          <w:sz w:val="24"/>
        </w:rPr>
        <w:t>·</w:t>
      </w:r>
      <w:r>
        <w:rPr>
          <w:rFonts w:ascii="Times New Roman" w:hAnsi="Times New Roman" w:eastAsiaTheme="minorEastAsia"/>
          <w:i/>
          <w:color w:val="auto"/>
          <w:sz w:val="24"/>
          <w:szCs w:val="24"/>
        </w:rPr>
        <w:t>q</w:t>
      </w:r>
      <w:r>
        <w:rPr>
          <w:rFonts w:ascii="Times New Roman" w:hAnsi="Times New Roman" w:eastAsiaTheme="minorEastAsia"/>
          <w:color w:val="auto"/>
          <w:kern w:val="0"/>
          <w:sz w:val="24"/>
        </w:rPr>
        <w:t>·</w:t>
      </w:r>
      <w:r>
        <w:rPr>
          <w:rFonts w:ascii="Times New Roman" w:hAnsi="Times New Roman" w:eastAsiaTheme="minorEastAsia"/>
          <w:i/>
          <w:color w:val="auto"/>
          <w:sz w:val="24"/>
          <w:szCs w:val="24"/>
        </w:rPr>
        <w:t>F</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kern w:val="0"/>
          <w:sz w:val="24"/>
        </w:rPr>
      </w:pPr>
      <w:r>
        <w:rPr>
          <w:rFonts w:ascii="Times New Roman" w:hAnsi="Times New Roman" w:eastAsiaTheme="minorEastAsia"/>
          <w:color w:val="auto"/>
          <w:kern w:val="0"/>
          <w:sz w:val="24"/>
        </w:rPr>
        <w:t>式中：Q——设计流量（L/s）；</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Theme="minorEastAsia"/>
          <w:color w:val="auto"/>
          <w:kern w:val="0"/>
          <w:sz w:val="24"/>
        </w:rPr>
      </w:pPr>
      <w:r>
        <w:rPr>
          <w:rFonts w:ascii="Times New Roman" w:hAnsi="Times New Roman" w:eastAsiaTheme="minorEastAsia"/>
          <w:color w:val="auto"/>
          <w:kern w:val="0"/>
          <w:sz w:val="24"/>
        </w:rPr>
        <w:t>Ψ——径流系数，取0.15；</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Theme="minorEastAsia"/>
          <w:color w:val="auto"/>
          <w:kern w:val="0"/>
          <w:sz w:val="24"/>
        </w:rPr>
      </w:pPr>
      <w:r>
        <w:rPr>
          <w:rFonts w:ascii="Times New Roman" w:hAnsi="Times New Roman" w:eastAsiaTheme="minorEastAsia"/>
          <w:color w:val="auto"/>
          <w:kern w:val="0"/>
          <w:sz w:val="24"/>
        </w:rPr>
        <w:t>q——设计暴雨强度[L/(s·hm</w:t>
      </w:r>
      <w:r>
        <w:rPr>
          <w:rFonts w:ascii="Times New Roman" w:hAnsi="Times New Roman" w:eastAsiaTheme="minorEastAsia"/>
          <w:color w:val="auto"/>
          <w:kern w:val="0"/>
          <w:sz w:val="24"/>
          <w:vertAlign w:val="superscript"/>
        </w:rPr>
        <w:t>2</w:t>
      </w:r>
      <w:r>
        <w:rPr>
          <w:rFonts w:ascii="Times New Roman" w:hAnsi="Times New Roman" w:eastAsiaTheme="minorEastAsia"/>
          <w:color w:val="auto"/>
          <w:kern w:val="0"/>
          <w:sz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Theme="minorEastAsia"/>
          <w:color w:val="auto"/>
          <w:kern w:val="0"/>
          <w:sz w:val="24"/>
        </w:rPr>
      </w:pPr>
      <w:r>
        <w:rPr>
          <w:rFonts w:ascii="Times New Roman" w:hAnsi="Times New Roman" w:eastAsiaTheme="minorEastAsia"/>
          <w:color w:val="auto"/>
          <w:kern w:val="0"/>
          <w:sz w:val="24"/>
        </w:rPr>
        <w:t>F——汇流面积（hm</w:t>
      </w:r>
      <w:r>
        <w:rPr>
          <w:rFonts w:ascii="Times New Roman" w:hAnsi="Times New Roman" w:eastAsiaTheme="minorEastAsia"/>
          <w:color w:val="auto"/>
          <w:kern w:val="0"/>
          <w:sz w:val="24"/>
          <w:vertAlign w:val="superscript"/>
        </w:rPr>
        <w:t>2</w:t>
      </w:r>
      <w:r>
        <w:rPr>
          <w:rFonts w:ascii="Times New Roman" w:hAnsi="Times New Roman" w:eastAsiaTheme="minorEastAsia"/>
          <w:color w:val="auto"/>
          <w:kern w:val="0"/>
          <w:sz w:val="24"/>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sz w:val="24"/>
        </w:rPr>
      </w:pPr>
      <w:r>
        <w:rPr>
          <w:rFonts w:ascii="Times New Roman" w:hAnsi="Times New Roman" w:eastAsiaTheme="minorEastAsia"/>
          <w:color w:val="auto"/>
          <w:sz w:val="24"/>
        </w:rPr>
        <w:t>岳阳当地暴雨强度公式为：</w:t>
      </w:r>
    </w:p>
    <w:p>
      <w:pPr>
        <w:keepNext w:val="0"/>
        <w:keepLines w:val="0"/>
        <w:pageBreakBefore w:val="0"/>
        <w:kinsoku/>
        <w:wordWrap/>
        <w:overflowPunct/>
        <w:topLinePunct w:val="0"/>
        <w:autoSpaceDE/>
        <w:autoSpaceDN/>
        <w:bidi w:val="0"/>
        <w:adjustRightInd w:val="0"/>
        <w:snapToGrid w:val="0"/>
        <w:spacing w:line="360" w:lineRule="auto"/>
        <w:jc w:val="center"/>
        <w:textAlignment w:val="auto"/>
        <w:rPr>
          <w:rFonts w:ascii="Times New Roman" w:hAnsi="Times New Roman" w:eastAsiaTheme="minorEastAsia"/>
          <w:color w:val="auto"/>
          <w:sz w:val="24"/>
        </w:rPr>
      </w:pPr>
      <w:r>
        <w:rPr>
          <w:rFonts w:ascii="Times New Roman" w:hAnsi="Times New Roman" w:eastAsiaTheme="minorEastAsia"/>
          <w:color w:val="auto"/>
          <w:position w:val="-24"/>
          <w:sz w:val="24"/>
        </w:rPr>
        <w:object>
          <v:shape id="_x0000_i1031" o:spt="75" type="#_x0000_t75" style="height:28.65pt;width:130.35pt;" o:ole="t" filled="f" o:preferrelative="t" stroked="f" coordsize="21600,21600">
            <v:path/>
            <v:fill on="f" focussize="0,0"/>
            <v:stroke on="f" joinstyle="miter"/>
            <v:imagedata r:id="rId39" o:title=""/>
            <o:lock v:ext="edit" aspectratio="t"/>
            <w10:wrap type="none"/>
            <w10:anchorlock/>
          </v:shape>
          <o:OLEObject Type="Embed" ProgID="Equation.3" ShapeID="_x0000_i1031" DrawAspect="Content" ObjectID="_1468075731" r:id="rId38">
            <o:LockedField>false</o:LockedField>
          </o:OLEObject>
        </w:objec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sz w:val="24"/>
        </w:rPr>
      </w:pPr>
      <w:r>
        <w:rPr>
          <w:rFonts w:ascii="Times New Roman" w:hAnsi="Times New Roman" w:eastAsiaTheme="minorEastAsia"/>
          <w:color w:val="auto"/>
          <w:sz w:val="24"/>
        </w:rPr>
        <w:t>式中：q</w:t>
      </w:r>
      <w:r>
        <w:rPr>
          <w:rFonts w:ascii="Times New Roman" w:hAnsi="Times New Roman" w:eastAsiaTheme="minorEastAsia"/>
          <w:color w:val="auto"/>
          <w:kern w:val="0"/>
          <w:sz w:val="24"/>
        </w:rPr>
        <w:t>——</w:t>
      </w:r>
      <w:r>
        <w:rPr>
          <w:rFonts w:ascii="Times New Roman" w:hAnsi="Times New Roman" w:eastAsiaTheme="minorEastAsia"/>
          <w:color w:val="auto"/>
          <w:sz w:val="24"/>
        </w:rPr>
        <w:t>暴雨强度（L/s·ha）；</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Theme="minorEastAsia"/>
          <w:color w:val="auto"/>
          <w:sz w:val="24"/>
        </w:rPr>
      </w:pPr>
      <w:r>
        <w:rPr>
          <w:rFonts w:ascii="Times New Roman" w:hAnsi="Times New Roman" w:eastAsiaTheme="minorEastAsia"/>
          <w:color w:val="auto"/>
          <w:sz w:val="24"/>
        </w:rPr>
        <w:t>P</w:t>
      </w:r>
      <w:r>
        <w:rPr>
          <w:rFonts w:ascii="Times New Roman" w:hAnsi="Times New Roman" w:eastAsiaTheme="minorEastAsia"/>
          <w:color w:val="auto"/>
          <w:kern w:val="0"/>
          <w:sz w:val="24"/>
        </w:rPr>
        <w:t>——</w:t>
      </w:r>
      <w:r>
        <w:rPr>
          <w:rFonts w:ascii="Times New Roman" w:hAnsi="Times New Roman" w:eastAsiaTheme="minorEastAsia"/>
          <w:color w:val="auto"/>
          <w:sz w:val="24"/>
        </w:rPr>
        <w:t>重现期（a，本次取值20a）；</w:t>
      </w:r>
    </w:p>
    <w:p>
      <w:pPr>
        <w:keepNext w:val="0"/>
        <w:keepLines w:val="0"/>
        <w:pageBreakBefore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Theme="minorEastAsia"/>
          <w:color w:val="auto"/>
          <w:sz w:val="24"/>
        </w:rPr>
      </w:pPr>
      <w:r>
        <w:rPr>
          <w:rFonts w:ascii="Times New Roman" w:hAnsi="Times New Roman" w:eastAsiaTheme="minorEastAsia"/>
          <w:color w:val="auto"/>
          <w:sz w:val="24"/>
        </w:rPr>
        <w:t>t</w:t>
      </w:r>
      <w:r>
        <w:rPr>
          <w:rFonts w:ascii="Times New Roman" w:hAnsi="Times New Roman" w:eastAsiaTheme="minorEastAsia"/>
          <w:color w:val="auto"/>
          <w:kern w:val="0"/>
          <w:sz w:val="24"/>
        </w:rPr>
        <w:t>——</w:t>
      </w:r>
      <w:r>
        <w:rPr>
          <w:rFonts w:ascii="Times New Roman" w:hAnsi="Times New Roman" w:eastAsiaTheme="minorEastAsia"/>
          <w:color w:val="auto"/>
          <w:sz w:val="24"/>
        </w:rPr>
        <w:t>降雨历时（min，本次取</w:t>
      </w:r>
      <w:r>
        <w:rPr>
          <w:rFonts w:hint="eastAsia" w:ascii="Times New Roman" w:hAnsi="Times New Roman" w:eastAsiaTheme="minorEastAsia"/>
          <w:color w:val="auto"/>
          <w:sz w:val="24"/>
          <w:lang w:val="en-US" w:eastAsia="zh-CN"/>
        </w:rPr>
        <w:t>2</w:t>
      </w:r>
      <w:r>
        <w:rPr>
          <w:rFonts w:ascii="Times New Roman" w:hAnsi="Times New Roman" w:eastAsiaTheme="minorEastAsia"/>
          <w:color w:val="auto"/>
          <w:sz w:val="24"/>
        </w:rPr>
        <w:t>0min）；</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sz w:val="24"/>
          <w:highlight w:val="none"/>
          <w:u w:val="single"/>
        </w:rPr>
      </w:pPr>
      <w:r>
        <w:rPr>
          <w:rFonts w:ascii="Times New Roman" w:hAnsi="Times New Roman" w:eastAsiaTheme="minorEastAsia"/>
          <w:color w:val="auto"/>
          <w:sz w:val="24"/>
          <w:highlight w:val="none"/>
          <w:u w:val="single"/>
        </w:rPr>
        <w:t>经计算，暴雨强度为</w:t>
      </w:r>
      <w:r>
        <w:rPr>
          <w:rFonts w:hint="eastAsia" w:ascii="Times New Roman" w:hAnsi="Times New Roman" w:eastAsiaTheme="minorEastAsia"/>
          <w:color w:val="auto"/>
          <w:sz w:val="24"/>
          <w:highlight w:val="none"/>
          <w:u w:val="single"/>
          <w:lang w:val="en-US" w:eastAsia="zh-CN"/>
        </w:rPr>
        <w:t>354.82</w:t>
      </w:r>
      <w:r>
        <w:rPr>
          <w:rFonts w:ascii="Times New Roman" w:hAnsi="Times New Roman" w:eastAsiaTheme="minorEastAsia"/>
          <w:color w:val="auto"/>
          <w:sz w:val="24"/>
          <w:highlight w:val="none"/>
          <w:u w:val="single"/>
        </w:rPr>
        <w:t>L/s</w:t>
      </w:r>
      <w:r>
        <w:rPr>
          <w:rFonts w:ascii="Times New Roman" w:hAnsi="Times New Roman" w:eastAsiaTheme="minorEastAsia"/>
          <w:color w:val="auto"/>
          <w:sz w:val="24"/>
          <w:szCs w:val="24"/>
          <w:highlight w:val="none"/>
          <w:u w:val="single"/>
        </w:rPr>
        <w:t>•</w:t>
      </w:r>
      <w:r>
        <w:rPr>
          <w:rFonts w:ascii="Times New Roman" w:hAnsi="Times New Roman" w:eastAsiaTheme="minorEastAsia"/>
          <w:color w:val="auto"/>
          <w:sz w:val="24"/>
          <w:highlight w:val="none"/>
          <w:u w:val="single"/>
        </w:rPr>
        <w:t>hm</w:t>
      </w:r>
      <w:r>
        <w:rPr>
          <w:rFonts w:ascii="Times New Roman" w:hAnsi="Times New Roman" w:eastAsiaTheme="minorEastAsia"/>
          <w:color w:val="auto"/>
          <w:sz w:val="24"/>
          <w:highlight w:val="none"/>
          <w:u w:val="single"/>
          <w:vertAlign w:val="superscript"/>
        </w:rPr>
        <w:t>2</w:t>
      </w:r>
      <w:r>
        <w:rPr>
          <w:rFonts w:ascii="Times New Roman" w:hAnsi="Times New Roman" w:eastAsiaTheme="minorEastAsia"/>
          <w:color w:val="auto"/>
          <w:sz w:val="24"/>
          <w:highlight w:val="none"/>
          <w:u w:val="single"/>
        </w:rPr>
        <w:t>，</w:t>
      </w:r>
      <w:r>
        <w:rPr>
          <w:rFonts w:hint="eastAsia" w:ascii="Times New Roman" w:hAnsi="Times New Roman" w:eastAsiaTheme="minorEastAsia"/>
          <w:color w:val="auto"/>
          <w:sz w:val="24"/>
          <w:highlight w:val="none"/>
          <w:u w:val="single"/>
          <w:lang w:val="en-US" w:eastAsia="zh-CN"/>
        </w:rPr>
        <w:t>加注平台和卸车平台</w:t>
      </w:r>
      <w:r>
        <w:rPr>
          <w:rFonts w:ascii="Times New Roman" w:hAnsi="Times New Roman" w:eastAsiaTheme="minorEastAsia"/>
          <w:color w:val="auto"/>
          <w:sz w:val="24"/>
          <w:highlight w:val="none"/>
          <w:u w:val="single"/>
        </w:rPr>
        <w:t>汇流面积为0.1</w:t>
      </w:r>
      <w:r>
        <w:rPr>
          <w:rFonts w:hint="eastAsia" w:ascii="Times New Roman" w:hAnsi="Times New Roman" w:eastAsiaTheme="minorEastAsia"/>
          <w:color w:val="auto"/>
          <w:sz w:val="24"/>
          <w:highlight w:val="none"/>
          <w:u w:val="single"/>
          <w:lang w:val="en-US" w:eastAsia="zh-CN"/>
        </w:rPr>
        <w:t>37</w:t>
      </w:r>
      <w:r>
        <w:rPr>
          <w:rFonts w:ascii="Times New Roman" w:hAnsi="Times New Roman" w:eastAsiaTheme="minorEastAsia"/>
          <w:color w:val="auto"/>
          <w:sz w:val="24"/>
          <w:highlight w:val="none"/>
          <w:u w:val="single"/>
        </w:rPr>
        <w:t>hm</w:t>
      </w:r>
      <w:r>
        <w:rPr>
          <w:rFonts w:ascii="Times New Roman" w:hAnsi="Times New Roman" w:eastAsiaTheme="minorEastAsia"/>
          <w:color w:val="auto"/>
          <w:sz w:val="24"/>
          <w:highlight w:val="none"/>
          <w:u w:val="single"/>
          <w:vertAlign w:val="superscript"/>
        </w:rPr>
        <w:t>2</w:t>
      </w:r>
      <w:r>
        <w:rPr>
          <w:rFonts w:ascii="Times New Roman" w:hAnsi="Times New Roman" w:eastAsiaTheme="minorEastAsia"/>
          <w:color w:val="auto"/>
          <w:sz w:val="24"/>
          <w:highlight w:val="none"/>
          <w:u w:val="single"/>
        </w:rPr>
        <w:t>，计算初期雨水量Q=</w:t>
      </w:r>
      <w:r>
        <w:rPr>
          <w:rFonts w:hint="eastAsia" w:ascii="Times New Roman" w:hAnsi="Times New Roman" w:eastAsiaTheme="minorEastAsia"/>
          <w:color w:val="auto"/>
          <w:sz w:val="24"/>
          <w:highlight w:val="none"/>
          <w:u w:val="single"/>
          <w:lang w:val="en-US" w:eastAsia="zh-CN"/>
        </w:rPr>
        <w:t>7.271</w:t>
      </w:r>
      <w:r>
        <w:rPr>
          <w:rFonts w:ascii="Times New Roman" w:hAnsi="Times New Roman" w:eastAsiaTheme="minorEastAsia"/>
          <w:color w:val="auto"/>
          <w:sz w:val="24"/>
          <w:highlight w:val="none"/>
          <w:u w:val="single"/>
        </w:rPr>
        <w:t>L/s，初期雨水产生量为</w:t>
      </w:r>
      <w:r>
        <w:rPr>
          <w:rFonts w:hint="eastAsia" w:ascii="Times New Roman" w:hAnsi="Times New Roman" w:eastAsiaTheme="minorEastAsia"/>
          <w:color w:val="auto"/>
          <w:sz w:val="24"/>
          <w:highlight w:val="none"/>
          <w:u w:val="single"/>
          <w:lang w:val="en-US" w:eastAsia="zh-CN"/>
        </w:rPr>
        <w:t>8.725</w:t>
      </w:r>
      <w:r>
        <w:rPr>
          <w:rFonts w:ascii="Times New Roman" w:hAnsi="Times New Roman" w:eastAsiaTheme="minorEastAsia"/>
          <w:color w:val="auto"/>
          <w:sz w:val="24"/>
          <w:highlight w:val="none"/>
          <w:u w:val="single"/>
        </w:rPr>
        <w:t>m</w:t>
      </w:r>
      <w:r>
        <w:rPr>
          <w:rFonts w:ascii="Times New Roman" w:hAnsi="Times New Roman" w:eastAsiaTheme="minorEastAsia"/>
          <w:color w:val="auto"/>
          <w:sz w:val="24"/>
          <w:highlight w:val="none"/>
          <w:u w:val="single"/>
          <w:vertAlign w:val="superscript"/>
        </w:rPr>
        <w:t>3</w:t>
      </w:r>
      <w:r>
        <w:rPr>
          <w:rFonts w:ascii="Times New Roman" w:hAnsi="Times New Roman" w:eastAsiaTheme="minorEastAsia"/>
          <w:color w:val="auto"/>
          <w:sz w:val="24"/>
          <w:highlight w:val="none"/>
          <w:u w:val="single"/>
        </w:rPr>
        <w:t>/次，初期雨水收集池有效容积为</w:t>
      </w:r>
      <w:r>
        <w:rPr>
          <w:rFonts w:hint="eastAsia" w:ascii="Times New Roman" w:hAnsi="Times New Roman" w:eastAsiaTheme="minorEastAsia"/>
          <w:color w:val="auto"/>
          <w:sz w:val="24"/>
          <w:highlight w:val="none"/>
          <w:u w:val="single"/>
          <w:lang w:val="en-US" w:eastAsia="zh-CN"/>
        </w:rPr>
        <w:t>15</w:t>
      </w:r>
      <w:r>
        <w:rPr>
          <w:rFonts w:ascii="Times New Roman" w:hAnsi="Times New Roman" w:eastAsiaTheme="minorEastAsia"/>
          <w:color w:val="auto"/>
          <w:sz w:val="24"/>
          <w:highlight w:val="none"/>
          <w:u w:val="single"/>
        </w:rPr>
        <w:t>m</w:t>
      </w:r>
      <w:r>
        <w:rPr>
          <w:rFonts w:ascii="Times New Roman" w:hAnsi="Times New Roman" w:eastAsiaTheme="minorEastAsia"/>
          <w:color w:val="auto"/>
          <w:sz w:val="24"/>
          <w:highlight w:val="none"/>
          <w:u w:val="single"/>
          <w:vertAlign w:val="superscript"/>
        </w:rPr>
        <w:t>3</w:t>
      </w:r>
      <w:r>
        <w:rPr>
          <w:rFonts w:ascii="Times New Roman" w:hAnsi="Times New Roman" w:eastAsiaTheme="minorEastAsia"/>
          <w:color w:val="auto"/>
          <w:sz w:val="24"/>
          <w:highlight w:val="none"/>
          <w:u w:val="single"/>
        </w:rPr>
        <w:t>。年暴雨次数按20次计，则项目运行期初期雨水总量为</w:t>
      </w:r>
      <w:r>
        <w:rPr>
          <w:rFonts w:hint="eastAsia" w:ascii="Times New Roman" w:hAnsi="Times New Roman" w:eastAsiaTheme="minorEastAsia"/>
          <w:color w:val="auto"/>
          <w:sz w:val="24"/>
          <w:highlight w:val="none"/>
          <w:u w:val="single"/>
          <w:lang w:val="en-US" w:eastAsia="zh-CN"/>
        </w:rPr>
        <w:t>174.504</w:t>
      </w:r>
      <w:r>
        <w:rPr>
          <w:rFonts w:ascii="Times New Roman" w:hAnsi="Times New Roman" w:eastAsiaTheme="minorEastAsia"/>
          <w:color w:val="auto"/>
          <w:sz w:val="24"/>
          <w:highlight w:val="none"/>
          <w:u w:val="single"/>
        </w:rPr>
        <w:t>m</w:t>
      </w:r>
      <w:r>
        <w:rPr>
          <w:rFonts w:ascii="Times New Roman" w:hAnsi="Times New Roman" w:eastAsiaTheme="minorEastAsia"/>
          <w:color w:val="auto"/>
          <w:sz w:val="24"/>
          <w:highlight w:val="none"/>
          <w:u w:val="single"/>
          <w:vertAlign w:val="superscript"/>
        </w:rPr>
        <w:t>3</w:t>
      </w:r>
      <w:r>
        <w:rPr>
          <w:rFonts w:ascii="Times New Roman" w:hAnsi="Times New Roman" w:eastAsiaTheme="minorEastAsia"/>
          <w:color w:val="auto"/>
          <w:sz w:val="24"/>
          <w:highlight w:val="none"/>
          <w:u w:val="single"/>
        </w:rPr>
        <w:t>/a。初期雨水主要污染物因子为SS，SS浓度约为100mg/L。</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heme="minorEastAsia"/>
          <w:color w:val="auto"/>
          <w:sz w:val="24"/>
          <w:szCs w:val="24"/>
          <w:highlight w:val="none"/>
          <w:u w:val="single"/>
        </w:rPr>
      </w:pPr>
      <w:r>
        <w:rPr>
          <w:rFonts w:hint="eastAsia" w:ascii="Times New Roman" w:hAnsi="Times New Roman" w:eastAsiaTheme="minorEastAsia"/>
          <w:color w:val="auto"/>
          <w:sz w:val="24"/>
          <w:highlight w:val="none"/>
          <w:u w:val="single"/>
          <w:lang w:val="en-US" w:eastAsia="zh-CN"/>
        </w:rPr>
        <w:t>加注码头平台</w:t>
      </w:r>
      <w:r>
        <w:rPr>
          <w:rFonts w:ascii="Times New Roman" w:hAnsi="Times New Roman" w:eastAsiaTheme="minorEastAsia"/>
          <w:color w:val="auto"/>
          <w:sz w:val="24"/>
          <w:highlight w:val="none"/>
          <w:u w:val="single"/>
        </w:rPr>
        <w:t>四周设收集坎，</w:t>
      </w:r>
      <w:r>
        <w:rPr>
          <w:rFonts w:hint="eastAsia" w:ascii="Times New Roman" w:hAnsi="Times New Roman" w:eastAsiaTheme="minorEastAsia"/>
          <w:color w:val="auto"/>
          <w:sz w:val="24"/>
          <w:highlight w:val="none"/>
          <w:u w:val="single"/>
          <w:lang w:val="en-US" w:eastAsia="zh-CN"/>
        </w:rPr>
        <w:t>加注平台</w:t>
      </w:r>
      <w:r>
        <w:rPr>
          <w:rFonts w:ascii="Times New Roman" w:hAnsi="Times New Roman" w:eastAsiaTheme="minorEastAsia"/>
          <w:color w:val="auto"/>
          <w:sz w:val="24"/>
          <w:highlight w:val="none"/>
          <w:u w:val="single"/>
        </w:rPr>
        <w:t>内设污水</w:t>
      </w:r>
      <w:r>
        <w:rPr>
          <w:rFonts w:hint="eastAsia" w:ascii="Times New Roman" w:hAnsi="Times New Roman" w:eastAsiaTheme="minorEastAsia"/>
          <w:color w:val="auto"/>
          <w:sz w:val="24"/>
          <w:highlight w:val="none"/>
          <w:u w:val="single"/>
          <w:lang w:val="en-US" w:eastAsia="zh-CN"/>
        </w:rPr>
        <w:t>收集</w:t>
      </w:r>
      <w:r>
        <w:rPr>
          <w:rFonts w:ascii="Times New Roman" w:hAnsi="Times New Roman" w:eastAsiaTheme="minorEastAsia"/>
          <w:color w:val="auto"/>
          <w:sz w:val="24"/>
          <w:highlight w:val="none"/>
          <w:u w:val="single"/>
        </w:rPr>
        <w:t>箱，初期雨水经收集后，与</w:t>
      </w:r>
      <w:r>
        <w:rPr>
          <w:rFonts w:hint="eastAsia" w:ascii="Times New Roman" w:hAnsi="Times New Roman" w:eastAsiaTheme="minorEastAsia"/>
          <w:color w:val="auto"/>
          <w:sz w:val="24"/>
          <w:highlight w:val="none"/>
          <w:u w:val="single"/>
          <w:lang w:val="en-US" w:eastAsia="zh-CN"/>
        </w:rPr>
        <w:t>码头产生的生活污水</w:t>
      </w:r>
      <w:r>
        <w:rPr>
          <w:rFonts w:ascii="Times New Roman" w:hAnsi="Times New Roman" w:eastAsiaTheme="minorEastAsia"/>
          <w:color w:val="auto"/>
          <w:sz w:val="24"/>
          <w:highlight w:val="none"/>
          <w:u w:val="single"/>
        </w:rPr>
        <w:t>一同</w:t>
      </w:r>
      <w:r>
        <w:rPr>
          <w:rFonts w:hint="default" w:ascii="Times New Roman" w:hAnsi="Times New Roman" w:cs="Times New Roman" w:eastAsiaTheme="minorEastAsia"/>
          <w:color w:val="auto"/>
          <w:sz w:val="24"/>
          <w:szCs w:val="24"/>
          <w:highlight w:val="none"/>
          <w:u w:val="single"/>
        </w:rPr>
        <w:t>泵送至</w:t>
      </w:r>
      <w:r>
        <w:rPr>
          <w:rFonts w:hint="default" w:ascii="Times New Roman" w:hAnsi="Times New Roman" w:cs="Times New Roman" w:eastAsiaTheme="minorEastAsia"/>
          <w:color w:val="auto"/>
          <w:sz w:val="24"/>
          <w:highlight w:val="none"/>
          <w:u w:val="single"/>
        </w:rPr>
        <w:t>岳阳LNG接收站（储备中心）项目</w:t>
      </w:r>
      <w:r>
        <w:rPr>
          <w:rFonts w:hint="eastAsia" w:ascii="Times New Roman" w:hAnsi="Times New Roman" w:cs="Times New Roman" w:eastAsiaTheme="minorEastAsia"/>
          <w:color w:val="auto"/>
          <w:sz w:val="24"/>
          <w:highlight w:val="none"/>
          <w:u w:val="single"/>
          <w:lang w:val="en-US" w:eastAsia="zh-CN"/>
        </w:rPr>
        <w:t>一期工程</w:t>
      </w:r>
      <w:r>
        <w:rPr>
          <w:rFonts w:hint="default" w:ascii="Times New Roman" w:hAnsi="Times New Roman" w:cs="Times New Roman" w:eastAsiaTheme="minorEastAsia"/>
          <w:color w:val="auto"/>
          <w:sz w:val="24"/>
          <w:szCs w:val="24"/>
          <w:highlight w:val="none"/>
          <w:u w:val="single"/>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highlight w:val="none"/>
          <w:u w:val="single"/>
          <w:lang w:val="en-US" w:eastAsia="zh-CN"/>
        </w:rPr>
        <w:t>不外排</w:t>
      </w:r>
      <w:r>
        <w:rPr>
          <w:rFonts w:ascii="Times New Roman" w:hAnsi="Times New Roman" w:eastAsiaTheme="minorEastAsia"/>
          <w:color w:val="auto"/>
          <w:sz w:val="24"/>
          <w:szCs w:val="24"/>
          <w:highlight w:val="none"/>
          <w:u w:val="single"/>
        </w:rPr>
        <w:t>。</w:t>
      </w:r>
    </w:p>
    <w:p>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eastAsiaTheme="minorEastAsia"/>
          <w:b/>
          <w:bCs/>
          <w:color w:val="auto"/>
          <w:sz w:val="24"/>
          <w:szCs w:val="24"/>
          <w:u w:val="single"/>
          <w:lang w:val="en-US" w:eastAsia="zh-CN"/>
        </w:rPr>
      </w:pPr>
      <w:r>
        <w:rPr>
          <w:rFonts w:hint="eastAsia" w:ascii="Times New Roman" w:hAnsi="Times New Roman" w:cs="Times New Roman" w:eastAsiaTheme="minorEastAsia"/>
          <w:b/>
          <w:bCs/>
          <w:color w:val="auto"/>
          <w:sz w:val="24"/>
          <w:szCs w:val="24"/>
          <w:u w:val="single"/>
          <w:lang w:val="en-US" w:eastAsia="zh-CN"/>
        </w:rPr>
        <w:t>4、机修含油污水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eastAsiaTheme="minorEastAsia"/>
          <w:color w:val="auto"/>
          <w:sz w:val="24"/>
          <w:szCs w:val="24"/>
          <w:u w:val="single"/>
          <w:lang w:val="en-US" w:eastAsia="zh-CN"/>
        </w:rPr>
      </w:pPr>
      <w:r>
        <w:rPr>
          <w:rFonts w:hint="eastAsia" w:ascii="Times New Roman" w:hAnsi="Times New Roman" w:eastAsiaTheme="minorEastAsia"/>
          <w:color w:val="auto"/>
          <w:sz w:val="24"/>
          <w:highlight w:val="none"/>
          <w:u w:val="single"/>
          <w:lang w:val="en-US" w:eastAsia="zh-CN"/>
        </w:rPr>
        <w:t>本项目的含油污水主要为加注平台相关加注、卸车设备的机械检修过程产生的污水，该部分污水较少，含油</w:t>
      </w:r>
      <w:r>
        <w:rPr>
          <w:rFonts w:hint="default" w:ascii="Times New Roman" w:hAnsi="Times New Roman" w:eastAsiaTheme="minorEastAsia"/>
          <w:color w:val="auto"/>
          <w:sz w:val="24"/>
          <w:highlight w:val="none"/>
          <w:u w:val="single"/>
          <w:lang w:val="en-US" w:eastAsia="zh-CN"/>
        </w:rPr>
        <w:t>量约为1</w:t>
      </w:r>
      <w:r>
        <w:rPr>
          <w:rFonts w:hint="eastAsia" w:ascii="Times New Roman" w:hAnsi="Times New Roman" w:eastAsiaTheme="minorEastAsia"/>
          <w:color w:val="auto"/>
          <w:sz w:val="24"/>
          <w:highlight w:val="none"/>
          <w:u w:val="single"/>
          <w:lang w:val="en-US" w:eastAsia="zh-CN"/>
        </w:rPr>
        <w:t>0</w:t>
      </w:r>
      <w:r>
        <w:rPr>
          <w:rFonts w:hint="default" w:ascii="Times New Roman" w:hAnsi="Times New Roman" w:eastAsiaTheme="minorEastAsia"/>
          <w:color w:val="auto"/>
          <w:sz w:val="24"/>
          <w:highlight w:val="none"/>
          <w:u w:val="single"/>
          <w:lang w:val="en-US" w:eastAsia="zh-CN"/>
        </w:rPr>
        <w:t>0</w:t>
      </w:r>
      <w:r>
        <w:rPr>
          <w:rFonts w:hint="eastAsia" w:ascii="Times New Roman" w:hAnsi="Times New Roman" w:eastAsiaTheme="minorEastAsia"/>
          <w:color w:val="auto"/>
          <w:sz w:val="24"/>
          <w:highlight w:val="none"/>
          <w:u w:val="single"/>
          <w:lang w:val="en-US" w:eastAsia="zh-CN"/>
        </w:rPr>
        <w:t>~</w:t>
      </w:r>
      <w:r>
        <w:rPr>
          <w:rFonts w:hint="default" w:ascii="Times New Roman" w:hAnsi="Times New Roman" w:eastAsiaTheme="minorEastAsia"/>
          <w:color w:val="auto"/>
          <w:sz w:val="24"/>
          <w:highlight w:val="none"/>
          <w:u w:val="single"/>
          <w:lang w:val="en-US" w:eastAsia="zh-CN"/>
        </w:rPr>
        <w:t>1</w:t>
      </w:r>
      <w:r>
        <w:rPr>
          <w:rFonts w:hint="eastAsia" w:ascii="Times New Roman" w:hAnsi="Times New Roman" w:eastAsiaTheme="minorEastAsia"/>
          <w:color w:val="auto"/>
          <w:sz w:val="24"/>
          <w:highlight w:val="none"/>
          <w:u w:val="single"/>
          <w:lang w:val="en-US" w:eastAsia="zh-CN"/>
        </w:rPr>
        <w:t>50</w:t>
      </w:r>
      <w:r>
        <w:rPr>
          <w:rFonts w:hint="default" w:ascii="Times New Roman" w:hAnsi="Times New Roman" w:eastAsiaTheme="minorEastAsia"/>
          <w:color w:val="auto"/>
          <w:sz w:val="24"/>
          <w:highlight w:val="none"/>
          <w:u w:val="single"/>
          <w:lang w:val="en-US" w:eastAsia="zh-CN"/>
        </w:rPr>
        <w:t>mg/L</w:t>
      </w:r>
      <w:r>
        <w:rPr>
          <w:rFonts w:hint="eastAsia" w:ascii="Times New Roman" w:hAnsi="Times New Roman" w:eastAsiaTheme="minorEastAsia"/>
          <w:color w:val="auto"/>
          <w:sz w:val="24"/>
          <w:highlight w:val="none"/>
          <w:u w:val="single"/>
          <w:lang w:val="en-US" w:eastAsia="zh-CN"/>
        </w:rPr>
        <w:t>之间。</w:t>
      </w:r>
      <w:r>
        <w:rPr>
          <w:rFonts w:hint="default" w:ascii="Times New Roman" w:hAnsi="Times New Roman" w:cs="Times New Roman" w:eastAsiaTheme="minorEastAsia"/>
          <w:color w:val="auto"/>
          <w:sz w:val="24"/>
          <w:szCs w:val="24"/>
          <w:u w:val="single"/>
        </w:rPr>
        <w:t>本项目产</w:t>
      </w:r>
      <w:r>
        <w:rPr>
          <w:rFonts w:hint="default" w:ascii="Times New Roman" w:hAnsi="Times New Roman" w:eastAsiaTheme="minorEastAsia"/>
          <w:color w:val="auto"/>
          <w:sz w:val="24"/>
          <w:highlight w:val="none"/>
          <w:u w:val="single"/>
          <w:lang w:val="en-US" w:eastAsia="zh-CN"/>
        </w:rPr>
        <w:t>生的</w:t>
      </w:r>
      <w:r>
        <w:rPr>
          <w:rFonts w:hint="eastAsia" w:ascii="Times New Roman" w:hAnsi="Times New Roman" w:eastAsiaTheme="minorEastAsia"/>
          <w:color w:val="auto"/>
          <w:sz w:val="24"/>
          <w:highlight w:val="none"/>
          <w:u w:val="single"/>
          <w:lang w:val="en-US" w:eastAsia="zh-CN"/>
        </w:rPr>
        <w:t>机修</w:t>
      </w:r>
      <w:r>
        <w:rPr>
          <w:rFonts w:hint="default" w:ascii="Times New Roman" w:hAnsi="Times New Roman" w:eastAsiaTheme="minorEastAsia"/>
          <w:color w:val="auto"/>
          <w:sz w:val="24"/>
          <w:highlight w:val="none"/>
          <w:u w:val="single"/>
          <w:lang w:val="en-US" w:eastAsia="zh-CN"/>
        </w:rPr>
        <w:t>含油污水</w:t>
      </w:r>
      <w:r>
        <w:rPr>
          <w:rFonts w:hint="eastAsia" w:ascii="Times New Roman" w:hAnsi="Times New Roman" w:eastAsiaTheme="minorEastAsia"/>
          <w:color w:val="auto"/>
          <w:sz w:val="24"/>
          <w:highlight w:val="none"/>
          <w:u w:val="single"/>
          <w:lang w:val="en-US" w:eastAsia="zh-CN"/>
        </w:rPr>
        <w:t>及</w:t>
      </w:r>
      <w:r>
        <w:rPr>
          <w:rFonts w:hint="default" w:ascii="Times New Roman" w:hAnsi="Times New Roman" w:eastAsiaTheme="minorEastAsia"/>
          <w:color w:val="auto"/>
          <w:sz w:val="24"/>
          <w:highlight w:val="none"/>
          <w:u w:val="single"/>
          <w:lang w:val="en-US" w:eastAsia="zh-CN"/>
        </w:rPr>
        <w:t>部分事故残液和事故消防液</w:t>
      </w:r>
      <w:r>
        <w:rPr>
          <w:rFonts w:hint="default" w:ascii="Times New Roman" w:hAnsi="Times New Roman" w:cs="Times New Roman" w:eastAsiaTheme="minorEastAsia"/>
          <w:color w:val="auto"/>
          <w:sz w:val="24"/>
          <w:szCs w:val="24"/>
          <w:u w:val="single"/>
        </w:rPr>
        <w:t>经污水收集箱收集后，达到一定量后，通过</w:t>
      </w:r>
      <w:r>
        <w:rPr>
          <w:rFonts w:hint="eastAsia" w:ascii="Times New Roman" w:hAnsi="Times New Roman" w:cs="Times New Roman" w:eastAsiaTheme="minorEastAsia"/>
          <w:color w:val="auto"/>
          <w:sz w:val="24"/>
          <w:szCs w:val="24"/>
          <w:u w:val="single"/>
          <w:lang w:val="en-US" w:eastAsia="zh-CN"/>
        </w:rPr>
        <w:t>专业</w:t>
      </w:r>
      <w:r>
        <w:rPr>
          <w:rFonts w:hint="default" w:ascii="Times New Roman" w:hAnsi="Times New Roman" w:cs="Times New Roman" w:eastAsiaTheme="minorEastAsia"/>
          <w:color w:val="auto"/>
          <w:sz w:val="24"/>
          <w:szCs w:val="24"/>
          <w:u w:val="single"/>
        </w:rPr>
        <w:t>泵车外运至君山区第二污水处理厂处置，本项目采用泵车运输含油废水的次数约2~3次/年，尾水处理达到《城镇污水处理厂污染物排放标准》（GB18918-2002）中一级B标准后沿柳毅西路排入长江。</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eastAsiaTheme="minorEastAsia"/>
          <w:b/>
          <w:bCs/>
          <w:color w:val="auto"/>
          <w:sz w:val="24"/>
          <w:szCs w:val="24"/>
          <w:u w:val="single"/>
        </w:rPr>
      </w:pPr>
      <w:r>
        <w:rPr>
          <w:rFonts w:hint="eastAsia" w:ascii="Times New Roman" w:hAnsi="Times New Roman" w:cs="Times New Roman" w:eastAsiaTheme="minorEastAsia"/>
          <w:b/>
          <w:bCs/>
          <w:color w:val="auto"/>
          <w:sz w:val="24"/>
          <w:szCs w:val="24"/>
          <w:u w:val="single"/>
          <w:lang w:val="en-US" w:eastAsia="zh-CN"/>
        </w:rPr>
        <w:t>5</w:t>
      </w:r>
      <w:r>
        <w:rPr>
          <w:rFonts w:hint="default" w:ascii="Times New Roman" w:hAnsi="Times New Roman" w:cs="Times New Roman" w:eastAsiaTheme="minorEastAsia"/>
          <w:b/>
          <w:bCs/>
          <w:color w:val="auto"/>
          <w:sz w:val="24"/>
          <w:szCs w:val="24"/>
          <w:u w:val="single"/>
        </w:rPr>
        <w:t>、营运期水量平衡及水污染负荷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本项目营运期污水发生量及污染物发生量见表4.4-2。</w:t>
      </w:r>
    </w:p>
    <w:p>
      <w:pPr>
        <w:adjustRightInd w:val="0"/>
        <w:snapToGrid w:val="0"/>
        <w:spacing w:line="276" w:lineRule="auto"/>
        <w:jc w:val="center"/>
        <w:rPr>
          <w:rFonts w:hint="default" w:ascii="Times New Roman" w:hAnsi="Times New Roman" w:cs="Times New Roman" w:eastAsiaTheme="minorEastAsia"/>
          <w:b/>
          <w:bCs/>
          <w:color w:val="auto"/>
          <w:sz w:val="24"/>
          <w:u w:val="single"/>
        </w:rPr>
      </w:pPr>
      <w:r>
        <w:rPr>
          <w:rFonts w:hint="default" w:ascii="Times New Roman" w:hAnsi="Times New Roman" w:cs="Times New Roman" w:eastAsiaTheme="minorEastAsia"/>
          <w:b/>
          <w:bCs/>
          <w:color w:val="auto"/>
          <w:sz w:val="24"/>
          <w:u w:val="single"/>
        </w:rPr>
        <w:t>表4.4-2  本项目营运期水污染物发生量</w:t>
      </w:r>
    </w:p>
    <w:tbl>
      <w:tblPr>
        <w:tblStyle w:val="72"/>
        <w:tblW w:w="501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93"/>
        <w:gridCol w:w="1144"/>
        <w:gridCol w:w="1116"/>
        <w:gridCol w:w="884"/>
        <w:gridCol w:w="1041"/>
        <w:gridCol w:w="937"/>
        <w:gridCol w:w="36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lang w:val="zh-CN"/>
              </w:rPr>
              <w:t>来源</w:t>
            </w:r>
          </w:p>
        </w:tc>
        <w:tc>
          <w:tcPr>
            <w:tcW w:w="611"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rPr>
              <w:t>污水发生量（m</w:t>
            </w:r>
            <w:r>
              <w:rPr>
                <w:rFonts w:hint="default" w:ascii="Times New Roman" w:hAnsi="Times New Roman" w:cs="Times New Roman"/>
                <w:b/>
                <w:bCs/>
                <w:color w:val="auto"/>
                <w:u w:val="single"/>
                <w:vertAlign w:val="superscript"/>
              </w:rPr>
              <w:t>3</w:t>
            </w:r>
            <w:r>
              <w:rPr>
                <w:rFonts w:hint="default" w:ascii="Times New Roman" w:hAnsi="Times New Roman" w:cs="Times New Roman"/>
                <w:b/>
                <w:bCs/>
                <w:color w:val="auto"/>
                <w:u w:val="single"/>
              </w:rPr>
              <w:t>/a）</w:t>
            </w:r>
          </w:p>
        </w:tc>
        <w:tc>
          <w:tcPr>
            <w:tcW w:w="484"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rPr>
              <w:t>污染物</w:t>
            </w:r>
          </w:p>
        </w:tc>
        <w:tc>
          <w:tcPr>
            <w:tcW w:w="570"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rPr>
              <w:t>污染物浓度（mg/L）</w:t>
            </w:r>
          </w:p>
        </w:tc>
        <w:tc>
          <w:tcPr>
            <w:tcW w:w="513"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rPr>
              <w:t>污染物发生量（t/a）</w:t>
            </w:r>
          </w:p>
        </w:tc>
        <w:tc>
          <w:tcPr>
            <w:tcW w:w="1977" w:type="pct"/>
            <w:tcBorders>
              <w:tl2br w:val="nil"/>
              <w:tr2bl w:val="nil"/>
            </w:tcBorders>
            <w:vAlign w:val="center"/>
          </w:tcPr>
          <w:p>
            <w:pPr>
              <w:adjustRightInd w:val="0"/>
              <w:snapToGrid w:val="0"/>
              <w:jc w:val="center"/>
              <w:rPr>
                <w:rFonts w:hint="default" w:ascii="Times New Roman" w:hAnsi="Times New Roman" w:cs="Times New Roman"/>
                <w:b/>
                <w:bCs/>
                <w:color w:val="auto"/>
                <w:u w:val="single"/>
                <w:lang w:val="zh-CN"/>
              </w:rPr>
            </w:pPr>
            <w:r>
              <w:rPr>
                <w:rFonts w:hint="default" w:ascii="Times New Roman" w:hAnsi="Times New Roman" w:cs="Times New Roman"/>
                <w:b/>
                <w:bCs/>
                <w:color w:val="auto"/>
                <w:u w:val="single"/>
                <w:lang w:val="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r>
              <w:rPr>
                <w:rFonts w:hint="default" w:ascii="Times New Roman" w:hAnsi="Times New Roman" w:cs="Times New Roman"/>
                <w:color w:val="auto"/>
                <w:u w:val="single"/>
                <w:lang w:val="zh-CN"/>
              </w:rPr>
              <w:t>船舶污水</w:t>
            </w:r>
          </w:p>
        </w:tc>
        <w:tc>
          <w:tcPr>
            <w:tcW w:w="627"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船舶油污水</w:t>
            </w:r>
          </w:p>
        </w:tc>
        <w:tc>
          <w:tcPr>
            <w:tcW w:w="611"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r>
              <w:rPr>
                <w:rFonts w:hint="default" w:ascii="Times New Roman" w:hAnsi="Times New Roman" w:cs="Times New Roman"/>
                <w:color w:val="auto"/>
                <w:u w:val="single"/>
                <w:lang w:val="zh-CN"/>
              </w:rPr>
              <w:t>石油类</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1977" w:type="pct"/>
            <w:vMerge w:val="restart"/>
            <w:tcBorders>
              <w:tl2br w:val="nil"/>
              <w:tr2bl w:val="nil"/>
            </w:tcBorders>
            <w:vAlign w:val="center"/>
          </w:tcPr>
          <w:p>
            <w:pPr>
              <w:adjustRightInd w:val="0"/>
              <w:snapToGrid w:val="0"/>
              <w:jc w:val="both"/>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rPr>
              <w:t>海事部门认可的有资质单位污染物接收船运至污水处理厂</w:t>
            </w:r>
            <w:r>
              <w:rPr>
                <w:rFonts w:hint="eastAsia" w:ascii="Times New Roman" w:hAnsi="Times New Roman" w:cs="Times New Roman"/>
                <w:color w:val="auto"/>
                <w:u w:val="single"/>
                <w:lang w:eastAsia="zh-CN"/>
              </w:rPr>
              <w:t>，</w:t>
            </w:r>
            <w:r>
              <w:rPr>
                <w:rFonts w:hint="eastAsia" w:ascii="Times New Roman" w:hAnsi="Times New Roman" w:cs="Times New Roman"/>
                <w:color w:val="auto"/>
                <w:u w:val="single"/>
                <w:lang w:val="en-US" w:eastAsia="zh-CN"/>
              </w:rPr>
              <w:t>不在本项目上岸处理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27"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r>
              <w:rPr>
                <w:rFonts w:hint="default" w:ascii="Times New Roman" w:hAnsi="Times New Roman" w:cs="Times New Roman"/>
                <w:color w:val="auto"/>
                <w:u w:val="single"/>
                <w:lang w:val="zh-CN"/>
              </w:rPr>
              <w:t>船舶生活污水</w:t>
            </w:r>
          </w:p>
        </w:tc>
        <w:tc>
          <w:tcPr>
            <w:tcW w:w="611"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COD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300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2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BOD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2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NH</w:t>
            </w:r>
            <w:r>
              <w:rPr>
                <w:rFonts w:hint="default" w:ascii="Times New Roman" w:hAnsi="Times New Roman" w:cs="Times New Roman"/>
                <w:color w:val="auto"/>
                <w:u w:val="single"/>
                <w:vertAlign w:val="subscript"/>
              </w:rPr>
              <w:t>3</w:t>
            </w:r>
            <w:r>
              <w:rPr>
                <w:rFonts w:hint="default" w:ascii="Times New Roman" w:hAnsi="Times New Roman" w:cs="Times New Roman"/>
                <w:color w:val="auto"/>
                <w:u w:val="single"/>
              </w:rPr>
              <w:t>-N</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35</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r>
              <w:rPr>
                <w:rFonts w:hint="default" w:ascii="Times New Roman" w:hAnsi="Times New Roman" w:cs="Times New Roman"/>
                <w:color w:val="auto"/>
                <w:u w:val="single"/>
                <w:lang w:val="zh-CN"/>
              </w:rPr>
              <w:t>码头工作人员生活污水</w:t>
            </w:r>
          </w:p>
        </w:tc>
        <w:tc>
          <w:tcPr>
            <w:tcW w:w="611" w:type="pct"/>
            <w:vMerge w:val="restart"/>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u w:val="single"/>
                <w:lang w:val="en-US" w:eastAsia="zh-CN"/>
              </w:rPr>
            </w:pPr>
            <w:r>
              <w:rPr>
                <w:rFonts w:hint="default" w:ascii="Times New Roman" w:hAnsi="Times New Roman" w:cs="Times New Roman"/>
                <w:b w:val="0"/>
                <w:bCs w:val="0"/>
                <w:color w:val="auto"/>
                <w:u w:val="single"/>
                <w:lang w:val="en-US" w:eastAsia="zh-CN"/>
              </w:rPr>
              <w:t>475.2</w:t>
            </w:r>
          </w:p>
        </w:tc>
        <w:tc>
          <w:tcPr>
            <w:tcW w:w="484" w:type="pct"/>
            <w:tcBorders>
              <w:tl2br w:val="nil"/>
              <w:tr2bl w:val="nil"/>
            </w:tcBorders>
            <w:vAlign w:val="center"/>
          </w:tcPr>
          <w:p>
            <w:pPr>
              <w:adjustRightInd w:val="0"/>
              <w:snapToGrid w:val="0"/>
              <w:jc w:val="center"/>
              <w:rPr>
                <w:rFonts w:hint="default" w:ascii="Times New Roman" w:hAnsi="Times New Roman" w:cs="Times New Roman"/>
                <w:b w:val="0"/>
                <w:bCs w:val="0"/>
                <w:color w:val="auto"/>
                <w:highlight w:val="none"/>
                <w:u w:val="single"/>
              </w:rPr>
            </w:pPr>
            <w:r>
              <w:rPr>
                <w:rFonts w:hint="default" w:ascii="Times New Roman" w:hAnsi="Times New Roman" w:cs="Times New Roman"/>
                <w:b w:val="0"/>
                <w:bCs w:val="0"/>
                <w:color w:val="auto"/>
                <w:highlight w:val="none"/>
                <w:u w:val="single"/>
              </w:rPr>
              <w:t>COD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300</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0.143</w:t>
            </w:r>
          </w:p>
        </w:tc>
        <w:tc>
          <w:tcPr>
            <w:tcW w:w="1977" w:type="pct"/>
            <w:vMerge w:val="restart"/>
            <w:tcBorders>
              <w:tl2br w:val="nil"/>
              <w:tr2bl w:val="nil"/>
            </w:tcBorders>
            <w:vAlign w:val="center"/>
          </w:tcPr>
          <w:p>
            <w:pPr>
              <w:adjustRightInd w:val="0"/>
              <w:snapToGrid w:val="0"/>
              <w:rPr>
                <w:rFonts w:hint="eastAsia" w:ascii="Times New Roman" w:hAnsi="Times New Roman" w:eastAsia="宋体" w:cs="Times New Roman"/>
                <w:color w:val="auto"/>
                <w:highlight w:val="none"/>
                <w:u w:val="single"/>
                <w:lang w:val="zh-CN" w:eastAsia="zh-CN"/>
              </w:rPr>
            </w:pPr>
            <w:r>
              <w:rPr>
                <w:rFonts w:hint="default" w:ascii="Times New Roman" w:hAnsi="Times New Roman" w:cs="Times New Roman"/>
                <w:color w:val="auto"/>
                <w:highlight w:val="none"/>
                <w:u w:val="single"/>
              </w:rPr>
              <w:t>本项目生活污水、初期雨水经污水</w:t>
            </w:r>
            <w:r>
              <w:rPr>
                <w:rFonts w:hint="eastAsia" w:ascii="Times New Roman" w:hAnsi="Times New Roman" w:cs="Times New Roman"/>
                <w:color w:val="auto"/>
                <w:highlight w:val="none"/>
                <w:u w:val="single"/>
                <w:lang w:val="en-US" w:eastAsia="zh-CN"/>
              </w:rPr>
              <w:t>收集</w:t>
            </w:r>
            <w:r>
              <w:rPr>
                <w:rFonts w:hint="default" w:ascii="Times New Roman" w:hAnsi="Times New Roman" w:cs="Times New Roman"/>
                <w:color w:val="auto"/>
                <w:highlight w:val="none"/>
                <w:u w:val="single"/>
              </w:rPr>
              <w:t>箱收集后，再泵送至陆域罐区污水处理站，处理达到《城市污水再生利用 城市杂用水水质》（GB/T18920-2002）城市绿化用水要求，用作厂区绿化，</w:t>
            </w:r>
            <w:r>
              <w:rPr>
                <w:rFonts w:hint="eastAsia" w:ascii="Times New Roman" w:hAnsi="Times New Roman" w:cs="Times New Roman"/>
                <w:color w:val="auto"/>
                <w:highlight w:val="none"/>
                <w:u w:val="single"/>
                <w:lang w:val="en-US" w:eastAsia="zh-CN"/>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b w:val="0"/>
                <w:bCs w:val="0"/>
                <w:color w:val="auto"/>
                <w:u w:val="singl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b w:val="0"/>
                <w:bCs w:val="0"/>
                <w:color w:val="auto"/>
                <w:highlight w:val="none"/>
                <w:u w:val="single"/>
              </w:rPr>
            </w:pPr>
            <w:r>
              <w:rPr>
                <w:rFonts w:hint="default" w:ascii="Times New Roman" w:hAnsi="Times New Roman" w:cs="Times New Roman"/>
                <w:b w:val="0"/>
                <w:bCs w:val="0"/>
                <w:color w:val="auto"/>
                <w:highlight w:val="none"/>
                <w:u w:val="single"/>
              </w:rPr>
              <w:t>BOD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200</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rPr>
              <w:t>0.</w:t>
            </w:r>
            <w:r>
              <w:rPr>
                <w:rFonts w:hint="default" w:ascii="Times New Roman" w:hAnsi="Times New Roman" w:cs="Times New Roman"/>
                <w:color w:val="auto"/>
                <w:highlight w:val="none"/>
                <w:u w:val="single"/>
                <w:lang w:val="en-US" w:eastAsia="zh-CN"/>
              </w:rPr>
              <w:t>095</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NH</w:t>
            </w:r>
            <w:r>
              <w:rPr>
                <w:rFonts w:hint="default" w:ascii="Times New Roman" w:hAnsi="Times New Roman" w:cs="Times New Roman"/>
                <w:color w:val="auto"/>
                <w:highlight w:val="none"/>
                <w:u w:val="single"/>
                <w:vertAlign w:val="subscript"/>
              </w:rPr>
              <w:t>3</w:t>
            </w:r>
            <w:r>
              <w:rPr>
                <w:rFonts w:hint="default" w:ascii="Times New Roman" w:hAnsi="Times New Roman" w:cs="Times New Roman"/>
                <w:color w:val="auto"/>
                <w:highlight w:val="none"/>
                <w:u w:val="single"/>
              </w:rPr>
              <w:t>-N</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35</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eastAsia="zh-CN"/>
              </w:rPr>
            </w:pPr>
            <w:r>
              <w:rPr>
                <w:rFonts w:hint="default" w:ascii="Times New Roman" w:hAnsi="Times New Roman" w:cs="Times New Roman"/>
                <w:color w:val="auto"/>
                <w:highlight w:val="none"/>
                <w:u w:val="single"/>
              </w:rPr>
              <w:t>0.0</w:t>
            </w:r>
            <w:r>
              <w:rPr>
                <w:rFonts w:hint="default" w:ascii="Times New Roman" w:hAnsi="Times New Roman" w:cs="Times New Roman"/>
                <w:color w:val="auto"/>
                <w:highlight w:val="none"/>
                <w:u w:val="single"/>
                <w:lang w:val="en-US" w:eastAsia="zh-CN"/>
              </w:rPr>
              <w:t>17</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eastAsia" w:ascii="Times New Roman" w:hAnsi="Times New Roman" w:eastAsia="宋体" w:cs="Times New Roman"/>
                <w:color w:val="auto"/>
                <w:sz w:val="21"/>
                <w:szCs w:val="21"/>
                <w:u w:val="single"/>
                <w:lang w:val="en-US" w:eastAsia="zh-CN"/>
              </w:rPr>
            </w:pPr>
            <w:r>
              <w:rPr>
                <w:rFonts w:hint="eastAsia" w:ascii="Times New Roman" w:hAnsi="Times New Roman" w:cs="Times New Roman"/>
                <w:color w:val="auto"/>
                <w:sz w:val="21"/>
                <w:szCs w:val="21"/>
                <w:u w:val="single"/>
                <w:lang w:val="en-US" w:eastAsia="zh-CN"/>
              </w:rPr>
              <w:t>初期雨水</w:t>
            </w:r>
          </w:p>
        </w:tc>
        <w:tc>
          <w:tcPr>
            <w:tcW w:w="611"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u w:val="single"/>
                <w:lang w:val="zh-CN"/>
              </w:rPr>
            </w:pPr>
            <w:r>
              <w:rPr>
                <w:rFonts w:hint="eastAsia" w:ascii="Times New Roman" w:hAnsi="Times New Roman" w:eastAsiaTheme="minorEastAsia"/>
                <w:color w:val="auto"/>
                <w:sz w:val="21"/>
                <w:szCs w:val="21"/>
                <w:highlight w:val="none"/>
                <w:u w:val="single"/>
                <w:lang w:val="en-US" w:eastAsia="zh-CN"/>
              </w:rPr>
              <w:t>174.504</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singl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r>
              <w:rPr>
                <w:rFonts w:hint="eastAsia" w:ascii="Times New Roman" w:hAnsi="Times New Roman" w:cs="Times New Roman"/>
                <w:color w:val="auto"/>
                <w:u w:val="single"/>
                <w:lang w:val="en-US" w:eastAsia="zh-CN"/>
              </w:rPr>
              <w:t>机修</w:t>
            </w:r>
            <w:r>
              <w:rPr>
                <w:rFonts w:hint="default" w:ascii="Times New Roman" w:hAnsi="Times New Roman" w:cs="Times New Roman"/>
                <w:color w:val="auto"/>
                <w:u w:val="single"/>
              </w:rPr>
              <w:t>含油污水</w:t>
            </w:r>
            <w:r>
              <w:rPr>
                <w:rFonts w:hint="eastAsia" w:ascii="Times New Roman" w:hAnsi="Times New Roman" w:cs="Times New Roman"/>
                <w:color w:val="auto"/>
                <w:u w:val="single"/>
                <w:lang w:val="en-US" w:eastAsia="zh-CN"/>
              </w:rPr>
              <w:t>及</w:t>
            </w:r>
            <w:r>
              <w:rPr>
                <w:rFonts w:hint="default" w:ascii="Times New Roman" w:hAnsi="Times New Roman" w:cs="Times New Roman"/>
                <w:color w:val="auto"/>
                <w:u w:val="single"/>
              </w:rPr>
              <w:t>部分事故残液和事故消防液</w:t>
            </w:r>
          </w:p>
        </w:tc>
        <w:tc>
          <w:tcPr>
            <w:tcW w:w="611" w:type="pct"/>
            <w:tcBorders>
              <w:tl2br w:val="nil"/>
              <w:tr2bl w:val="nil"/>
            </w:tcBorders>
            <w:vAlign w:val="center"/>
          </w:tcPr>
          <w:p>
            <w:pPr>
              <w:adjustRightInd w:val="0"/>
              <w:snapToGrid w:val="0"/>
              <w:jc w:val="center"/>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lang w:val="en-US" w:eastAsia="zh-CN"/>
              </w:rPr>
              <w:t>少量</w:t>
            </w:r>
          </w:p>
        </w:tc>
        <w:tc>
          <w:tcPr>
            <w:tcW w:w="484"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w:t>
            </w:r>
          </w:p>
        </w:tc>
        <w:tc>
          <w:tcPr>
            <w:tcW w:w="570"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w:t>
            </w:r>
          </w:p>
        </w:tc>
        <w:tc>
          <w:tcPr>
            <w:tcW w:w="1977" w:type="pct"/>
            <w:tcBorders>
              <w:tl2br w:val="nil"/>
              <w:tr2bl w:val="nil"/>
            </w:tcBorders>
            <w:vAlign w:val="center"/>
          </w:tcPr>
          <w:p>
            <w:pPr>
              <w:adjustRightInd w:val="0"/>
              <w:snapToGrid w:val="0"/>
              <w:jc w:val="both"/>
              <w:rPr>
                <w:rFonts w:hint="default" w:ascii="Times New Roman" w:hAnsi="Times New Roman" w:cs="Times New Roman"/>
                <w:color w:val="auto"/>
                <w:highlight w:val="none"/>
                <w:u w:val="single"/>
                <w:lang w:val="zh-CN"/>
              </w:rPr>
            </w:pPr>
            <w:r>
              <w:rPr>
                <w:rFonts w:hint="default" w:ascii="Times New Roman" w:hAnsi="Times New Roman" w:cs="Times New Roman"/>
                <w:color w:val="auto"/>
                <w:highlight w:val="none"/>
                <w:u w:val="single"/>
              </w:rPr>
              <w:t>本项目产生的</w:t>
            </w:r>
            <w:r>
              <w:rPr>
                <w:rFonts w:hint="eastAsia" w:ascii="Times New Roman" w:hAnsi="Times New Roman" w:cs="Times New Roman"/>
                <w:color w:val="auto"/>
                <w:highlight w:val="none"/>
                <w:u w:val="single"/>
                <w:lang w:val="en-US" w:eastAsia="zh-CN"/>
              </w:rPr>
              <w:t>机修</w:t>
            </w:r>
            <w:r>
              <w:rPr>
                <w:rFonts w:hint="default" w:ascii="Times New Roman" w:hAnsi="Times New Roman" w:cs="Times New Roman"/>
                <w:color w:val="auto"/>
                <w:highlight w:val="none"/>
                <w:u w:val="single"/>
              </w:rPr>
              <w:t>含油污水</w:t>
            </w:r>
            <w:r>
              <w:rPr>
                <w:rFonts w:hint="eastAsia" w:ascii="Times New Roman" w:hAnsi="Times New Roman" w:cs="Times New Roman"/>
                <w:color w:val="auto"/>
                <w:highlight w:val="none"/>
                <w:u w:val="single"/>
                <w:lang w:val="en-US" w:eastAsia="zh-CN"/>
              </w:rPr>
              <w:t>及</w:t>
            </w:r>
            <w:r>
              <w:rPr>
                <w:rFonts w:hint="default" w:ascii="Times New Roman" w:hAnsi="Times New Roman" w:cs="Times New Roman"/>
                <w:color w:val="auto"/>
                <w:highlight w:val="none"/>
                <w:u w:val="single"/>
              </w:rPr>
              <w:t>部分事故残液和事故消防液经</w:t>
            </w:r>
            <w:r>
              <w:rPr>
                <w:rFonts w:hint="eastAsia" w:ascii="Times New Roman" w:hAnsi="Times New Roman" w:cs="Times New Roman"/>
                <w:color w:val="auto"/>
                <w:highlight w:val="none"/>
                <w:u w:val="single"/>
                <w:lang w:eastAsia="zh-CN"/>
              </w:rPr>
              <w:t>污水收集箱</w:t>
            </w:r>
            <w:r>
              <w:rPr>
                <w:rFonts w:hint="default" w:ascii="Times New Roman" w:hAnsi="Times New Roman" w:cs="Times New Roman"/>
                <w:color w:val="auto"/>
                <w:highlight w:val="none"/>
                <w:u w:val="single"/>
              </w:rPr>
              <w:t>收集后，达到一定量后，通过</w:t>
            </w:r>
            <w:r>
              <w:rPr>
                <w:rFonts w:hint="eastAsia" w:ascii="Times New Roman" w:hAnsi="Times New Roman" w:cs="Times New Roman"/>
                <w:color w:val="auto"/>
                <w:highlight w:val="none"/>
                <w:u w:val="single"/>
                <w:lang w:val="en-US" w:eastAsia="zh-CN"/>
              </w:rPr>
              <w:t>专业</w:t>
            </w:r>
            <w:r>
              <w:rPr>
                <w:rFonts w:hint="default" w:ascii="Times New Roman" w:hAnsi="Times New Roman" w:cs="Times New Roman"/>
                <w:color w:val="auto"/>
                <w:highlight w:val="none"/>
                <w:u w:val="single"/>
              </w:rPr>
              <w:t>泵车外运至君山区第二污水处理厂处置，尾水处理达到《城镇污水处理厂污染物排放标准》（GB18918-2002）中一级B标准后沿柳毅西路排入长江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b w:val="0"/>
                <w:bCs w:val="0"/>
                <w:color w:val="auto"/>
                <w:u w:val="single"/>
                <w:lang w:val="zh-CN"/>
              </w:rPr>
            </w:pPr>
            <w:r>
              <w:rPr>
                <w:rFonts w:hint="default" w:ascii="Times New Roman" w:hAnsi="Times New Roman" w:cs="Times New Roman"/>
                <w:b w:val="0"/>
                <w:bCs w:val="0"/>
                <w:color w:val="auto"/>
                <w:u w:val="single"/>
                <w:lang w:val="zh-CN"/>
              </w:rPr>
              <w:t>合计</w:t>
            </w:r>
          </w:p>
        </w:tc>
        <w:tc>
          <w:tcPr>
            <w:tcW w:w="611" w:type="pct"/>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u w:val="single"/>
                <w:lang w:val="en-US" w:eastAsia="zh-CN"/>
              </w:rPr>
            </w:pPr>
            <w:r>
              <w:rPr>
                <w:rFonts w:hint="eastAsia" w:ascii="Times New Roman" w:hAnsi="Times New Roman" w:cs="Times New Roman"/>
                <w:b w:val="0"/>
                <w:bCs w:val="0"/>
                <w:color w:val="auto"/>
                <w:u w:val="single"/>
                <w:lang w:val="en-US" w:eastAsia="zh-CN"/>
              </w:rPr>
              <w:t>649.704</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c>
          <w:tcPr>
            <w:tcW w:w="1977" w:type="pct"/>
            <w:tcBorders>
              <w:tl2br w:val="nil"/>
              <w:tr2bl w:val="nil"/>
            </w:tcBorders>
            <w:vAlign w:val="center"/>
          </w:tcPr>
          <w:p>
            <w:pPr>
              <w:adjustRightInd w:val="0"/>
              <w:snapToGrid w:val="0"/>
              <w:jc w:val="center"/>
              <w:rPr>
                <w:rFonts w:hint="default" w:ascii="Times New Roman" w:hAnsi="Times New Roman" w:cs="Times New Roman"/>
                <w:color w:val="auto"/>
                <w:u w:val="single"/>
                <w:lang w:val="zh-CN"/>
              </w:rPr>
            </w:pPr>
          </w:p>
        </w:tc>
      </w:tr>
    </w:tbl>
    <w:p>
      <w:pPr>
        <w:adjustRightInd w:val="0"/>
        <w:snapToGrid w:val="0"/>
        <w:spacing w:line="360" w:lineRule="auto"/>
        <w:ind w:firstLine="420" w:firstLineChars="200"/>
        <w:jc w:val="left"/>
        <w:rPr>
          <w:rFonts w:hint="default" w:ascii="Times New Roman" w:hAnsi="Times New Roman" w:cs="Times New Roman"/>
          <w:color w:val="auto"/>
          <w:lang w:val="zh-CN"/>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噪声</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本项目新增噪声源主要为船舶发动机、传输泵等设备，具体见表4.4-3。</w:t>
      </w:r>
    </w:p>
    <w:p>
      <w:pPr>
        <w:adjustRightInd w:val="0"/>
        <w:snapToGrid w:val="0"/>
        <w:spacing w:line="276" w:lineRule="auto"/>
        <w:jc w:val="center"/>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表4.4-3  营运期噪声源强表</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71"/>
        <w:gridCol w:w="2272"/>
        <w:gridCol w:w="2272"/>
        <w:gridCol w:w="22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4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24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声源</w:t>
            </w:r>
          </w:p>
        </w:tc>
        <w:tc>
          <w:tcPr>
            <w:tcW w:w="124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位置</w:t>
            </w:r>
          </w:p>
        </w:tc>
        <w:tc>
          <w:tcPr>
            <w:tcW w:w="125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CIDFont+F3" w:cs="Times New Roman"/>
                <w:b/>
                <w:bCs/>
                <w:color w:val="auto"/>
              </w:rPr>
              <w:t>噪声级</w:t>
            </w:r>
            <w:r>
              <w:rPr>
                <w:rFonts w:hint="default" w:ascii="Times New Roman" w:hAnsi="Times New Roman" w:eastAsia="CIDFont+F1" w:cs="Times New Roman"/>
                <w:b/>
                <w:bCs/>
                <w:color w:val="auto"/>
              </w:rPr>
              <w:t>dB</w:t>
            </w:r>
            <w:r>
              <w:rPr>
                <w:rFonts w:hint="default" w:ascii="Times New Roman" w:hAnsi="Times New Roman" w:cs="Times New Roman"/>
                <w:b/>
                <w:bCs/>
                <w:color w:val="auto"/>
              </w:rPr>
              <w:t>(</w:t>
            </w:r>
            <w:r>
              <w:rPr>
                <w:rFonts w:hint="default" w:ascii="Times New Roman" w:hAnsi="Times New Roman" w:eastAsia="CIDFont+F1" w:cs="Times New Roman"/>
                <w:b/>
                <w:bCs/>
                <w:color w:val="auto"/>
              </w:rPr>
              <w:t>A</w:t>
            </w:r>
            <w:r>
              <w:rPr>
                <w:rFonts w:hint="default" w:ascii="Times New Roman" w:hAnsi="Times New Roman" w:cs="Times New Roman"/>
                <w:b/>
                <w:bCs/>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传输泵</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码头</w:t>
            </w:r>
          </w:p>
        </w:tc>
        <w:tc>
          <w:tcPr>
            <w:tcW w:w="12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其他机泵</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辅助区</w:t>
            </w:r>
          </w:p>
        </w:tc>
        <w:tc>
          <w:tcPr>
            <w:tcW w:w="12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船舶主机</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江面</w:t>
            </w:r>
          </w:p>
        </w:tc>
        <w:tc>
          <w:tcPr>
            <w:tcW w:w="12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船舶汽笛</w:t>
            </w:r>
          </w:p>
        </w:tc>
        <w:tc>
          <w:tcPr>
            <w:tcW w:w="124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江面</w:t>
            </w:r>
          </w:p>
        </w:tc>
        <w:tc>
          <w:tcPr>
            <w:tcW w:w="12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110</w:t>
            </w:r>
          </w:p>
        </w:tc>
      </w:tr>
    </w:tbl>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lang w:val="zh-CN"/>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固体废物</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码头工作人员生活垃圾</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本项目定员18人，按每人每天产生1.2kg生活垃圾测算，生活垃圾的产生量为21.6kg/d和7.</w:t>
      </w:r>
      <w:r>
        <w:rPr>
          <w:rFonts w:hint="default" w:ascii="Times New Roman" w:hAnsi="Times New Roman" w:cs="Times New Roman" w:eastAsiaTheme="minorEastAsia"/>
          <w:color w:val="auto"/>
          <w:kern w:val="0"/>
          <w:sz w:val="24"/>
          <w:szCs w:val="24"/>
          <w:lang w:val="en-US" w:eastAsia="zh-CN"/>
        </w:rPr>
        <w:t>128</w:t>
      </w:r>
      <w:r>
        <w:rPr>
          <w:rFonts w:hint="default" w:ascii="Times New Roman" w:hAnsi="Times New Roman" w:cs="Times New Roman" w:eastAsiaTheme="minorEastAsia"/>
          <w:color w:val="auto"/>
          <w:kern w:val="0"/>
          <w:sz w:val="24"/>
          <w:szCs w:val="24"/>
        </w:rPr>
        <w:t>t/a。</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生产废弃物</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根据《国家危险废物名录》（2016年版及2019年12月修订稿（二次征求意见稿）），废弃含油抹布及劳保用品混入生活垃圾，全过程不按危险废物管理。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固废情况汇总表具体见表4.4-4。</w:t>
      </w:r>
    </w:p>
    <w:p>
      <w:pPr>
        <w:adjustRightInd w:val="0"/>
        <w:snapToGrid w:val="0"/>
        <w:spacing w:line="276" w:lineRule="auto"/>
        <w:jc w:val="center"/>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表4.4-4  固体废物排放情况一览表</w:t>
      </w:r>
    </w:p>
    <w:tbl>
      <w:tblPr>
        <w:tblStyle w:val="7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029"/>
        <w:gridCol w:w="3038"/>
        <w:gridCol w:w="30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6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c>
          <w:tcPr>
            <w:tcW w:w="166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生产量（t/a）</w:t>
            </w:r>
          </w:p>
        </w:tc>
        <w:tc>
          <w:tcPr>
            <w:tcW w:w="1665"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处置方法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码头工作人员生活垃圾</w:t>
            </w:r>
          </w:p>
        </w:tc>
        <w:tc>
          <w:tcPr>
            <w:tcW w:w="1669"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7.</w:t>
            </w:r>
            <w:r>
              <w:rPr>
                <w:rFonts w:hint="default" w:ascii="Times New Roman" w:hAnsi="Times New Roman" w:cs="Times New Roman"/>
                <w:color w:val="auto"/>
                <w:lang w:val="en-US" w:eastAsia="zh-CN"/>
              </w:rPr>
              <w:t>128</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由环卫部门接收处置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擦洗用棉纱和抹布</w:t>
            </w:r>
          </w:p>
        </w:tc>
        <w:tc>
          <w:tcPr>
            <w:tcW w:w="1669" w:type="pct"/>
            <w:tcBorders>
              <w:tl2br w:val="nil"/>
              <w:tr2bl w:val="nil"/>
            </w:tcBorders>
            <w:vAlign w:val="center"/>
          </w:tcPr>
          <w:p>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highlight w:val="none"/>
                <w:lang w:val="en-US" w:eastAsia="zh-CN"/>
              </w:rPr>
              <w:t>1</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由环卫部门接收处置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1669"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8.128</w:t>
            </w:r>
          </w:p>
        </w:tc>
        <w:tc>
          <w:tcPr>
            <w:tcW w:w="1665"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bl>
    <w:p>
      <w:pPr>
        <w:adjustRightInd w:val="0"/>
        <w:snapToGrid w:val="0"/>
        <w:spacing w:line="360" w:lineRule="auto"/>
        <w:ind w:firstLine="420" w:firstLineChars="200"/>
        <w:jc w:val="left"/>
        <w:rPr>
          <w:rFonts w:hint="default" w:ascii="Times New Roman" w:hAnsi="Times New Roman" w:cs="Times New Roman"/>
          <w:color w:val="auto"/>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对水文情势的影响途径</w:t>
      </w:r>
    </w:p>
    <w:p>
      <w:pPr>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本项目建成后将改变局部河段的水文动力和冲淤环境，进而影响工程附近河段的生态环境。</w:t>
      </w:r>
    </w:p>
    <w:p>
      <w:pPr>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由于船舶的操作不当、碰撞、搁浅，从而引起船舶溢油事故，造成船舶燃料油溢漏入河，将影响码头及当地的河流生态环境。</w:t>
      </w:r>
    </w:p>
    <w:p>
      <w:pPr>
        <w:adjustRightInd w:val="0"/>
        <w:snapToGrid w:val="0"/>
        <w:spacing w:line="360" w:lineRule="auto"/>
        <w:jc w:val="left"/>
        <w:rPr>
          <w:rFonts w:hint="default" w:ascii="Times New Roman" w:hAnsi="Times New Roman" w:cs="Times New Roman"/>
          <w:color w:val="auto"/>
        </w:rPr>
      </w:pPr>
    </w:p>
    <w:p>
      <w:pPr>
        <w:adjustRightInd w:val="0"/>
        <w:snapToGrid w:val="0"/>
        <w:spacing w:line="360" w:lineRule="auto"/>
        <w:ind w:firstLine="420" w:firstLineChars="200"/>
        <w:jc w:val="left"/>
        <w:rPr>
          <w:rFonts w:hint="default" w:ascii="Times New Roman" w:hAnsi="Times New Roman" w:cs="Times New Roman"/>
          <w:color w:val="auto"/>
          <w:lang w:val="zh-CN"/>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lang w:val="zh-CN"/>
        </w:rPr>
      </w:pPr>
      <w:bookmarkStart w:id="62" w:name="_Toc18904"/>
      <w:bookmarkStart w:id="63" w:name="_Toc12642"/>
      <w:r>
        <w:rPr>
          <w:rFonts w:hint="default" w:ascii="Times New Roman" w:hAnsi="Times New Roman" w:cs="Times New Roman" w:eastAsiaTheme="minorEastAsia"/>
          <w:b/>
          <w:color w:val="auto"/>
          <w:sz w:val="32"/>
          <w:szCs w:val="32"/>
        </w:rPr>
        <w:t>环境现状调查与评价</w:t>
      </w:r>
      <w:bookmarkEnd w:id="62"/>
      <w:bookmarkEnd w:id="63"/>
    </w:p>
    <w:p>
      <w:pPr>
        <w:pStyle w:val="3"/>
        <w:ind w:left="578" w:hanging="578"/>
        <w:rPr>
          <w:rFonts w:hint="default" w:ascii="Times New Roman" w:hAnsi="Times New Roman" w:cs="Times New Roman" w:eastAsiaTheme="minorEastAsia"/>
          <w:b/>
          <w:color w:val="auto"/>
        </w:rPr>
      </w:pPr>
      <w:bookmarkStart w:id="64" w:name="_Toc11331"/>
      <w:bookmarkStart w:id="65" w:name="_Toc15486"/>
      <w:bookmarkStart w:id="66" w:name="_Toc298750358"/>
      <w:r>
        <w:rPr>
          <w:rFonts w:hint="default" w:ascii="Times New Roman" w:hAnsi="Times New Roman" w:cs="Times New Roman" w:eastAsiaTheme="minorEastAsia"/>
          <w:b/>
          <w:color w:val="auto"/>
        </w:rPr>
        <w:t>自然环境概况</w:t>
      </w:r>
      <w:bookmarkEnd w:id="64"/>
      <w:bookmarkEnd w:id="65"/>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地理位置</w:t>
      </w:r>
    </w:p>
    <w:bookmarkEnd w:id="66"/>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岳阳地处湖南东北部，东邻湖北赤壁、崇阳、通城、江西铜鼓、修水，南抵长沙、浏阳、望城，西接沅江、南县、安乡县，北界湖北的石首、监利、洪湖、蒲圻市。市境北滨“黄金水道”长江，南抱洞庭，纳湘资沅澧四水，沿长江水路逆江而上247km可达沙市，再达枝江、宜昌、重庆和宜宾；顺长江而下231km可抵武汉，再抵九江、南京和上海等大中城市；南上洞庭湖经171km湘江可至长沙，再至株洲、湘潭；沿资水可至益阳，沿沅水可至常德，经澧水可至津市等省内重要城市。</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君山区地处岳阳市西郊，由原钱粮湖农场、君山农场、建新农场、原岳阳县许市广新镇、原华容县三封乡肖台村、烟墩村组成，为岳阳市中心城区三大组成部分之一。君山区东部隔洞庭湖东洞庭水道与岳阳楼区为邻，南接岳阳市华容县，西北部是长江黄金水道，东北角有著名的三江口，整个湖南省的三湘四水的水流经洞庭湖，从这里汇入长江。全区用地狭长，呈一反“7”字形，位于东经112°56'</w:t>
      </w:r>
      <w:r>
        <w:rPr>
          <w:rFonts w:hint="eastAsia" w:ascii="Times New Roman" w:hAnsi="Times New Roman" w:cs="Times New Roman" w:eastAsiaTheme="minorEastAsia"/>
          <w:color w:val="auto"/>
          <w:sz w:val="24"/>
          <w:lang w:val="en-US" w:eastAsia="zh-CN"/>
        </w:rPr>
        <w:t>~</w:t>
      </w:r>
      <w:r>
        <w:rPr>
          <w:rFonts w:hint="default" w:ascii="Times New Roman" w:hAnsi="Times New Roman" w:cs="Times New Roman" w:eastAsiaTheme="minorEastAsia"/>
          <w:color w:val="auto"/>
          <w:sz w:val="24"/>
        </w:rPr>
        <w:t>113°5'，北纬29°23'</w:t>
      </w:r>
      <w:r>
        <w:rPr>
          <w:rFonts w:hint="eastAsia" w:ascii="Times New Roman" w:hAnsi="Times New Roman" w:cs="Times New Roman" w:eastAsiaTheme="minorEastAsia"/>
          <w:color w:val="auto"/>
          <w:sz w:val="24"/>
          <w:lang w:val="en-US" w:eastAsia="zh-CN"/>
        </w:rPr>
        <w:t>~</w:t>
      </w:r>
      <w:r>
        <w:rPr>
          <w:rFonts w:hint="default" w:ascii="Times New Roman" w:hAnsi="Times New Roman" w:cs="Times New Roman" w:eastAsiaTheme="minorEastAsia"/>
          <w:color w:val="auto"/>
          <w:sz w:val="24"/>
        </w:rPr>
        <w:t>29°30'之间，东西长约48km，南北宽约32km，总面积670.82km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本项目位于岳阳市君山区广兴洲镇，项目中心地理坐标为北纬112°55′2.11″，东经29°34′39.36″，项目地理位置具体见附图1。</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地形地貌</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岳阳市君山区地处岳阳市的西南部，地形为低丘陵，北边偏高，南边偏低。本区域丘岗在长期雨水侵蚀和物理化学风化下，形成了较厚的风化壳，由板页岩、砂页岩、灰岩、红色砂砾岩和花岗岩构成，项目地址岩层出露完整，露头较好，构造不复杂。</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工程区域地处洞庭湖北侧边缘，紧靠长江右岸，陆域地貌属于冲积平原，地形平坦，地势开阔，多辟为农田及村落，区内水塘、沟渠、小河发育，一般地面标高+29~+30m上下，在民居村落附近，地势稍高。长江位于勘区东北侧，汛季江水位远高于现有地面，江边筑有堤防及水闸，堤顶高一般+37m以上。临江一侧漫滩发育，地面高程一般+29~+31m，种有防护林。</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位于荆江河曲的下段，为两个同向弯道之间的顺直过渡段。长江河道流经勘区处江面较为宽阔，水流方向为南偏东，岸线顺直，岸坡坡面为浆砌块石，堤脚有抛石保护，以抵抗长江水的冲刷，抛石分布宽度为10m左右。</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气候气象</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本项目河段位于中低纬度，属亚热带季风气候区，冬季寒冷干燥，降雨偏少；夏季炎热，春秋季雨量偏多。</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岳阳国家基本气象站位于北纬29°23′、东经113°05′，海拔53.0m，始建于1952年，具有建站以来60多年气象原始资料。根据岳阳气象站1952年以来统计资料，工程河段气象条件如下：</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⑴ 气温</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历年最高气温：   40.4℃（1966年8月1日）</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历年最低气温：   -18.0℃（1969年1月31日）</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多年平均气温：   16.4℃</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最高月平均气温： 31.3℃</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最低月平均气温： 2.4℃</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⑵ 降水</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多年平均降水量：1307mm</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年最大降水量：2337mm</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年最小降水量：774.4mm</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多年平均降水量：1324.8mm</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多年年平均降雨天数：135天</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⑶ 风况</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常风向：    NE　NNE</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强风向：    NE</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平均风速：  3m/s</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最大风速：  28m/s（1965年7月21日）</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平均最大风速：7.8m/s</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8级以上大风平均每年17.5d，6级以上大风平均每年21d。</w:t>
      </w:r>
    </w:p>
    <w:p>
      <w:pPr>
        <w:pStyle w:val="848"/>
        <w:adjustRightInd w:val="0"/>
        <w:snapToGrid w:val="0"/>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1691640" cy="2400935"/>
            <wp:effectExtent l="0" t="0" r="3810" b="18415"/>
            <wp:docPr id="19" name="图片 4" descr="总平面布置图（一方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总平面布置图（一方案）2"/>
                    <pic:cNvPicPr>
                      <a:picLocks noChangeAspect="1"/>
                    </pic:cNvPicPr>
                  </pic:nvPicPr>
                  <pic:blipFill>
                    <a:blip r:embed="rId40"/>
                    <a:srcRect l="10364" t="4370" r="12312" b="9142"/>
                    <a:stretch>
                      <a:fillRect/>
                    </a:stretch>
                  </pic:blipFill>
                  <pic:spPr>
                    <a:xfrm>
                      <a:off x="0" y="0"/>
                      <a:ext cx="1691640" cy="2400935"/>
                    </a:xfrm>
                    <a:prstGeom prst="rect">
                      <a:avLst/>
                    </a:prstGeom>
                    <a:noFill/>
                    <a:ln>
                      <a:noFill/>
                    </a:ln>
                  </pic:spPr>
                </pic:pic>
              </a:graphicData>
            </a:graphic>
          </wp:inline>
        </w:drawing>
      </w:r>
    </w:p>
    <w:p>
      <w:pPr>
        <w:pStyle w:val="848"/>
        <w:ind w:left="0" w:leftChars="0"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图5.1-1  岳阳气象站风玫瑰图</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⑷ 雾况</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平均年雾日数：  16.5d（能见度小于1km以下的雾日）</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最多年雾日数：  29d</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最少年雾日数：  7d</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本地雾日相对较多，一般发生在冬、春季的清晨及夜间，上午10时以后消散。</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⑸ 雷暴</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历年雷暴平均日数为42.4天。</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⑹ 相对湿度</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年平均相对湿度：79%</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地质地震</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地质构造</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本河段所在的荆江河段位于晚元古代扬子旋回末形成的一级构造单元扬子准地台的两湖（江汉盆地与洞庭湖盆地）断拗二级构造单元内。在地质历史过程中，主要经历了晋宁期、燕山期、喜山期三期强烈的构造运动。</w:t>
      </w:r>
    </w:p>
    <w:p>
      <w:pPr>
        <w:pStyle w:val="848"/>
        <w:adjustRightInd w:val="0"/>
        <w:snapToGrid w:val="0"/>
        <w:rPr>
          <w:rFonts w:hint="default" w:ascii="Times New Roman" w:hAnsi="Times New Roman" w:cs="Times New Roman"/>
          <w:color w:val="auto"/>
        </w:rPr>
      </w:pPr>
      <w:r>
        <w:rPr>
          <w:rFonts w:hint="default" w:ascii="Times New Roman" w:hAnsi="Times New Roman" w:cs="Times New Roman"/>
          <w:color w:val="auto"/>
        </w:rPr>
        <w:t>自第三纪以来，地壳运动以整体升降运动为主，渐趋稳定，差异活动减弱。区内第四系地貌的发育，地层的沉积、河湖的演变受控于新构造运动。</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工程地质</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根据地质院实测当地地勘报告，表明广兴洲区域：勘区岩土层主要为第四系全新统河流冲积形成的河床相及漫滩相地层，陆域地表局部分布有人工填土，下伏基岩为细砂岩。覆盖层主要为：①素填土（Q4ml），①1块石（Q4ml），②粉质黏土（Q4al），②1淤泥质粉质黏土（Q4al），②2粉土（Q4al），③粉细砂（Q4al），③1中砂（Q4al），④粉细砂（Q4al），④1中砂（Q4al），⑤粉细砂（Q4al），⑤1中砂（Q4al），⑤2粉质黏土（Q4al），⑥粉细砂（Q4al），⑥1中砂（Q4al），⑥2砾砂（Q4al），⑦1全风化砂岩（E2z），⑦2强风化砂岩（E2z）。</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岸坡顺直，走向170°，岸坡以上为广兴洲，滩面高程30.5~32.8m。岸边发育边滩，滩面高程19.2~20.2m，岸坡高度11~18m，坡度一般10°~20°，局部因崩岸呈多级陡坎状，坎高一般2~3m。岸坡地质结构为上粘下砂双层结构的Ⅱ类岸坡，主要由②1灰黄色粉质粘土、②2深灰色粉质粘土、③1松散~稍密粉细砂、③2中密粉细砂组成，粉细砂层分布在岸坡坡脚附近。</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地震</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根据国家标准《中国地震动参数区划图》（GB18306-2015），勘区地震动反应谱特征周期为0.35</w:t>
      </w:r>
      <w:r>
        <w:rPr>
          <w:rFonts w:hint="eastAsia" w:ascii="Times New Roman" w:hAnsi="Times New Roman" w:cs="Times New Roman"/>
          <w:color w:val="auto"/>
          <w:sz w:val="24"/>
          <w:lang w:val="en-US" w:eastAsia="zh-CN"/>
        </w:rPr>
        <w:t>s</w:t>
      </w:r>
      <w:r>
        <w:rPr>
          <w:rFonts w:hint="default" w:ascii="Times New Roman" w:hAnsi="Times New Roman" w:cs="Times New Roman"/>
          <w:color w:val="auto"/>
          <w:sz w:val="24"/>
        </w:rPr>
        <w:t>，地震加速度峰值为0.05g/s，根据该标准附录G“场地地震动峰值加速度与地震烈度对照表”，本项目区域地震动参数对应的地震基本烈度为Ⅵ度区。</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地表水文动力环境与冲淤环境</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三峡枢纽运行前天然径流特征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长江流域水资源丰富，长江径流主要由降雨形成。径流的季节变化与降雨季节变化一致。汛期水量占全年水量的70~75</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rPr>
        <w:t>，径流年际变化较小，每年6~10月为洪水期，12月~次年3月为枯水期，其最小流量及最低水位多出现在2月份。据螺山水文站多年实测资料统计，其天然径流特征值如下；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多年平均流量：20300m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历年最大流量：78800m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历年最小流量：4060m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年最低水位多出现在2、3月份，其概率约为85</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rPr>
        <w:t>。</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三峡枢纽运行后天然径流特征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据螺山站2003~2010年资料统计，三峡水库蓄水运用以来，长江中游一直出现中、小水和少沙年份，年均来水量较蓄水前（1950~2002年）约减少8%，来沙量约减少75%，特别是2006年，来水量减少最多，达27%，来沙量减少达86%见下表。</w:t>
      </w:r>
    </w:p>
    <w:p>
      <w:pPr>
        <w:pStyle w:val="848"/>
        <w:adjustRightInd w:val="0"/>
        <w:snapToGrid w:val="0"/>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表5.1-1  三峡水库蓄水后螺山水文站径流量统计表</w:t>
      </w:r>
    </w:p>
    <w:tbl>
      <w:tblPr>
        <w:tblStyle w:val="71"/>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329"/>
        <w:gridCol w:w="710"/>
        <w:gridCol w:w="710"/>
        <w:gridCol w:w="710"/>
        <w:gridCol w:w="770"/>
        <w:gridCol w:w="770"/>
        <w:gridCol w:w="770"/>
        <w:gridCol w:w="770"/>
        <w:gridCol w:w="772"/>
        <w:gridCol w:w="7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exact"/>
          <w:tblHeader/>
        </w:trPr>
        <w:tc>
          <w:tcPr>
            <w:tcW w:w="1279"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年份</w:t>
            </w:r>
          </w:p>
        </w:tc>
        <w:tc>
          <w:tcPr>
            <w:tcW w:w="390"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2003</w:t>
            </w:r>
          </w:p>
        </w:tc>
        <w:tc>
          <w:tcPr>
            <w:tcW w:w="390"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2004</w:t>
            </w:r>
          </w:p>
        </w:tc>
        <w:tc>
          <w:tcPr>
            <w:tcW w:w="390"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2005</w:t>
            </w:r>
          </w:p>
        </w:tc>
        <w:tc>
          <w:tcPr>
            <w:tcW w:w="423"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2006</w:t>
            </w:r>
          </w:p>
        </w:tc>
        <w:tc>
          <w:tcPr>
            <w:tcW w:w="423"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2007</w:t>
            </w:r>
          </w:p>
        </w:tc>
        <w:tc>
          <w:tcPr>
            <w:tcW w:w="423"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2008</w:t>
            </w:r>
          </w:p>
        </w:tc>
        <w:tc>
          <w:tcPr>
            <w:tcW w:w="423"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2009</w:t>
            </w:r>
          </w:p>
        </w:tc>
        <w:tc>
          <w:tcPr>
            <w:tcW w:w="424" w:type="pct"/>
            <w:vAlign w:val="center"/>
          </w:tcPr>
          <w:p>
            <w:pPr>
              <w:adjustRightInd w:val="0"/>
              <w:snapToGrid w:val="0"/>
              <w:jc w:val="center"/>
              <w:textAlignment w:val="baseline"/>
              <w:rPr>
                <w:rFonts w:hint="default" w:ascii="Times New Roman" w:hAnsi="Times New Roman" w:cs="Times New Roman"/>
                <w:b/>
                <w:color w:val="auto"/>
                <w:kern w:val="0"/>
              </w:rPr>
            </w:pPr>
            <w:r>
              <w:rPr>
                <w:rFonts w:hint="default" w:ascii="Times New Roman" w:hAnsi="Times New Roman" w:cs="Times New Roman"/>
                <w:b/>
                <w:color w:val="auto"/>
                <w:kern w:val="0"/>
              </w:rPr>
              <w:t>2010</w:t>
            </w:r>
          </w:p>
        </w:tc>
        <w:tc>
          <w:tcPr>
            <w:tcW w:w="429" w:type="pct"/>
            <w:vAlign w:val="center"/>
          </w:tcPr>
          <w:p>
            <w:pPr>
              <w:adjustRightInd w:val="0"/>
              <w:snapToGrid w:val="0"/>
              <w:jc w:val="center"/>
              <w:rPr>
                <w:rFonts w:hint="default" w:ascii="Times New Roman" w:hAnsi="Times New Roman" w:cs="Times New Roman"/>
                <w:b/>
                <w:color w:val="auto"/>
                <w:kern w:val="0"/>
              </w:rPr>
            </w:pPr>
            <w:r>
              <w:rPr>
                <w:rFonts w:hint="default" w:ascii="Times New Roman" w:hAnsi="Times New Roman" w:cs="Times New Roman"/>
                <w:b/>
                <w:color w:val="auto"/>
              </w:rPr>
              <w:t>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exact"/>
        </w:trPr>
        <w:tc>
          <w:tcPr>
            <w:tcW w:w="127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径流量（10</w:t>
            </w:r>
            <w:r>
              <w:rPr>
                <w:rFonts w:hint="default" w:ascii="Times New Roman" w:hAnsi="Times New Roman" w:cs="Times New Roman"/>
                <w:color w:val="auto"/>
                <w:vertAlign w:val="superscript"/>
              </w:rPr>
              <w:t>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6371</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5980</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6429</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4647</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5687</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6085</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5536</w:t>
            </w:r>
          </w:p>
        </w:tc>
        <w:tc>
          <w:tcPr>
            <w:tcW w:w="424"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6480</w:t>
            </w:r>
          </w:p>
        </w:tc>
        <w:tc>
          <w:tcPr>
            <w:tcW w:w="42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5902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exact"/>
        </w:trPr>
        <w:tc>
          <w:tcPr>
            <w:tcW w:w="127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与蓄水前相比（%）</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0</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-7</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1</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-27</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-11</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-5</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-13</w:t>
            </w:r>
          </w:p>
        </w:tc>
        <w:tc>
          <w:tcPr>
            <w:tcW w:w="424"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1</w:t>
            </w:r>
          </w:p>
        </w:tc>
        <w:tc>
          <w:tcPr>
            <w:tcW w:w="42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exact"/>
        </w:trPr>
        <w:tc>
          <w:tcPr>
            <w:tcW w:w="127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输沙量（10</w:t>
            </w:r>
            <w:r>
              <w:rPr>
                <w:rFonts w:hint="default" w:ascii="Times New Roman" w:hAnsi="Times New Roman" w:cs="Times New Roman"/>
                <w:color w:val="auto"/>
                <w:vertAlign w:val="superscript"/>
              </w:rPr>
              <w:t>8</w:t>
            </w:r>
            <w:r>
              <w:rPr>
                <w:rFonts w:hint="default" w:ascii="Times New Roman" w:hAnsi="Times New Roman" w:cs="Times New Roman"/>
                <w:color w:val="auto"/>
              </w:rPr>
              <w:t>t）</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1.46</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1.23</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1.47</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0.581</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0.952</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0.914</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0.772</w:t>
            </w:r>
          </w:p>
        </w:tc>
        <w:tc>
          <w:tcPr>
            <w:tcW w:w="424"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0.837</w:t>
            </w:r>
          </w:p>
        </w:tc>
        <w:tc>
          <w:tcPr>
            <w:tcW w:w="42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1.027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exact"/>
        </w:trPr>
        <w:tc>
          <w:tcPr>
            <w:tcW w:w="127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color w:val="auto"/>
              </w:rPr>
              <w:t>与蓄水前相比（%）</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-65</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-70</w:t>
            </w:r>
          </w:p>
        </w:tc>
        <w:tc>
          <w:tcPr>
            <w:tcW w:w="390"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-65</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-86</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-77</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-78</w:t>
            </w:r>
          </w:p>
        </w:tc>
        <w:tc>
          <w:tcPr>
            <w:tcW w:w="423"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-81</w:t>
            </w:r>
          </w:p>
        </w:tc>
        <w:tc>
          <w:tcPr>
            <w:tcW w:w="424"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-80</w:t>
            </w:r>
          </w:p>
        </w:tc>
        <w:tc>
          <w:tcPr>
            <w:tcW w:w="429" w:type="pct"/>
            <w:vAlign w:val="center"/>
          </w:tcPr>
          <w:p>
            <w:pPr>
              <w:adjustRightInd w:val="0"/>
              <w:snapToGrid w:val="0"/>
              <w:jc w:val="center"/>
              <w:textAlignment w:val="baseline"/>
              <w:rPr>
                <w:rFonts w:hint="default" w:ascii="Times New Roman" w:hAnsi="Times New Roman" w:cs="Times New Roman"/>
                <w:bCs/>
                <w:color w:val="auto"/>
                <w:kern w:val="0"/>
              </w:rPr>
            </w:pPr>
            <w:r>
              <w:rPr>
                <w:rFonts w:hint="default" w:ascii="Times New Roman" w:hAnsi="Times New Roman" w:cs="Times New Roman"/>
                <w:bCs/>
                <w:color w:val="auto"/>
                <w:kern w:val="0"/>
              </w:rPr>
              <w:t>-75</w:t>
            </w:r>
          </w:p>
        </w:tc>
      </w:tr>
    </w:tbl>
    <w:p>
      <w:pPr>
        <w:adjustRightInd w:val="0"/>
        <w:snapToGrid w:val="0"/>
        <w:spacing w:line="360" w:lineRule="auto"/>
        <w:rPr>
          <w:rFonts w:hint="default" w:ascii="Times New Roman" w:hAnsi="Times New Roman" w:cs="Times New Roman" w:eastAsiaTheme="minorEastAsia"/>
          <w:b/>
          <w:color w:val="auto"/>
          <w:sz w:val="24"/>
        </w:rPr>
      </w:pPr>
      <w:r>
        <w:rPr>
          <w:rFonts w:hint="default" w:ascii="Times New Roman" w:hAnsi="Times New Roman" w:cs="Times New Roman"/>
          <w:color w:val="auto"/>
        </w:rPr>
        <w:t>注：</w:t>
      </w:r>
      <w:r>
        <w:rPr>
          <w:rFonts w:hint="default" w:ascii="Times New Roman" w:hAnsi="Times New Roman" w:cs="Times New Roman"/>
          <w:bCs/>
          <w:color w:val="auto"/>
          <w:kern w:val="0"/>
        </w:rPr>
        <w:t>表中“-”值为水库运用后螺山站径流量或输沙量减少百分数</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本项目设计水位系根据城陵矶水文站资料进行相关分析，推算出</w:t>
      </w:r>
      <w:r>
        <w:rPr>
          <w:rFonts w:hint="eastAsia" w:ascii="Times New Roman" w:hAnsi="Times New Roman" w:cs="Times New Roman"/>
          <w:color w:val="auto"/>
          <w:sz w:val="24"/>
          <w:lang w:eastAsia="zh-CN"/>
        </w:rPr>
        <w:t>本项目</w:t>
      </w:r>
      <w:r>
        <w:rPr>
          <w:rFonts w:hint="default" w:ascii="Times New Roman" w:hAnsi="Times New Roman" w:cs="Times New Roman"/>
          <w:color w:val="auto"/>
          <w:sz w:val="24"/>
        </w:rPr>
        <w:t>水域设计水位如下：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设计高水位：34.40m（重现期50年）</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设计低水位：20.40m（保证率98%）</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位于洪水港下游3km处，该段河道顺直，多年来河道总体河势保持稳定。从洪水港至下游3km处，近岸水深条件良好，可满足吃水较大的船舶停泊布置。总体上看，工程段岸线已处于相对稳定之中，港前水域无不良流态，水流平顺，随着江水水位的涨落变化，水流流速也会相应的调整。</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泥沙</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1、三峡水库蓄水运用前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根据螺山站1950~2002年的资料统计（见表5.1-3），本河段多年平均流量为20300m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/s，历年最大流量为78800m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/s（1954年8月7日），历年最小流量为4060m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/s（1963年2月5日）；多年平均输沙量为4.13亿吨，最大输沙量为6.15亿吨（1981年），最小输沙量为2.48亿吨（1994年）；多年平均含沙量0.65kg/m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，最大含沙量5.66kg/m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（1975年8月12日），最小含沙量0.048kg/m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（1954年2月1日）。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河段来水来沙年内变化较大，汛期（5~10月）水量占全年的73~74%，输沙量占全年的85~87%。最大流量及最大沙量均发生在7~8月，最小流量、最小沙量则发生在1~2月。年径流量主要集中在主汛期7~9月，约占全年的43.2%，而枯水期12~3月则只占全年的13.6%；与径流量相比，输沙量更加集中，主汛期7~9月输沙量占全年的59.1%，而枯水期12~3月则仅占全年的6.5%（见表5.1-</w:t>
      </w:r>
      <w:r>
        <w:rPr>
          <w:rFonts w:hint="eastAsia" w:ascii="Times New Roman" w:hAnsi="Times New Roman" w:cs="Times New Roman"/>
          <w:color w:val="auto"/>
          <w:sz w:val="24"/>
          <w:lang w:val="en-US" w:eastAsia="zh-CN"/>
        </w:rPr>
        <w:t>3</w:t>
      </w:r>
      <w:r>
        <w:rPr>
          <w:rFonts w:hint="default" w:ascii="Times New Roman" w:hAnsi="Times New Roman" w:cs="Times New Roman"/>
          <w:color w:val="auto"/>
          <w:sz w:val="24"/>
        </w:rPr>
        <w:t>）。</w:t>
      </w: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表5.1-3  螺山站水文泥沙特征值统计表</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494"/>
        <w:gridCol w:w="1343"/>
        <w:gridCol w:w="768"/>
        <w:gridCol w:w="1349"/>
        <w:gridCol w:w="768"/>
        <w:gridCol w:w="1349"/>
        <w:gridCol w:w="102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371" w:type="pct"/>
            <w:vMerge w:val="restar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738" w:type="pct"/>
            <w:vMerge w:val="restart"/>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多年平均</w:t>
            </w:r>
          </w:p>
        </w:tc>
        <w:tc>
          <w:tcPr>
            <w:tcW w:w="1163" w:type="pct"/>
            <w:gridSpan w:val="2"/>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历年最大</w:t>
            </w:r>
          </w:p>
        </w:tc>
        <w:tc>
          <w:tcPr>
            <w:tcW w:w="1163" w:type="pct"/>
            <w:gridSpan w:val="2"/>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历年最小</w:t>
            </w:r>
          </w:p>
        </w:tc>
        <w:tc>
          <w:tcPr>
            <w:tcW w:w="563" w:type="pct"/>
            <w:vMerge w:val="restar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统计</w:t>
            </w:r>
          </w:p>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年份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371"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c>
          <w:tcPr>
            <w:tcW w:w="738"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c>
          <w:tcPr>
            <w:tcW w:w="422"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数值</w:t>
            </w:r>
          </w:p>
        </w:tc>
        <w:tc>
          <w:tcPr>
            <w:tcW w:w="740"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日期</w:t>
            </w:r>
          </w:p>
        </w:tc>
        <w:tc>
          <w:tcPr>
            <w:tcW w:w="422"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数值</w:t>
            </w:r>
          </w:p>
        </w:tc>
        <w:tc>
          <w:tcPr>
            <w:tcW w:w="740"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日期</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水位（黄海高程m）</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21.41</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32.74</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1998.8.20</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13.52</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1960.2.16</w:t>
            </w:r>
          </w:p>
        </w:tc>
        <w:tc>
          <w:tcPr>
            <w:tcW w:w="563" w:type="pct"/>
            <w:vMerge w:val="restar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1950~2002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流量（m</w:t>
            </w:r>
            <w:r>
              <w:rPr>
                <w:rFonts w:hint="default" w:ascii="Times New Roman" w:hAnsi="Times New Roman" w:cs="Times New Roman"/>
                <w:color w:val="auto"/>
                <w:vertAlign w:val="superscript"/>
              </w:rPr>
              <w:t>3</w:t>
            </w:r>
            <w:r>
              <w:rPr>
                <w:rFonts w:hint="default" w:ascii="Times New Roman" w:hAnsi="Times New Roman" w:cs="Times New Roman"/>
                <w:color w:val="auto"/>
              </w:rPr>
              <w:t>/s）</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20300</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78800</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1954.8.7</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4060</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1963.2.5</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输沙量（亿t）</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4.13</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6.15</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1981</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2.48</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1994</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含沙量（kg/m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0.65</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5.66</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1975.8.12</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0.048</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1954.2.1</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bl>
    <w:p>
      <w:pPr>
        <w:adjustRightInd w:val="0"/>
        <w:snapToGrid w:val="0"/>
        <w:spacing w:line="360" w:lineRule="auto"/>
        <w:ind w:firstLine="480" w:firstLineChars="200"/>
        <w:rPr>
          <w:rFonts w:hint="default" w:ascii="Times New Roman" w:hAnsi="Times New Roman" w:cs="Times New Roman"/>
          <w:color w:val="auto"/>
          <w:sz w:val="24"/>
        </w:rPr>
      </w:pP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表5.1-4  螺山站多年平均径流量、输沙量年内分配表</w:t>
      </w:r>
    </w:p>
    <w:tbl>
      <w:tblPr>
        <w:tblStyle w:val="71"/>
        <w:tblW w:w="4993"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417"/>
        <w:gridCol w:w="638"/>
        <w:gridCol w:w="638"/>
        <w:gridCol w:w="638"/>
        <w:gridCol w:w="638"/>
        <w:gridCol w:w="640"/>
        <w:gridCol w:w="640"/>
        <w:gridCol w:w="640"/>
        <w:gridCol w:w="640"/>
        <w:gridCol w:w="640"/>
        <w:gridCol w:w="641"/>
        <w:gridCol w:w="641"/>
        <w:gridCol w:w="63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exact"/>
          <w:jc w:val="center"/>
        </w:trPr>
        <w:tc>
          <w:tcPr>
            <w:tcW w:w="779"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项目</w:t>
            </w:r>
          </w:p>
        </w:tc>
        <w:tc>
          <w:tcPr>
            <w:tcW w:w="351"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1月</w:t>
            </w:r>
          </w:p>
        </w:tc>
        <w:tc>
          <w:tcPr>
            <w:tcW w:w="351"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2月</w:t>
            </w:r>
          </w:p>
        </w:tc>
        <w:tc>
          <w:tcPr>
            <w:tcW w:w="351"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3月</w:t>
            </w:r>
          </w:p>
        </w:tc>
        <w:tc>
          <w:tcPr>
            <w:tcW w:w="351"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4月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5月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6月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7月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8月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9月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10月</w:t>
            </w:r>
          </w:p>
        </w:tc>
        <w:tc>
          <w:tcPr>
            <w:tcW w:w="352"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11月</w:t>
            </w:r>
          </w:p>
        </w:tc>
        <w:tc>
          <w:tcPr>
            <w:tcW w:w="349" w:type="pct"/>
            <w:noWrap/>
            <w:vAlign w:val="center"/>
          </w:tcPr>
          <w:p>
            <w:pPr>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12月</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exact"/>
          <w:jc w:val="center"/>
        </w:trPr>
        <w:tc>
          <w:tcPr>
            <w:tcW w:w="779" w:type="pct"/>
            <w:vAlign w:val="center"/>
          </w:tcPr>
          <w:p>
            <w:pPr>
              <w:rPr>
                <w:rFonts w:hint="default" w:ascii="Times New Roman" w:hAnsi="Times New Roman" w:cs="Times New Roman"/>
                <w:color w:val="auto"/>
                <w:spacing w:val="-16"/>
                <w:kern w:val="0"/>
              </w:rPr>
            </w:pPr>
            <w:r>
              <w:rPr>
                <w:rFonts w:hint="default" w:ascii="Times New Roman" w:hAnsi="Times New Roman" w:cs="Times New Roman"/>
                <w:color w:val="auto"/>
                <w:spacing w:val="-16"/>
                <w:kern w:val="0"/>
              </w:rPr>
              <w:t>径流量（亿m</w:t>
            </w:r>
            <w:r>
              <w:rPr>
                <w:rFonts w:hint="default" w:ascii="Times New Roman" w:hAnsi="Times New Roman" w:cs="Times New Roman"/>
                <w:color w:val="auto"/>
                <w:spacing w:val="-16"/>
                <w:kern w:val="0"/>
                <w:vertAlign w:val="superscript"/>
              </w:rPr>
              <w:t>3</w:t>
            </w:r>
            <w:r>
              <w:rPr>
                <w:rFonts w:hint="default" w:ascii="Times New Roman" w:hAnsi="Times New Roman" w:cs="Times New Roman"/>
                <w:color w:val="auto"/>
                <w:spacing w:val="-16"/>
                <w:kern w:val="0"/>
              </w:rPr>
              <w:t>）</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187</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180</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261</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396</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604</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735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1065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897</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802</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636</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389</w:t>
            </w:r>
          </w:p>
        </w:tc>
        <w:tc>
          <w:tcPr>
            <w:tcW w:w="349"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243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exact"/>
          <w:jc w:val="center"/>
        </w:trPr>
        <w:tc>
          <w:tcPr>
            <w:tcW w:w="779" w:type="pct"/>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占年均量</w:t>
            </w:r>
            <w:r>
              <w:rPr>
                <w:rFonts w:hint="default" w:ascii="Times New Roman" w:hAnsi="Times New Roman" w:cs="Times New Roman"/>
                <w:color w:val="auto"/>
                <w:spacing w:val="-16"/>
                <w:kern w:val="0"/>
              </w:rPr>
              <w:t>（</w:t>
            </w:r>
            <w:r>
              <w:rPr>
                <w:rFonts w:hint="default" w:ascii="Times New Roman" w:hAnsi="Times New Roman" w:cs="Times New Roman"/>
                <w:color w:val="auto"/>
                <w:kern w:val="0"/>
              </w:rPr>
              <w:t>%</w:t>
            </w:r>
            <w:r>
              <w:rPr>
                <w:rFonts w:hint="default" w:ascii="Times New Roman" w:hAnsi="Times New Roman" w:cs="Times New Roman"/>
                <w:color w:val="auto"/>
                <w:spacing w:val="-16"/>
                <w:kern w:val="0"/>
              </w:rPr>
              <w:t>）</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2.92</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2.81</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4.08</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6.19</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9.44</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11.5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16.7</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14.0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12.5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9.95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6.08</w:t>
            </w:r>
          </w:p>
        </w:tc>
        <w:tc>
          <w:tcPr>
            <w:tcW w:w="349"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3.80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exact"/>
          <w:jc w:val="center"/>
        </w:trPr>
        <w:tc>
          <w:tcPr>
            <w:tcW w:w="779" w:type="pct"/>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输沙量（万t）</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528</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506</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831</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1550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2580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4400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9550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8150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6840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3970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1780</w:t>
            </w:r>
          </w:p>
        </w:tc>
        <w:tc>
          <w:tcPr>
            <w:tcW w:w="349"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816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exact"/>
          <w:jc w:val="center"/>
        </w:trPr>
        <w:tc>
          <w:tcPr>
            <w:tcW w:w="779" w:type="pct"/>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占年均量</w:t>
            </w:r>
            <w:r>
              <w:rPr>
                <w:rFonts w:hint="default" w:ascii="Times New Roman" w:hAnsi="Times New Roman" w:cs="Times New Roman"/>
                <w:color w:val="auto"/>
                <w:spacing w:val="-16"/>
                <w:kern w:val="0"/>
              </w:rPr>
              <w:t>（</w:t>
            </w:r>
            <w:r>
              <w:rPr>
                <w:rFonts w:hint="default" w:ascii="Times New Roman" w:hAnsi="Times New Roman" w:cs="Times New Roman"/>
                <w:color w:val="auto"/>
                <w:kern w:val="0"/>
              </w:rPr>
              <w:t>%</w:t>
            </w:r>
            <w:r>
              <w:rPr>
                <w:rFonts w:hint="default" w:ascii="Times New Roman" w:hAnsi="Times New Roman" w:cs="Times New Roman"/>
                <w:color w:val="auto"/>
                <w:spacing w:val="-16"/>
                <w:kern w:val="0"/>
              </w:rPr>
              <w:t>）</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1.27</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1.22</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2.00</w:t>
            </w:r>
          </w:p>
        </w:tc>
        <w:tc>
          <w:tcPr>
            <w:tcW w:w="351"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3.73</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6.22</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10.6</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23.0</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19.6</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16.5</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9.57</w:t>
            </w:r>
          </w:p>
        </w:tc>
        <w:tc>
          <w:tcPr>
            <w:tcW w:w="352"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4.29</w:t>
            </w:r>
          </w:p>
        </w:tc>
        <w:tc>
          <w:tcPr>
            <w:tcW w:w="349" w:type="pct"/>
            <w:noWrap/>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1.97</w:t>
            </w:r>
          </w:p>
        </w:tc>
      </w:tr>
    </w:tbl>
    <w:p>
      <w:pPr>
        <w:rPr>
          <w:rFonts w:hint="default" w:ascii="Times New Roman" w:hAnsi="Times New Roman" w:cs="Times New Roman"/>
          <w:color w:val="auto"/>
          <w:sz w:val="24"/>
        </w:rPr>
      </w:pPr>
      <w:r>
        <w:rPr>
          <w:rFonts w:hint="default" w:ascii="Times New Roman" w:hAnsi="Times New Roman" w:cs="Times New Roman"/>
          <w:color w:val="auto"/>
          <w:kern w:val="0"/>
        </w:rPr>
        <w:t>注：统计年份：1950</w:t>
      </w: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2002</w:t>
      </w:r>
      <w:r>
        <w:rPr>
          <w:rFonts w:hint="eastAsia" w:ascii="Times New Roman" w:hAnsi="Times New Roman" w:cs="Times New Roman"/>
          <w:color w:val="auto"/>
          <w:kern w:val="0"/>
          <w:lang w:val="en-US" w:eastAsia="zh-CN"/>
        </w:rPr>
        <w:t>年</w:t>
      </w:r>
      <w:r>
        <w:rPr>
          <w:rFonts w:hint="default" w:ascii="Times New Roman" w:hAnsi="Times New Roman" w:cs="Times New Roman"/>
          <w:color w:val="auto"/>
          <w:kern w:val="0"/>
        </w:rPr>
        <w:t>，年均径流量6395亿m</w:t>
      </w:r>
      <w:r>
        <w:rPr>
          <w:rFonts w:hint="default" w:ascii="Times New Roman" w:hAnsi="Times New Roman" w:cs="Times New Roman"/>
          <w:color w:val="auto"/>
          <w:kern w:val="0"/>
          <w:vertAlign w:val="superscript"/>
        </w:rPr>
        <w:t>3</w:t>
      </w:r>
      <w:r>
        <w:rPr>
          <w:rFonts w:hint="default" w:ascii="Times New Roman" w:hAnsi="Times New Roman" w:cs="Times New Roman"/>
          <w:color w:val="auto"/>
          <w:kern w:val="0"/>
        </w:rPr>
        <w:t>，年均输沙量41501万t。</w:t>
      </w:r>
    </w:p>
    <w:p>
      <w:pPr>
        <w:adjustRightInd w:val="0"/>
        <w:snapToGrid w:val="0"/>
        <w:spacing w:line="360" w:lineRule="auto"/>
        <w:ind w:firstLine="482" w:firstLineChars="200"/>
        <w:rPr>
          <w:rFonts w:hint="default" w:ascii="Times New Roman" w:hAnsi="Times New Roman" w:cs="Times New Roman"/>
          <w:b/>
          <w:bCs/>
          <w:color w:val="auto"/>
          <w:sz w:val="24"/>
        </w:rPr>
      </w:pPr>
      <w:bookmarkStart w:id="67" w:name="_Toc260857768"/>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2、三峡水库蓄水运用后</w:t>
      </w:r>
      <w:bookmarkEnd w:id="67"/>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据螺山站2003~2013年径流资料统计（表5.1-5），三峡水库蓄水运用以来，受上游来水偏少的影响，螺山站年径流量总体偏小，蓄水后多年平均径流量较蓄水前多年平均值偏小10.8%，仅2010年与蓄水前多年平均值基本持平，2006、2011年明显偏枯，减小幅度达到约28%，其余年份的年径流量均不同程度的偏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水库对年内径流过程的调节作用比较明显，虽然来流总体偏枯，但三峡水库蓄水前最枯的一、二月份，在蓄水后有明显增加。与此相应的，汛末蓄水的10月、11月份，流量减小十分明显。在蓄水时间一再提前后，预计未来9月份来流也将减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三峡工程蓄水以后“清水下泄”对本河段的悬沙来量影响十分明显，蓄水初期悬沙来量减幅在7成左右，近期减幅超过8成，蓄水后年均悬沙来量减幅达76.5%。其中，小水年减沙幅度近9成。</w:t>
      </w: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表5.1-5  三峡工程蓄水以来螺山站径流情况</w:t>
      </w:r>
    </w:p>
    <w:tbl>
      <w:tblPr>
        <w:tblStyle w:val="71"/>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423"/>
        <w:gridCol w:w="681"/>
        <w:gridCol w:w="920"/>
        <w:gridCol w:w="599"/>
        <w:gridCol w:w="599"/>
        <w:gridCol w:w="599"/>
        <w:gridCol w:w="599"/>
        <w:gridCol w:w="599"/>
        <w:gridCol w:w="599"/>
        <w:gridCol w:w="599"/>
        <w:gridCol w:w="599"/>
        <w:gridCol w:w="599"/>
        <w:gridCol w:w="543"/>
        <w:gridCol w:w="543"/>
        <w:gridCol w:w="5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606" w:type="pct"/>
            <w:gridSpan w:val="2"/>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年份</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蓄水前平均</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2011</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2012</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2013</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蓄水后平均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restar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月均</w:t>
            </w:r>
          </w:p>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流量</w:t>
            </w:r>
          </w:p>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/s</w:t>
            </w: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6982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10217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6401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8679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7828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7855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7250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8061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8001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10507</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9630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11400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8568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7440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10323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6201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12346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8196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8315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7808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8786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8088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9334</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9370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10200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8867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9745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12310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10261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11994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14200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11635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10082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13568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8622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10380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12100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11600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11375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15278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14230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12477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13380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14243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10954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15457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15107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17069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10759</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14600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16300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14155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22551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26939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22013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22274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18806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14368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17826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24216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23613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12162</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28000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24900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21472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28356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25183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29653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33980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24013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25993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23850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24307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34900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23587</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33100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28100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27919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39763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45381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35365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31735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27474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35865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26858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31032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42116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26232</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44700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31200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34810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33490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27135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29223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35939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16665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35868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34035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34829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34032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23690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38800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27500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30934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30941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32813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32473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30580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14193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31417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35220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23187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30370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14533</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28000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21200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27077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23746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19590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19926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20371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12103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16052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17116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10543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18668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12352</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19800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14900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17097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15008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9538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13523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14677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9801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10181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25360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8687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10669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14540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15600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10000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13132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2" w:type="pct"/>
            <w:vMerge w:val="continue"/>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p>
        </w:tc>
        <w:tc>
          <w:tcPr>
            <w:tcW w:w="373"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12月</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9073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7822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8982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8275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8764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7163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10055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7519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9552</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8605</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10900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8870</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8798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06" w:type="pct"/>
            <w:gridSpan w:val="2"/>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年径流量</w:t>
            </w:r>
          </w:p>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（×10</w:t>
            </w:r>
            <w:r>
              <w:rPr>
                <w:rFonts w:hint="default" w:ascii="Times New Roman" w:hAnsi="Times New Roman" w:cs="Times New Roman"/>
                <w:color w:val="auto"/>
                <w:kern w:val="0"/>
                <w:sz w:val="18"/>
                <w:szCs w:val="18"/>
                <w:vertAlign w:val="superscript"/>
              </w:rPr>
              <w:t>8</w:t>
            </w: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6460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6371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5980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6429</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4647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5687</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6085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5536</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6480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4653</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6994</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5698</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5918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06" w:type="pct"/>
            <w:gridSpan w:val="2"/>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年径流量变率</w:t>
            </w:r>
          </w:p>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503"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-7.4</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-0.5</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-28.1</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-12.0</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-5.8</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0.3</w:t>
            </w:r>
          </w:p>
        </w:tc>
        <w:tc>
          <w:tcPr>
            <w:tcW w:w="329" w:type="pct"/>
            <w:noWrap/>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-28.0</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8.3</w:t>
            </w:r>
          </w:p>
        </w:tc>
        <w:tc>
          <w:tcPr>
            <w:tcW w:w="298"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-11.8</w:t>
            </w:r>
          </w:p>
        </w:tc>
        <w:tc>
          <w:tcPr>
            <w:tcW w:w="3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-8.4</w:t>
            </w:r>
          </w:p>
        </w:tc>
      </w:tr>
    </w:tbl>
    <w:p>
      <w:pPr>
        <w:adjustRightInd w:val="0"/>
        <w:snapToGrid w:val="0"/>
        <w:spacing w:line="360" w:lineRule="auto"/>
        <w:ind w:firstLine="480" w:firstLineChars="200"/>
        <w:rPr>
          <w:rFonts w:hint="default" w:ascii="Times New Roman" w:hAnsi="Times New Roman" w:cs="Times New Roman"/>
          <w:color w:val="auto"/>
          <w:sz w:val="24"/>
        </w:rPr>
      </w:pP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表5.1-6  三峡水库蓄水后螺山水文站输沙量统计表</w:t>
      </w:r>
    </w:p>
    <w:tbl>
      <w:tblPr>
        <w:tblStyle w:val="71"/>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865"/>
        <w:gridCol w:w="1067"/>
        <w:gridCol w:w="548"/>
        <w:gridCol w:w="557"/>
        <w:gridCol w:w="588"/>
        <w:gridCol w:w="588"/>
        <w:gridCol w:w="588"/>
        <w:gridCol w:w="588"/>
        <w:gridCol w:w="588"/>
        <w:gridCol w:w="588"/>
        <w:gridCol w:w="588"/>
        <w:gridCol w:w="590"/>
        <w:gridCol w:w="591"/>
        <w:gridCol w:w="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475"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年份</w:t>
            </w:r>
          </w:p>
        </w:tc>
        <w:tc>
          <w:tcPr>
            <w:tcW w:w="586"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蓄水前平均</w:t>
            </w:r>
          </w:p>
        </w:tc>
        <w:tc>
          <w:tcPr>
            <w:tcW w:w="301"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2003</w:t>
            </w:r>
          </w:p>
        </w:tc>
        <w:tc>
          <w:tcPr>
            <w:tcW w:w="306"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2004</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2005</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2006</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2007</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2008</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2009</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2010</w:t>
            </w:r>
          </w:p>
        </w:tc>
        <w:tc>
          <w:tcPr>
            <w:tcW w:w="323" w:type="pct"/>
            <w:noWrap/>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2011</w:t>
            </w:r>
          </w:p>
        </w:tc>
        <w:tc>
          <w:tcPr>
            <w:tcW w:w="324" w:type="pct"/>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2012</w:t>
            </w:r>
          </w:p>
        </w:tc>
        <w:tc>
          <w:tcPr>
            <w:tcW w:w="324" w:type="pct"/>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2013</w:t>
            </w:r>
          </w:p>
        </w:tc>
        <w:tc>
          <w:tcPr>
            <w:tcW w:w="415" w:type="pct"/>
            <w:vAlign w:val="center"/>
          </w:tcPr>
          <w:p>
            <w:pPr>
              <w:widowControl/>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蓄水后平均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475"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年输沙量</w:t>
            </w:r>
          </w:p>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（万吨）</w:t>
            </w:r>
          </w:p>
        </w:tc>
        <w:tc>
          <w:tcPr>
            <w:tcW w:w="586"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40900</w:t>
            </w:r>
          </w:p>
        </w:tc>
        <w:tc>
          <w:tcPr>
            <w:tcW w:w="301"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14600</w:t>
            </w:r>
          </w:p>
        </w:tc>
        <w:tc>
          <w:tcPr>
            <w:tcW w:w="306"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12300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14700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5810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9520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9150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7720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8370</w:t>
            </w:r>
          </w:p>
        </w:tc>
        <w:tc>
          <w:tcPr>
            <w:tcW w:w="323"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4500</w:t>
            </w:r>
          </w:p>
        </w:tc>
        <w:tc>
          <w:tcPr>
            <w:tcW w:w="324"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9810</w:t>
            </w:r>
          </w:p>
        </w:tc>
        <w:tc>
          <w:tcPr>
            <w:tcW w:w="324"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8380</w:t>
            </w:r>
          </w:p>
        </w:tc>
        <w:tc>
          <w:tcPr>
            <w:tcW w:w="415"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3" w:hRule="atLeast"/>
          <w:jc w:val="center"/>
        </w:trPr>
        <w:tc>
          <w:tcPr>
            <w:tcW w:w="475"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变率</w:t>
            </w:r>
          </w:p>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586"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301"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-64.3</w:t>
            </w:r>
          </w:p>
        </w:tc>
        <w:tc>
          <w:tcPr>
            <w:tcW w:w="306"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-69.9</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-64.1</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-85.8</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-76.7</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-77.6</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-81.1</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-79.5</w:t>
            </w:r>
          </w:p>
        </w:tc>
        <w:tc>
          <w:tcPr>
            <w:tcW w:w="323" w:type="pct"/>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-89.0</w:t>
            </w:r>
          </w:p>
        </w:tc>
        <w:tc>
          <w:tcPr>
            <w:tcW w:w="324"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-76.0</w:t>
            </w:r>
          </w:p>
        </w:tc>
        <w:tc>
          <w:tcPr>
            <w:tcW w:w="324"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-80.0</w:t>
            </w:r>
          </w:p>
        </w:tc>
        <w:tc>
          <w:tcPr>
            <w:tcW w:w="415" w:type="pct"/>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-76.7</w:t>
            </w:r>
          </w:p>
        </w:tc>
      </w:tr>
    </w:tbl>
    <w:p>
      <w:pPr>
        <w:adjustRightInd w:val="0"/>
        <w:snapToGrid w:val="0"/>
        <w:spacing w:line="360" w:lineRule="auto"/>
        <w:ind w:firstLine="480" w:firstLineChars="200"/>
        <w:rPr>
          <w:rFonts w:hint="default" w:ascii="Times New Roman" w:hAnsi="Times New Roman" w:cs="Times New Roman"/>
          <w:color w:val="auto"/>
          <w:sz w:val="24"/>
        </w:rPr>
      </w:pP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河势</w:t>
      </w:r>
    </w:p>
    <w:p>
      <w:pPr>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rPr>
        <w:t>1、河道概况</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本项目位于长江中游铁铺水道右岸上板岭一带，中游航道里程约为285.0km。</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铁铺-熊家洲河段位于长江中游荆江河段的下段，上起四十丈、下迄潘阳，全长26km，向上距离窑监河段约19.5km，向下距离城陵矶约32km；河道左岸为湖北省监利县，右岸为湖南省岳阳市。</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铁铺-熊家洲河段包括铁铺、反咀、熊家洲3个水道，由顺直过渡段和弯曲段组成。本河段自然条件下为典型的蜿蜒河型，随着荆江河段护岸工程的不断实施，现已成为限制性蜿蜒河道，岸线总体稳定，河床演变主要表现为：顺直过渡段主流上提、下挫，边滩冲淤消长；弯道段不断弯曲发展。</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历年来，铁铺水道河道平面外形变化较小，但河道内边滩冲淤消长、过渡段深泓上提下挫，航道条件随之不断变化；反咀弯道以凸岸边滩上段冲刷、凹岸淤积、深泓左摆、顶冲点下移的方式不断向急弯发展，急弯段水流条件较差，枯水期航道窄、流急，洪水期反咀以下有大面积回流，涨水时流态紊乱，影响航行安全，而且铁铺水道主流摆动对本弯道进口的主流左摆有一定的促进作用；受反咀弯道出流变化影响，熊家洲水道进口局部岸线崩塌，边滩冲淤消长，深泓、航槽发生摆动。三峡蓄水以来，铁铺水道的广兴洲边滩冲刷后退，过渡段深泓下挫，局部深槽淤积，河床调整向对航道条件不利的方向发展；反咀弯道，凸岸边滩上段继续冲退，凹岸边滩也有所冲刷，而河心淤积，深泓不稳定；熊家洲水道进口右边滩冲刷，过渡河槽淤积，航道条件不稳定。</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2、河势演变</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水库蓄水前，铁铺水道河势变化较小，基本维持边滩、深槽交错的滩槽格局，但过渡段主流上提、下挫，边滩冲淤消长，主航槽随之摆动、不利年份浅滩汛后有时会出浅碍航；反咀弯道以上段凸岸冲刷、凹岸淤积的形式逐渐向急弯发展，进口过渡段主流左摆；熊家洲水道右边滩不稳定，深泓、航槽随之发生摆动。</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随着主流顶冲及贴岸段护岸工程的实施，铁铺水道河势总体较稳定，但河道内深泓上提、下挫，边滩冲淤消长。上世纪八十年代至2000年，受上游洪水港弯道出口主流顶冲部位下移影响，铁铺水道过渡段深泓不断下移、盐船套以下深泓贴左岸而下、摆幅较小，广兴洲边滩滩头相应大幅冲退，其中，经历1998、1999年大洪水后，边滩上段甚至遭受切割，其槽口1m等深线贯通的同时，最深点达航行基面下5m，主流顶冲杨林港至盐船套一带；由于1998年以后下荆江护岸工程进一步加强，洪水港弯道出流较稳定，2000年以后的中小水年，过渡段深泓有所上提，边滩发生恢复性淤积，但滩体上段仍不稳定。总体上，1981年至2003年深泓下移约2.8km、边滩主体后退1km左右。随着广兴洲边滩上段的冲退，杨林港过渡段河槽趋于宽浅，遇1998年大洪水年，广兴洲边滩大幅冲退、上深槽右摆，出现上下深槽交错的不利局面，航道条件急剧恶化，需采取清障等维护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水库蓄水以后，铁铺水道的广兴洲边滩受冲缩小，过渡段航槽却有所淤积，但河道内深槽、边滩其位置均保持相对稳定即河床形态依旧未变；反咀弯道段凸岸边滩以冲刷为主，且冲刷自上而下发展，主流呈左摆之势，一些年份出现枯水双槽局面；熊家洲水道右边滩冲刷、下移，河道展宽的同时河心淤积，断面形态较宽浅。</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河演分析表明，三峡蓄水以来，铁铺水道河势整体格局未变，只是局部岸线仍有崩塌，如河道内的广兴洲边滩有冲刷的趋势，过渡段深泓下挫，其深槽有所拓宽发展。反咀弯道上段，凸岸边滩大幅冲退、凹岸侧边滩略有冲刷，深泓很不稳定，断面宽浅变化，加上深泓有左摆之势，一些年份出现过枯水双槽的局面。</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3、工程局部水域河势</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拟建港址位于洪水港下游3km处，该段河道顺直，多年来河道总体河势保持稳定。从洪水港至下游3km处，近岸水深条件良好，3m等深线依附岸边，从总体上看，工程河段岸线大都平顺，已处于相对稳定之中；港前水域水流较平顺，适合船舶靠离码头。</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地下水</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u w:val="single"/>
          <w:shd w:val="clear" w:color="auto" w:fill="auto"/>
        </w:rPr>
      </w:pPr>
      <w:r>
        <w:rPr>
          <w:rFonts w:hint="default" w:ascii="Times New Roman" w:hAnsi="Times New Roman" w:cs="Times New Roman" w:eastAsiaTheme="minorEastAsia"/>
          <w:b/>
          <w:bCs/>
          <w:color w:val="auto"/>
          <w:sz w:val="24"/>
          <w:u w:val="single"/>
          <w:shd w:val="clear" w:color="auto" w:fill="auto"/>
        </w:rPr>
        <w:t>1、地下水赋存条件</w:t>
      </w:r>
    </w:p>
    <w:p>
      <w:pPr>
        <w:adjustRightInd w:val="0"/>
        <w:snapToGrid w:val="0"/>
        <w:spacing w:line="360" w:lineRule="auto"/>
        <w:ind w:firstLine="480" w:firstLineChars="200"/>
        <w:rPr>
          <w:rFonts w:hint="default" w:ascii="Times New Roman" w:hAnsi="Times New Roman" w:cs="Times New Roman"/>
          <w:color w:val="auto"/>
          <w:sz w:val="24"/>
          <w:u w:val="single"/>
          <w:shd w:val="clear" w:color="auto" w:fill="auto"/>
        </w:rPr>
      </w:pPr>
      <w:r>
        <w:rPr>
          <w:rFonts w:hint="default" w:ascii="Times New Roman" w:hAnsi="Times New Roman" w:cs="Times New Roman"/>
          <w:color w:val="auto"/>
          <w:sz w:val="24"/>
          <w:u w:val="single"/>
          <w:shd w:val="clear" w:color="auto" w:fill="auto"/>
        </w:rPr>
        <w:t>地下水根据其赋存特征和埋藏条件可分为孔隙潜水和季节性承压水。</w:t>
      </w:r>
    </w:p>
    <w:p>
      <w:pPr>
        <w:adjustRightInd w:val="0"/>
        <w:snapToGrid w:val="0"/>
        <w:spacing w:line="360" w:lineRule="auto"/>
        <w:ind w:firstLine="480" w:firstLineChars="200"/>
        <w:rPr>
          <w:rFonts w:hint="default" w:ascii="Times New Roman" w:hAnsi="Times New Roman" w:cs="Times New Roman"/>
          <w:color w:val="auto"/>
          <w:sz w:val="24"/>
          <w:u w:val="single"/>
          <w:shd w:val="clear" w:color="auto" w:fill="auto"/>
        </w:rPr>
      </w:pPr>
      <w:r>
        <w:rPr>
          <w:rFonts w:hint="default" w:ascii="Times New Roman" w:hAnsi="Times New Roman" w:cs="Times New Roman"/>
          <w:color w:val="auto"/>
          <w:sz w:val="24"/>
          <w:u w:val="single"/>
          <w:shd w:val="clear" w:color="auto" w:fill="auto"/>
        </w:rPr>
        <w:t>孔隙潜水主要埋藏于上部的第四系粉质粘土层中，受大气降水与地表水的补给，随季节变化与地表水呈互补关系，枯水期地下水向江、渠排泄，洪水期接受江河水补给。工程区地下水排泄通畅，地下水位主要受江水制约，随江水升降而变化；一般在地表以下0.5~2.5m，水位多受地表水塘、沟渠控制。</w:t>
      </w:r>
    </w:p>
    <w:p>
      <w:pPr>
        <w:adjustRightInd w:val="0"/>
        <w:snapToGrid w:val="0"/>
        <w:spacing w:line="360" w:lineRule="auto"/>
        <w:ind w:firstLine="480" w:firstLineChars="200"/>
        <w:rPr>
          <w:rFonts w:hint="default" w:ascii="Times New Roman" w:hAnsi="Times New Roman" w:cs="Times New Roman" w:eastAsiaTheme="minorEastAsia"/>
          <w:bCs/>
          <w:color w:val="auto"/>
          <w:sz w:val="24"/>
          <w:u w:val="single"/>
          <w:shd w:val="clear" w:color="auto" w:fill="auto"/>
        </w:rPr>
      </w:pPr>
      <w:r>
        <w:rPr>
          <w:rFonts w:hint="default" w:ascii="Times New Roman" w:hAnsi="Times New Roman" w:cs="Times New Roman"/>
          <w:color w:val="auto"/>
          <w:sz w:val="24"/>
          <w:u w:val="single"/>
          <w:shd w:val="clear" w:color="auto" w:fill="auto"/>
        </w:rPr>
        <w:t>季节性承压水埋藏于第四系粘性土层之下的砂性土层中，与江水相通，承压水头的大小随补给区江水位的变化而变化。枯水期，河水位降低，地下水向河床方向运移，并排泄于河床之中；洪水期，河水位抬高，地下水沿透水层向远离河床方向运移，补给地下水。</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u w:val="single"/>
          <w:shd w:val="clear" w:color="auto" w:fill="auto"/>
        </w:rPr>
      </w:pPr>
      <w:r>
        <w:rPr>
          <w:rFonts w:hint="default" w:ascii="Times New Roman" w:hAnsi="Times New Roman" w:cs="Times New Roman" w:eastAsiaTheme="minorEastAsia"/>
          <w:b/>
          <w:bCs/>
          <w:color w:val="auto"/>
          <w:sz w:val="24"/>
          <w:u w:val="single"/>
          <w:shd w:val="clear" w:color="auto" w:fill="auto"/>
        </w:rPr>
        <w:t>2、地下水补给、径流、排泄条件</w:t>
      </w:r>
    </w:p>
    <w:p>
      <w:pPr>
        <w:adjustRightInd w:val="0"/>
        <w:snapToGrid w:val="0"/>
        <w:spacing w:line="360" w:lineRule="auto"/>
        <w:ind w:firstLine="480" w:firstLineChars="200"/>
        <w:rPr>
          <w:rFonts w:hint="default" w:ascii="Times New Roman" w:hAnsi="Times New Roman" w:cs="Times New Roman" w:eastAsiaTheme="minorEastAsia"/>
          <w:bCs/>
          <w:color w:val="auto"/>
          <w:sz w:val="24"/>
          <w:u w:val="single"/>
          <w:shd w:val="clear" w:color="auto" w:fill="auto"/>
        </w:rPr>
      </w:pPr>
      <w:r>
        <w:rPr>
          <w:rFonts w:hint="default" w:ascii="Times New Roman" w:hAnsi="Times New Roman" w:cs="Times New Roman" w:eastAsiaTheme="minorEastAsia"/>
          <w:bCs/>
          <w:color w:val="auto"/>
          <w:sz w:val="24"/>
          <w:u w:val="single"/>
          <w:shd w:val="clear" w:color="auto" w:fill="auto"/>
        </w:rPr>
        <w:t>上层滞水因与其它水体不贯通，主要接受降雨及地表散水垂直下渗的补给，以蒸发和逐步下渗的方式排泄。</w:t>
      </w:r>
    </w:p>
    <w:p>
      <w:pPr>
        <w:adjustRightInd w:val="0"/>
        <w:snapToGrid w:val="0"/>
        <w:spacing w:line="360" w:lineRule="auto"/>
        <w:ind w:firstLine="480" w:firstLineChars="200"/>
        <w:rPr>
          <w:rFonts w:hint="default" w:ascii="Times New Roman" w:hAnsi="Times New Roman" w:cs="Times New Roman" w:eastAsiaTheme="minorEastAsia"/>
          <w:bCs/>
          <w:color w:val="auto"/>
          <w:sz w:val="24"/>
          <w:u w:val="single"/>
          <w:shd w:val="clear" w:color="auto" w:fill="auto"/>
        </w:rPr>
      </w:pPr>
      <w:r>
        <w:rPr>
          <w:rFonts w:hint="default" w:ascii="Times New Roman" w:hAnsi="Times New Roman" w:cs="Times New Roman" w:eastAsiaTheme="minorEastAsia"/>
          <w:bCs/>
          <w:color w:val="auto"/>
          <w:sz w:val="24"/>
          <w:u w:val="single"/>
          <w:shd w:val="clear" w:color="auto" w:fill="auto"/>
        </w:rPr>
        <w:t>孔隙潜水主要接受大气降水及地表水补给，其次为侧向含水层补给，潜水排泄方式主要向低洼方向渗流排泄及自然蒸发。</w:t>
      </w:r>
    </w:p>
    <w:p>
      <w:pPr>
        <w:adjustRightInd w:val="0"/>
        <w:snapToGrid w:val="0"/>
        <w:spacing w:line="360" w:lineRule="auto"/>
        <w:ind w:firstLine="480" w:firstLineChars="200"/>
        <w:rPr>
          <w:rFonts w:hint="default" w:ascii="Times New Roman" w:hAnsi="Times New Roman" w:cs="Times New Roman" w:eastAsiaTheme="minorEastAsia"/>
          <w:bCs/>
          <w:color w:val="auto"/>
          <w:sz w:val="24"/>
          <w:u w:val="single"/>
          <w:shd w:val="clear" w:color="auto" w:fill="auto"/>
        </w:rPr>
      </w:pPr>
      <w:r>
        <w:rPr>
          <w:rFonts w:hint="default" w:ascii="Times New Roman" w:hAnsi="Times New Roman" w:cs="Times New Roman" w:eastAsiaTheme="minorEastAsia"/>
          <w:bCs/>
          <w:color w:val="auto"/>
          <w:sz w:val="24"/>
          <w:u w:val="single"/>
          <w:shd w:val="clear" w:color="auto" w:fill="auto"/>
        </w:rPr>
        <w:t>勘区基岩裂隙水主要接受上部含水层的补给，径流条件差，排泄方式亦主要向相邻含水层渗流排泄。</w:t>
      </w:r>
    </w:p>
    <w:p>
      <w:pPr>
        <w:pStyle w:val="3"/>
        <w:ind w:left="578" w:hanging="578"/>
        <w:rPr>
          <w:rFonts w:hint="default" w:ascii="Times New Roman" w:hAnsi="Times New Roman" w:cs="Times New Roman" w:eastAsiaTheme="minorEastAsia"/>
          <w:b/>
          <w:color w:val="auto"/>
        </w:rPr>
      </w:pPr>
      <w:bookmarkStart w:id="68" w:name="_Toc22592"/>
      <w:bookmarkStart w:id="69" w:name="_Toc42697223"/>
      <w:bookmarkStart w:id="70" w:name="_Toc6672"/>
      <w:r>
        <w:rPr>
          <w:rFonts w:hint="default" w:ascii="Times New Roman" w:hAnsi="Times New Roman" w:cs="Times New Roman" w:eastAsiaTheme="minorEastAsia"/>
          <w:b/>
          <w:color w:val="auto"/>
        </w:rPr>
        <w:t>岳阳港总体规划概况</w:t>
      </w:r>
      <w:bookmarkEnd w:id="68"/>
      <w:bookmarkEnd w:id="69"/>
      <w:bookmarkEnd w:id="70"/>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岳阳港口的性质和功能</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⑴ 性质定位</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岳阳港是全国内河主要港口和长江集装箱重要支线港，是湖南省综合交通运输体系的重要枢纽和融入长江经济带、“一带一路”的战略支点，是岳阳市实施“以港兴市”战略、打造全省区域经济增长极的重要支撑。岳阳港将以大宗散货、集装箱、件杂货、商品汽车滚装运输为主，兼有旅游客运，大力发展现代物流和临港产业，逐步发展成为设施先进、功能完善、运行高效、安全绿色的现代化、枢纽型港口。</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⑵ 港口功能</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岳阳港主要发展功能包括装卸储存、中转换装、运输组织、综合服务、临港开发、现代物流、旅游客运等功能。</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吞吐量发展预测</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规划预测2025年、2035年岳阳港货物吞吐量将分别达到1.6亿吨、2.1亿吨。主要运输货类是矿建材料、煤炭、金属矿石、件杂货、集装箱、商品汽车滚装等。同时预测2025年、2035年岳阳港旅客吞吐量将分别为60万人次、80万人次，2017~2035年年均增速为20%。岳阳港分货类吞吐量预测见表5.2-1。</w:t>
      </w:r>
    </w:p>
    <w:p>
      <w:pPr>
        <w:pStyle w:val="848"/>
        <w:adjustRightInd w:val="0"/>
        <w:snapToGrid w:val="0"/>
        <w:spacing w:line="276" w:lineRule="auto"/>
        <w:ind w:firstLine="0" w:firstLineChars="0"/>
        <w:jc w:val="right"/>
        <w:rPr>
          <w:rFonts w:hint="default" w:ascii="Times New Roman" w:hAnsi="Times New Roman" w:cs="Times New Roman"/>
          <w:b/>
          <w:bCs/>
          <w:color w:val="auto"/>
        </w:rPr>
      </w:pPr>
      <w:r>
        <w:rPr>
          <w:rFonts w:hint="default" w:ascii="Times New Roman" w:hAnsi="Times New Roman" w:cs="Times New Roman"/>
          <w:b/>
          <w:bCs/>
          <w:color w:val="auto"/>
        </w:rPr>
        <w:t xml:space="preserve">表5.2-1  岳阳港分货类构成吞吐量预测      </w:t>
      </w:r>
      <w:r>
        <w:rPr>
          <w:rFonts w:hint="default" w:ascii="Times New Roman" w:hAnsi="Times New Roman" w:cs="Times New Roman"/>
          <w:color w:val="auto"/>
        </w:rPr>
        <w:t>单位：万t、万TEU、万人</w:t>
      </w:r>
    </w:p>
    <w:tbl>
      <w:tblPr>
        <w:tblStyle w:val="71"/>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80"/>
        <w:gridCol w:w="1461"/>
        <w:gridCol w:w="1463"/>
        <w:gridCol w:w="1463"/>
        <w:gridCol w:w="1464"/>
        <w:gridCol w:w="14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吞吐量</w:t>
            </w:r>
          </w:p>
        </w:tc>
        <w:tc>
          <w:tcPr>
            <w:tcW w:w="803" w:type="pct"/>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2005年</w:t>
            </w:r>
          </w:p>
        </w:tc>
        <w:tc>
          <w:tcPr>
            <w:tcW w:w="804" w:type="pct"/>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2010年</w:t>
            </w:r>
          </w:p>
        </w:tc>
        <w:tc>
          <w:tcPr>
            <w:tcW w:w="804" w:type="pct"/>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2017年</w:t>
            </w:r>
          </w:p>
        </w:tc>
        <w:tc>
          <w:tcPr>
            <w:tcW w:w="804" w:type="pct"/>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2025年</w:t>
            </w:r>
          </w:p>
        </w:tc>
        <w:tc>
          <w:tcPr>
            <w:tcW w:w="804" w:type="pct"/>
            <w:tcBorders>
              <w:right w:val="single" w:color="auto" w:sz="12" w:space="0"/>
            </w:tcBorders>
            <w:vAlign w:val="center"/>
          </w:tcPr>
          <w:p>
            <w:pPr>
              <w:spacing w:line="276" w:lineRule="auto"/>
              <w:jc w:val="center"/>
              <w:rPr>
                <w:rFonts w:hint="default" w:ascii="Times New Roman" w:hAnsi="Times New Roman" w:cs="Times New Roman"/>
                <w:b/>
                <w:bCs/>
                <w:color w:val="auto"/>
              </w:rPr>
            </w:pPr>
            <w:r>
              <w:rPr>
                <w:rFonts w:hint="default" w:ascii="Times New Roman" w:hAnsi="Times New Roman" w:cs="Times New Roman"/>
                <w:b/>
                <w:bCs/>
                <w:color w:val="auto"/>
              </w:rPr>
              <w:t>2035年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1418</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8171</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11932</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16400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21000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一、干散货</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329</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7369</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10176</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12700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15270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二、件杂货</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242</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282</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310</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790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1080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三、液体散货</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796</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368</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907</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1460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1950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四、集装箱箱量</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6.6</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12</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42</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120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978" w:type="pct"/>
            <w:tcBorders>
              <w:lef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五、旅客</w:t>
            </w:r>
          </w:p>
        </w:tc>
        <w:tc>
          <w:tcPr>
            <w:tcW w:w="803"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39</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20</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3</w:t>
            </w:r>
          </w:p>
        </w:tc>
        <w:tc>
          <w:tcPr>
            <w:tcW w:w="804" w:type="pct"/>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60</w:t>
            </w:r>
          </w:p>
        </w:tc>
        <w:tc>
          <w:tcPr>
            <w:tcW w:w="804" w:type="pct"/>
            <w:tcBorders>
              <w:right w:val="single" w:color="auto" w:sz="12" w:space="0"/>
            </w:tcBorders>
            <w:vAlign w:val="center"/>
          </w:tcPr>
          <w:p>
            <w:pPr>
              <w:spacing w:line="276" w:lineRule="auto"/>
              <w:jc w:val="center"/>
              <w:rPr>
                <w:rFonts w:hint="default" w:ascii="Times New Roman" w:hAnsi="Times New Roman" w:cs="Times New Roman"/>
                <w:color w:val="auto"/>
              </w:rPr>
            </w:pPr>
            <w:r>
              <w:rPr>
                <w:rFonts w:hint="default" w:ascii="Times New Roman" w:hAnsi="Times New Roman" w:cs="Times New Roman"/>
                <w:color w:val="auto"/>
              </w:rPr>
              <w:t>80</w:t>
            </w:r>
          </w:p>
        </w:tc>
      </w:tr>
    </w:tbl>
    <w:p>
      <w:pPr>
        <w:adjustRightInd w:val="0"/>
        <w:snapToGrid w:val="0"/>
        <w:spacing w:line="360" w:lineRule="auto"/>
        <w:ind w:firstLine="482" w:firstLineChars="200"/>
        <w:rPr>
          <w:rFonts w:hint="default" w:ascii="Times New Roman" w:hAnsi="Times New Roman" w:cs="Times New Roman"/>
          <w:b/>
          <w:color w:val="auto"/>
          <w:sz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岸线利用规划</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规划岳阳港港口岸线共40550m。其中，规划长江港口岸线25050m，占自然岸线的15%，已利用10345m；湘江港口岸线11200m，已利用3200m；华容河港口岸线1500m、藕池河港口岸线1500m、汨罗江港口岸线400m、新墙河港口岸线200m、资江港口岸线500m、横岭湖港口岸线200m。</w:t>
      </w:r>
    </w:p>
    <w:p>
      <w:pPr>
        <w:pStyle w:val="848"/>
        <w:adjustRightInd w:val="0"/>
        <w:snapToGrid w:val="0"/>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表5.2-2  岳阳港长江港口岸线规划表</w:t>
      </w:r>
    </w:p>
    <w:tbl>
      <w:tblPr>
        <w:tblStyle w:val="7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716"/>
        <w:gridCol w:w="1451"/>
        <w:gridCol w:w="2337"/>
        <w:gridCol w:w="1225"/>
        <w:gridCol w:w="1223"/>
        <w:gridCol w:w="21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94" w:type="pct"/>
            <w:vMerge w:val="restart"/>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797"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岸线名称</w:t>
            </w:r>
          </w:p>
        </w:tc>
        <w:tc>
          <w:tcPr>
            <w:tcW w:w="1283"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规划港口岸线起讫点</w:t>
            </w:r>
          </w:p>
        </w:tc>
        <w:tc>
          <w:tcPr>
            <w:tcW w:w="673"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规划港口岸线（m）</w:t>
            </w:r>
          </w:p>
        </w:tc>
        <w:tc>
          <w:tcPr>
            <w:tcW w:w="672" w:type="pct"/>
            <w:vMerge w:val="restar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其中已利用岸线（m）</w:t>
            </w:r>
          </w:p>
        </w:tc>
        <w:tc>
          <w:tcPr>
            <w:tcW w:w="1178" w:type="pct"/>
            <w:vMerge w:val="restart"/>
            <w:tcBorders>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规划用途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94" w:type="pct"/>
            <w:vMerge w:val="continue"/>
            <w:tcBorders>
              <w:left w:val="single" w:color="auto" w:sz="12" w:space="0"/>
            </w:tcBorders>
            <w:vAlign w:val="center"/>
          </w:tcPr>
          <w:p>
            <w:pPr>
              <w:widowControl/>
              <w:adjustRightInd w:val="0"/>
              <w:snapToGrid w:val="0"/>
              <w:jc w:val="left"/>
              <w:rPr>
                <w:rFonts w:hint="default" w:ascii="Times New Roman" w:hAnsi="Times New Roman" w:cs="Times New Roman"/>
                <w:color w:val="auto"/>
              </w:rPr>
            </w:pPr>
          </w:p>
        </w:tc>
        <w:tc>
          <w:tcPr>
            <w:tcW w:w="797" w:type="pct"/>
            <w:vMerge w:val="continue"/>
            <w:vAlign w:val="center"/>
          </w:tcPr>
          <w:p>
            <w:pPr>
              <w:widowControl/>
              <w:adjustRightInd w:val="0"/>
              <w:snapToGrid w:val="0"/>
              <w:jc w:val="left"/>
              <w:rPr>
                <w:rFonts w:hint="default" w:ascii="Times New Roman" w:hAnsi="Times New Roman" w:cs="Times New Roman"/>
                <w:color w:val="auto"/>
              </w:rPr>
            </w:pPr>
          </w:p>
        </w:tc>
        <w:tc>
          <w:tcPr>
            <w:tcW w:w="1283" w:type="pct"/>
            <w:vMerge w:val="continue"/>
            <w:vAlign w:val="center"/>
          </w:tcPr>
          <w:p>
            <w:pPr>
              <w:widowControl/>
              <w:adjustRightInd w:val="0"/>
              <w:snapToGrid w:val="0"/>
              <w:jc w:val="left"/>
              <w:rPr>
                <w:rFonts w:hint="default" w:ascii="Times New Roman" w:hAnsi="Times New Roman" w:cs="Times New Roman"/>
                <w:color w:val="auto"/>
              </w:rPr>
            </w:pPr>
          </w:p>
        </w:tc>
        <w:tc>
          <w:tcPr>
            <w:tcW w:w="673" w:type="pct"/>
            <w:vMerge w:val="continue"/>
            <w:vAlign w:val="center"/>
          </w:tcPr>
          <w:p>
            <w:pPr>
              <w:widowControl/>
              <w:adjustRightInd w:val="0"/>
              <w:snapToGrid w:val="0"/>
              <w:jc w:val="left"/>
              <w:rPr>
                <w:rFonts w:hint="default" w:ascii="Times New Roman" w:hAnsi="Times New Roman" w:cs="Times New Roman"/>
                <w:color w:val="auto"/>
              </w:rPr>
            </w:pPr>
          </w:p>
        </w:tc>
        <w:tc>
          <w:tcPr>
            <w:tcW w:w="672" w:type="pct"/>
            <w:vMerge w:val="continue"/>
            <w:vAlign w:val="center"/>
          </w:tcPr>
          <w:p>
            <w:pPr>
              <w:widowControl/>
              <w:adjustRightInd w:val="0"/>
              <w:snapToGrid w:val="0"/>
              <w:jc w:val="left"/>
              <w:rPr>
                <w:rFonts w:hint="default" w:ascii="Times New Roman" w:hAnsi="Times New Roman" w:cs="Times New Roman"/>
                <w:color w:val="auto"/>
              </w:rPr>
            </w:pPr>
          </w:p>
        </w:tc>
        <w:tc>
          <w:tcPr>
            <w:tcW w:w="1178" w:type="pct"/>
            <w:vMerge w:val="continue"/>
            <w:tcBorders>
              <w:right w:val="single" w:color="auto" w:sz="12" w:space="0"/>
            </w:tcBorders>
            <w:vAlign w:val="center"/>
          </w:tcPr>
          <w:p>
            <w:pPr>
              <w:widowControl/>
              <w:adjustRightInd w:val="0"/>
              <w:snapToGrid w:val="0"/>
              <w:jc w:val="left"/>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华容县塔市驿岸线上段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塔市闸~塔市村下游200米处</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340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港口岸线，件杂、干散货、支持系统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华容县塔市驿岸线下段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李家门~万家台</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港口岸线，件杂、干散货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华容县洪山头岸段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天子1号水源保护区二级区下界~新江渡口</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1840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港口岸线，件杂、干散货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君山区广兴洲岸段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保庆村~上板岭</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960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港口岸线，LNG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君山区荆江门岸段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荆江门闸下1700米~长沟水源保护区二级区上界</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港口岸线，件杂、干散货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城陵矶新港区城陵矶岸段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蒙华铁路大桥~岳纸木材泊位下游侧</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港口岸线，客运、件杂、商品车滚装、支持系统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城陵矶新港区松阳湖岸段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擂鼓台~白尾闸上游1000米</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5100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港口岸线，集装箱、滚装汽车、件杂、干散货、支持系统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云溪区道仁矶岸段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白尾闸上游1000米~荆岳海事码头</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4760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3705</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港口岸线，液货、干散货、支持系统、LNG加注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云溪区彭家湾岸段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荆岳长江大桥下游300米~下游1300米</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港口岸线，干散货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云溪区南洋洲岸段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荆岳长江大桥下游3500米~下游5500米</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港口岸线，干散货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云溪区陆城岸段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临江矶~新港</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1680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1680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港口岸线，液货、支持系统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临湘市鸭栏岸段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鸭栏码头下端至上游500米</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港口岸线，干散货、件杂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w:t>
            </w:r>
          </w:p>
        </w:tc>
        <w:tc>
          <w:tcPr>
            <w:tcW w:w="797"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临湘市长江村岸段</w:t>
            </w:r>
          </w:p>
        </w:tc>
        <w:tc>
          <w:tcPr>
            <w:tcW w:w="128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谷花洲~下篾洲</w:t>
            </w:r>
          </w:p>
        </w:tc>
        <w:tc>
          <w:tcPr>
            <w:tcW w:w="67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2000</w:t>
            </w:r>
          </w:p>
        </w:tc>
        <w:tc>
          <w:tcPr>
            <w:tcW w:w="67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港口岸线，干散货、件杂、支持系统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475" w:type="pct"/>
            <w:gridSpan w:val="3"/>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长江岸线小计</w:t>
            </w:r>
          </w:p>
        </w:tc>
        <w:tc>
          <w:tcPr>
            <w:tcW w:w="67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25050</w:t>
            </w:r>
          </w:p>
        </w:tc>
        <w:tc>
          <w:tcPr>
            <w:tcW w:w="672"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10345</w:t>
            </w:r>
          </w:p>
        </w:tc>
        <w:tc>
          <w:tcPr>
            <w:tcW w:w="1178" w:type="pct"/>
            <w:tcBorders>
              <w:right w:val="single" w:color="auto" w:sz="12" w:space="0"/>
            </w:tcBorders>
            <w:vAlign w:val="center"/>
          </w:tcPr>
          <w:p>
            <w:pPr>
              <w:adjustRightInd w:val="0"/>
              <w:snapToGrid w:val="0"/>
              <w:jc w:val="center"/>
              <w:rPr>
                <w:rFonts w:hint="default" w:ascii="Times New Roman" w:hAnsi="Times New Roman" w:cs="Times New Roman"/>
                <w:color w:val="auto"/>
              </w:rPr>
            </w:pPr>
          </w:p>
        </w:tc>
      </w:tr>
    </w:tbl>
    <w:p>
      <w:pPr>
        <w:adjustRightInd w:val="0"/>
        <w:snapToGrid w:val="0"/>
        <w:spacing w:line="360" w:lineRule="auto"/>
        <w:ind w:firstLine="480" w:firstLineChars="200"/>
        <w:rPr>
          <w:rFonts w:hint="default" w:ascii="Times New Roman" w:hAnsi="Times New Roman" w:cs="Times New Roman" w:eastAsiaTheme="minorEastAsia"/>
          <w:bCs/>
          <w:color w:val="auto"/>
          <w:sz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港口总体布置规划</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港口空间布局规划</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岳阳港原由11个港区组成，其中长江干线上有6个港区，湘江上有5个港区，另在华容河、新墙河等支流航道上分布了零星的码头作业点。</w:t>
      </w:r>
      <w:r>
        <w:rPr>
          <w:rFonts w:hint="default" w:ascii="Times New Roman" w:hAnsi="Times New Roman" w:cs="Times New Roman" w:eastAsiaTheme="minorEastAsia"/>
          <w:bCs/>
          <w:color w:val="auto"/>
          <w:sz w:val="24"/>
          <w:lang w:eastAsia="zh-CN"/>
        </w:rPr>
        <w:t>岳阳港</w:t>
      </w:r>
      <w:r>
        <w:rPr>
          <w:rFonts w:hint="default" w:ascii="Times New Roman" w:hAnsi="Times New Roman" w:cs="Times New Roman" w:eastAsiaTheme="minorEastAsia"/>
          <w:bCs/>
          <w:color w:val="auto"/>
          <w:sz w:val="24"/>
        </w:rPr>
        <w:t>规划基于促进港口资源整合与功能调整、强化港口属地化管理等原则，注重与岳阳市城市总体规划、产业布局规划、土地利用规划、综合交通规划等相衔接，结合原有港区划分和资源分布特征，将岳阳港划分为华容、君山、岳阳楼、城陵矶、云溪、临湘、岳阳县、汨罗（含屈原区港区）、湘阴等9个港区，其中原岳阳楼和七里山港区合并为岳阳楼港区；城陵矶港区下边界调整至白尾闸上游1000m；原道仁矶、陆城港区以及城陵矶港区白尾闸上游1000m至白尾闸合并为云溪港区。岳阳港将形成“一港九区”的格局。</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港区划分及功能分工</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将港区划分为核心港区、重要港区、一般港区三个层次，各港区的功能定位及作业区划分详见表5.2-3所示。</w:t>
      </w:r>
    </w:p>
    <w:p>
      <w:pPr>
        <w:pStyle w:val="848"/>
        <w:adjustRightInd w:val="0"/>
        <w:snapToGrid w:val="0"/>
        <w:spacing w:line="240" w:lineRule="auto"/>
        <w:ind w:firstLine="0" w:firstLineChars="0"/>
        <w:jc w:val="center"/>
        <w:rPr>
          <w:rFonts w:hint="eastAsia" w:ascii="Times New Roman" w:hAnsi="Times New Roman" w:eastAsia="宋体" w:cs="Times New Roman"/>
          <w:b/>
          <w:bCs/>
          <w:color w:val="auto"/>
          <w:lang w:val="en-US" w:eastAsia="zh-CN"/>
        </w:rPr>
      </w:pPr>
      <w:r>
        <w:rPr>
          <w:rFonts w:hint="default" w:ascii="Times New Roman" w:hAnsi="Times New Roman" w:cs="Times New Roman"/>
          <w:b/>
          <w:bCs/>
          <w:color w:val="auto"/>
        </w:rPr>
        <w:t>表5.2-3  岳阳港港区划分</w:t>
      </w:r>
      <w:r>
        <w:rPr>
          <w:rFonts w:hint="eastAsia" w:ascii="Times New Roman" w:hAnsi="Times New Roman" w:cs="Times New Roman"/>
          <w:b/>
          <w:bCs/>
          <w:color w:val="auto"/>
          <w:lang w:val="en-US" w:eastAsia="zh-CN"/>
        </w:rPr>
        <w:t>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73"/>
        <w:gridCol w:w="917"/>
        <w:gridCol w:w="4303"/>
        <w:gridCol w:w="2440"/>
        <w:gridCol w:w="7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70"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层次</w:t>
            </w:r>
          </w:p>
        </w:tc>
        <w:tc>
          <w:tcPr>
            <w:tcW w:w="504"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港区名称</w:t>
            </w:r>
          </w:p>
        </w:tc>
        <w:tc>
          <w:tcPr>
            <w:tcW w:w="2365"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港区功能</w:t>
            </w:r>
          </w:p>
        </w:tc>
        <w:tc>
          <w:tcPr>
            <w:tcW w:w="1341"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作业区名称</w:t>
            </w:r>
          </w:p>
        </w:tc>
        <w:tc>
          <w:tcPr>
            <w:tcW w:w="419"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作业区个数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widowControl/>
              <w:adjustRightInd w:val="0"/>
              <w:snapToGrid w:val="0"/>
              <w:jc w:val="left"/>
              <w:rPr>
                <w:rFonts w:hint="default" w:ascii="Times New Roman" w:hAnsi="Times New Roman" w:cs="Times New Roman"/>
                <w:color w:val="auto"/>
              </w:rPr>
            </w:pPr>
          </w:p>
        </w:tc>
        <w:tc>
          <w:tcPr>
            <w:tcW w:w="504" w:type="pct"/>
            <w:vMerge w:val="continue"/>
            <w:tcBorders>
              <w:tl2br w:val="nil"/>
              <w:tr2bl w:val="nil"/>
            </w:tcBorders>
            <w:vAlign w:val="center"/>
          </w:tcPr>
          <w:p>
            <w:pPr>
              <w:widowControl/>
              <w:adjustRightInd w:val="0"/>
              <w:snapToGrid w:val="0"/>
              <w:jc w:val="left"/>
              <w:rPr>
                <w:rFonts w:hint="default" w:ascii="Times New Roman" w:hAnsi="Times New Roman" w:cs="Times New Roman"/>
                <w:color w:val="auto"/>
              </w:rPr>
            </w:pPr>
          </w:p>
        </w:tc>
        <w:tc>
          <w:tcPr>
            <w:tcW w:w="2365" w:type="pct"/>
            <w:vMerge w:val="continue"/>
            <w:tcBorders>
              <w:tl2br w:val="nil"/>
              <w:tr2bl w:val="nil"/>
            </w:tcBorders>
            <w:vAlign w:val="center"/>
          </w:tcPr>
          <w:p>
            <w:pPr>
              <w:widowControl/>
              <w:adjustRightInd w:val="0"/>
              <w:snapToGrid w:val="0"/>
              <w:jc w:val="left"/>
              <w:rPr>
                <w:rFonts w:hint="default" w:ascii="Times New Roman" w:hAnsi="Times New Roman" w:cs="Times New Roman"/>
                <w:color w:val="auto"/>
              </w:rPr>
            </w:pPr>
          </w:p>
        </w:tc>
        <w:tc>
          <w:tcPr>
            <w:tcW w:w="1341" w:type="pct"/>
            <w:vMerge w:val="continue"/>
            <w:tcBorders>
              <w:tl2br w:val="nil"/>
              <w:tr2bl w:val="nil"/>
            </w:tcBorders>
            <w:vAlign w:val="center"/>
          </w:tcPr>
          <w:p>
            <w:pPr>
              <w:widowControl/>
              <w:adjustRightInd w:val="0"/>
              <w:snapToGrid w:val="0"/>
              <w:jc w:val="left"/>
              <w:rPr>
                <w:rFonts w:hint="default" w:ascii="Times New Roman" w:hAnsi="Times New Roman" w:cs="Times New Roman"/>
                <w:color w:val="auto"/>
              </w:rPr>
            </w:pPr>
          </w:p>
        </w:tc>
        <w:tc>
          <w:tcPr>
            <w:tcW w:w="419" w:type="pct"/>
            <w:vMerge w:val="continue"/>
            <w:tcBorders>
              <w:tl2br w:val="nil"/>
              <w:tr2bl w:val="nil"/>
            </w:tcBorders>
            <w:vAlign w:val="center"/>
          </w:tcPr>
          <w:p>
            <w:pPr>
              <w:widowControl/>
              <w:adjustRightInd w:val="0"/>
              <w:snapToGrid w:val="0"/>
              <w:jc w:val="left"/>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核心港区</w:t>
            </w: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以集装箱、件杂货、商品汽车滚装、煤炭、粮油运输为主，兼有旅游客运，具有铁公水联运的综合性港区，主要为岳阳市及湖南省的经济社会发展、打造全省经济增长极和开放新高地服务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城陵矶作业区、松阳湖作业区</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重要港区</w:t>
            </w: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华容港区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以件杂货、煤炭、矿建材料、非金属矿石运输为主，服务当地经济发展并成为湖南省对接蒙华铁路煤炭通道的重要转运港</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塔市驿作业区、洪山头作业区和华容河、藕池河的货运码头港点</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君山港区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预留LNG功能，并兼顾件杂货、散货运输和旅游客运，主要为湖南省新能源基地建设及当地经济发展服务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广兴洲作业区、荆江门码头和君山岛旅游码头等港点</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以液体散货、金属矿石、煤炭运输为主，主要为沿江石化产业发展和海进江能源、原材料中转联运服务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云溪工业园作业区、道仁矶作业区、陆城作业区</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临湘港区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以干散货、件杂货运输为主，主要为腹地大宗散货水水中转和当地经济发展服务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长江村作业区、鸭栏码头</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湘阴港区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以件杂货、干散货、集装箱运输为主，兼有旅游客运，主要为湘阴县及湘江新区经济发展和城市建设服务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虞公港作业区、港口村作业区、岭北作业区和樟树、金港、南湖洲镇、湘滨镇货运码头、鹤龙湖镇、青山岛客运码头等港点</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一般港区</w:t>
            </w: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岳阳楼港区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以旅游客运、支持系统为主，主要为滨湖休闲游、水上观光游和港口支持保障服务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南岳坡旅游客运港点和港航管理服务区</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岳阳县港区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以件杂货、干散货运输为主，兼有旅游客运，主要为当地经济发展和水上旅游资源开发服务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鹿角作业区和太平咀客运港点以及新墙河内客运点</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0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汨罗港区</w:t>
            </w:r>
          </w:p>
        </w:tc>
        <w:tc>
          <w:tcPr>
            <w:tcW w:w="2365"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以粮油等件杂货、干散货运输为主，兼有旅游客运，主要为当地经济发展及水上旅游资源开发服务</w:t>
            </w:r>
          </w:p>
        </w:tc>
        <w:tc>
          <w:tcPr>
            <w:tcW w:w="134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推山咀作业区、琴棋乡码头、支持系统码头和汨罗江屈子祠、新市镇旅游客运港点</w:t>
            </w:r>
          </w:p>
        </w:tc>
        <w:tc>
          <w:tcPr>
            <w:tcW w:w="4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bl>
    <w:p>
      <w:pPr>
        <w:adjustRightInd w:val="0"/>
        <w:snapToGrid w:val="0"/>
        <w:spacing w:line="360" w:lineRule="auto"/>
        <w:ind w:firstLine="480" w:firstLineChars="200"/>
        <w:rPr>
          <w:rFonts w:hint="default" w:ascii="Times New Roman" w:hAnsi="Times New Roman" w:cs="Times New Roman" w:eastAsiaTheme="minorEastAsia"/>
          <w:bCs/>
          <w:color w:val="auto"/>
          <w:sz w:val="24"/>
        </w:rPr>
      </w:pP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主要货类运输系统布局</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总体规划根据岳阳市城市总体规划、产业发展、交通运输等规划，以及岸线资源条件和港口开发利用情况，按照规模化、集约化、专业化的发展方向，对全港集装箱、煤炭、金属矿石、矿建材料、液体散货等主要货类码头区和旅游客运码头进行功能调整与规划布局。如表5.2-4所示。</w:t>
      </w:r>
    </w:p>
    <w:p>
      <w:pPr>
        <w:pStyle w:val="848"/>
        <w:adjustRightInd w:val="0"/>
        <w:snapToGrid w:val="0"/>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表5.2-4  主要货类运输系统布局</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325"/>
        <w:gridCol w:w="77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blHeade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码头</w:t>
            </w:r>
          </w:p>
        </w:tc>
        <w:tc>
          <w:tcPr>
            <w:tcW w:w="4271"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布局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集装箱码头布局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沿江集装箱专用码头全部集中布置在城陵矶港区松阳湖作业区。在湘阴港区布置少量集装箱码头泊位，承担湘阴县和邻近资水地区集装箱运输运输中转功能。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煤炭码头布局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规划将岳阳港的煤炭运输逐步调整并集中布置在华容港区洪山头作业区、城陵矶港区煤炭泊位区、云溪港区道仁矶作业区、临湘港区长江村作业区。根据岳阳市城市总体规划和长江岸线湖南段港口码头专项整治工作总体部署，为减少煤炭运输作业对城市交通、环境等影响，将位于老城区的现有岳阳楼港区、七里山港区和城陵矶港区港务公司等煤炭码头功能逐步取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金属矿石码头布局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规划将岳阳港的金属矿石运输逐步调整并集中布置在云溪港区道仁矶作业区。近中期，将临近主城区、承运金属矿石的岳阳楼港区华菱港务公司码头、城陵矶港区城陵矶港务公司码头等散货泊位功能，以及金属矿石水上过驳运输逐步调整退出，改善港城关系和沿江水陆域面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件杂货码头布局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规划岳阳楼港区之外的其他港区均发展件杂货码头。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矿建材料码头布局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主要布置在华容港区塔市驿作业区及华容河、藕池河码头港点、云溪港区道仁矶作业区、临湘港区长江村作业区、湘阴港区岭北作业区及樟树码头、岳阳县港区汗水坡作业区、汨罗港区推山咀作业区及高台码头等。根据洞庭湖防汛及城市建设需要，在湘江及其他河流沿线由市级港口管理部门设置防汛砂石码头港点。适时关停取缔水上砂石过驳点，引导规范砂石运输全部上岸、并通过专业化码头转运，全面改善港口面貌，降低港口对水环境影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液体散货码头布局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规划远期将液体散货运输集中布置于云溪港区。近期落实交通运输部荆岳铁路洞庭湖大桥桥区河段危化品码头搬迁协调会会议纪要文件，为保障岳阳用油需求，原七里山港区的现有液货泊位在通过航道通航条件影响评价审核、确保通航安全的情况下整合、改建后继续运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客运码头布局</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对城陵矶原客运码头进行改扩建和提质升级。在洞庭湖港域规划保留并提质升级原有的南岳坡、君山等旅游客运码头；结合水上旅游资源开发，规划布局一批旅游客运港点，包括岳阳县太平咀客运码头及新墙河内客运码头、汨罗港区汨罗江屈子祠、新市镇旅游客运码头、湘阴港区鹤龙湖镇、南门港、青山岛客运码头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2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LNG加注码头</w:t>
            </w:r>
          </w:p>
        </w:tc>
        <w:tc>
          <w:tcPr>
            <w:tcW w:w="4271"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在君山港区、云溪港区、岳阳县港区、湘阴港区适时布置LNG加注码头。</w:t>
            </w:r>
          </w:p>
        </w:tc>
      </w:tr>
    </w:tbl>
    <w:p>
      <w:pPr>
        <w:adjustRightInd w:val="0"/>
        <w:snapToGrid w:val="0"/>
        <w:spacing w:line="360" w:lineRule="auto"/>
        <w:ind w:firstLine="480" w:firstLineChars="200"/>
        <w:rPr>
          <w:rFonts w:hint="default" w:ascii="Times New Roman" w:hAnsi="Times New Roman" w:cs="Times New Roman" w:eastAsiaTheme="minorEastAsia"/>
          <w:bCs/>
          <w:color w:val="auto"/>
          <w:sz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水域布置规划</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⑴ 航道</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① 长江干线航道：目前五马口~铁山咀163km航道达到Ⅰ级航道标准。根据《长江干线航道发展规划修编研究》，2030年宜昌至武汉段航道规划标准Ⅰ级航道，航道尺度为4.5m×200m×1000m，满足5000吨级内河船和3000吨级江海船双向通航。城陵矶以下利用航道自然水深通航5000吨级江海船。</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② 湘江航道：目前湘江铁角嘴~城陵矶130km航道已经达到规划的II级航道标准，设计水深≥2.6m，直线段双线宽度≥90m，弯曲半径≥550m。</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③ 藕池东支-华容河117km和华容河华容～君山49km规划为Ⅲ级航道，汨罗江平江～磊石123km规划为Ⅳ级航道，资江益阳～芦林潭（濠河口）90km为Ⅲ级及以上航道。</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⑵ 锚地</w:t>
      </w:r>
    </w:p>
    <w:p>
      <w:pPr>
        <w:adjustRightInd w:val="0"/>
        <w:snapToGrid w:val="0"/>
        <w:spacing w:line="360" w:lineRule="auto"/>
        <w:ind w:firstLine="480" w:firstLineChars="200"/>
        <w:rPr>
          <w:rFonts w:hint="default" w:ascii="Times New Roman" w:hAnsi="Times New Roman" w:cs="Times New Roman" w:eastAsiaTheme="minorEastAsia"/>
          <w:bCs/>
          <w:color w:val="auto"/>
          <w:sz w:val="24"/>
        </w:rPr>
      </w:pPr>
      <w:r>
        <w:rPr>
          <w:rFonts w:hint="default" w:ascii="Times New Roman" w:hAnsi="Times New Roman" w:cs="Times New Roman" w:eastAsiaTheme="minorEastAsia"/>
          <w:bCs/>
          <w:color w:val="auto"/>
          <w:sz w:val="24"/>
        </w:rPr>
        <w:t>岳阳港共规划港口锚地15处，其中规划新建5处锚地（长江4处，湘江1处），各规划锚地详见表5.2-5。</w:t>
      </w: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表5.2-5  岳阳港锚地规划表</w:t>
      </w:r>
    </w:p>
    <w:tbl>
      <w:tblPr>
        <w:tblStyle w:val="71"/>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174"/>
        <w:gridCol w:w="1857"/>
        <w:gridCol w:w="1516"/>
        <w:gridCol w:w="1516"/>
        <w:gridCol w:w="1516"/>
        <w:gridCol w:w="15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trPr>
        <w:tc>
          <w:tcPr>
            <w:tcW w:w="645" w:type="pct"/>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020"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锚地名称</w:t>
            </w:r>
          </w:p>
        </w:tc>
        <w:tc>
          <w:tcPr>
            <w:tcW w:w="83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水深（m）</w:t>
            </w:r>
          </w:p>
        </w:tc>
        <w:tc>
          <w:tcPr>
            <w:tcW w:w="83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尺度（m）</w:t>
            </w:r>
          </w:p>
        </w:tc>
        <w:tc>
          <w:tcPr>
            <w:tcW w:w="83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面积（万m</w:t>
            </w:r>
            <w:r>
              <w:rPr>
                <w:rFonts w:hint="default" w:ascii="Times New Roman" w:hAnsi="Times New Roman" w:cs="Times New Roman"/>
                <w:b/>
                <w:bCs/>
                <w:color w:val="auto"/>
                <w:vertAlign w:val="superscript"/>
              </w:rPr>
              <w:t>2</w:t>
            </w:r>
            <w:r>
              <w:rPr>
                <w:rFonts w:hint="default" w:ascii="Times New Roman" w:hAnsi="Times New Roman" w:cs="Times New Roman"/>
                <w:b/>
                <w:bCs/>
                <w:color w:val="auto"/>
              </w:rPr>
              <w:t>）</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性质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洪山头锚地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1600×150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24</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广兴洲锚地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600×160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9.6</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城陵矶2号锚地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3~8</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200×180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3.6</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现有调整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联检锚地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3~8</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300×160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4.8</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城陵矶3号锚地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820×160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13.4</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华能电厂锚地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1800×200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岳阳口岸外贸联检锚地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1820×267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52.7</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改建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百盛锚地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770×235</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岳化锚地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1981×357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68</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道仁矶锚地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5~9</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600×300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长岭炼油厂锚地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3~12</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687×506</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34.5</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长炼空载船锚地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3~12</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1215×357</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43.4</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保留现有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新港锚地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3~8</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1000×240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23.7</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改建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长江村锚地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4~6</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450~200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45"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10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虞公港锚地</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4~8</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200×160</w:t>
            </w:r>
          </w:p>
        </w:tc>
        <w:tc>
          <w:tcPr>
            <w:tcW w:w="83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3.2</w:t>
            </w:r>
          </w:p>
        </w:tc>
        <w:tc>
          <w:tcPr>
            <w:tcW w:w="83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新建</w:t>
            </w:r>
          </w:p>
        </w:tc>
      </w:tr>
    </w:tbl>
    <w:p>
      <w:pPr>
        <w:adjustRightInd w:val="0"/>
        <w:snapToGrid w:val="0"/>
        <w:spacing w:line="360" w:lineRule="auto"/>
        <w:ind w:firstLine="480" w:firstLineChars="200"/>
        <w:rPr>
          <w:rFonts w:hint="default" w:ascii="Times New Roman" w:hAnsi="Times New Roman" w:cs="Times New Roman"/>
          <w:color w:val="auto"/>
          <w:sz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岳阳港规划中君山港概况</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根据岳阳港吞吐量和主要货类吞吐量预测水平，以及君山港区的功能以及基础设施的发展目标，预测2025年、2035年岳阳港君山港区吞吐量如下。</w:t>
      </w:r>
    </w:p>
    <w:p>
      <w:pPr>
        <w:pStyle w:val="848"/>
        <w:adjustRightInd w:val="0"/>
        <w:snapToGrid w:val="0"/>
        <w:spacing w:line="276" w:lineRule="auto"/>
        <w:ind w:firstLine="0" w:firstLineChars="0"/>
        <w:jc w:val="right"/>
        <w:rPr>
          <w:rFonts w:hint="default" w:ascii="Times New Roman" w:hAnsi="Times New Roman" w:cs="Times New Roman"/>
          <w:b/>
          <w:bCs/>
          <w:color w:val="auto"/>
        </w:rPr>
      </w:pPr>
      <w:r>
        <w:rPr>
          <w:rFonts w:hint="default" w:ascii="Times New Roman" w:hAnsi="Times New Roman" w:cs="Times New Roman"/>
          <w:b/>
          <w:bCs/>
          <w:color w:val="auto"/>
        </w:rPr>
        <w:t xml:space="preserve">表5.2-6  岳阳港君山港区吞吐量预测表     </w:t>
      </w:r>
      <w:r>
        <w:rPr>
          <w:rFonts w:hint="default" w:ascii="Times New Roman" w:hAnsi="Times New Roman" w:cs="Times New Roman"/>
          <w:color w:val="auto"/>
          <w:szCs w:val="21"/>
        </w:rPr>
        <w:t>单位：万t或万人次</w:t>
      </w:r>
    </w:p>
    <w:tbl>
      <w:tblPr>
        <w:tblStyle w:val="71"/>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971"/>
        <w:gridCol w:w="1187"/>
        <w:gridCol w:w="1188"/>
        <w:gridCol w:w="1187"/>
        <w:gridCol w:w="1188"/>
        <w:gridCol w:w="1187"/>
        <w:gridCol w:w="11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83" w:type="pct"/>
            <w:vMerge w:val="restart"/>
            <w:tcBorders>
              <w:lef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港区</w:t>
            </w:r>
          </w:p>
        </w:tc>
        <w:tc>
          <w:tcPr>
            <w:tcW w:w="1305" w:type="pct"/>
            <w:gridSpan w:val="2"/>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2017年</w:t>
            </w:r>
          </w:p>
        </w:tc>
        <w:tc>
          <w:tcPr>
            <w:tcW w:w="1305" w:type="pct"/>
            <w:gridSpan w:val="2"/>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2025年</w:t>
            </w:r>
          </w:p>
        </w:tc>
        <w:tc>
          <w:tcPr>
            <w:tcW w:w="1305" w:type="pct"/>
            <w:gridSpan w:val="2"/>
            <w:tcBorders>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2035年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83" w:type="pct"/>
            <w:vMerge w:val="continue"/>
            <w:tcBorders>
              <w:left w:val="single" w:color="auto" w:sz="12" w:space="0"/>
            </w:tcBorders>
            <w:vAlign w:val="center"/>
          </w:tcPr>
          <w:p>
            <w:pPr>
              <w:adjustRightInd w:val="0"/>
              <w:snapToGrid w:val="0"/>
              <w:jc w:val="center"/>
              <w:rPr>
                <w:rFonts w:hint="default" w:ascii="Times New Roman" w:hAnsi="Times New Roman" w:cs="Times New Roman"/>
                <w:b/>
                <w:bCs/>
                <w:color w:val="auto"/>
              </w:rPr>
            </w:pPr>
          </w:p>
        </w:tc>
        <w:tc>
          <w:tcPr>
            <w:tcW w:w="652"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货物</w:t>
            </w:r>
          </w:p>
        </w:tc>
        <w:tc>
          <w:tcPr>
            <w:tcW w:w="65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旅客</w:t>
            </w:r>
          </w:p>
        </w:tc>
        <w:tc>
          <w:tcPr>
            <w:tcW w:w="652"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货物</w:t>
            </w:r>
          </w:p>
        </w:tc>
        <w:tc>
          <w:tcPr>
            <w:tcW w:w="652"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旅客</w:t>
            </w:r>
          </w:p>
        </w:tc>
        <w:tc>
          <w:tcPr>
            <w:tcW w:w="652"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货物</w:t>
            </w:r>
          </w:p>
        </w:tc>
        <w:tc>
          <w:tcPr>
            <w:tcW w:w="653" w:type="pct"/>
            <w:tcBorders>
              <w:right w:val="single" w:color="auto"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旅客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83"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君山港区</w:t>
            </w:r>
          </w:p>
        </w:tc>
        <w:tc>
          <w:tcPr>
            <w:tcW w:w="65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w:t>
            </w:r>
          </w:p>
        </w:tc>
        <w:tc>
          <w:tcPr>
            <w:tcW w:w="653"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65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600</w:t>
            </w:r>
          </w:p>
        </w:tc>
        <w:tc>
          <w:tcPr>
            <w:tcW w:w="65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652"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700</w:t>
            </w:r>
          </w:p>
        </w:tc>
        <w:tc>
          <w:tcPr>
            <w:tcW w:w="653"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r>
    </w:tbl>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rPr>
      </w:pPr>
    </w:p>
    <w:p>
      <w:pPr>
        <w:pStyle w:val="3"/>
        <w:ind w:left="578" w:hanging="578"/>
        <w:rPr>
          <w:rFonts w:hint="default" w:ascii="Times New Roman" w:hAnsi="Times New Roman" w:cs="Times New Roman" w:eastAsiaTheme="minorEastAsia"/>
          <w:b/>
          <w:color w:val="auto"/>
        </w:rPr>
      </w:pPr>
      <w:bookmarkStart w:id="71" w:name="_Toc25590403"/>
      <w:bookmarkStart w:id="72" w:name="_Toc18158"/>
      <w:bookmarkStart w:id="73" w:name="_Toc13672"/>
      <w:r>
        <w:rPr>
          <w:rFonts w:hint="default" w:ascii="Times New Roman" w:hAnsi="Times New Roman" w:cs="Times New Roman" w:eastAsiaTheme="minorEastAsia"/>
          <w:b/>
          <w:color w:val="auto"/>
        </w:rPr>
        <w:t>生态敏感区环境概况</w:t>
      </w:r>
      <w:bookmarkEnd w:id="71"/>
      <w:bookmarkEnd w:id="72"/>
      <w:bookmarkEnd w:id="73"/>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湖南东洞庭湖国家级自然保护区</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地理位置</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湖南东洞庭湖国家级自然保护区位于长江中下游荆江江段南侧，地处湖南省东北部岳阳市境内，地理坐标介于东经112°43′~113°14′，北纬29°00′</w:t>
      </w:r>
      <w:r>
        <w:rPr>
          <w:rFonts w:hint="eastAsia" w:ascii="Times New Roman" w:hAnsi="Times New Roman" w:cs="Times New Roman" w:eastAsiaTheme="minorEastAsia"/>
          <w:color w:val="auto"/>
          <w:sz w:val="24"/>
          <w:lang w:val="en-US" w:eastAsia="zh-CN"/>
        </w:rPr>
        <w:t>~</w:t>
      </w:r>
      <w:r>
        <w:rPr>
          <w:rFonts w:hint="default" w:ascii="Times New Roman" w:hAnsi="Times New Roman" w:cs="Times New Roman" w:eastAsiaTheme="minorEastAsia"/>
          <w:color w:val="auto"/>
          <w:sz w:val="24"/>
        </w:rPr>
        <w:t>29°38′之间。总面积19万hm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主要保护东洞庭湖特有湿地生态系统和生物多样性。保护区成立于1982年，1992年加入“国际重要湿地公约”，被列为我国首批加入“国际重要湿地公约”的六个国际重要湿地之一，1994年经国务院批准升格为国家级自然保护区。湖南东洞庭湖国家级自然保护区管理局是保护区的行政主管部门。</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保护区类型</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湖南东洞庭湖国家级自然保护区境内湿地生态环境保存完好，珍稀濒危水禽种类、数量丰富，为迁徙水禽特别重要的越冬地和歇息地，并具有良好的自然属性。根据《自然保护区类型与级别区分原则》（GB/T14529-93），该保护区类别为自然生态系统类、内陆湿地和水域生态系统类型的国家级自然保护区。</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功能区划</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根据《湖南东洞庭湖国家级自然保护区总体规划》将保护区划分为核心区、缓冲区、实验区三大功能区。</w:t>
      </w:r>
    </w:p>
    <w:p>
      <w:pPr>
        <w:adjustRightInd w:val="0"/>
        <w:snapToGrid w:val="0"/>
        <w:spacing w:line="360" w:lineRule="auto"/>
        <w:ind w:firstLine="482"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1、核心区</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该保护区内将湿地生态系统完整、生物资源丰富、白鹤、黑鹳、东方白鹳、小天鹅、鸿雁等珍稀濒危鸟类集中栖息的地段作为核心区，总面积2.90万hm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。依据功能区划原则，又将保护区核心区分为3大块。即大小西湖-君山后湖核心区：从大小西湖、三坝、四坝至君山后湖包括黑嘴在内的定权发证区域，面积1.60万hm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；红旗湖核心区：上、下红旗湖、天鹅段定权发证区域，面积0.80万hm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；春风湖核心区：包括春风湖及其大片洲滩在内的0.50万hm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定权发证区域。核心区内，实行封闭式管理，严格控制外界人员随意进入或从事捕鱼、放牧等生产经营活动，并对湖水水位进行严格的管理和调控。</w:t>
      </w:r>
    </w:p>
    <w:p>
      <w:pPr>
        <w:adjustRightInd w:val="0"/>
        <w:snapToGrid w:val="0"/>
        <w:spacing w:line="360" w:lineRule="auto"/>
        <w:ind w:firstLine="482"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2、缓冲区</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核心区外围所有东洞庭湖区域，面积3.64万hm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。缓冲区是指环绕核心区的周围地区。是试验性和生产性的科研基地，如饲养、繁殖和发展本地特有生物，是对各生态系统物质循环和能量流动等进行研究的地区，也是保护区的主要设施基地和教育基地。</w:t>
      </w:r>
    </w:p>
    <w:p>
      <w:pPr>
        <w:adjustRightInd w:val="0"/>
        <w:snapToGrid w:val="0"/>
        <w:spacing w:line="360" w:lineRule="auto"/>
        <w:ind w:firstLine="482"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3、实验区</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保护区区界以内缓冲区以外的广大区域，包括采桑湖、团湖、方台湖、南湖、芭蕉湖等在内的湖泊和农业用地，面积12.46万hm</w:t>
      </w:r>
      <w:r>
        <w:rPr>
          <w:rFonts w:hint="default" w:ascii="Times New Roman" w:hAnsi="Times New Roman" w:cs="Times New Roman" w:eastAsiaTheme="minorEastAsia"/>
          <w:color w:val="auto"/>
          <w:sz w:val="24"/>
          <w:vertAlign w:val="superscript"/>
        </w:rPr>
        <w:t>2</w:t>
      </w:r>
      <w:r>
        <w:rPr>
          <w:rFonts w:hint="default" w:ascii="Times New Roman" w:hAnsi="Times New Roman" w:cs="Times New Roman" w:eastAsiaTheme="minorEastAsia"/>
          <w:color w:val="auto"/>
          <w:sz w:val="24"/>
        </w:rPr>
        <w:t>。</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在缓冲区和实验区内，保护区将依法取缔各种非法渔具，全面禁止偷猎或毒杀珍禽的违法活动。</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保护区的核心区和缓冲区，是珍稀濒危野生动物的主要栖息地，又是湿地生态系统的典型区域。在该范围内以保护为主，除开展科研、调查活动外，尽量减少人为影响和干扰，绝对禁止在该区域开展经营活动和一切生产活动。</w:t>
      </w:r>
    </w:p>
    <w:p>
      <w:pPr>
        <w:adjustRightInd w:val="0"/>
        <w:snapToGrid w:val="0"/>
        <w:spacing w:line="360" w:lineRule="auto"/>
        <w:ind w:firstLine="480"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color w:val="auto"/>
          <w:sz w:val="24"/>
        </w:rPr>
        <w:t>实验区实际上应该为可持续发展示范区，且实验区内在有利于保护的基础上，该区域内可以开展自然资源的合理利用，特别是应开展非消耗性资源利用，如开展生态旅游业（观鸟、观荷花等），以减少人们对自然资源的直接消耗和过分依赖。</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主要保护对象及分布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东洞庭湖国家级自然保护区的主要保护对象为：湿地生态系统和生物多样性；珍稀濒危水禽；自然生态环境和自然资源；自然、人文景观等。</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东洞庭湖国家级自然保护区湿地洲滩发育，是我国珍稀候鸟越冬栖息地和繁殖地。鸟类数量、种类，水生生物数量、种类，淡水鱼类数量、种类都十分丰富。鱼类有114种、贝类40余种、鸟类80余种、兽类10余种，野生植物有873种。其中属于国家一类保护的水禽有白鹤、丹顶鹤、白头鹤、白枕鹤、白图、黑鹤、斑嘴鸦鹏等7种，属于国家二类保护的水禽有大鸨、灰鹤、白琵鸳、天鹅等多种；还有属于国家一类保护的中华鲟、白鳍豚，属于国家二类保护的江豚、扬子鳄、麋鹿、具有十分重要的研究和保护价值。</w:t>
      </w:r>
    </w:p>
    <w:p>
      <w:pPr>
        <w:pStyle w:val="5"/>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rPr>
        <w:t>项目与国家级自然保护区位置</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sz w:val="24"/>
          <w:szCs w:val="24"/>
          <w:highlight w:val="none"/>
          <w:lang w:eastAsia="zh-CN"/>
        </w:rPr>
        <w:t>东洞庭湖湖泊湿地保护区</w:t>
      </w:r>
      <w:r>
        <w:rPr>
          <w:rFonts w:hint="default" w:ascii="Times New Roman" w:hAnsi="Times New Roman" w:cs="Times New Roman" w:eastAsiaTheme="minorEastAsia"/>
          <w:color w:val="auto"/>
        </w:rPr>
        <w:t>关系</w:t>
      </w:r>
    </w:p>
    <w:p>
      <w:pPr>
        <w:widowControl/>
        <w:adjustRightInd w:val="0"/>
        <w:snapToGrid w:val="0"/>
        <w:spacing w:line="360" w:lineRule="auto"/>
        <w:ind w:firstLine="480" w:firstLineChars="200"/>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highlight w:val="none"/>
        </w:rPr>
        <w:t>本项目位于东洞庭国家级自然保护区的实验区，远离缓冲区和核心区，见附图8。</w:t>
      </w:r>
      <w:r>
        <w:rPr>
          <w:rFonts w:hint="default" w:ascii="Times New Roman" w:hAnsi="Times New Roman" w:cs="Times New Roman" w:eastAsiaTheme="minorEastAsia"/>
          <w:color w:val="auto"/>
          <w:sz w:val="24"/>
          <w:szCs w:val="24"/>
          <w:highlight w:val="none"/>
          <w:lang w:eastAsia="zh-CN"/>
        </w:rPr>
        <w:t>且</w:t>
      </w:r>
      <w:r>
        <w:rPr>
          <w:rFonts w:hint="default" w:ascii="Times New Roman" w:hAnsi="Times New Roman" w:cs="Times New Roman" w:eastAsiaTheme="minorEastAsia"/>
          <w:color w:val="auto"/>
          <w:sz w:val="24"/>
          <w:szCs w:val="24"/>
          <w:highlight w:val="none"/>
        </w:rPr>
        <w:t>东洞庭国家级自然保护区</w:t>
      </w:r>
      <w:r>
        <w:rPr>
          <w:rFonts w:hint="default" w:ascii="Times New Roman" w:hAnsi="Times New Roman" w:cs="Times New Roman" w:eastAsiaTheme="minorEastAsia"/>
          <w:color w:val="auto"/>
          <w:sz w:val="24"/>
          <w:szCs w:val="24"/>
          <w:highlight w:val="none"/>
          <w:lang w:eastAsia="zh-CN"/>
        </w:rPr>
        <w:t>与东洞庭湖湖泊湿地保护区基本重</w:t>
      </w:r>
      <w:r>
        <w:rPr>
          <w:rFonts w:hint="default" w:ascii="Times New Roman" w:hAnsi="Times New Roman" w:cs="Times New Roman" w:eastAsiaTheme="minorEastAsia"/>
          <w:color w:val="auto"/>
          <w:sz w:val="24"/>
          <w:szCs w:val="24"/>
          <w:lang w:eastAsia="zh-CN"/>
        </w:rPr>
        <w:t>合。故项目与国家级自然保护区位置、东洞庭湖湖泊湿地保护区相对位置基本相同。</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长江监利段四大家鱼国家级水产种质资源保护区</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地理位置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长江监利段四大家鱼国家级水产种质资源保护区是2009年12月经原农业部（农业部公告第1308号）批准成立的第三批国家级水产种质资源保护区之一。保护区位于长江湖北监利段，保护区由老江河长江故道和长江干流部分水域组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功能区划</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rPr>
        <w:t>长江监利段四大家鱼国家级水产种质资源保护区</w:t>
      </w:r>
      <w:r>
        <w:rPr>
          <w:rFonts w:hint="default" w:ascii="Times New Roman" w:hAnsi="Times New Roman" w:cs="Times New Roman" w:eastAsiaTheme="minorEastAsia"/>
          <w:color w:val="auto"/>
          <w:sz w:val="24"/>
          <w:szCs w:val="24"/>
        </w:rPr>
        <w:t>总面积15996hm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，其中核心区6294hm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，占总面积的39.35%，实验区9702hm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，占总面积的60.65%。核心区特别保护期为每年4月1日至6月30日，现已全面禁捕。保护区划分为3段核心区和4段实验区。</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Cs/>
          <w:color w:val="auto"/>
          <w:sz w:val="24"/>
          <w:szCs w:val="24"/>
        </w:rPr>
        <w:t>核心区：</w:t>
      </w:r>
      <w:r>
        <w:rPr>
          <w:rFonts w:hint="default" w:ascii="Times New Roman" w:hAnsi="Times New Roman" w:cs="Times New Roman"/>
          <w:color w:val="auto"/>
          <w:sz w:val="24"/>
          <w:szCs w:val="24"/>
        </w:rPr>
        <w:t>⑴</w:t>
      </w:r>
      <w:r>
        <w:rPr>
          <w:rFonts w:hint="default" w:ascii="Times New Roman" w:hAnsi="Times New Roman" w:cs="Times New Roman" w:eastAsiaTheme="minorEastAsia"/>
          <w:color w:val="auto"/>
          <w:sz w:val="24"/>
          <w:szCs w:val="24"/>
        </w:rPr>
        <w:t xml:space="preserve"> 监利县红城乡杨家湾至容城镇新洲沙咀轮渡码头长江江段，长度15.80km，面积3634hm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。坐标位：112°49'51"E，29°45'52"N至112°55'26"E，29°43'7"N。</w:t>
      </w:r>
      <w:r>
        <w:rPr>
          <w:rFonts w:hint="default" w:ascii="Times New Roman" w:hAnsi="Times New Roman" w:cs="Times New Roman"/>
          <w:color w:val="auto"/>
          <w:sz w:val="24"/>
          <w:szCs w:val="24"/>
        </w:rPr>
        <w:t>⑵</w:t>
      </w:r>
      <w:r>
        <w:rPr>
          <w:rFonts w:hint="default" w:ascii="Times New Roman" w:hAnsi="Times New Roman" w:cs="Times New Roman" w:eastAsiaTheme="minorEastAsia"/>
          <w:color w:val="auto"/>
          <w:sz w:val="24"/>
          <w:szCs w:val="24"/>
        </w:rPr>
        <w:t xml:space="preserve"> 三洲镇盐船轮渡口至上沙村江段，长度6.00km，面积960hm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。坐标位：112°55'38"E，29°32'31"N至112°56'25"E，29°29'3"N。</w:t>
      </w:r>
      <w:r>
        <w:rPr>
          <w:rFonts w:hint="default" w:ascii="Times New Roman" w:hAnsi="Times New Roman" w:cs="Times New Roman"/>
          <w:color w:val="auto"/>
          <w:sz w:val="24"/>
          <w:szCs w:val="24"/>
        </w:rPr>
        <w:t>⑶</w:t>
      </w:r>
      <w:r>
        <w:rPr>
          <w:rFonts w:hint="default" w:ascii="Times New Roman" w:hAnsi="Times New Roman" w:cs="Times New Roman" w:eastAsiaTheme="minorEastAsia"/>
          <w:color w:val="auto"/>
          <w:sz w:val="24"/>
          <w:szCs w:val="24"/>
        </w:rPr>
        <w:t xml:space="preserve"> 老江河长江故道（三洲镇熊洲闸至柘木乡孙梁洲闸），长度20.00km，面积1700hm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。坐标位：112°59'45"E，29°30'51"N至113°4'13"E，29°30'46"N。</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Cs/>
          <w:color w:val="auto"/>
          <w:sz w:val="24"/>
          <w:szCs w:val="24"/>
        </w:rPr>
        <w:t>实验区：</w:t>
      </w:r>
      <w:r>
        <w:rPr>
          <w:rFonts w:hint="default" w:ascii="Times New Roman" w:hAnsi="Times New Roman" w:cs="Times New Roman"/>
          <w:color w:val="auto"/>
          <w:sz w:val="24"/>
          <w:szCs w:val="24"/>
        </w:rPr>
        <w:t>⑴</w:t>
      </w:r>
      <w:r>
        <w:rPr>
          <w:rFonts w:hint="default" w:ascii="Times New Roman" w:hAnsi="Times New Roman" w:cs="Times New Roman" w:eastAsiaTheme="minorEastAsia"/>
          <w:color w:val="auto"/>
          <w:sz w:val="24"/>
          <w:szCs w:val="24"/>
        </w:rPr>
        <w:t xml:space="preserve"> 监利县大垸农场管理区柳口至红城乡杨家湾江段，长度12.93km，面积1294hm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。坐标位：112°42'47"E，29°44'14"N至112°49'51"E，29°45'52" N。</w:t>
      </w:r>
      <w:r>
        <w:rPr>
          <w:rFonts w:hint="default" w:ascii="Times New Roman" w:hAnsi="Times New Roman" w:cs="Times New Roman"/>
          <w:color w:val="auto"/>
          <w:sz w:val="24"/>
          <w:szCs w:val="24"/>
        </w:rPr>
        <w:t>⑵</w:t>
      </w:r>
      <w:r>
        <w:rPr>
          <w:rFonts w:hint="default" w:ascii="Times New Roman" w:hAnsi="Times New Roman" w:cs="Times New Roman" w:eastAsiaTheme="minorEastAsia"/>
          <w:color w:val="auto"/>
          <w:sz w:val="24"/>
          <w:szCs w:val="24"/>
        </w:rPr>
        <w:t xml:space="preserve"> 三洲镇左家滩至三洲镇盐船轮渡口江段，长度12.64km，面积1896hm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。坐标位：112°55'59"E，29°38'44"N至112°55'38"E，29°32'31"N。</w:t>
      </w:r>
      <w:r>
        <w:rPr>
          <w:rFonts w:hint="default" w:ascii="Times New Roman" w:hAnsi="Times New Roman" w:cs="Times New Roman"/>
          <w:color w:val="auto"/>
          <w:sz w:val="24"/>
          <w:szCs w:val="24"/>
        </w:rPr>
        <w:t>⑶</w:t>
      </w:r>
      <w:r>
        <w:rPr>
          <w:rFonts w:hint="default" w:ascii="Times New Roman" w:hAnsi="Times New Roman" w:cs="Times New Roman" w:eastAsiaTheme="minorEastAsia"/>
          <w:color w:val="auto"/>
          <w:sz w:val="24"/>
          <w:szCs w:val="24"/>
        </w:rPr>
        <w:t xml:space="preserve"> 三洲镇上沙村至柘木乡孙梁洲江段，长度17.18km，面积3780hm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。坐标位：112°56'25"E，29°29'3"N至113°3'47"E，29°30'16"N。</w:t>
      </w:r>
      <w:r>
        <w:rPr>
          <w:rFonts w:hint="default" w:ascii="Times New Roman" w:hAnsi="Times New Roman" w:cs="Times New Roman"/>
          <w:color w:val="auto"/>
          <w:sz w:val="24"/>
          <w:szCs w:val="24"/>
        </w:rPr>
        <w:t>⑷</w:t>
      </w:r>
      <w:r>
        <w:rPr>
          <w:rFonts w:hint="default" w:ascii="Times New Roman" w:hAnsi="Times New Roman" w:cs="Times New Roman" w:eastAsiaTheme="minorEastAsia"/>
          <w:color w:val="auto"/>
          <w:sz w:val="24"/>
          <w:szCs w:val="24"/>
        </w:rPr>
        <w:t xml:space="preserve"> 白螺镇白螺矶至白螺镇韩家埠江段，长度13.93km，面积2732hm</w:t>
      </w:r>
      <w:r>
        <w:rPr>
          <w:rFonts w:hint="default" w:ascii="Times New Roman" w:hAnsi="Times New Roman" w:cs="Times New Roman" w:eastAsiaTheme="minorEastAsia"/>
          <w:color w:val="auto"/>
          <w:sz w:val="24"/>
          <w:szCs w:val="24"/>
          <w:vertAlign w:val="superscript"/>
        </w:rPr>
        <w:t>2</w:t>
      </w:r>
      <w:r>
        <w:rPr>
          <w:rFonts w:hint="default" w:ascii="Times New Roman" w:hAnsi="Times New Roman" w:cs="Times New Roman" w:eastAsiaTheme="minorEastAsia"/>
          <w:color w:val="auto"/>
          <w:sz w:val="24"/>
          <w:szCs w:val="24"/>
        </w:rPr>
        <w:t>。坐标位：113°12'37"E，29°32'8.58"N至113°18'11"E，29°37'51"N。</w:t>
      </w:r>
    </w:p>
    <w:p>
      <w:pPr>
        <w:adjustRightInd w:val="0"/>
        <w:snapToGrid w:val="0"/>
        <w:spacing w:line="276"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表5.3-1  保护区功能区起讫坐标及位置</w:t>
      </w:r>
    </w:p>
    <w:tbl>
      <w:tblPr>
        <w:tblStyle w:val="71"/>
        <w:tblW w:w="910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37"/>
        <w:gridCol w:w="2464"/>
        <w:gridCol w:w="1707"/>
        <w:gridCol w:w="1669"/>
        <w:gridCol w:w="985"/>
        <w:gridCol w:w="11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137" w:type="dxa"/>
            <w:vMerge w:val="restart"/>
            <w:vAlign w:val="center"/>
          </w:tcPr>
          <w:p>
            <w:pPr>
              <w:tabs>
                <w:tab w:val="left" w:pos="18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功能区</w:t>
            </w:r>
          </w:p>
        </w:tc>
        <w:tc>
          <w:tcPr>
            <w:tcW w:w="2464" w:type="dxa"/>
            <w:vMerge w:val="restart"/>
            <w:vAlign w:val="center"/>
          </w:tcPr>
          <w:p>
            <w:pPr>
              <w:tabs>
                <w:tab w:val="left" w:pos="-108"/>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起点和终点</w:t>
            </w:r>
          </w:p>
        </w:tc>
        <w:tc>
          <w:tcPr>
            <w:tcW w:w="3376" w:type="dxa"/>
            <w:gridSpan w:val="2"/>
            <w:vAlign w:val="center"/>
          </w:tcPr>
          <w:p>
            <w:pPr>
              <w:tabs>
                <w:tab w:val="left" w:pos="18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地理坐标</w:t>
            </w:r>
          </w:p>
        </w:tc>
        <w:tc>
          <w:tcPr>
            <w:tcW w:w="985" w:type="dxa"/>
            <w:vMerge w:val="restart"/>
            <w:vAlign w:val="center"/>
          </w:tcPr>
          <w:p>
            <w:pPr>
              <w:tabs>
                <w:tab w:val="left" w:pos="-108"/>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长度</w:t>
            </w:r>
          </w:p>
          <w:p>
            <w:pPr>
              <w:tabs>
                <w:tab w:val="left" w:pos="-108"/>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（km）</w:t>
            </w:r>
          </w:p>
        </w:tc>
        <w:tc>
          <w:tcPr>
            <w:tcW w:w="1138" w:type="dxa"/>
            <w:vMerge w:val="restart"/>
            <w:vAlign w:val="center"/>
          </w:tcPr>
          <w:p>
            <w:pPr>
              <w:tabs>
                <w:tab w:val="left" w:pos="-108"/>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面积</w:t>
            </w:r>
          </w:p>
          <w:p>
            <w:pPr>
              <w:tabs>
                <w:tab w:val="left" w:pos="-108"/>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（hm</w:t>
            </w:r>
            <w:r>
              <w:rPr>
                <w:rFonts w:hint="default" w:ascii="Times New Roman" w:hAnsi="Times New Roman" w:cs="Times New Roman" w:eastAsiaTheme="minorEastAsia"/>
                <w:b/>
                <w:color w:val="auto"/>
                <w:vertAlign w:val="superscript"/>
              </w:rPr>
              <w:t>2</w:t>
            </w:r>
            <w:r>
              <w:rPr>
                <w:rFonts w:hint="default" w:ascii="Times New Roman" w:hAnsi="Times New Roman" w:cs="Times New Roman" w:eastAsiaTheme="minorEastAsia"/>
                <w:b/>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137" w:type="dxa"/>
            <w:vMerge w:val="continue"/>
            <w:vAlign w:val="center"/>
          </w:tcPr>
          <w:p>
            <w:pPr>
              <w:tabs>
                <w:tab w:val="left" w:pos="180"/>
              </w:tabs>
              <w:adjustRightInd w:val="0"/>
              <w:snapToGrid w:val="0"/>
              <w:jc w:val="center"/>
              <w:rPr>
                <w:rFonts w:hint="default" w:ascii="Times New Roman" w:hAnsi="Times New Roman" w:cs="Times New Roman" w:eastAsiaTheme="minorEastAsia"/>
                <w:b/>
                <w:color w:val="auto"/>
              </w:rPr>
            </w:pPr>
          </w:p>
        </w:tc>
        <w:tc>
          <w:tcPr>
            <w:tcW w:w="2464" w:type="dxa"/>
            <w:vMerge w:val="continue"/>
            <w:vAlign w:val="center"/>
          </w:tcPr>
          <w:p>
            <w:pPr>
              <w:tabs>
                <w:tab w:val="left" w:pos="180"/>
              </w:tabs>
              <w:adjustRightInd w:val="0"/>
              <w:snapToGrid w:val="0"/>
              <w:jc w:val="center"/>
              <w:rPr>
                <w:rFonts w:hint="default" w:ascii="Times New Roman" w:hAnsi="Times New Roman" w:cs="Times New Roman" w:eastAsiaTheme="minorEastAsia"/>
                <w:b/>
                <w:color w:val="auto"/>
              </w:rPr>
            </w:pPr>
          </w:p>
        </w:tc>
        <w:tc>
          <w:tcPr>
            <w:tcW w:w="1707" w:type="dxa"/>
            <w:vAlign w:val="center"/>
          </w:tcPr>
          <w:p>
            <w:pPr>
              <w:tabs>
                <w:tab w:val="left" w:pos="18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起点</w:t>
            </w:r>
          </w:p>
        </w:tc>
        <w:tc>
          <w:tcPr>
            <w:tcW w:w="1669" w:type="dxa"/>
            <w:vAlign w:val="center"/>
          </w:tcPr>
          <w:p>
            <w:pPr>
              <w:tabs>
                <w:tab w:val="left" w:pos="180"/>
              </w:tabs>
              <w:adjustRightInd w:val="0"/>
              <w:snapToGrid w:val="0"/>
              <w:jc w:val="center"/>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终点</w:t>
            </w:r>
          </w:p>
        </w:tc>
        <w:tc>
          <w:tcPr>
            <w:tcW w:w="985" w:type="dxa"/>
            <w:vMerge w:val="continue"/>
            <w:vAlign w:val="center"/>
          </w:tcPr>
          <w:p>
            <w:pPr>
              <w:tabs>
                <w:tab w:val="left" w:pos="180"/>
              </w:tabs>
              <w:adjustRightInd w:val="0"/>
              <w:snapToGrid w:val="0"/>
              <w:jc w:val="center"/>
              <w:rPr>
                <w:rFonts w:hint="default" w:ascii="Times New Roman" w:hAnsi="Times New Roman" w:cs="Times New Roman" w:eastAsiaTheme="minorEastAsia"/>
                <w:b/>
                <w:color w:val="auto"/>
              </w:rPr>
            </w:pPr>
          </w:p>
        </w:tc>
        <w:tc>
          <w:tcPr>
            <w:tcW w:w="1138" w:type="dxa"/>
            <w:vMerge w:val="continue"/>
            <w:vAlign w:val="center"/>
          </w:tcPr>
          <w:p>
            <w:pPr>
              <w:tabs>
                <w:tab w:val="left" w:pos="180"/>
              </w:tabs>
              <w:adjustRightInd w:val="0"/>
              <w:snapToGrid w:val="0"/>
              <w:jc w:val="center"/>
              <w:rPr>
                <w:rFonts w:hint="default" w:ascii="Times New Roman" w:hAnsi="Times New Roman" w:cs="Times New Roman" w:eastAsiaTheme="minorEastAsia"/>
                <w:b/>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实验区</w:t>
            </w:r>
          </w:p>
        </w:tc>
        <w:tc>
          <w:tcPr>
            <w:tcW w:w="2464"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柳口至杨家湾</w:t>
            </w:r>
          </w:p>
        </w:tc>
        <w:tc>
          <w:tcPr>
            <w:tcW w:w="170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E112°42'47"</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N29°44'14"</w:t>
            </w:r>
          </w:p>
        </w:tc>
        <w:tc>
          <w:tcPr>
            <w:tcW w:w="1669"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E112°49'51"</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N29°45'52"</w:t>
            </w:r>
          </w:p>
        </w:tc>
        <w:tc>
          <w:tcPr>
            <w:tcW w:w="985"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12.93</w:t>
            </w:r>
          </w:p>
        </w:tc>
        <w:tc>
          <w:tcPr>
            <w:tcW w:w="1138"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1294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核心区</w:t>
            </w:r>
          </w:p>
        </w:tc>
        <w:tc>
          <w:tcPr>
            <w:tcW w:w="2464" w:type="dxa"/>
            <w:vAlign w:val="center"/>
          </w:tcPr>
          <w:p>
            <w:pPr>
              <w:tabs>
                <w:tab w:val="left" w:pos="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杨家湾至沙咀轮渡码头</w:t>
            </w:r>
          </w:p>
        </w:tc>
        <w:tc>
          <w:tcPr>
            <w:tcW w:w="170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E112°49'51"</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 29°45'52"</w:t>
            </w:r>
          </w:p>
        </w:tc>
        <w:tc>
          <w:tcPr>
            <w:tcW w:w="1669"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E112°55'26"</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N29°43'7"</w:t>
            </w:r>
          </w:p>
        </w:tc>
        <w:tc>
          <w:tcPr>
            <w:tcW w:w="985"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15.80</w:t>
            </w:r>
          </w:p>
        </w:tc>
        <w:tc>
          <w:tcPr>
            <w:tcW w:w="1138"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3634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实验区</w:t>
            </w:r>
          </w:p>
        </w:tc>
        <w:tc>
          <w:tcPr>
            <w:tcW w:w="2464"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左家滩至盐船轮渡口</w:t>
            </w:r>
          </w:p>
        </w:tc>
        <w:tc>
          <w:tcPr>
            <w:tcW w:w="170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E112°55'59"</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N29°38'44"</w:t>
            </w:r>
          </w:p>
        </w:tc>
        <w:tc>
          <w:tcPr>
            <w:tcW w:w="1669"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E112°55'38</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N29°32'31"</w:t>
            </w:r>
          </w:p>
        </w:tc>
        <w:tc>
          <w:tcPr>
            <w:tcW w:w="985"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12.64</w:t>
            </w:r>
          </w:p>
        </w:tc>
        <w:tc>
          <w:tcPr>
            <w:tcW w:w="1138"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1896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核心区</w:t>
            </w:r>
          </w:p>
        </w:tc>
        <w:tc>
          <w:tcPr>
            <w:tcW w:w="2464"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盐船轮渡口至上沙村</w:t>
            </w:r>
          </w:p>
        </w:tc>
        <w:tc>
          <w:tcPr>
            <w:tcW w:w="170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E112°55'38"</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N29°32'31"</w:t>
            </w:r>
          </w:p>
        </w:tc>
        <w:tc>
          <w:tcPr>
            <w:tcW w:w="1669"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E112°56'25"</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N29°29'3"</w:t>
            </w:r>
          </w:p>
        </w:tc>
        <w:tc>
          <w:tcPr>
            <w:tcW w:w="985"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6.00</w:t>
            </w:r>
          </w:p>
        </w:tc>
        <w:tc>
          <w:tcPr>
            <w:tcW w:w="1138"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960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实验区</w:t>
            </w:r>
          </w:p>
        </w:tc>
        <w:tc>
          <w:tcPr>
            <w:tcW w:w="2464"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上沙村至孙梁洲</w:t>
            </w:r>
          </w:p>
        </w:tc>
        <w:tc>
          <w:tcPr>
            <w:tcW w:w="170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E112°56'25"</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N29°29'3"</w:t>
            </w:r>
          </w:p>
        </w:tc>
        <w:tc>
          <w:tcPr>
            <w:tcW w:w="1669"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E113°3'47"</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N29°30'16"</w:t>
            </w:r>
          </w:p>
        </w:tc>
        <w:tc>
          <w:tcPr>
            <w:tcW w:w="985"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17.18</w:t>
            </w:r>
          </w:p>
        </w:tc>
        <w:tc>
          <w:tcPr>
            <w:tcW w:w="1138"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3780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核心区</w:t>
            </w:r>
          </w:p>
        </w:tc>
        <w:tc>
          <w:tcPr>
            <w:tcW w:w="2464"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熊洲闸至孙梁洲闸（老江河故道）</w:t>
            </w:r>
          </w:p>
        </w:tc>
        <w:tc>
          <w:tcPr>
            <w:tcW w:w="1707"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E112°59'45"</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N29°30'51"</w:t>
            </w:r>
          </w:p>
        </w:tc>
        <w:tc>
          <w:tcPr>
            <w:tcW w:w="1669"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E113°4'13"</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N29°30'46"</w:t>
            </w:r>
          </w:p>
        </w:tc>
        <w:tc>
          <w:tcPr>
            <w:tcW w:w="985"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20.00</w:t>
            </w:r>
          </w:p>
        </w:tc>
        <w:tc>
          <w:tcPr>
            <w:tcW w:w="1138"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13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实验区</w:t>
            </w:r>
          </w:p>
        </w:tc>
        <w:tc>
          <w:tcPr>
            <w:tcW w:w="2464"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白螺矶至韩家埠</w:t>
            </w:r>
          </w:p>
        </w:tc>
        <w:tc>
          <w:tcPr>
            <w:tcW w:w="1707"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E113°12'37"</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N29°32'8"</w:t>
            </w:r>
          </w:p>
        </w:tc>
        <w:tc>
          <w:tcPr>
            <w:tcW w:w="1669"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E113°18'11"</w:t>
            </w:r>
          </w:p>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N29°37'51"</w:t>
            </w:r>
          </w:p>
        </w:tc>
        <w:tc>
          <w:tcPr>
            <w:tcW w:w="985"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13.93</w:t>
            </w:r>
          </w:p>
        </w:tc>
        <w:tc>
          <w:tcPr>
            <w:tcW w:w="1138" w:type="dxa"/>
            <w:shd w:val="clear" w:color="auto" w:fill="E6E6E6"/>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2732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7" w:type="dxa"/>
            <w:gridSpan w:val="4"/>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合计</w:t>
            </w:r>
          </w:p>
        </w:tc>
        <w:tc>
          <w:tcPr>
            <w:tcW w:w="985"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98.48</w:t>
            </w:r>
          </w:p>
        </w:tc>
        <w:tc>
          <w:tcPr>
            <w:tcW w:w="1138" w:type="dxa"/>
            <w:vAlign w:val="center"/>
          </w:tcPr>
          <w:p>
            <w:pPr>
              <w:tabs>
                <w:tab w:val="left" w:pos="180"/>
              </w:tabs>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15996</w:t>
            </w:r>
          </w:p>
        </w:tc>
      </w:tr>
    </w:tbl>
    <w:p>
      <w:pPr>
        <w:adjustRightInd w:val="0"/>
        <w:snapToGrid w:val="0"/>
        <w:spacing w:line="360" w:lineRule="auto"/>
        <w:rPr>
          <w:rFonts w:hint="default" w:ascii="Times New Roman" w:hAnsi="Times New Roman" w:cs="Times New Roman" w:eastAsiaTheme="minorEastAsia"/>
          <w:bCs/>
          <w:color w:val="auto"/>
          <w:sz w:val="24"/>
          <w:szCs w:val="24"/>
        </w:rPr>
      </w:pP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保护区的主要功能</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水产种质资源保护区是以鱼类和其它水生动植物及其生态系统为主要保护对象，保护鱼虾类产卵场、索饵场、越冬场、洄游通道及其生态环境，防治渔业水域污染；保护珍稀野生水生生物栖息地与集中分布区；维护渔业水域的生物多样性。属于集生物多样性保护、科学研究、宣传教育为一体的综合性生态系统类型的保护区。主导功能是保护水产种质资源、维护生物多样性。</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保护区主要保护对象</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保护区主要保护对象为青鱼、草鱼、鲢、鳙“四大家鱼”，其他保护对象为保护区内的其它水生生物。</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项目与国家级水产种质资源保护区位置关系</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本项目位于该水产种质自然保护区范围的实验区，距上游杨家湾至沙咀轮渡码头核心区16km，距下游盐船轮渡口至上沙村核心区4km，见附图11。</w:t>
      </w:r>
    </w:p>
    <w:p>
      <w:pPr>
        <w:pStyle w:val="3"/>
        <w:ind w:left="578" w:hanging="578"/>
        <w:rPr>
          <w:rFonts w:hint="default" w:ascii="Times New Roman" w:hAnsi="Times New Roman" w:cs="Times New Roman" w:eastAsiaTheme="minorEastAsia"/>
          <w:b/>
          <w:color w:val="auto"/>
        </w:rPr>
      </w:pPr>
      <w:bookmarkStart w:id="74" w:name="_Toc32054"/>
      <w:bookmarkStart w:id="75" w:name="_Toc5528"/>
      <w:bookmarkStart w:id="76" w:name="_Toc25590408"/>
      <w:r>
        <w:rPr>
          <w:rFonts w:hint="default" w:ascii="Times New Roman" w:hAnsi="Times New Roman" w:cs="Times New Roman" w:eastAsiaTheme="minorEastAsia"/>
          <w:b/>
          <w:color w:val="auto"/>
        </w:rPr>
        <w:t>环境空气现状调查与评价</w:t>
      </w:r>
      <w:bookmarkEnd w:id="74"/>
      <w:bookmarkEnd w:id="75"/>
      <w:bookmarkEnd w:id="76"/>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环境空气质量现状调查</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现状调查</w:t>
      </w:r>
    </w:p>
    <w:p>
      <w:pPr>
        <w:pStyle w:val="129"/>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周边所经地区多为农村、环境空气质量保持自然状况。评价范围内无大型固定污染源，现有环境空气污染源主要来自道路汽车尾气、二次扬尘、人群生产生活所产生的一氧化碳和总悬浮颗粒物等，但排放量较小。</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项目区污染气象特征</w:t>
      </w:r>
    </w:p>
    <w:p>
      <w:pPr>
        <w:pStyle w:val="129"/>
        <w:adjustRightInd w:val="0"/>
        <w:snapToGrid w:val="0"/>
        <w:spacing w:line="360" w:lineRule="auto"/>
        <w:ind w:left="-25" w:firstLine="480"/>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1、地面风</w:t>
      </w:r>
    </w:p>
    <w:p>
      <w:pPr>
        <w:pStyle w:val="129"/>
        <w:adjustRightInd w:val="0"/>
        <w:snapToGrid w:val="0"/>
        <w:spacing w:line="360" w:lineRule="auto"/>
        <w:ind w:left="-25"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根据相关资料，项目区多年平均风速3.0m/s。常年主导风向以</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"http://wenwen.soso.com/z/Search.e?sp=S%E8%A5%BF%E5%8C%97%E9%A3%8E&amp;ch=w.search.yjjlink&amp;cid=w.search.yjjlink" </w:instrText>
      </w:r>
      <w:r>
        <w:rPr>
          <w:rFonts w:hint="default" w:ascii="Times New Roman" w:hAnsi="Times New Roman" w:cs="Times New Roman"/>
          <w:color w:val="auto"/>
        </w:rPr>
        <w:fldChar w:fldCharType="separate"/>
      </w:r>
      <w:r>
        <w:rPr>
          <w:rFonts w:hint="default" w:ascii="Times New Roman" w:hAnsi="Times New Roman" w:cs="Times New Roman" w:eastAsiaTheme="minorEastAsia"/>
          <w:color w:val="auto"/>
        </w:rPr>
        <w:t>东北风</w:t>
      </w:r>
      <w:r>
        <w:rPr>
          <w:rFonts w:hint="default" w:ascii="Times New Roman" w:hAnsi="Times New Roman" w:cs="Times New Roman" w:eastAsiaTheme="minorEastAsia"/>
          <w:color w:val="auto"/>
        </w:rPr>
        <w:fldChar w:fldCharType="end"/>
      </w:r>
      <w:r>
        <w:rPr>
          <w:rFonts w:hint="default" w:ascii="Times New Roman" w:hAnsi="Times New Roman" w:cs="Times New Roman" w:eastAsiaTheme="minorEastAsia"/>
          <w:color w:val="auto"/>
        </w:rPr>
        <w:t>为主。</w:t>
      </w:r>
    </w:p>
    <w:p>
      <w:pPr>
        <w:pStyle w:val="129"/>
        <w:adjustRightInd w:val="0"/>
        <w:snapToGrid w:val="0"/>
        <w:spacing w:line="360" w:lineRule="auto"/>
        <w:ind w:left="-25" w:firstLine="480"/>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2、大气稳定度的确定</w:t>
      </w:r>
    </w:p>
    <w:p>
      <w:pPr>
        <w:pStyle w:val="129"/>
        <w:adjustRightInd w:val="0"/>
        <w:snapToGrid w:val="0"/>
        <w:spacing w:line="360" w:lineRule="auto"/>
        <w:ind w:left="-25"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根据国家气象部门调查，项目区内大气稳定度以中性D类为主。</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项目区环境空气质量达标分析</w:t>
      </w:r>
    </w:p>
    <w:p>
      <w:pPr>
        <w:pStyle w:val="6"/>
        <w:ind w:firstLine="480"/>
        <w:rPr>
          <w:rFonts w:hint="default" w:ascii="Times New Roman" w:hAnsi="Times New Roman" w:cs="Times New Roman"/>
          <w:color w:val="auto"/>
        </w:rPr>
      </w:pPr>
      <w:r>
        <w:rPr>
          <w:rFonts w:hint="default" w:ascii="Times New Roman" w:hAnsi="Times New Roman" w:cs="Times New Roman"/>
          <w:color w:val="auto"/>
        </w:rPr>
        <w:t>根据《环境影响评价技术导则 大气环境》（HJ 2.2-2018），“5.5 评价基准年筛选依据评价所需环境空气质量现状、气象资料等数据的可获得性、数据质量、代表性等因素，选择近3年中数据相对完整的1个日历年作为评价基准年”。“6.2 数据来源，采用评价范围内国家或地方环境空气质量监测网中评价基准年连续1年的监测数据，或采用生态环境主管部门公开发布的环境空气质量现状数据”。依据新版大气导则要求，本评价从岳阳市生态环境局收集了《岳阳市2019年度环境质量公报》，符合导则相关要求。岳阳市2019年空气质量现状评价见下表</w:t>
      </w:r>
      <w:r>
        <w:rPr>
          <w:rFonts w:hint="eastAsia" w:cs="Times New Roman"/>
          <w:color w:val="auto"/>
          <w:lang w:val="en-US" w:eastAsia="zh-CN"/>
        </w:rPr>
        <w:t>5.4</w:t>
      </w:r>
      <w:r>
        <w:rPr>
          <w:rFonts w:hint="default" w:ascii="Times New Roman" w:hAnsi="Times New Roman" w:cs="Times New Roman"/>
          <w:color w:val="auto"/>
        </w:rPr>
        <w:t>-1：</w:t>
      </w:r>
    </w:p>
    <w:p>
      <w:pPr>
        <w:pStyle w:val="6"/>
        <w:spacing w:line="276" w:lineRule="auto"/>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表5.4-1  区域空气质量现状评价表</w:t>
      </w:r>
    </w:p>
    <w:tbl>
      <w:tblPr>
        <w:tblStyle w:val="7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25"/>
        <w:gridCol w:w="1913"/>
        <w:gridCol w:w="1775"/>
        <w:gridCol w:w="1527"/>
        <w:gridCol w:w="1527"/>
        <w:gridCol w:w="15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污染物</w:t>
            </w:r>
          </w:p>
        </w:tc>
        <w:tc>
          <w:tcPr>
            <w:tcW w:w="1051" w:type="pct"/>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评价指标</w:t>
            </w:r>
          </w:p>
        </w:tc>
        <w:tc>
          <w:tcPr>
            <w:tcW w:w="975" w:type="pct"/>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现状浓度（μg/m</w:t>
            </w:r>
            <w:r>
              <w:rPr>
                <w:rFonts w:hint="default" w:ascii="Times New Roman" w:hAnsi="Times New Roman" w:cs="Times New Roman"/>
                <w:b/>
                <w:color w:val="auto"/>
                <w:vertAlign w:val="superscript"/>
              </w:rPr>
              <w:t>3</w:t>
            </w:r>
            <w:r>
              <w:rPr>
                <w:rFonts w:hint="default" w:ascii="Times New Roman" w:hAnsi="Times New Roman" w:cs="Times New Roman"/>
                <w:b/>
                <w:color w:val="auto"/>
              </w:rPr>
              <w:t>）</w:t>
            </w:r>
          </w:p>
        </w:tc>
        <w:tc>
          <w:tcPr>
            <w:tcW w:w="839" w:type="pct"/>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标准值（μg/m</w:t>
            </w:r>
            <w:r>
              <w:rPr>
                <w:rFonts w:hint="default" w:ascii="Times New Roman" w:hAnsi="Times New Roman" w:cs="Times New Roman"/>
                <w:b/>
                <w:color w:val="auto"/>
                <w:vertAlign w:val="superscript"/>
              </w:rPr>
              <w:t>3</w:t>
            </w:r>
            <w:r>
              <w:rPr>
                <w:rFonts w:hint="default" w:ascii="Times New Roman" w:hAnsi="Times New Roman" w:cs="Times New Roman"/>
                <w:b/>
                <w:color w:val="auto"/>
              </w:rPr>
              <w:t>）</w:t>
            </w:r>
          </w:p>
        </w:tc>
        <w:tc>
          <w:tcPr>
            <w:tcW w:w="839" w:type="pct"/>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占标率（%）</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vertAlign w:val="subscript"/>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年平均浓度</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15.0</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vertAlign w:val="subscript"/>
              </w:rPr>
            </w:pPr>
            <w:r>
              <w:rPr>
                <w:rFonts w:hint="default" w:ascii="Times New Roman" w:hAnsi="Times New Roman" w:cs="Times New Roman"/>
                <w:color w:val="auto"/>
              </w:rPr>
              <w:t>NO</w:t>
            </w:r>
            <w:r>
              <w:rPr>
                <w:rFonts w:hint="default" w:ascii="Times New Roman" w:hAnsi="Times New Roman" w:cs="Times New Roman"/>
                <w:color w:val="auto"/>
                <w:vertAlign w:val="subscript"/>
              </w:rPr>
              <w:t>2</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年平均浓度</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27</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67.5</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vertAlign w:val="subscript"/>
              </w:rPr>
            </w:pPr>
            <w:r>
              <w:rPr>
                <w:rFonts w:hint="default" w:ascii="Times New Roman" w:hAnsi="Times New Roman" w:cs="Times New Roman"/>
                <w:color w:val="auto"/>
              </w:rPr>
              <w:t>PM</w:t>
            </w:r>
            <w:r>
              <w:rPr>
                <w:rFonts w:hint="default" w:ascii="Times New Roman" w:hAnsi="Times New Roman" w:cs="Times New Roman"/>
                <w:color w:val="auto"/>
                <w:vertAlign w:val="subscript"/>
              </w:rPr>
              <w:t>10</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年平均浓度</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68</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97.1</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vertAlign w:val="subscript"/>
              </w:rPr>
            </w:pPr>
            <w:r>
              <w:rPr>
                <w:rFonts w:hint="default" w:ascii="Times New Roman" w:hAnsi="Times New Roman" w:cs="Times New Roman"/>
                <w:color w:val="auto"/>
              </w:rPr>
              <w:t>PM</w:t>
            </w:r>
            <w:r>
              <w:rPr>
                <w:rFonts w:hint="default" w:ascii="Times New Roman" w:hAnsi="Times New Roman" w:cs="Times New Roman"/>
                <w:color w:val="auto"/>
                <w:vertAlign w:val="subscript"/>
              </w:rPr>
              <w:t>2.5</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年平均浓度</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43</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122.9</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CO</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24小时平均第</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95百分位数浓度</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1400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4000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35.0</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54" w:type="pct"/>
            <w:tcBorders>
              <w:left w:val="single" w:color="auto" w:sz="12" w:space="0"/>
            </w:tcBorders>
            <w:vAlign w:val="center"/>
          </w:tcPr>
          <w:p>
            <w:pPr>
              <w:adjustRightInd w:val="0"/>
              <w:snapToGrid w:val="0"/>
              <w:jc w:val="center"/>
              <w:rPr>
                <w:rFonts w:hint="default" w:ascii="Times New Roman" w:hAnsi="Times New Roman" w:cs="Times New Roman"/>
                <w:color w:val="auto"/>
                <w:vertAlign w:val="subscript"/>
              </w:rPr>
            </w:pPr>
            <w:r>
              <w:rPr>
                <w:rFonts w:hint="default" w:ascii="Times New Roman" w:hAnsi="Times New Roman" w:cs="Times New Roman"/>
                <w:color w:val="auto"/>
              </w:rPr>
              <w:t>O</w:t>
            </w:r>
            <w:r>
              <w:rPr>
                <w:rFonts w:hint="default" w:ascii="Times New Roman" w:hAnsi="Times New Roman" w:cs="Times New Roman"/>
                <w:color w:val="auto"/>
                <w:vertAlign w:val="subscript"/>
              </w:rPr>
              <w:t>3</w:t>
            </w:r>
          </w:p>
        </w:tc>
        <w:tc>
          <w:tcPr>
            <w:tcW w:w="1051"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最大八小时平均</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第90百分位数</w:t>
            </w:r>
          </w:p>
        </w:tc>
        <w:tc>
          <w:tcPr>
            <w:tcW w:w="975"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164</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160</w:t>
            </w:r>
          </w:p>
        </w:tc>
        <w:tc>
          <w:tcPr>
            <w:tcW w:w="83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102.5</w:t>
            </w:r>
          </w:p>
        </w:tc>
        <w:tc>
          <w:tcPr>
            <w:tcW w:w="840" w:type="pct"/>
            <w:tcBorders>
              <w:right w:val="single" w:color="auto" w:sz="12"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不达标</w:t>
            </w:r>
          </w:p>
        </w:tc>
      </w:tr>
    </w:tbl>
    <w:p>
      <w:pPr>
        <w:adjustRightInd w:val="0"/>
        <w:snapToGrid w:val="0"/>
        <w:spacing w:line="360" w:lineRule="auto"/>
        <w:ind w:firstLine="480" w:firstLineChars="200"/>
        <w:rPr>
          <w:rFonts w:hint="default" w:ascii="Times New Roman" w:hAnsi="Times New Roman" w:cs="Times New Roman"/>
          <w:color w:val="auto"/>
          <w:sz w:val="24"/>
          <w:szCs w:val="24"/>
        </w:rPr>
      </w:pP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由上表可知，2019年岳阳市大气环境质量主要指标中SO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年均浓度、NO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年均浓度、PM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年平均浓度和CO 24小时平均第95百分位数浓度均能满足《环境空气质量标准》（GB3095-2012）中的二级标准限值，PM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年平均浓度和O</w:t>
      </w:r>
      <w:r>
        <w:rPr>
          <w:rFonts w:hint="default" w:ascii="Times New Roman" w:hAnsi="Times New Roman" w:cs="Times New Roman"/>
          <w:color w:val="auto"/>
          <w:sz w:val="24"/>
          <w:szCs w:val="24"/>
          <w:vertAlign w:val="subscript"/>
        </w:rPr>
        <w:t xml:space="preserve">3 </w:t>
      </w:r>
      <w:r>
        <w:rPr>
          <w:rFonts w:hint="default" w:ascii="Times New Roman" w:hAnsi="Times New Roman" w:cs="Times New Roman"/>
          <w:color w:val="auto"/>
          <w:sz w:val="24"/>
          <w:szCs w:val="24"/>
        </w:rPr>
        <w:t>8小时平均第90百分位数浓度均不能满足《环境空气质量标准》（GB3095-2012）中的二级标准限值，故本项目所在区域2019年为环境空气质量不达标区，</w:t>
      </w:r>
      <w:r>
        <w:rPr>
          <w:rFonts w:hint="default" w:ascii="Times New Roman" w:hAnsi="Times New Roman" w:cs="Times New Roman"/>
          <w:color w:val="auto"/>
          <w:sz w:val="24"/>
          <w:szCs w:val="22"/>
        </w:rPr>
        <w:t>超标因子为PM</w:t>
      </w:r>
      <w:r>
        <w:rPr>
          <w:rFonts w:hint="default" w:ascii="Times New Roman" w:hAnsi="Times New Roman" w:cs="Times New Roman"/>
          <w:color w:val="auto"/>
          <w:sz w:val="24"/>
          <w:szCs w:val="22"/>
          <w:vertAlign w:val="subscript"/>
        </w:rPr>
        <w:t>2.5</w:t>
      </w:r>
      <w:r>
        <w:rPr>
          <w:rFonts w:hint="default" w:ascii="Times New Roman" w:hAnsi="Times New Roman" w:cs="Times New Roman"/>
          <w:color w:val="auto"/>
          <w:sz w:val="24"/>
          <w:szCs w:val="22"/>
        </w:rPr>
        <w:t>和O</w:t>
      </w:r>
      <w:r>
        <w:rPr>
          <w:rFonts w:hint="default" w:ascii="Times New Roman" w:hAnsi="Times New Roman" w:cs="Times New Roman"/>
          <w:color w:val="auto"/>
          <w:sz w:val="24"/>
          <w:szCs w:val="22"/>
          <w:vertAlign w:val="subscript"/>
        </w:rPr>
        <w:t xml:space="preserve">3 </w:t>
      </w:r>
      <w:r>
        <w:rPr>
          <w:rFonts w:hint="default" w:ascii="Times New Roman" w:hAnsi="Times New Roman" w:cs="Times New Roman"/>
          <w:color w:val="auto"/>
          <w:sz w:val="24"/>
          <w:szCs w:val="24"/>
        </w:rPr>
        <w:t>。</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环境空气质量历史监测数据引用</w:t>
      </w:r>
    </w:p>
    <w:p>
      <w:pPr>
        <w:snapToGrid w:val="0"/>
        <w:spacing w:line="360" w:lineRule="auto"/>
        <w:ind w:firstLine="480"/>
        <w:jc w:val="left"/>
        <w:rPr>
          <w:rFonts w:hint="default" w:ascii="Times New Roman" w:hAnsi="Times New Roman" w:cs="Times New Roman"/>
          <w:color w:val="auto"/>
          <w:sz w:val="24"/>
          <w:szCs w:val="22"/>
          <w:u w:val="single"/>
        </w:rPr>
      </w:pPr>
      <w:r>
        <w:rPr>
          <w:rFonts w:hint="default" w:ascii="Times New Roman" w:hAnsi="Times New Roman" w:cs="Times New Roman"/>
          <w:color w:val="auto"/>
          <w:sz w:val="24"/>
          <w:szCs w:val="22"/>
          <w:u w:val="single"/>
        </w:rPr>
        <w:t>本次评价引用了湖南华环检测技术有限公司于2019年7月15日~7月21日对“岳阳LNG接收站（储备中心）项目工程（一期）”进行了一期监测数据。</w:t>
      </w:r>
    </w:p>
    <w:p>
      <w:pPr>
        <w:snapToGrid w:val="0"/>
        <w:spacing w:line="360" w:lineRule="auto"/>
        <w:ind w:firstLine="480"/>
        <w:jc w:val="left"/>
        <w:rPr>
          <w:rFonts w:hint="default" w:ascii="Times New Roman" w:hAnsi="Times New Roman" w:cs="Times New Roman"/>
          <w:color w:val="auto"/>
          <w:szCs w:val="24"/>
          <w:u w:val="single"/>
        </w:rPr>
      </w:pPr>
      <w:r>
        <w:rPr>
          <w:rFonts w:hint="default" w:ascii="Times New Roman" w:hAnsi="Times New Roman" w:cs="Times New Roman"/>
          <w:color w:val="auto"/>
          <w:sz w:val="24"/>
          <w:szCs w:val="22"/>
          <w:u w:val="single"/>
        </w:rPr>
        <w:t>两个监测点位，本项目为岳阳港君山港</w:t>
      </w:r>
      <w:r>
        <w:rPr>
          <w:rFonts w:hint="default" w:ascii="Times New Roman" w:hAnsi="Times New Roman" w:cs="Times New Roman"/>
          <w:color w:val="auto"/>
          <w:sz w:val="24"/>
          <w:szCs w:val="22"/>
          <w:u w:val="single"/>
        </w:rPr>
        <w:drawing>
          <wp:inline distT="0" distB="0" distL="114300" distR="114300">
            <wp:extent cx="0" cy="0"/>
            <wp:effectExtent l="0" t="0" r="0" b="0"/>
            <wp:docPr id="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2"/>
                    <pic:cNvPicPr>
                      <a:picLocks noChangeAspect="1"/>
                    </pic:cNvPicPr>
                  </pic:nvPicPr>
                  <pic:blipFill>
                    <a:blip r:embed="rId41"/>
                    <a:stretch>
                      <a:fillRect/>
                    </a:stretch>
                  </pic:blipFill>
                  <pic:spPr>
                    <a:xfrm>
                      <a:off x="0" y="0"/>
                      <a:ext cx="0" cy="0"/>
                    </a:xfrm>
                    <a:prstGeom prst="rect">
                      <a:avLst/>
                    </a:prstGeom>
                    <a:noFill/>
                    <a:ln>
                      <a:noFill/>
                    </a:ln>
                  </pic:spPr>
                </pic:pic>
              </a:graphicData>
            </a:graphic>
          </wp:inline>
        </w:drawing>
      </w:r>
      <w:r>
        <w:rPr>
          <w:rFonts w:hint="default" w:ascii="Times New Roman" w:hAnsi="Times New Roman" w:cs="Times New Roman"/>
          <w:color w:val="auto"/>
          <w:sz w:val="24"/>
          <w:szCs w:val="22"/>
          <w:u w:val="single"/>
        </w:rPr>
        <w:t>区LNG加注站，与岳阳LNG接收站（储备中心）项目工程紧邻。引用的两个监测点位分别为场址和项目下风向5km。监测因子为挥发性有机物。监测结果见表5.4-2所示。</w:t>
      </w:r>
    </w:p>
    <w:p>
      <w:pPr>
        <w:pStyle w:val="6"/>
        <w:spacing w:line="276" w:lineRule="auto"/>
        <w:ind w:firstLine="0" w:firstLineChars="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表5.4-2  挥发性有机物监测结果表</w:t>
      </w:r>
    </w:p>
    <w:tbl>
      <w:tblPr>
        <w:tblStyle w:val="71"/>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202"/>
        <w:gridCol w:w="1425"/>
        <w:gridCol w:w="2934"/>
        <w:gridCol w:w="2120"/>
        <w:gridCol w:w="14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tcBorders>
              <w:left w:val="single" w:color="auto" w:sz="12" w:space="0"/>
            </w:tcBorders>
            <w:vAlign w:val="center"/>
          </w:tcPr>
          <w:p>
            <w:pPr>
              <w:widowControl/>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监测点位</w:t>
            </w:r>
          </w:p>
        </w:tc>
        <w:tc>
          <w:tcPr>
            <w:tcW w:w="783" w:type="pct"/>
            <w:vAlign w:val="center"/>
          </w:tcPr>
          <w:p>
            <w:pPr>
              <w:widowControl/>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监测时间</w:t>
            </w:r>
          </w:p>
        </w:tc>
        <w:tc>
          <w:tcPr>
            <w:tcW w:w="1612" w:type="pct"/>
            <w:vAlign w:val="center"/>
          </w:tcPr>
          <w:p>
            <w:pPr>
              <w:widowControl/>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TVOC（8小时均值）mg/m</w:t>
            </w:r>
            <w:r>
              <w:rPr>
                <w:rFonts w:hint="default" w:ascii="Times New Roman" w:hAnsi="Times New Roman" w:cs="Times New Roman"/>
                <w:b/>
                <w:bCs/>
                <w:color w:val="auto"/>
                <w:kern w:val="0"/>
                <w:u w:val="single"/>
                <w:vertAlign w:val="superscript"/>
              </w:rPr>
              <w:t>3</w:t>
            </w:r>
          </w:p>
        </w:tc>
        <w:tc>
          <w:tcPr>
            <w:tcW w:w="1165" w:type="pct"/>
            <w:vAlign w:val="center"/>
          </w:tcPr>
          <w:p>
            <w:pPr>
              <w:widowControl/>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标准值</w:t>
            </w: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是否达标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restart"/>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G1</w:t>
            </w:r>
            <w:r>
              <w:rPr>
                <w:rFonts w:hint="eastAsia" w:ascii="Times New Roman" w:hAnsi="Times New Roman" w:cs="Times New Roman"/>
                <w:color w:val="auto"/>
                <w:kern w:val="0"/>
                <w:u w:val="single"/>
                <w:lang w:val="en-US" w:eastAsia="zh-CN"/>
              </w:rPr>
              <w:t xml:space="preserve">  项目</w:t>
            </w:r>
            <w:r>
              <w:rPr>
                <w:rFonts w:hint="default" w:ascii="Times New Roman" w:hAnsi="Times New Roman" w:cs="Times New Roman"/>
                <w:color w:val="auto"/>
                <w:kern w:val="0"/>
                <w:u w:val="single"/>
              </w:rPr>
              <w:t>场址</w:t>
            </w: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2019.7.15</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0.040</w:t>
            </w:r>
          </w:p>
        </w:tc>
        <w:tc>
          <w:tcPr>
            <w:tcW w:w="1165" w:type="pct"/>
            <w:vMerge w:val="restart"/>
            <w:vAlign w:val="center"/>
          </w:tcPr>
          <w:p>
            <w:pPr>
              <w:widowControl/>
              <w:adjustRightInd w:val="0"/>
              <w:snapToGrid w:val="0"/>
              <w:jc w:val="center"/>
              <w:rPr>
                <w:rFonts w:hint="default" w:ascii="Times New Roman" w:hAnsi="Times New Roman" w:cs="Times New Roman"/>
                <w:bCs/>
                <w:color w:val="auto"/>
                <w:kern w:val="0"/>
                <w:u w:val="single"/>
              </w:rPr>
            </w:pPr>
            <w:r>
              <w:rPr>
                <w:rFonts w:hint="default" w:ascii="Times New Roman" w:hAnsi="Times New Roman" w:cs="Times New Roman"/>
                <w:bCs/>
                <w:color w:val="auto"/>
                <w:kern w:val="0"/>
                <w:u w:val="single"/>
              </w:rPr>
              <w:t>《环境影响评价技术导则  大气环境》（HJ2.2-2018）中的附录D</w:t>
            </w:r>
          </w:p>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bCs/>
                <w:color w:val="auto"/>
                <w:kern w:val="0"/>
                <w:u w:val="single"/>
              </w:rPr>
              <w:t>8h平均值0.6</w:t>
            </w:r>
            <w:r>
              <w:rPr>
                <w:rFonts w:hint="default" w:ascii="Times New Roman" w:hAnsi="Times New Roman" w:cs="Times New Roman"/>
                <w:color w:val="auto"/>
                <w:kern w:val="0"/>
                <w:u w:val="single"/>
              </w:rPr>
              <w:t>mg/m</w:t>
            </w:r>
            <w:r>
              <w:rPr>
                <w:rFonts w:hint="default" w:ascii="Times New Roman" w:hAnsi="Times New Roman" w:cs="Times New Roman"/>
                <w:color w:val="auto"/>
                <w:kern w:val="0"/>
                <w:u w:val="single"/>
                <w:vertAlign w:val="superscript"/>
              </w:rPr>
              <w:t>3</w:t>
            </w: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2019.7.16</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0.037</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2019.7.17</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0.035</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2019.7.18</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0.038</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2019.7.19</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0.036</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2019.7.20</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0.040</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2019.7.21</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0.040</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restart"/>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G2</w:t>
            </w:r>
            <w:r>
              <w:rPr>
                <w:rFonts w:hint="eastAsia" w:ascii="Times New Roman" w:hAnsi="Times New Roman" w:cs="Times New Roman"/>
                <w:color w:val="auto"/>
                <w:kern w:val="0"/>
                <w:u w:val="single"/>
                <w:lang w:val="en-US" w:eastAsia="zh-CN"/>
              </w:rPr>
              <w:t xml:space="preserve">  </w:t>
            </w:r>
            <w:r>
              <w:rPr>
                <w:rFonts w:hint="default" w:ascii="Times New Roman" w:hAnsi="Times New Roman" w:cs="Times New Roman"/>
                <w:color w:val="auto"/>
                <w:kern w:val="0"/>
                <w:u w:val="single"/>
              </w:rPr>
              <w:t>项目下风向5km</w:t>
            </w: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2019.7.15</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0.041</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2019.7.16</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0.045</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2019.7.17</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0.050</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2019.7.18</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0.056</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2019.7.19</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0.059</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2019.7.20</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0.058</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1" w:type="pct"/>
            <w:vMerge w:val="continue"/>
            <w:tcBorders>
              <w:lef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p>
        </w:tc>
        <w:tc>
          <w:tcPr>
            <w:tcW w:w="783"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2019.7.21</w:t>
            </w:r>
          </w:p>
        </w:tc>
        <w:tc>
          <w:tcPr>
            <w:tcW w:w="1612" w:type="pct"/>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0.052</w:t>
            </w:r>
          </w:p>
        </w:tc>
        <w:tc>
          <w:tcPr>
            <w:tcW w:w="1165" w:type="pct"/>
            <w:vMerge w:val="continue"/>
            <w:vAlign w:val="center"/>
          </w:tcPr>
          <w:p>
            <w:pPr>
              <w:widowControl/>
              <w:adjustRightInd w:val="0"/>
              <w:snapToGrid w:val="0"/>
              <w:jc w:val="center"/>
              <w:rPr>
                <w:rFonts w:hint="default" w:ascii="Times New Roman" w:hAnsi="Times New Roman" w:cs="Times New Roman"/>
                <w:color w:val="auto"/>
                <w:kern w:val="0"/>
                <w:u w:val="single"/>
              </w:rPr>
            </w:pPr>
          </w:p>
        </w:tc>
        <w:tc>
          <w:tcPr>
            <w:tcW w:w="777" w:type="pct"/>
            <w:tcBorders>
              <w:right w:val="single" w:color="auto" w:sz="12" w:space="0"/>
            </w:tcBorders>
            <w:vAlign w:val="center"/>
          </w:tcPr>
          <w:p>
            <w:pPr>
              <w:widowControl/>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达标</w:t>
            </w:r>
          </w:p>
        </w:tc>
      </w:tr>
    </w:tbl>
    <w:p>
      <w:pPr>
        <w:snapToGrid w:val="0"/>
        <w:spacing w:line="360" w:lineRule="auto"/>
        <w:ind w:firstLine="480"/>
        <w:jc w:val="left"/>
        <w:rPr>
          <w:rFonts w:hint="default" w:ascii="Times New Roman" w:hAnsi="Times New Roman" w:cs="Times New Roman"/>
          <w:color w:val="auto"/>
          <w:sz w:val="24"/>
          <w:szCs w:val="22"/>
          <w:u w:val="single"/>
        </w:rPr>
      </w:pP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u w:val="single"/>
        </w:rPr>
        <w:t>根据现状监测结果，场址和项目下风向5km两个监测点的TVOC均满足《环境影响评价技术导则 大气环境》（HJ2.2-2018）中的附录D中8h平均值。</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环境空气质量现状监测与评价</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本次评价委托湖南中测湘源检测有限公司于2020年9月1日~9月7日期间针对加注站位置的大气环境进行了现状监测。</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环境空气质量现状监测</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1、监测布点</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根据《环境影响评价技术导则 大气环境》（HJ2.2-2018）要求及本项目大气环境影响评价等级，结合厂址所在区域地形特点以及当地气象特征，选取码头常年主导风下风向1 个环境空气质量补充监测点位。</w:t>
      </w:r>
    </w:p>
    <w:p>
      <w:pPr>
        <w:pStyle w:val="6"/>
        <w:spacing w:line="276" w:lineRule="auto"/>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表5.4-3  空气环境现状监测点位</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19"/>
        <w:gridCol w:w="1818"/>
        <w:gridCol w:w="1818"/>
        <w:gridCol w:w="1818"/>
        <w:gridCol w:w="18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监测点名称</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监测因子</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监测时段</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相对码头方位</w:t>
            </w:r>
          </w:p>
        </w:tc>
        <w:tc>
          <w:tcPr>
            <w:tcW w:w="100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相对码头距离/m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G1</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非甲烷总烃</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连续监测7天</w:t>
            </w:r>
          </w:p>
        </w:tc>
        <w:tc>
          <w:tcPr>
            <w:tcW w:w="99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加注站的西南侧</w:t>
            </w:r>
          </w:p>
        </w:tc>
        <w:tc>
          <w:tcPr>
            <w:tcW w:w="100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200m</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2、监测因子</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非甲烷总烃。</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3、执行标准</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《大气污染物综合排放标准详解》中非甲烷总烃小时平均。</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4、监测时间、频次</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监测时间为2020年9月1日~9月7日，连续监测7天，每次连续采样60min，具体时间为02:00、08:00、14:00、20:00；同时监测当时的气压、风向、风速、温度等气象条件。</w:t>
      </w:r>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sz w:val="24"/>
          <w:szCs w:val="24"/>
        </w:rPr>
        <w:t>5、</w:t>
      </w:r>
      <w:r>
        <w:rPr>
          <w:rFonts w:hint="default" w:ascii="Times New Roman" w:hAnsi="Times New Roman" w:cs="Times New Roman" w:eastAsiaTheme="minorEastAsia"/>
          <w:b/>
          <w:color w:val="auto"/>
          <w:kern w:val="0"/>
          <w:sz w:val="24"/>
          <w:szCs w:val="24"/>
        </w:rPr>
        <w:t>监测方法</w:t>
      </w:r>
    </w:p>
    <w:p>
      <w:pPr>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依照原国家环保总局《环境监测技术规范》、《大气环境分析方法标准工作手册》和《空气和废气监测分析方法》中的有关规定执行。</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6、气象参数</w:t>
      </w:r>
    </w:p>
    <w:p>
      <w:pPr>
        <w:pStyle w:val="6"/>
        <w:spacing w:line="276" w:lineRule="auto"/>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表5.4-4  监测期间气象参数统计结果表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13"/>
        <w:gridCol w:w="706"/>
        <w:gridCol w:w="1915"/>
        <w:gridCol w:w="1040"/>
        <w:gridCol w:w="1968"/>
        <w:gridCol w:w="20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采样时间</w:t>
            </w:r>
          </w:p>
        </w:tc>
        <w:tc>
          <w:tcPr>
            <w:tcW w:w="38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风向</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风速（m/s）</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温度℃</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气压（kPa）</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相对湿度（%）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2020.9.1</w:t>
            </w:r>
          </w:p>
        </w:tc>
        <w:tc>
          <w:tcPr>
            <w:tcW w:w="38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26~32</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100.9</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2020.9.2</w:t>
            </w:r>
          </w:p>
        </w:tc>
        <w:tc>
          <w:tcPr>
            <w:tcW w:w="3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25~31</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100.9</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2"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2020.9.3</w:t>
            </w:r>
          </w:p>
        </w:tc>
        <w:tc>
          <w:tcPr>
            <w:tcW w:w="3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24~31</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101.0</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2020.9.4</w:t>
            </w:r>
          </w:p>
        </w:tc>
        <w:tc>
          <w:tcPr>
            <w:tcW w:w="3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21~29</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101.0</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2020.9.5</w:t>
            </w:r>
          </w:p>
        </w:tc>
        <w:tc>
          <w:tcPr>
            <w:tcW w:w="3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23~31</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100.9</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2020.9.6</w:t>
            </w:r>
          </w:p>
        </w:tc>
        <w:tc>
          <w:tcPr>
            <w:tcW w:w="38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21~28</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101.0</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2020.9.7</w:t>
            </w:r>
          </w:p>
        </w:tc>
        <w:tc>
          <w:tcPr>
            <w:tcW w:w="38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东北</w:t>
            </w:r>
          </w:p>
        </w:tc>
        <w:tc>
          <w:tcPr>
            <w:tcW w:w="1052"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57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21~33</w:t>
            </w:r>
          </w:p>
        </w:tc>
        <w:tc>
          <w:tcPr>
            <w:tcW w:w="1081"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100.9</w:t>
            </w:r>
          </w:p>
        </w:tc>
        <w:tc>
          <w:tcPr>
            <w:tcW w:w="1128" w:type="pct"/>
            <w:tcBorders>
              <w:tl2br w:val="nil"/>
              <w:tr2bl w:val="nil"/>
            </w:tcBorders>
            <w:vAlign w:val="center"/>
          </w:tcPr>
          <w:p>
            <w:pPr>
              <w:pStyle w:val="19"/>
              <w:spacing w:line="240" w:lineRule="auto"/>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r>
    </w:tbl>
    <w:p>
      <w:pPr>
        <w:snapToGrid w:val="0"/>
        <w:spacing w:line="360" w:lineRule="auto"/>
        <w:ind w:firstLine="480"/>
        <w:jc w:val="left"/>
        <w:rPr>
          <w:rFonts w:hint="default" w:ascii="Times New Roman" w:hAnsi="Times New Roman" w:cs="Times New Roman" w:eastAsiaTheme="minorEastAsia"/>
          <w:b/>
          <w:color w:val="auto"/>
          <w:sz w:val="24"/>
          <w:szCs w:val="24"/>
        </w:rPr>
      </w:pP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环境空气质量现状评价</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1、评价标准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本次评价项目区域执行《环境空气质量标准》（GB3095-2012）二级标准。</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2、评价方法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环境空气质量现状评价采用占标率指标进行评价，其计算公式如下：</w:t>
      </w:r>
    </w:p>
    <w:p>
      <w:pPr>
        <w:pStyle w:val="176"/>
        <w:adjustRightInd w:val="0"/>
        <w:snapToGrid w:val="0"/>
        <w:jc w:val="center"/>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position w:val="-32"/>
          <w:szCs w:val="24"/>
        </w:rPr>
        <w:object>
          <v:shape id="_x0000_i1032" o:spt="75" type="#_x0000_t75" style="height:36.35pt;width:51.35pt;" o:ole="t" filled="f" o:preferrelative="t" stroked="f" coordsize="21600,21600">
            <v:path/>
            <v:fill on="f" focussize="0,0"/>
            <v:stroke on="f" joinstyle="miter"/>
            <v:imagedata r:id="rId43" o:title=""/>
            <o:lock v:ext="edit" aspectratio="t"/>
            <w10:wrap type="none"/>
            <w10:anchorlock/>
          </v:shape>
          <o:OLEObject Type="Embed" ProgID="Equation.DSMT4" ShapeID="_x0000_i1032" DrawAspect="Content" ObjectID="_1468075732" r:id="rId42">
            <o:LockedField>false</o:LockedField>
          </o:OLEObject>
        </w:objec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式中：P</w:t>
      </w:r>
      <w:r>
        <w:rPr>
          <w:rFonts w:hint="default" w:ascii="Times New Roman" w:hAnsi="Times New Roman" w:cs="Times New Roman" w:eastAsiaTheme="minorEastAsia"/>
          <w:color w:val="auto"/>
          <w:sz w:val="24"/>
          <w:szCs w:val="24"/>
          <w:vertAlign w:val="subscript"/>
        </w:rPr>
        <w:t xml:space="preserve">i </w:t>
      </w:r>
      <w:r>
        <w:rPr>
          <w:rFonts w:hint="default" w:ascii="Times New Roman" w:hAnsi="Times New Roman" w:cs="Times New Roman" w:eastAsiaTheme="minorEastAsia"/>
          <w:color w:val="auto"/>
          <w:sz w:val="24"/>
          <w:szCs w:val="24"/>
        </w:rPr>
        <w:t>——第i个污染物的最大地面浓度占标率，%；</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w:t>
      </w:r>
      <w:r>
        <w:rPr>
          <w:rFonts w:hint="default" w:ascii="Times New Roman" w:hAnsi="Times New Roman" w:cs="Times New Roman" w:eastAsiaTheme="minorEastAsia"/>
          <w:color w:val="auto"/>
          <w:sz w:val="24"/>
          <w:szCs w:val="24"/>
          <w:vertAlign w:val="subscript"/>
        </w:rPr>
        <w:t xml:space="preserve">i </w:t>
      </w:r>
      <w:r>
        <w:rPr>
          <w:rFonts w:hint="default" w:ascii="Times New Roman" w:hAnsi="Times New Roman" w:cs="Times New Roman" w:eastAsiaTheme="minorEastAsia"/>
          <w:color w:val="auto"/>
          <w:sz w:val="24"/>
          <w:szCs w:val="24"/>
        </w:rPr>
        <w:t>——第i种污染物的实测浓度均值（mg/m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w:t>
      </w:r>
      <w:r>
        <w:rPr>
          <w:rFonts w:hint="default" w:ascii="Times New Roman" w:hAnsi="Times New Roman" w:cs="Times New Roman" w:eastAsiaTheme="minorEastAsia"/>
          <w:color w:val="auto"/>
          <w:sz w:val="24"/>
          <w:szCs w:val="24"/>
          <w:vertAlign w:val="subscript"/>
        </w:rPr>
        <w:t xml:space="preserve">oi </w:t>
      </w:r>
      <w:r>
        <w:rPr>
          <w:rFonts w:hint="default" w:ascii="Times New Roman" w:hAnsi="Times New Roman" w:cs="Times New Roman" w:eastAsiaTheme="minorEastAsia"/>
          <w:color w:val="auto"/>
          <w:sz w:val="24"/>
          <w:szCs w:val="24"/>
        </w:rPr>
        <w:t>——第i种污染物的环境空气质量标准值（mg/m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Pi&gt;100%时即为超标。超标率η计算式如下：</w:t>
      </w:r>
    </w:p>
    <w:p>
      <w:pPr>
        <w:adjustRightInd w:val="0"/>
        <w:snapToGrid w:val="0"/>
        <w:spacing w:line="360"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超标率 = （超标数据个数 / 中检测数据个数）×100%</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3、评价结果及分析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本项目所在区域环境空气质量现状监测评价结果见表5.4-5、表5.4-6。</w:t>
      </w:r>
    </w:p>
    <w:p>
      <w:pPr>
        <w:pStyle w:val="129"/>
        <w:adjustRightInd w:val="0"/>
        <w:snapToGrid w:val="0"/>
        <w:spacing w:line="276" w:lineRule="auto"/>
        <w:ind w:firstLine="0" w:firstLineChars="0"/>
        <w:jc w:val="right"/>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 xml:space="preserve">表5.4-5  本项目沿线大气环境监测小时值结果一览表    </w:t>
      </w:r>
      <w:r>
        <w:rPr>
          <w:rFonts w:hint="default" w:ascii="Times New Roman" w:hAnsi="Times New Roman" w:cs="Times New Roman" w:eastAsiaTheme="minorEastAsia"/>
          <w:bCs/>
          <w:color w:val="auto"/>
        </w:rPr>
        <w:t>单位：μg/m</w:t>
      </w:r>
      <w:r>
        <w:rPr>
          <w:rFonts w:hint="default" w:ascii="Times New Roman" w:hAnsi="Times New Roman" w:cs="Times New Roman" w:eastAsiaTheme="minorEastAsia"/>
          <w:bCs/>
          <w:color w:val="auto"/>
          <w:vertAlign w:val="superscript"/>
        </w:rPr>
        <w:t>3</w:t>
      </w:r>
    </w:p>
    <w:tbl>
      <w:tblPr>
        <w:tblStyle w:val="72"/>
        <w:tblW w:w="503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771"/>
        <w:gridCol w:w="1455"/>
        <w:gridCol w:w="1064"/>
        <w:gridCol w:w="663"/>
        <w:gridCol w:w="707"/>
        <w:gridCol w:w="696"/>
        <w:gridCol w:w="676"/>
        <w:gridCol w:w="625"/>
        <w:gridCol w:w="711"/>
        <w:gridCol w:w="7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采样点位</w:t>
            </w:r>
          </w:p>
        </w:tc>
        <w:tc>
          <w:tcPr>
            <w:tcW w:w="1375" w:type="pct"/>
            <w:gridSpan w:val="2"/>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检测项目</w:t>
            </w:r>
          </w:p>
        </w:tc>
        <w:tc>
          <w:tcPr>
            <w:tcW w:w="2656" w:type="pct"/>
            <w:gridSpan w:val="7"/>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检测结果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7"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G1</w:t>
            </w:r>
            <w:r>
              <w:rPr>
                <w:rFonts w:hint="eastAsia" w:ascii="Times New Roman" w:hAnsi="Times New Roman" w:cs="Times New Roman"/>
                <w:color w:val="auto"/>
                <w:lang w:val="en-US" w:eastAsia="zh-CN"/>
              </w:rPr>
              <w:t xml:space="preserve"> </w:t>
            </w:r>
            <w:r>
              <w:rPr>
                <w:rFonts w:hint="default" w:ascii="Times New Roman" w:hAnsi="Times New Roman" w:cs="Times New Roman"/>
                <w:color w:val="auto"/>
              </w:rPr>
              <w:t xml:space="preserve"> 码头场址常年主导风下风向</w:t>
            </w:r>
          </w:p>
        </w:tc>
        <w:tc>
          <w:tcPr>
            <w:tcW w:w="794" w:type="pct"/>
            <w:vMerge w:val="restar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非甲烷总烃</w:t>
            </w:r>
          </w:p>
        </w:tc>
        <w:tc>
          <w:tcPr>
            <w:tcW w:w="58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第一次</w:t>
            </w:r>
          </w:p>
        </w:tc>
        <w:tc>
          <w:tcPr>
            <w:tcW w:w="36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0.42</w:t>
            </w:r>
          </w:p>
        </w:tc>
        <w:tc>
          <w:tcPr>
            <w:tcW w:w="38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0.54</w:t>
            </w:r>
          </w:p>
        </w:tc>
        <w:tc>
          <w:tcPr>
            <w:tcW w:w="38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0.47</w:t>
            </w:r>
          </w:p>
        </w:tc>
        <w:tc>
          <w:tcPr>
            <w:tcW w:w="36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0.63</w:t>
            </w:r>
          </w:p>
        </w:tc>
        <w:tc>
          <w:tcPr>
            <w:tcW w:w="3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0.36</w:t>
            </w:r>
          </w:p>
        </w:tc>
        <w:tc>
          <w:tcPr>
            <w:tcW w:w="38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0.30</w:t>
            </w:r>
          </w:p>
        </w:tc>
        <w:tc>
          <w:tcPr>
            <w:tcW w:w="4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7"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794"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58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第二次</w:t>
            </w:r>
          </w:p>
        </w:tc>
        <w:tc>
          <w:tcPr>
            <w:tcW w:w="36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0.36</w:t>
            </w:r>
          </w:p>
        </w:tc>
        <w:tc>
          <w:tcPr>
            <w:tcW w:w="38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0.56</w:t>
            </w:r>
          </w:p>
        </w:tc>
        <w:tc>
          <w:tcPr>
            <w:tcW w:w="38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0.53</w:t>
            </w:r>
          </w:p>
        </w:tc>
        <w:tc>
          <w:tcPr>
            <w:tcW w:w="36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0.56</w:t>
            </w:r>
          </w:p>
        </w:tc>
        <w:tc>
          <w:tcPr>
            <w:tcW w:w="3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0.77</w:t>
            </w:r>
          </w:p>
        </w:tc>
        <w:tc>
          <w:tcPr>
            <w:tcW w:w="38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0.69</w:t>
            </w:r>
          </w:p>
        </w:tc>
        <w:tc>
          <w:tcPr>
            <w:tcW w:w="4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7"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794"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58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第三次</w:t>
            </w:r>
          </w:p>
        </w:tc>
        <w:tc>
          <w:tcPr>
            <w:tcW w:w="36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0.61</w:t>
            </w:r>
          </w:p>
        </w:tc>
        <w:tc>
          <w:tcPr>
            <w:tcW w:w="38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0.71</w:t>
            </w:r>
          </w:p>
        </w:tc>
        <w:tc>
          <w:tcPr>
            <w:tcW w:w="38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0.81</w:t>
            </w:r>
          </w:p>
        </w:tc>
        <w:tc>
          <w:tcPr>
            <w:tcW w:w="36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0.43</w:t>
            </w:r>
          </w:p>
        </w:tc>
        <w:tc>
          <w:tcPr>
            <w:tcW w:w="3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0.63</w:t>
            </w:r>
          </w:p>
        </w:tc>
        <w:tc>
          <w:tcPr>
            <w:tcW w:w="38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0.37</w:t>
            </w:r>
          </w:p>
        </w:tc>
        <w:tc>
          <w:tcPr>
            <w:tcW w:w="4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7"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794" w:type="pct"/>
            <w:vMerge w:val="continue"/>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p>
        </w:tc>
        <w:tc>
          <w:tcPr>
            <w:tcW w:w="58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第四次</w:t>
            </w:r>
          </w:p>
        </w:tc>
        <w:tc>
          <w:tcPr>
            <w:tcW w:w="36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0.57</w:t>
            </w:r>
          </w:p>
        </w:tc>
        <w:tc>
          <w:tcPr>
            <w:tcW w:w="38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0.74</w:t>
            </w:r>
          </w:p>
        </w:tc>
        <w:tc>
          <w:tcPr>
            <w:tcW w:w="38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0.85</w:t>
            </w:r>
          </w:p>
        </w:tc>
        <w:tc>
          <w:tcPr>
            <w:tcW w:w="36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0.55</w:t>
            </w:r>
          </w:p>
        </w:tc>
        <w:tc>
          <w:tcPr>
            <w:tcW w:w="3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0.58</w:t>
            </w:r>
          </w:p>
        </w:tc>
        <w:tc>
          <w:tcPr>
            <w:tcW w:w="38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0.70</w:t>
            </w:r>
          </w:p>
        </w:tc>
        <w:tc>
          <w:tcPr>
            <w:tcW w:w="4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rPr>
              <w:t>0.28</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highlight w:val="yellow"/>
        </w:rPr>
      </w:pPr>
    </w:p>
    <w:p>
      <w:pPr>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表5.4-6  特征因子监测数据统计结果汇总</w:t>
      </w:r>
    </w:p>
    <w:tbl>
      <w:tblPr>
        <w:tblStyle w:val="7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25"/>
        <w:gridCol w:w="1309"/>
        <w:gridCol w:w="1935"/>
        <w:gridCol w:w="954"/>
        <w:gridCol w:w="1991"/>
        <w:gridCol w:w="823"/>
        <w:gridCol w:w="95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trPr>
        <w:tc>
          <w:tcPr>
            <w:tcW w:w="618"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监测点位</w:t>
            </w:r>
          </w:p>
        </w:tc>
        <w:tc>
          <w:tcPr>
            <w:tcW w:w="719"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监测项目</w:t>
            </w:r>
          </w:p>
        </w:tc>
        <w:tc>
          <w:tcPr>
            <w:tcW w:w="1063"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浓度范围（</w:t>
            </w:r>
            <w:r>
              <w:rPr>
                <w:rFonts w:hint="default" w:ascii="Times New Roman" w:hAnsi="Times New Roman" w:cs="Times New Roman" w:eastAsiaTheme="minorEastAsia"/>
                <w:b/>
                <w:color w:val="auto"/>
              </w:rPr>
              <w:t>mg/m</w:t>
            </w:r>
            <w:r>
              <w:rPr>
                <w:rFonts w:hint="default" w:ascii="Times New Roman" w:hAnsi="Times New Roman" w:cs="Times New Roman" w:eastAsiaTheme="minorEastAsia"/>
                <w:b/>
                <w:color w:val="auto"/>
                <w:vertAlign w:val="superscript"/>
              </w:rPr>
              <w:t>3</w:t>
            </w:r>
            <w:r>
              <w:rPr>
                <w:rFonts w:hint="default" w:ascii="Times New Roman" w:hAnsi="Times New Roman" w:cs="Times New Roman" w:eastAsiaTheme="minorEastAsia"/>
                <w:b/>
                <w:color w:val="auto"/>
                <w:kern w:val="0"/>
              </w:rPr>
              <w:t>）</w:t>
            </w:r>
          </w:p>
        </w:tc>
        <w:tc>
          <w:tcPr>
            <w:tcW w:w="524"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标准值</w:t>
            </w:r>
          </w:p>
        </w:tc>
        <w:tc>
          <w:tcPr>
            <w:tcW w:w="1094" w:type="pct"/>
            <w:vAlign w:val="center"/>
          </w:tcPr>
          <w:p>
            <w:pPr>
              <w:autoSpaceDE w:val="0"/>
              <w:autoSpaceDN w:val="0"/>
              <w:adjustRightInd w:val="0"/>
              <w:snapToGrid w:val="0"/>
              <w:jc w:val="center"/>
              <w:rPr>
                <w:rFonts w:hint="eastAsia" w:ascii="Times New Roman" w:hAnsi="Times New Roman" w:cs="Times New Roman" w:eastAsiaTheme="minorEastAsia"/>
                <w:b/>
                <w:color w:val="auto"/>
                <w:kern w:val="0"/>
                <w:lang w:eastAsia="zh-CN"/>
              </w:rPr>
            </w:pPr>
            <w:r>
              <w:rPr>
                <w:rFonts w:hint="default" w:ascii="Times New Roman" w:hAnsi="Times New Roman" w:cs="Times New Roman" w:eastAsiaTheme="minorEastAsia"/>
                <w:b/>
                <w:color w:val="auto"/>
                <w:kern w:val="0"/>
              </w:rPr>
              <w:t>最大浓度占标率</w:t>
            </w:r>
            <w:r>
              <w:rPr>
                <w:rFonts w:hint="eastAsia" w:ascii="Times New Roman" w:hAnsi="Times New Roman" w:cs="Times New Roman" w:eastAsiaTheme="minorEastAsia"/>
                <w:b/>
                <w:color w:val="auto"/>
                <w:kern w:val="0"/>
                <w:lang w:eastAsia="zh-CN"/>
              </w:rPr>
              <w:t>（</w:t>
            </w:r>
            <w:r>
              <w:rPr>
                <w:rFonts w:hint="default" w:ascii="Times New Roman" w:hAnsi="Times New Roman" w:cs="Times New Roman" w:eastAsiaTheme="minorEastAsia"/>
                <w:b/>
                <w:color w:val="auto"/>
                <w:kern w:val="0"/>
              </w:rPr>
              <w:t>%</w:t>
            </w:r>
            <w:r>
              <w:rPr>
                <w:rFonts w:hint="eastAsia" w:ascii="Times New Roman" w:hAnsi="Times New Roman" w:cs="Times New Roman" w:eastAsiaTheme="minorEastAsia"/>
                <w:b/>
                <w:color w:val="auto"/>
                <w:kern w:val="0"/>
                <w:lang w:eastAsia="zh-CN"/>
              </w:rPr>
              <w:t>）</w:t>
            </w:r>
          </w:p>
        </w:tc>
        <w:tc>
          <w:tcPr>
            <w:tcW w:w="452"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超标率</w:t>
            </w:r>
          </w:p>
        </w:tc>
        <w:tc>
          <w:tcPr>
            <w:tcW w:w="527" w:type="pct"/>
            <w:vAlign w:val="center"/>
          </w:tcPr>
          <w:p>
            <w:pPr>
              <w:autoSpaceDE w:val="0"/>
              <w:autoSpaceDN w:val="0"/>
              <w:adjustRightInd w:val="0"/>
              <w:snapToGrid w:val="0"/>
              <w:jc w:val="center"/>
              <w:rPr>
                <w:rFonts w:hint="default" w:ascii="Times New Roman" w:hAnsi="Times New Roman" w:cs="Times New Roman" w:eastAsiaTheme="minorEastAsia"/>
                <w:b/>
                <w:color w:val="auto"/>
                <w:kern w:val="0"/>
              </w:rPr>
            </w:pPr>
            <w:r>
              <w:rPr>
                <w:rFonts w:hint="default" w:ascii="Times New Roman" w:hAnsi="Times New Roman" w:cs="Times New Roman" w:eastAsiaTheme="minorEastAsia"/>
                <w:b/>
                <w:color w:val="auto"/>
                <w:kern w:val="0"/>
              </w:rP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18"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G1</w:t>
            </w:r>
          </w:p>
        </w:tc>
        <w:tc>
          <w:tcPr>
            <w:tcW w:w="719"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非甲烷总烃</w:t>
            </w:r>
          </w:p>
        </w:tc>
        <w:tc>
          <w:tcPr>
            <w:tcW w:w="1063"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0.28~0.85</w:t>
            </w:r>
          </w:p>
        </w:tc>
        <w:tc>
          <w:tcPr>
            <w:tcW w:w="524"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w:t>
            </w:r>
          </w:p>
        </w:tc>
        <w:tc>
          <w:tcPr>
            <w:tcW w:w="1094"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42.5</w:t>
            </w:r>
          </w:p>
        </w:tc>
        <w:tc>
          <w:tcPr>
            <w:tcW w:w="452"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w:t>
            </w:r>
          </w:p>
        </w:tc>
        <w:tc>
          <w:tcPr>
            <w:tcW w:w="527" w:type="pct"/>
            <w:vAlign w:val="center"/>
          </w:tcPr>
          <w:p>
            <w:pPr>
              <w:autoSpaceDE w:val="0"/>
              <w:autoSpaceDN w:val="0"/>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达标</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评价结果表明，项目所在区域监测点位的非甲烷总烃满足《大气污染物综合排放标准详解》（GB16297-1996）标准要求，项目拟建地环境空气中的特征污染物环境本底浓度均未超标，具有一定的环境容量。</w:t>
      </w:r>
    </w:p>
    <w:p>
      <w:pPr>
        <w:pStyle w:val="3"/>
        <w:ind w:left="578" w:hanging="578"/>
        <w:rPr>
          <w:rFonts w:hint="default" w:ascii="Times New Roman" w:hAnsi="Times New Roman" w:cs="Times New Roman" w:eastAsiaTheme="minorEastAsia"/>
          <w:b/>
          <w:color w:val="auto"/>
        </w:rPr>
      </w:pPr>
      <w:bookmarkStart w:id="77" w:name="_Toc1188"/>
      <w:bookmarkStart w:id="78" w:name="_Toc13121"/>
      <w:r>
        <w:rPr>
          <w:rFonts w:hint="default" w:ascii="Times New Roman" w:hAnsi="Times New Roman" w:cs="Times New Roman" w:eastAsiaTheme="minorEastAsia"/>
          <w:b/>
          <w:color w:val="auto"/>
        </w:rPr>
        <w:t>地表水环境现状调查与评价</w:t>
      </w:r>
      <w:bookmarkEnd w:id="77"/>
      <w:bookmarkEnd w:id="78"/>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地表水环境现状调查</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水域功能</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涉及的水系为长江，通过查阅《湖南省主要水系地表水环境功能区划》（DB43/023-2005）可知，评价范围内的地表水功能为渔业用水区，全长163km，流经岳阳市、华容县和临湘市，水域范围从塔市驿（湖北省流入湖南省断面）至黄盖湖（湖南省流入湖北省断面），拟建加注站所处水域位于长江君山段水域，执行《地表水环境质量标准》（GB3838-2002）</w:t>
      </w:r>
      <w:r>
        <w:rPr>
          <w:rFonts w:hint="default" w:ascii="Times New Roman" w:hAnsi="Times New Roman" w:cs="Times New Roman"/>
          <w:color w:val="auto"/>
          <w:sz w:val="24"/>
          <w:szCs w:val="24"/>
        </w:rPr>
        <w:t>Ⅲ</w:t>
      </w:r>
      <w:r>
        <w:rPr>
          <w:rFonts w:hint="default" w:ascii="Times New Roman" w:hAnsi="Times New Roman" w:cs="Times New Roman" w:eastAsiaTheme="minorEastAsia"/>
          <w:color w:val="auto"/>
          <w:sz w:val="24"/>
          <w:szCs w:val="24"/>
        </w:rPr>
        <w:t>类水质标准。</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饮用水源调查</w:t>
      </w:r>
    </w:p>
    <w:p>
      <w:pPr>
        <w:snapToGrid w:val="0"/>
        <w:spacing w:line="360" w:lineRule="auto"/>
        <w:ind w:firstLine="480" w:firstLineChars="200"/>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rPr>
        <w:t>根据现场调查，</w:t>
      </w:r>
      <w:r>
        <w:rPr>
          <w:rFonts w:hint="eastAsia" w:ascii="Times New Roman" w:hAnsi="Times New Roman" w:cs="Times New Roman" w:eastAsiaTheme="minorEastAsia"/>
          <w:color w:val="auto"/>
          <w:sz w:val="24"/>
          <w:szCs w:val="24"/>
          <w:highlight w:val="none"/>
          <w:lang w:val="en-US" w:eastAsia="zh-CN"/>
        </w:rPr>
        <w:t>本项目</w:t>
      </w:r>
      <w:r>
        <w:rPr>
          <w:rFonts w:hint="default" w:ascii="Times New Roman" w:hAnsi="Times New Roman" w:cs="Times New Roman" w:eastAsiaTheme="minorEastAsia"/>
          <w:color w:val="auto"/>
          <w:sz w:val="24"/>
          <w:szCs w:val="24"/>
          <w:highlight w:val="none"/>
          <w:lang w:val="en-US" w:eastAsia="zh-CN"/>
        </w:rPr>
        <w:t>不在君山自来水厂饮用水源保护区范围，项目距最近的</w:t>
      </w:r>
      <w:r>
        <w:rPr>
          <w:rFonts w:hint="default" w:ascii="Times New Roman" w:hAnsi="Times New Roman" w:cs="Times New Roman" w:eastAsiaTheme="minorEastAsia"/>
          <w:bCs/>
          <w:color w:val="auto"/>
          <w:sz w:val="24"/>
          <w:szCs w:val="24"/>
          <w:highlight w:val="none"/>
        </w:rPr>
        <w:t>洪</w:t>
      </w:r>
      <w:r>
        <w:rPr>
          <w:rFonts w:hint="default" w:ascii="Times New Roman" w:hAnsi="Times New Roman" w:cs="Times New Roman" w:eastAsiaTheme="minorEastAsia"/>
          <w:bCs/>
          <w:color w:val="auto"/>
          <w:sz w:val="24"/>
          <w:szCs w:val="24"/>
          <w:highlight w:val="none"/>
          <w:lang w:eastAsia="zh-CN"/>
        </w:rPr>
        <w:t>水</w:t>
      </w:r>
      <w:r>
        <w:rPr>
          <w:rFonts w:hint="default" w:ascii="Times New Roman" w:hAnsi="Times New Roman" w:cs="Times New Roman" w:eastAsiaTheme="minorEastAsia"/>
          <w:bCs/>
          <w:color w:val="auto"/>
          <w:sz w:val="24"/>
          <w:szCs w:val="24"/>
          <w:highlight w:val="none"/>
        </w:rPr>
        <w:t>港泵房水源保护区”</w:t>
      </w:r>
      <w:r>
        <w:rPr>
          <w:rFonts w:hint="default" w:ascii="Times New Roman" w:hAnsi="Times New Roman" w:cs="Times New Roman" w:eastAsiaTheme="minorEastAsia"/>
          <w:color w:val="auto"/>
          <w:sz w:val="24"/>
          <w:szCs w:val="24"/>
          <w:highlight w:val="none"/>
          <w:lang w:val="en-US" w:eastAsia="zh-CN"/>
        </w:rPr>
        <w:t>上游同侧约3.38km。</w:t>
      </w:r>
    </w:p>
    <w:p>
      <w:pPr>
        <w:snapToGrid w:val="0"/>
        <w:spacing w:line="360" w:lineRule="auto"/>
        <w:ind w:firstLine="480" w:firstLineChars="200"/>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rPr>
        <w:t>本项目上下游</w:t>
      </w:r>
      <w:r>
        <w:rPr>
          <w:rFonts w:hint="default" w:ascii="Times New Roman" w:hAnsi="Times New Roman" w:cs="Times New Roman" w:eastAsiaTheme="minorEastAsia"/>
          <w:color w:val="auto"/>
          <w:sz w:val="24"/>
          <w:szCs w:val="24"/>
          <w:highlight w:val="none"/>
          <w:lang w:val="en-US" w:eastAsia="zh-CN"/>
        </w:rPr>
        <w:t>5</w:t>
      </w:r>
      <w:r>
        <w:rPr>
          <w:rFonts w:hint="default" w:ascii="Times New Roman" w:hAnsi="Times New Roman" w:cs="Times New Roman" w:eastAsiaTheme="minorEastAsia"/>
          <w:color w:val="auto"/>
          <w:sz w:val="24"/>
          <w:szCs w:val="24"/>
          <w:highlight w:val="none"/>
        </w:rPr>
        <w:t>km内主要分布有潭子坑取水口</w:t>
      </w:r>
      <w:r>
        <w:rPr>
          <w:rFonts w:hint="default" w:ascii="Times New Roman" w:hAnsi="Times New Roman" w:cs="Times New Roman" w:eastAsiaTheme="minorEastAsia"/>
          <w:color w:val="auto"/>
          <w:sz w:val="24"/>
          <w:szCs w:val="24"/>
          <w:highlight w:val="none"/>
          <w:lang w:eastAsia="zh-CN"/>
        </w:rPr>
        <w:t>和</w:t>
      </w:r>
      <w:r>
        <w:rPr>
          <w:rFonts w:hint="default" w:ascii="Times New Roman" w:hAnsi="Times New Roman" w:cs="Times New Roman" w:eastAsiaTheme="minorEastAsia"/>
          <w:color w:val="auto"/>
          <w:sz w:val="24"/>
          <w:szCs w:val="24"/>
          <w:highlight w:val="none"/>
        </w:rPr>
        <w:t>洪</w:t>
      </w:r>
      <w:r>
        <w:rPr>
          <w:rFonts w:hint="default" w:ascii="Times New Roman" w:hAnsi="Times New Roman" w:cs="Times New Roman" w:eastAsiaTheme="minorEastAsia"/>
          <w:color w:val="auto"/>
          <w:sz w:val="24"/>
          <w:szCs w:val="24"/>
          <w:highlight w:val="none"/>
          <w:lang w:eastAsia="zh-CN"/>
        </w:rPr>
        <w:t>水</w:t>
      </w:r>
      <w:r>
        <w:rPr>
          <w:rFonts w:hint="default" w:ascii="Times New Roman" w:hAnsi="Times New Roman" w:cs="Times New Roman" w:eastAsiaTheme="minorEastAsia"/>
          <w:color w:val="auto"/>
          <w:sz w:val="24"/>
          <w:szCs w:val="24"/>
          <w:highlight w:val="none"/>
        </w:rPr>
        <w:t>港泵房取水口，本项目的上边界与取水口相距580m，与水源地二级保护区下边界最近直线距离约380m。该取水口主要供给广兴洲镇、许市镇的生活用水</w:t>
      </w:r>
      <w:r>
        <w:rPr>
          <w:rFonts w:hint="default" w:ascii="Times New Roman" w:hAnsi="Times New Roman" w:cs="Times New Roman" w:eastAsiaTheme="minorEastAsia"/>
          <w:color w:val="auto"/>
          <w:sz w:val="24"/>
          <w:szCs w:val="24"/>
          <w:highlight w:val="none"/>
          <w:lang w:eastAsia="zh-CN"/>
        </w:rPr>
        <w:t>，该取水口现已停止使用（</w:t>
      </w:r>
      <w:r>
        <w:rPr>
          <w:rFonts w:hint="default" w:ascii="Times New Roman" w:hAnsi="Times New Roman" w:cs="Times New Roman" w:eastAsiaTheme="minorEastAsia"/>
          <w:color w:val="auto"/>
          <w:sz w:val="24"/>
          <w:szCs w:val="24"/>
          <w:highlight w:val="none"/>
        </w:rPr>
        <w:t>见附图1</w:t>
      </w:r>
      <w:r>
        <w:rPr>
          <w:rFonts w:hint="default" w:ascii="Times New Roman" w:hAnsi="Times New Roman" w:cs="Times New Roman" w:eastAsiaTheme="minorEastAsia"/>
          <w:color w:val="auto"/>
          <w:sz w:val="24"/>
          <w:szCs w:val="24"/>
          <w:highlight w:val="none"/>
          <w:lang w:val="en-US" w:eastAsia="zh-CN"/>
        </w:rPr>
        <w:t>4</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2020年8月17日，岳阳市生态环境局君山分局以“岳环君分环评批〔2020〕5号”文</w:t>
      </w:r>
      <w:r>
        <w:rPr>
          <w:rFonts w:hint="default" w:ascii="Times New Roman" w:hAnsi="Times New Roman" w:cs="Times New Roman" w:eastAsiaTheme="minorEastAsia"/>
          <w:color w:val="auto"/>
          <w:sz w:val="24"/>
          <w:szCs w:val="24"/>
          <w:highlight w:val="none"/>
          <w:lang w:eastAsia="zh-CN"/>
        </w:rPr>
        <w:t>（见附件</w:t>
      </w:r>
      <w:r>
        <w:rPr>
          <w:rFonts w:hint="default" w:ascii="Times New Roman" w:hAnsi="Times New Roman" w:cs="Times New Roman" w:eastAsiaTheme="minorEastAsia"/>
          <w:color w:val="auto"/>
          <w:sz w:val="24"/>
          <w:szCs w:val="24"/>
          <w:highlight w:val="none"/>
          <w:lang w:val="en-US" w:eastAsia="zh-CN"/>
        </w:rPr>
        <w:t>9）</w:t>
      </w:r>
      <w:r>
        <w:rPr>
          <w:rFonts w:hint="default" w:ascii="Times New Roman" w:hAnsi="Times New Roman" w:cs="Times New Roman" w:eastAsiaTheme="minorEastAsia"/>
          <w:color w:val="auto"/>
          <w:sz w:val="24"/>
          <w:szCs w:val="24"/>
          <w:highlight w:val="none"/>
        </w:rPr>
        <w:t>，将潭子坑饮用水源取水口上移至洪</w:t>
      </w:r>
      <w:r>
        <w:rPr>
          <w:rFonts w:hint="default" w:ascii="Times New Roman" w:hAnsi="Times New Roman" w:cs="Times New Roman" w:eastAsiaTheme="minorEastAsia"/>
          <w:color w:val="auto"/>
          <w:sz w:val="24"/>
          <w:szCs w:val="24"/>
          <w:highlight w:val="none"/>
          <w:lang w:eastAsia="zh-CN"/>
        </w:rPr>
        <w:t>水</w:t>
      </w:r>
      <w:r>
        <w:rPr>
          <w:rFonts w:hint="default" w:ascii="Times New Roman" w:hAnsi="Times New Roman" w:cs="Times New Roman" w:eastAsiaTheme="minorEastAsia"/>
          <w:color w:val="auto"/>
          <w:sz w:val="24"/>
          <w:szCs w:val="24"/>
          <w:highlight w:val="none"/>
        </w:rPr>
        <w:t>港泵站，饮用水源地范围也做相应调整。本项目与洪</w:t>
      </w:r>
      <w:r>
        <w:rPr>
          <w:rFonts w:hint="default" w:ascii="Times New Roman" w:hAnsi="Times New Roman" w:cs="Times New Roman" w:eastAsiaTheme="minorEastAsia"/>
          <w:color w:val="auto"/>
          <w:sz w:val="24"/>
          <w:szCs w:val="24"/>
          <w:highlight w:val="none"/>
          <w:lang w:eastAsia="zh-CN"/>
        </w:rPr>
        <w:t>水</w:t>
      </w:r>
      <w:r>
        <w:rPr>
          <w:rFonts w:hint="default" w:ascii="Times New Roman" w:hAnsi="Times New Roman" w:cs="Times New Roman" w:eastAsiaTheme="minorEastAsia"/>
          <w:color w:val="auto"/>
          <w:sz w:val="24"/>
          <w:szCs w:val="24"/>
          <w:highlight w:val="none"/>
        </w:rPr>
        <w:t>港泵房取水口相距约3.58km</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见附图14</w:t>
      </w:r>
      <w:r>
        <w:rPr>
          <w:rFonts w:hint="default" w:ascii="Times New Roman" w:hAnsi="Times New Roman" w:cs="Times New Roman" w:eastAsiaTheme="minorEastAsia"/>
          <w:color w:val="auto"/>
          <w:sz w:val="24"/>
          <w:szCs w:val="24"/>
          <w:highlight w:val="none"/>
          <w:lang w:eastAsia="zh-CN"/>
        </w:rPr>
        <w:t>。该取水口现已投入使用。</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区域水环境质量现状</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涉及的水体为长江岳阳段渔业用水区。为了解项目所在地地表水环境质量状况，本评价收集了《岳阳市2019年度环境质量公报》，根据质量公报：长江干流岳阳段共布设5个监测断面，分别为天字一号、君山长江取水口、荆江口、城陵矶、陆城断面，2019年水质均为Ⅱ类。</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水环境质量历史监测数据引用</w:t>
      </w:r>
    </w:p>
    <w:p>
      <w:pPr>
        <w:adjustRightInd w:val="0"/>
        <w:snapToGrid w:val="0"/>
        <w:spacing w:line="360" w:lineRule="auto"/>
        <w:ind w:firstLine="480"/>
        <w:jc w:val="left"/>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本次评价引用了湖南华环检测技术有限公司于2019年7月19日~7月21日对“岳阳LNG接收站（储备中心）项目工程（一期）”进行了一期监测数据。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eastAsiaTheme="minorEastAsia"/>
          <w:color w:val="auto"/>
          <w:sz w:val="24"/>
          <w:szCs w:val="24"/>
        </w:rPr>
        <w:t>共设置两个水质监测断面，分别位于本次拟建的加注站项目长江河段同侧上游930m处，同侧下游1570m处。监测</w:t>
      </w:r>
      <w:r>
        <w:rPr>
          <w:rFonts w:hint="default" w:ascii="Times New Roman" w:hAnsi="Times New Roman" w:cs="Times New Roman"/>
          <w:color w:val="auto"/>
          <w:sz w:val="24"/>
        </w:rPr>
        <w:t>因子有pH、COD</w:t>
      </w:r>
      <w:r>
        <w:rPr>
          <w:rFonts w:hint="default" w:ascii="Times New Roman" w:hAnsi="Times New Roman" w:cs="Times New Roman"/>
          <w:color w:val="auto"/>
          <w:sz w:val="24"/>
          <w:vertAlign w:val="subscript"/>
        </w:rPr>
        <w:t>Cr</w:t>
      </w:r>
      <w:r>
        <w:rPr>
          <w:rFonts w:hint="default" w:ascii="Times New Roman" w:hAnsi="Times New Roman" w:cs="Times New Roman"/>
          <w:color w:val="auto"/>
          <w:sz w:val="24"/>
        </w:rPr>
        <w:t>、BOD</w:t>
      </w:r>
      <w:r>
        <w:rPr>
          <w:rFonts w:hint="default" w:ascii="Times New Roman" w:hAnsi="Times New Roman" w:cs="Times New Roman"/>
          <w:color w:val="auto"/>
          <w:sz w:val="24"/>
          <w:vertAlign w:val="subscript"/>
        </w:rPr>
        <w:t>5</w:t>
      </w:r>
      <w:r>
        <w:rPr>
          <w:rFonts w:hint="default" w:ascii="Times New Roman" w:hAnsi="Times New Roman" w:cs="Times New Roman"/>
          <w:color w:val="auto"/>
          <w:sz w:val="24"/>
        </w:rPr>
        <w:t>、NH</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-N、SS、总磷、动植物油、LAS、粪大肠菌群、汞、铬（六价）、石油类，并同步监测河流水温、流量、流速、河宽、水深等水文参数。监测结果统计见表5.5-1。</w:t>
      </w:r>
    </w:p>
    <w:p>
      <w:pPr>
        <w:adjustRightInd w:val="0"/>
        <w:snapToGrid w:val="0"/>
        <w:spacing w:line="276" w:lineRule="auto"/>
        <w:jc w:val="right"/>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 xml:space="preserve">表5.5-1  长江现状监测数据表    </w:t>
      </w:r>
      <w:r>
        <w:rPr>
          <w:rFonts w:hint="eastAsia" w:ascii="Times New Roman" w:hAnsi="Times New Roman" w:cs="Times New Roman" w:eastAsiaTheme="minorEastAsia"/>
          <w:b/>
          <w:color w:val="auto"/>
          <w:sz w:val="24"/>
          <w:szCs w:val="24"/>
          <w:lang w:val="en-US" w:eastAsia="zh-CN"/>
        </w:rPr>
        <w:t xml:space="preserve">  </w:t>
      </w:r>
      <w:r>
        <w:rPr>
          <w:rFonts w:hint="default" w:ascii="Times New Roman" w:hAnsi="Times New Roman" w:cs="Times New Roman" w:eastAsiaTheme="minorEastAsia"/>
          <w:b/>
          <w:color w:val="auto"/>
          <w:sz w:val="24"/>
          <w:szCs w:val="24"/>
        </w:rPr>
        <w:t xml:space="preserve">      </w:t>
      </w:r>
      <w:r>
        <w:rPr>
          <w:rFonts w:hint="default" w:ascii="Times New Roman" w:hAnsi="Times New Roman" w:cs="Times New Roman" w:eastAsiaTheme="minorEastAsia"/>
          <w:bCs/>
          <w:color w:val="auto"/>
          <w:sz w:val="24"/>
          <w:szCs w:val="24"/>
        </w:rPr>
        <w:t>单位：mg/L</w:t>
      </w:r>
    </w:p>
    <w:tbl>
      <w:tblPr>
        <w:tblStyle w:val="71"/>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autofit"/>
        <w:tblCellMar>
          <w:top w:w="0" w:type="dxa"/>
          <w:left w:w="0" w:type="dxa"/>
          <w:bottom w:w="0" w:type="dxa"/>
          <w:right w:w="0" w:type="dxa"/>
        </w:tblCellMar>
      </w:tblPr>
      <w:tblGrid>
        <w:gridCol w:w="792"/>
        <w:gridCol w:w="1052"/>
        <w:gridCol w:w="979"/>
        <w:gridCol w:w="1218"/>
        <w:gridCol w:w="1416"/>
        <w:gridCol w:w="1129"/>
        <w:gridCol w:w="903"/>
        <w:gridCol w:w="890"/>
        <w:gridCol w:w="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断面</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项目</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pH</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COD</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BOD</w:t>
            </w:r>
            <w:r>
              <w:rPr>
                <w:rFonts w:hint="default" w:ascii="Times New Roman" w:hAnsi="Times New Roman" w:cs="Times New Roman"/>
                <w:b/>
                <w:bCs/>
                <w:color w:val="auto"/>
                <w:kern w:val="0"/>
                <w:vertAlign w:val="subscript"/>
              </w:rPr>
              <w:t>5</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氨氮</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总磷</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悬浮物</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动植</w:t>
            </w:r>
          </w:p>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restar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加注站水工构筑物上游930m</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监测值</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7.52-7.63</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5-7</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0.8-1.1</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0.029-0.031</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0.08-0.09</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26-30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最大超标倍数</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超标率</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Ⅲ类标准</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6-9</w:t>
            </w:r>
          </w:p>
        </w:tc>
        <w:tc>
          <w:tcPr>
            <w:tcW w:w="669" w:type="pct"/>
            <w:tcBorders>
              <w:tl2br w:val="nil"/>
              <w:tr2bl w:val="nil"/>
            </w:tcBorders>
            <w:vAlign w:val="center"/>
          </w:tcPr>
          <w:p>
            <w:pPr>
              <w:keepNext w:val="0"/>
              <w:keepLines w:val="0"/>
              <w:widowControl/>
              <w:suppressLineNumbers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20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4</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1.0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0.2</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Ⅰ</w:t>
            </w:r>
            <w:r>
              <w:rPr>
                <w:rFonts w:hint="default" w:ascii="Times New Roman" w:hAnsi="Times New Roman" w:cs="Times New Roman"/>
                <w:color w:val="auto"/>
                <w:kern w:val="0"/>
              </w:rPr>
              <w:t>类标准</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6-9</w:t>
            </w:r>
          </w:p>
        </w:tc>
        <w:tc>
          <w:tcPr>
            <w:tcW w:w="669"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≤15</w:t>
            </w:r>
          </w:p>
        </w:tc>
        <w:tc>
          <w:tcPr>
            <w:tcW w:w="778"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≤3</w:t>
            </w:r>
          </w:p>
        </w:tc>
        <w:tc>
          <w:tcPr>
            <w:tcW w:w="620"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≤0.15</w:t>
            </w:r>
          </w:p>
        </w:tc>
        <w:tc>
          <w:tcPr>
            <w:tcW w:w="496"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≤0.02</w:t>
            </w:r>
          </w:p>
        </w:tc>
        <w:tc>
          <w:tcPr>
            <w:tcW w:w="890"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w:t>
            </w:r>
          </w:p>
        </w:tc>
        <w:tc>
          <w:tcPr>
            <w:tcW w:w="71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restar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加注站水工构筑物下游1570m</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监测值</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7.41-7.47</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8-9</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1.2-1.5</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＜0.025</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0.09-0.10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27-30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最大超标倍数</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超标率</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67" w:hRule="atLeast"/>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Ⅲ类标准</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6-9</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20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4</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1.0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0.2</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trHeight w:val="67" w:hRule="atLeast"/>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Ⅰ</w:t>
            </w:r>
            <w:r>
              <w:rPr>
                <w:rFonts w:hint="default" w:ascii="Times New Roman" w:hAnsi="Times New Roman" w:cs="Times New Roman"/>
                <w:color w:val="auto"/>
                <w:kern w:val="0"/>
              </w:rPr>
              <w:t>类标准</w:t>
            </w:r>
          </w:p>
        </w:tc>
        <w:tc>
          <w:tcPr>
            <w:tcW w:w="979"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6-9</w:t>
            </w:r>
          </w:p>
        </w:tc>
        <w:tc>
          <w:tcPr>
            <w:tcW w:w="1218"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≤15</w:t>
            </w:r>
          </w:p>
        </w:tc>
        <w:tc>
          <w:tcPr>
            <w:tcW w:w="1416"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≤3</w:t>
            </w:r>
          </w:p>
        </w:tc>
        <w:tc>
          <w:tcPr>
            <w:tcW w:w="1129"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≤0.15</w:t>
            </w:r>
          </w:p>
        </w:tc>
        <w:tc>
          <w:tcPr>
            <w:tcW w:w="903"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≤0.02</w:t>
            </w:r>
          </w:p>
        </w:tc>
        <w:tc>
          <w:tcPr>
            <w:tcW w:w="890"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71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断面</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项目</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阴离子表面活性剂</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粪大肠菌群</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汞</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六价铬</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石油类</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流量（m</w:t>
            </w:r>
            <w:r>
              <w:rPr>
                <w:rFonts w:hint="default" w:ascii="Times New Roman" w:hAnsi="Times New Roman" w:cs="Times New Roman"/>
                <w:b/>
                <w:bCs/>
                <w:color w:val="auto"/>
                <w:kern w:val="0"/>
                <w:vertAlign w:val="superscript"/>
              </w:rPr>
              <w:t>3</w:t>
            </w:r>
            <w:r>
              <w:rPr>
                <w:rFonts w:hint="default" w:ascii="Times New Roman" w:hAnsi="Times New Roman" w:cs="Times New Roman"/>
                <w:b/>
                <w:bCs/>
                <w:color w:val="auto"/>
                <w:kern w:val="0"/>
              </w:rPr>
              <w:t>/s）</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水温（℃）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restar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加注站水工构筑物上游930m</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监测值</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＜0.05</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9400-14000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0.00009-</w:t>
            </w:r>
          </w:p>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0.00010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＜0.004</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＜0.03</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28</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最大超标倍数</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0.4</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超标率</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66.7</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Ⅲ类标准</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0.2</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10000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0.0001</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0.05</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0.05</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Ⅰ</w:t>
            </w:r>
            <w:r>
              <w:rPr>
                <w:rFonts w:hint="default" w:ascii="Times New Roman" w:hAnsi="Times New Roman" w:cs="Times New Roman"/>
                <w:color w:val="auto"/>
                <w:kern w:val="0"/>
              </w:rPr>
              <w:t>类标准</w:t>
            </w:r>
          </w:p>
        </w:tc>
        <w:tc>
          <w:tcPr>
            <w:tcW w:w="538"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≤0.2</w:t>
            </w:r>
          </w:p>
        </w:tc>
        <w:tc>
          <w:tcPr>
            <w:tcW w:w="669"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≤200</w:t>
            </w:r>
          </w:p>
        </w:tc>
        <w:tc>
          <w:tcPr>
            <w:tcW w:w="778"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≤0.00005</w:t>
            </w:r>
          </w:p>
        </w:tc>
        <w:tc>
          <w:tcPr>
            <w:tcW w:w="620"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≤0.01</w:t>
            </w:r>
          </w:p>
        </w:tc>
        <w:tc>
          <w:tcPr>
            <w:tcW w:w="496"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kern w:val="0"/>
                <w:lang w:val="en-US" w:eastAsia="zh-CN"/>
              </w:rPr>
              <w:t>≤0.05</w:t>
            </w:r>
          </w:p>
        </w:tc>
        <w:tc>
          <w:tcPr>
            <w:tcW w:w="890"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71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restar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加注站水工构筑物下游1570m</w:t>
            </w: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监测值</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＜0.05</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2300-3400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0.00047-</w:t>
            </w:r>
          </w:p>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0.00059</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＜0.004</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＜0.03</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28</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最大超标倍数</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超标率</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Ⅲ类标准</w:t>
            </w:r>
          </w:p>
        </w:tc>
        <w:tc>
          <w:tcPr>
            <w:tcW w:w="53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0.2</w:t>
            </w:r>
          </w:p>
        </w:tc>
        <w:tc>
          <w:tcPr>
            <w:tcW w:w="66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10000</w:t>
            </w:r>
          </w:p>
        </w:tc>
        <w:tc>
          <w:tcPr>
            <w:tcW w:w="7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0.0001</w:t>
            </w:r>
          </w:p>
        </w:tc>
        <w:tc>
          <w:tcPr>
            <w:tcW w:w="620"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0.05</w:t>
            </w:r>
          </w:p>
        </w:tc>
        <w:tc>
          <w:tcPr>
            <w:tcW w:w="496"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w:t>
            </w:r>
            <w:r>
              <w:rPr>
                <w:rFonts w:hint="default" w:ascii="Times New Roman" w:hAnsi="Times New Roman" w:cs="Times New Roman"/>
                <w:color w:val="auto"/>
                <w:kern w:val="0"/>
              </w:rPr>
              <w:t>0.05</w:t>
            </w:r>
          </w:p>
        </w:tc>
        <w:tc>
          <w:tcPr>
            <w:tcW w:w="489"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392"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0" w:type="dxa"/>
            <w:bottom w:w="0" w:type="dxa"/>
            <w:right w:w="0" w:type="dxa"/>
          </w:tblCellMar>
        </w:tblPrEx>
        <w:trPr>
          <w:jc w:val="center"/>
        </w:trPr>
        <w:tc>
          <w:tcPr>
            <w:tcW w:w="435" w:type="pct"/>
            <w:vMerge w:val="continue"/>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p>
        </w:tc>
        <w:tc>
          <w:tcPr>
            <w:tcW w:w="578" w:type="pct"/>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Ⅰ</w:t>
            </w:r>
            <w:r>
              <w:rPr>
                <w:rFonts w:hint="default" w:ascii="Times New Roman" w:hAnsi="Times New Roman" w:cs="Times New Roman"/>
                <w:color w:val="auto"/>
                <w:kern w:val="0"/>
              </w:rPr>
              <w:t>类标准</w:t>
            </w:r>
          </w:p>
        </w:tc>
        <w:tc>
          <w:tcPr>
            <w:tcW w:w="979"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≤0.2</w:t>
            </w:r>
          </w:p>
        </w:tc>
        <w:tc>
          <w:tcPr>
            <w:tcW w:w="1218"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≤200</w:t>
            </w:r>
          </w:p>
        </w:tc>
        <w:tc>
          <w:tcPr>
            <w:tcW w:w="1416"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≤0.00005</w:t>
            </w:r>
          </w:p>
        </w:tc>
        <w:tc>
          <w:tcPr>
            <w:tcW w:w="1129"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≤0.01</w:t>
            </w:r>
          </w:p>
        </w:tc>
        <w:tc>
          <w:tcPr>
            <w:tcW w:w="903"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eastAsia" w:ascii="Times New Roman" w:hAnsi="Times New Roman" w:cs="Times New Roman"/>
                <w:color w:val="auto"/>
                <w:kern w:val="0"/>
                <w:lang w:val="en-US" w:eastAsia="zh-CN"/>
              </w:rPr>
              <w:t>≤0.05</w:t>
            </w:r>
          </w:p>
        </w:tc>
        <w:tc>
          <w:tcPr>
            <w:tcW w:w="890"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c>
          <w:tcPr>
            <w:tcW w:w="71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rPr>
        <w:t>根据表5.5-1可知，加注站水工构筑物上游930m监测点位的粪大肠菌群出现超标，最大超标倍数为0.4，除加注站水工构筑物上游930m监测点位的粪大肠菌群外，其余监测因子监测值均可满足《地表水环境质量标准》（GB3838-2002）中Ⅲ类</w:t>
      </w:r>
      <w:r>
        <w:rPr>
          <w:rFonts w:hint="default" w:ascii="Times New Roman" w:hAnsi="Times New Roman" w:cs="Times New Roman" w:eastAsiaTheme="minorEastAsia"/>
          <w:color w:val="auto"/>
          <w:sz w:val="24"/>
          <w:szCs w:val="24"/>
          <w:lang w:val="en-US" w:eastAsia="zh-CN"/>
        </w:rPr>
        <w:t>水质考核</w:t>
      </w:r>
      <w:r>
        <w:rPr>
          <w:rFonts w:hint="default" w:ascii="Times New Roman" w:hAnsi="Times New Roman" w:cs="Times New Roman" w:eastAsiaTheme="minorEastAsia"/>
          <w:color w:val="auto"/>
          <w:sz w:val="24"/>
          <w:szCs w:val="24"/>
        </w:rPr>
        <w:t>标准要求。</w:t>
      </w:r>
      <w:r>
        <w:rPr>
          <w:rFonts w:hint="default" w:ascii="Times New Roman" w:hAnsi="Times New Roman" w:cs="Times New Roman" w:eastAsiaTheme="minorEastAsia"/>
          <w:color w:val="auto"/>
          <w:sz w:val="24"/>
          <w:szCs w:val="24"/>
          <w:lang w:val="en-US" w:eastAsia="zh-CN"/>
        </w:rPr>
        <w:t>除</w:t>
      </w:r>
      <w:r>
        <w:rPr>
          <w:rFonts w:hint="default" w:ascii="Times New Roman" w:hAnsi="Times New Roman" w:cs="Times New Roman" w:eastAsiaTheme="minorEastAsia"/>
          <w:color w:val="auto"/>
          <w:sz w:val="24"/>
          <w:szCs w:val="24"/>
        </w:rPr>
        <w:t>总磷</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粪大肠菌群</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汞</w:t>
      </w:r>
      <w:r>
        <w:rPr>
          <w:rFonts w:hint="default" w:ascii="Times New Roman" w:hAnsi="Times New Roman" w:cs="Times New Roman" w:eastAsiaTheme="minorEastAsia"/>
          <w:color w:val="auto"/>
          <w:sz w:val="24"/>
          <w:szCs w:val="24"/>
          <w:lang w:val="en-US" w:eastAsia="zh-CN"/>
        </w:rPr>
        <w:t>外，其</w:t>
      </w:r>
      <w:r>
        <w:rPr>
          <w:rFonts w:hint="default" w:ascii="Times New Roman" w:hAnsi="Times New Roman" w:cs="Times New Roman" w:eastAsiaTheme="minorEastAsia"/>
          <w:color w:val="auto"/>
          <w:sz w:val="24"/>
          <w:szCs w:val="24"/>
        </w:rPr>
        <w:t>余监测因子监测值均可满足《地表水环境质量标准》（GB3838-2002）中</w:t>
      </w:r>
      <w:r>
        <w:rPr>
          <w:rFonts w:hint="default" w:ascii="Times New Roman" w:hAnsi="Times New Roman" w:cs="Times New Roman" w:eastAsiaTheme="minorEastAsia"/>
          <w:color w:val="auto"/>
          <w:sz w:val="24"/>
          <w:szCs w:val="24"/>
          <w:lang w:val="en-US" w:eastAsia="zh-CN"/>
        </w:rPr>
        <w:t>Ⅰ</w:t>
      </w:r>
      <w:r>
        <w:rPr>
          <w:rFonts w:hint="default" w:ascii="Times New Roman" w:hAnsi="Times New Roman" w:cs="Times New Roman" w:eastAsiaTheme="minorEastAsia"/>
          <w:color w:val="auto"/>
          <w:sz w:val="24"/>
          <w:szCs w:val="24"/>
        </w:rPr>
        <w:t>类标准</w:t>
      </w:r>
      <w:r>
        <w:rPr>
          <w:rFonts w:hint="default" w:ascii="Times New Roman" w:hAnsi="Times New Roman" w:cs="Times New Roman" w:eastAsiaTheme="minorEastAsia"/>
          <w:color w:val="auto"/>
          <w:sz w:val="24"/>
          <w:szCs w:val="24"/>
          <w:lang w:eastAsia="zh-CN"/>
        </w:rPr>
        <w:t>。</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地表水环境质量现状监测与评价</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rPr>
        <w:t>本次评价委托湖南省中测湘源检测有限公司于2020年9月1日~9月3日期间针对项目涉及河流进行了水质现状监测。</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地表水环境质量现状监测</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1、监测布点</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本项目共设2个水质监测断面，布点位置见表5.5-2，具体位置见附图2。</w:t>
      </w:r>
    </w:p>
    <w:p>
      <w:pPr>
        <w:pStyle w:val="159"/>
        <w:spacing w:line="276" w:lineRule="auto"/>
        <w:jc w:val="center"/>
        <w:rPr>
          <w:rFonts w:hint="default" w:ascii="Times New Roman" w:hAnsi="Times New Roman" w:cs="Times New Roman"/>
          <w:bCs w:val="0"/>
          <w:color w:val="auto"/>
          <w:sz w:val="24"/>
          <w:szCs w:val="24"/>
        </w:rPr>
      </w:pPr>
      <w:r>
        <w:rPr>
          <w:rFonts w:hint="default" w:ascii="Times New Roman" w:hAnsi="Times New Roman" w:cs="Times New Roman"/>
          <w:bCs w:val="0"/>
          <w:color w:val="auto"/>
          <w:sz w:val="24"/>
          <w:szCs w:val="24"/>
        </w:rPr>
        <w:t>表</w:t>
      </w:r>
      <w:r>
        <w:rPr>
          <w:rFonts w:hint="default" w:ascii="Times New Roman" w:hAnsi="Times New Roman" w:cs="Times New Roman"/>
          <w:color w:val="auto"/>
          <w:sz w:val="24"/>
          <w:szCs w:val="24"/>
        </w:rPr>
        <w:t>5.5-2</w:t>
      </w:r>
      <w:r>
        <w:rPr>
          <w:rFonts w:hint="default" w:ascii="Times New Roman" w:hAnsi="Times New Roman" w:cs="Times New Roman"/>
          <w:bCs w:val="0"/>
          <w:color w:val="auto"/>
          <w:sz w:val="24"/>
          <w:szCs w:val="24"/>
        </w:rPr>
        <w:t xml:space="preserve">  地表水监测断面布置一览表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90"/>
        <w:gridCol w:w="712"/>
        <w:gridCol w:w="2999"/>
        <w:gridCol w:w="3352"/>
        <w:gridCol w:w="13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9" w:type="pct"/>
            <w:shd w:val="clear" w:color="auto" w:fill="auto"/>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编号</w:t>
            </w:r>
          </w:p>
        </w:tc>
        <w:tc>
          <w:tcPr>
            <w:tcW w:w="391" w:type="pct"/>
            <w:shd w:val="clear" w:color="auto" w:fill="auto"/>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水体</w:t>
            </w:r>
          </w:p>
        </w:tc>
        <w:tc>
          <w:tcPr>
            <w:tcW w:w="1648" w:type="pct"/>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监测断面位置</w:t>
            </w:r>
          </w:p>
        </w:tc>
        <w:tc>
          <w:tcPr>
            <w:tcW w:w="1842" w:type="pct"/>
            <w:shd w:val="clear" w:color="auto" w:fill="auto"/>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监测项目</w:t>
            </w:r>
          </w:p>
        </w:tc>
        <w:tc>
          <w:tcPr>
            <w:tcW w:w="738" w:type="pct"/>
            <w:shd w:val="clear" w:color="auto" w:fill="auto"/>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采样频率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379" w:type="pct"/>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S1</w:t>
            </w:r>
          </w:p>
        </w:tc>
        <w:tc>
          <w:tcPr>
            <w:tcW w:w="391" w:type="pct"/>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长江</w:t>
            </w:r>
          </w:p>
        </w:tc>
        <w:tc>
          <w:tcPr>
            <w:tcW w:w="1648" w:type="pct"/>
            <w:vAlign w:val="center"/>
          </w:tcPr>
          <w:p>
            <w:pPr>
              <w:pStyle w:val="174"/>
              <w:adjustRightInd w:val="0"/>
              <w:snapToGrid w:val="0"/>
              <w:spacing w:line="240" w:lineRule="auto"/>
              <w:rPr>
                <w:rFonts w:hint="default" w:ascii="Times New Roman" w:hAnsi="Times New Roman" w:cs="Times New Roman" w:eastAsiaTheme="minorEastAsia"/>
                <w:color w:val="auto"/>
                <w:kern w:val="2"/>
                <w:sz w:val="21"/>
                <w:szCs w:val="21"/>
              </w:rPr>
            </w:pPr>
            <w:r>
              <w:rPr>
                <w:rFonts w:hint="default" w:ascii="Times New Roman" w:hAnsi="Times New Roman" w:cs="Times New Roman" w:eastAsiaTheme="minorEastAsia"/>
                <w:color w:val="auto"/>
                <w:kern w:val="2"/>
                <w:sz w:val="21"/>
                <w:szCs w:val="21"/>
              </w:rPr>
              <w:t>1#加注码头泊位上游580m处</w:t>
            </w:r>
          </w:p>
        </w:tc>
        <w:tc>
          <w:tcPr>
            <w:tcW w:w="1842" w:type="pct"/>
            <w:vMerge w:val="restart"/>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szCs w:val="18"/>
              </w:rPr>
              <w:t>水温、pH值、DO、高锰酸盐指数、COD、BOD</w:t>
            </w:r>
            <w:r>
              <w:rPr>
                <w:rFonts w:hint="default" w:ascii="Times New Roman" w:hAnsi="Times New Roman" w:cs="Times New Roman" w:eastAsiaTheme="minorEastAsia"/>
                <w:color w:val="auto"/>
                <w:szCs w:val="18"/>
                <w:vertAlign w:val="subscript"/>
              </w:rPr>
              <w:t>5</w:t>
            </w:r>
            <w:r>
              <w:rPr>
                <w:rFonts w:hint="default" w:ascii="Times New Roman" w:hAnsi="Times New Roman" w:cs="Times New Roman" w:eastAsiaTheme="minorEastAsia"/>
                <w:color w:val="auto"/>
                <w:szCs w:val="18"/>
              </w:rPr>
              <w:t>、NH</w:t>
            </w:r>
            <w:r>
              <w:rPr>
                <w:rFonts w:hint="default" w:ascii="Times New Roman" w:hAnsi="Times New Roman" w:cs="Times New Roman" w:eastAsiaTheme="minorEastAsia"/>
                <w:color w:val="auto"/>
                <w:szCs w:val="18"/>
                <w:vertAlign w:val="subscript"/>
              </w:rPr>
              <w:t>3</w:t>
            </w:r>
            <w:r>
              <w:rPr>
                <w:rFonts w:hint="default" w:ascii="Times New Roman" w:hAnsi="Times New Roman" w:cs="Times New Roman" w:eastAsiaTheme="minorEastAsia"/>
                <w:color w:val="auto"/>
                <w:szCs w:val="18"/>
              </w:rPr>
              <w:t>-N、石油类、SS</w:t>
            </w:r>
          </w:p>
        </w:tc>
        <w:tc>
          <w:tcPr>
            <w:tcW w:w="738" w:type="pct"/>
            <w:vMerge w:val="restart"/>
            <w:shd w:val="clear" w:color="auto" w:fill="auto"/>
            <w:vAlign w:val="center"/>
          </w:tcPr>
          <w:p>
            <w:pPr>
              <w:pStyle w:val="159"/>
              <w:spacing w:line="240" w:lineRule="auto"/>
              <w:jc w:val="center"/>
              <w:rPr>
                <w:rFonts w:hint="default" w:ascii="Times New Roman" w:hAnsi="Times New Roman" w:cs="Times New Roman"/>
                <w:b w:val="0"/>
                <w:color w:val="auto"/>
                <w:sz w:val="21"/>
                <w:szCs w:val="21"/>
              </w:rPr>
            </w:pPr>
            <w:r>
              <w:rPr>
                <w:rFonts w:hint="default" w:ascii="Times New Roman" w:hAnsi="Times New Roman" w:cs="Times New Roman"/>
                <w:b w:val="0"/>
                <w:color w:val="auto"/>
                <w:sz w:val="21"/>
                <w:szCs w:val="21"/>
              </w:rPr>
              <w:t>连续监测3天，每天采样1次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9" w:type="pct"/>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S2</w:t>
            </w:r>
          </w:p>
        </w:tc>
        <w:tc>
          <w:tcPr>
            <w:tcW w:w="391" w:type="pct"/>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长江</w:t>
            </w:r>
          </w:p>
        </w:tc>
        <w:tc>
          <w:tcPr>
            <w:tcW w:w="1648" w:type="pct"/>
            <w:vAlign w:val="center"/>
          </w:tcPr>
          <w:p>
            <w:pPr>
              <w:pStyle w:val="174"/>
              <w:adjustRightInd w:val="0"/>
              <w:snapToGrid w:val="0"/>
              <w:spacing w:line="240" w:lineRule="auto"/>
              <w:rPr>
                <w:rFonts w:hint="default" w:ascii="Times New Roman" w:hAnsi="Times New Roman" w:cs="Times New Roman" w:eastAsiaTheme="minorEastAsia"/>
                <w:color w:val="auto"/>
                <w:kern w:val="2"/>
                <w:sz w:val="21"/>
                <w:szCs w:val="21"/>
              </w:rPr>
            </w:pPr>
            <w:r>
              <w:rPr>
                <w:rFonts w:hint="default" w:ascii="Times New Roman" w:hAnsi="Times New Roman" w:cs="Times New Roman" w:eastAsiaTheme="minorEastAsia"/>
                <w:color w:val="auto"/>
                <w:kern w:val="2"/>
                <w:sz w:val="21"/>
                <w:szCs w:val="21"/>
              </w:rPr>
              <w:t>2#加注码头泊位下游3.5km处</w:t>
            </w:r>
          </w:p>
        </w:tc>
        <w:tc>
          <w:tcPr>
            <w:tcW w:w="1842" w:type="pct"/>
            <w:vMerge w:val="continue"/>
            <w:shd w:val="clear" w:color="auto" w:fill="auto"/>
            <w:vAlign w:val="center"/>
          </w:tcPr>
          <w:p>
            <w:pPr>
              <w:widowControl/>
              <w:adjustRightInd w:val="0"/>
              <w:snapToGrid w:val="0"/>
              <w:jc w:val="center"/>
              <w:rPr>
                <w:rFonts w:hint="default" w:ascii="Times New Roman" w:hAnsi="Times New Roman" w:cs="Times New Roman" w:eastAsiaTheme="minorEastAsia"/>
                <w:color w:val="auto"/>
                <w:kern w:val="0"/>
                <w:lang w:bidi="ar"/>
              </w:rPr>
            </w:pPr>
          </w:p>
        </w:tc>
        <w:tc>
          <w:tcPr>
            <w:tcW w:w="738" w:type="pct"/>
            <w:vMerge w:val="continue"/>
            <w:shd w:val="clear" w:color="auto" w:fill="auto"/>
            <w:vAlign w:val="center"/>
          </w:tcPr>
          <w:p>
            <w:pPr>
              <w:pStyle w:val="159"/>
              <w:spacing w:line="240" w:lineRule="auto"/>
              <w:jc w:val="center"/>
              <w:rPr>
                <w:rFonts w:hint="default" w:ascii="Times New Roman" w:hAnsi="Times New Roman" w:cs="Times New Roman"/>
                <w:color w:val="auto"/>
                <w:sz w:val="21"/>
                <w:szCs w:val="21"/>
              </w:rPr>
            </w:pP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yellow"/>
        </w:rPr>
      </w:pPr>
    </w:p>
    <w:p>
      <w:pPr>
        <w:adjustRightInd w:val="0"/>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2、监测因子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水温、pH值、溶解氧、高锰酸盐指数、化学需氧量、五日生化需氧量、氨氮、石油类、悬浮物。</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3、监测时间与频次</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2019年9月1日到9月3日，连续监测3天，每天采样1次。</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4、采样和分析方法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采样方法按照《地表水和污水监测技术规范》（HJ/T91-2002）执行，分析方法按《地表水环境质量标准》（GB3838-2002）中的有关规定执行。</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地表水环境质量现状评价</w:t>
      </w:r>
    </w:p>
    <w:p>
      <w:pPr>
        <w:adjustRightInd w:val="0"/>
        <w:snapToGrid w:val="0"/>
        <w:spacing w:line="360" w:lineRule="auto"/>
        <w:ind w:firstLine="502" w:firstLineChars="200"/>
        <w:rPr>
          <w:rFonts w:hint="default" w:ascii="Times New Roman" w:hAnsi="Times New Roman" w:cs="Times New Roman" w:eastAsiaTheme="minorEastAsia"/>
          <w:b/>
          <w:color w:val="auto"/>
          <w:spacing w:val="5"/>
          <w:sz w:val="24"/>
          <w:szCs w:val="24"/>
        </w:rPr>
      </w:pPr>
      <w:r>
        <w:rPr>
          <w:rFonts w:hint="default" w:ascii="Times New Roman" w:hAnsi="Times New Roman" w:cs="Times New Roman" w:eastAsiaTheme="minorEastAsia"/>
          <w:b/>
          <w:color w:val="auto"/>
          <w:spacing w:val="5"/>
          <w:sz w:val="24"/>
          <w:szCs w:val="24"/>
        </w:rPr>
        <w:t>1、评价方法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河流水质现状评价执行《地表水环境质量标准》（GB3838-2002）的</w:t>
      </w:r>
      <w:r>
        <w:rPr>
          <w:rFonts w:hint="default" w:ascii="Times New Roman" w:hAnsi="Times New Roman" w:cs="Times New Roman"/>
          <w:color w:val="auto"/>
          <w:sz w:val="24"/>
          <w:szCs w:val="24"/>
        </w:rPr>
        <w:t>Ⅲ</w:t>
      </w:r>
      <w:r>
        <w:rPr>
          <w:rFonts w:hint="default" w:ascii="Times New Roman" w:hAnsi="Times New Roman" w:cs="Times New Roman" w:eastAsiaTheme="minorEastAsia"/>
          <w:color w:val="auto"/>
          <w:sz w:val="24"/>
          <w:szCs w:val="24"/>
        </w:rPr>
        <w:t>类标准，鉴于《地表水环境质量标准》（GB3838-2002）中对悬浮物无规定限值，本次评价采用《地表水资源质量标准》（SL63-94）的三级标准。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现状评价采用标准指数法进行评价：</w:t>
      </w:r>
    </w:p>
    <w:p>
      <w:pPr>
        <w:jc w:val="center"/>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position w:val="-32"/>
          <w:sz w:val="24"/>
        </w:rPr>
        <w:object>
          <v:shape id="_x0000_i1033" o:spt="75" type="#_x0000_t75" style="height:36.35pt;width:51.35pt;" o:ole="t" filled="f" o:preferrelative="t" stroked="f" coordsize="21600,21600">
            <v:path/>
            <v:fill on="f" focussize="0,0"/>
            <v:stroke on="f" joinstyle="miter"/>
            <v:imagedata r:id="rId45" o:title=""/>
            <o:lock v:ext="edit" aspectratio="t"/>
            <w10:wrap type="none"/>
            <w10:anchorlock/>
          </v:shape>
          <o:OLEObject Type="Embed" ProgID="Equation.3" ShapeID="_x0000_i1033" DrawAspect="Content" ObjectID="_1468075733" r:id="rId44">
            <o:LockedField>false</o:LockedField>
          </o:OLEObject>
        </w:object>
      </w:r>
    </w:p>
    <w:p>
      <w:pPr>
        <w:adjustRightInd w:val="0"/>
        <w:snapToGrid w:val="0"/>
        <w:spacing w:line="360" w:lineRule="auto"/>
        <w:ind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w:t>
      </w:r>
      <w:r>
        <w:rPr>
          <w:rFonts w:hint="default" w:ascii="Times New Roman" w:hAnsi="Times New Roman" w:cs="Times New Roman" w:eastAsiaTheme="minorEastAsia"/>
          <w:iCs/>
          <w:color w:val="auto"/>
          <w:sz w:val="24"/>
          <w:szCs w:val="24"/>
        </w:rPr>
        <w:t>S</w:t>
      </w:r>
      <w:r>
        <w:rPr>
          <w:rFonts w:hint="default" w:ascii="Times New Roman" w:hAnsi="Times New Roman" w:cs="Times New Roman" w:eastAsiaTheme="minorEastAsia"/>
          <w:iCs/>
          <w:color w:val="auto"/>
          <w:sz w:val="24"/>
          <w:szCs w:val="24"/>
          <w:vertAlign w:val="subscript"/>
        </w:rPr>
        <w:t>i，j</w:t>
      </w:r>
      <w:r>
        <w:rPr>
          <w:rFonts w:hint="default" w:ascii="Times New Roman" w:hAnsi="Times New Roman" w:cs="Times New Roman" w:eastAsiaTheme="minorEastAsia"/>
          <w:color w:val="auto"/>
          <w:sz w:val="24"/>
          <w:szCs w:val="24"/>
        </w:rPr>
        <w:t>——标准指数</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Cs/>
          <w:color w:val="auto"/>
          <w:sz w:val="24"/>
          <w:szCs w:val="24"/>
        </w:rPr>
        <w:t>C</w:t>
      </w:r>
      <w:r>
        <w:rPr>
          <w:rFonts w:hint="default" w:ascii="Times New Roman" w:hAnsi="Times New Roman" w:cs="Times New Roman" w:eastAsiaTheme="minorEastAsia"/>
          <w:iCs/>
          <w:color w:val="auto"/>
          <w:sz w:val="24"/>
          <w:szCs w:val="24"/>
          <w:vertAlign w:val="subscript"/>
        </w:rPr>
        <w:t>i，j</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iCs/>
          <w:color w:val="auto"/>
          <w:sz w:val="24"/>
          <w:szCs w:val="24"/>
        </w:rPr>
        <w:t>i</w:t>
      </w:r>
      <w:r>
        <w:rPr>
          <w:rFonts w:hint="default" w:ascii="Times New Roman" w:hAnsi="Times New Roman" w:cs="Times New Roman" w:eastAsiaTheme="minorEastAsia"/>
          <w:color w:val="auto"/>
          <w:sz w:val="24"/>
          <w:szCs w:val="24"/>
        </w:rPr>
        <w:t>污染物在j断面的实测值，mg/L；</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Cs/>
          <w:color w:val="auto"/>
          <w:sz w:val="24"/>
          <w:szCs w:val="24"/>
        </w:rPr>
        <w:t>C</w:t>
      </w:r>
      <w:r>
        <w:rPr>
          <w:rFonts w:hint="default" w:ascii="Times New Roman" w:hAnsi="Times New Roman" w:cs="Times New Roman" w:eastAsiaTheme="minorEastAsia"/>
          <w:iCs/>
          <w:color w:val="auto"/>
          <w:sz w:val="24"/>
          <w:szCs w:val="24"/>
          <w:vertAlign w:val="subscript"/>
        </w:rPr>
        <w:t>s，i</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iCs/>
          <w:color w:val="auto"/>
          <w:sz w:val="24"/>
          <w:szCs w:val="24"/>
        </w:rPr>
        <w:t>i</w:t>
      </w:r>
      <w:r>
        <w:rPr>
          <w:rFonts w:hint="default" w:ascii="Times New Roman" w:hAnsi="Times New Roman" w:cs="Times New Roman" w:eastAsiaTheme="minorEastAsia"/>
          <w:color w:val="auto"/>
          <w:sz w:val="24"/>
          <w:szCs w:val="24"/>
        </w:rPr>
        <w:t>污染物的评价标准限值，mg/L；</w:t>
      </w:r>
    </w:p>
    <w:p>
      <w:pPr>
        <w:adjustRightInd w:val="0"/>
        <w:snapToGrid w:val="0"/>
        <w:spacing w:line="360" w:lineRule="auto"/>
        <w:ind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pH值单项水质参数计算方法：</w:t>
      </w:r>
    </w:p>
    <w:p>
      <w:pPr>
        <w:adjustRightInd w:val="0"/>
        <w:snapToGrid w:val="0"/>
        <w:spacing w:line="360" w:lineRule="auto"/>
        <w:jc w:val="center"/>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position w:val="-68"/>
        </w:rPr>
        <w:object>
          <v:shape id="_x0000_i1034" o:spt="75" type="#_x0000_t75" style="height:72pt;width:157.55pt;" o:ole="t" filled="f" o:preferrelative="t" stroked="f" coordsize="21600,21600">
            <v:path/>
            <v:fill on="f" focussize="0,0"/>
            <v:stroke on="f" joinstyle="miter"/>
            <v:imagedata r:id="rId47" o:title=""/>
            <o:lock v:ext="edit" aspectratio="t"/>
            <w10:wrap type="none"/>
            <w10:anchorlock/>
          </v:shape>
          <o:OLEObject Type="Embed" ProgID="Equation.3" ShapeID="_x0000_i1034" DrawAspect="Content" ObjectID="_1468075734" r:id="rId46">
            <o:LockedField>false</o:LockedField>
          </o:OLEObject>
        </w:object>
      </w:r>
    </w:p>
    <w:p>
      <w:pPr>
        <w:adjustRightInd w:val="0"/>
        <w:snapToGrid w:val="0"/>
        <w:spacing w:line="360" w:lineRule="auto"/>
        <w:ind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w:t>
      </w:r>
      <w:r>
        <w:rPr>
          <w:rFonts w:hint="default" w:ascii="Times New Roman" w:hAnsi="Times New Roman" w:cs="Times New Roman" w:eastAsiaTheme="minorEastAsia"/>
          <w:iCs/>
          <w:color w:val="auto"/>
          <w:sz w:val="24"/>
          <w:szCs w:val="24"/>
        </w:rPr>
        <w:t>S</w:t>
      </w:r>
      <w:r>
        <w:rPr>
          <w:rFonts w:hint="default" w:ascii="Times New Roman" w:hAnsi="Times New Roman" w:cs="Times New Roman" w:eastAsiaTheme="minorEastAsia"/>
          <w:iCs/>
          <w:color w:val="auto"/>
          <w:sz w:val="24"/>
          <w:szCs w:val="24"/>
          <w:vertAlign w:val="subscript"/>
        </w:rPr>
        <w:t xml:space="preserve">pH，j </w:t>
      </w:r>
      <w:r>
        <w:rPr>
          <w:rFonts w:hint="default" w:ascii="Times New Roman" w:hAnsi="Times New Roman" w:cs="Times New Roman" w:eastAsiaTheme="minorEastAsia"/>
          <w:color w:val="auto"/>
          <w:sz w:val="24"/>
          <w:szCs w:val="24"/>
        </w:rPr>
        <w:t>—— pH值的标准指数；</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Cs/>
          <w:color w:val="auto"/>
          <w:sz w:val="24"/>
          <w:szCs w:val="24"/>
        </w:rPr>
        <w:t>pH</w:t>
      </w:r>
      <w:r>
        <w:rPr>
          <w:rFonts w:hint="default" w:ascii="Times New Roman" w:hAnsi="Times New Roman" w:cs="Times New Roman" w:eastAsiaTheme="minorEastAsia"/>
          <w:iCs/>
          <w:color w:val="auto"/>
          <w:sz w:val="24"/>
          <w:szCs w:val="24"/>
          <w:vertAlign w:val="subscript"/>
        </w:rPr>
        <w:t>j</w:t>
      </w:r>
      <w:r>
        <w:rPr>
          <w:rFonts w:hint="default" w:ascii="Times New Roman" w:hAnsi="Times New Roman" w:cs="Times New Roman" w:eastAsiaTheme="minorEastAsia"/>
          <w:color w:val="auto"/>
          <w:sz w:val="24"/>
          <w:szCs w:val="24"/>
        </w:rPr>
        <w:t>—— pH实测值；</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Cs/>
          <w:color w:val="auto"/>
          <w:sz w:val="24"/>
          <w:szCs w:val="24"/>
        </w:rPr>
        <w:t>pH</w:t>
      </w:r>
      <w:r>
        <w:rPr>
          <w:rFonts w:hint="default" w:ascii="Times New Roman" w:hAnsi="Times New Roman" w:cs="Times New Roman" w:eastAsiaTheme="minorEastAsia"/>
          <w:iCs/>
          <w:color w:val="auto"/>
          <w:sz w:val="24"/>
          <w:szCs w:val="24"/>
          <w:vertAlign w:val="subscript"/>
        </w:rPr>
        <w:t>sd</w:t>
      </w:r>
      <w:r>
        <w:rPr>
          <w:rFonts w:hint="default" w:ascii="Times New Roman" w:hAnsi="Times New Roman" w:cs="Times New Roman" w:eastAsiaTheme="minorEastAsia"/>
          <w:color w:val="auto"/>
          <w:sz w:val="24"/>
          <w:szCs w:val="24"/>
        </w:rPr>
        <w:t xml:space="preserve"> ——评价标准中pH值的下限值；</w:t>
      </w:r>
    </w:p>
    <w:p>
      <w:pPr>
        <w:adjustRightInd w:val="0"/>
        <w:snapToGrid w:val="0"/>
        <w:spacing w:line="360" w:lineRule="auto"/>
        <w:ind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iCs/>
          <w:color w:val="auto"/>
          <w:sz w:val="24"/>
          <w:szCs w:val="24"/>
        </w:rPr>
        <w:t>pH</w:t>
      </w:r>
      <w:r>
        <w:rPr>
          <w:rFonts w:hint="default" w:ascii="Times New Roman" w:hAnsi="Times New Roman" w:cs="Times New Roman" w:eastAsiaTheme="minorEastAsia"/>
          <w:iCs/>
          <w:color w:val="auto"/>
          <w:sz w:val="24"/>
          <w:szCs w:val="24"/>
          <w:vertAlign w:val="subscript"/>
        </w:rPr>
        <w:t>su</w:t>
      </w:r>
      <w:r>
        <w:rPr>
          <w:rFonts w:hint="default" w:ascii="Times New Roman" w:hAnsi="Times New Roman" w:cs="Times New Roman" w:eastAsiaTheme="minorEastAsia"/>
          <w:color w:val="auto"/>
          <w:sz w:val="24"/>
          <w:szCs w:val="24"/>
        </w:rPr>
        <w:t xml:space="preserve"> ——评价标准中pH值的上限值；</w:t>
      </w:r>
    </w:p>
    <w:p>
      <w:pPr>
        <w:pStyle w:val="135"/>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DO单项水质参数计算方法：</w:t>
      </w:r>
    </w:p>
    <w:p>
      <w:pPr>
        <w:adjustRightInd w:val="0"/>
        <w:snapToGrid w:val="0"/>
        <w:spacing w:line="360" w:lineRule="auto"/>
        <w:jc w:val="center"/>
        <w:rPr>
          <w:rFonts w:hint="default" w:ascii="Times New Roman" w:hAnsi="Times New Roman" w:cs="Times New Roman" w:eastAsiaTheme="minorEastAsia"/>
          <w:color w:val="auto"/>
          <w:spacing w:val="4"/>
          <w:sz w:val="24"/>
        </w:rPr>
      </w:pPr>
      <w:r>
        <w:rPr>
          <w:rFonts w:hint="default" w:ascii="Times New Roman" w:hAnsi="Times New Roman" w:cs="Times New Roman"/>
          <w:color w:val="auto"/>
        </w:rPr>
        <w:drawing>
          <wp:inline distT="0" distB="0" distL="0" distR="0">
            <wp:extent cx="1200150" cy="211455"/>
            <wp:effectExtent l="0" t="0" r="0" b="171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8"/>
                    <a:stretch>
                      <a:fillRect/>
                    </a:stretch>
                  </pic:blipFill>
                  <pic:spPr>
                    <a:xfrm>
                      <a:off x="0" y="0"/>
                      <a:ext cx="1283106" cy="226715"/>
                    </a:xfrm>
                    <a:prstGeom prst="rect">
                      <a:avLst/>
                    </a:prstGeom>
                  </pic:spPr>
                </pic:pic>
              </a:graphicData>
            </a:graphic>
          </wp:inline>
        </w:drawing>
      </w:r>
      <w:r>
        <w:rPr>
          <w:rFonts w:hint="default" w:ascii="Times New Roman" w:hAnsi="Times New Roman" w:cs="Times New Roman" w:eastAsiaTheme="minorEastAsia"/>
          <w:color w:val="auto"/>
          <w:spacing w:val="4"/>
          <w:sz w:val="24"/>
        </w:rPr>
        <w:t xml:space="preserve">  </w:t>
      </w:r>
      <w:r>
        <w:rPr>
          <w:rFonts w:hint="default" w:ascii="Times New Roman" w:hAnsi="Times New Roman" w:cs="Times New Roman" w:eastAsiaTheme="minorEastAsia"/>
          <w:color w:val="auto"/>
          <w:spacing w:val="4"/>
          <w:sz w:val="24"/>
          <w:szCs w:val="24"/>
        </w:rPr>
        <w:t>DO</w:t>
      </w:r>
      <w:r>
        <w:rPr>
          <w:rFonts w:hint="default" w:ascii="Times New Roman" w:hAnsi="Times New Roman" w:cs="Times New Roman" w:eastAsiaTheme="minorEastAsia"/>
          <w:color w:val="auto"/>
          <w:spacing w:val="4"/>
          <w:sz w:val="24"/>
          <w:szCs w:val="24"/>
          <w:vertAlign w:val="subscript"/>
        </w:rPr>
        <w:t>j</w:t>
      </w:r>
      <w:r>
        <w:rPr>
          <w:rFonts w:hint="default" w:ascii="Times New Roman" w:hAnsi="Times New Roman" w:cs="Times New Roman" w:eastAsiaTheme="minorEastAsia"/>
          <w:color w:val="auto"/>
          <w:spacing w:val="4"/>
          <w:sz w:val="24"/>
          <w:szCs w:val="24"/>
        </w:rPr>
        <w:t>≤DO</w:t>
      </w:r>
      <w:r>
        <w:rPr>
          <w:rFonts w:hint="default" w:ascii="Times New Roman" w:hAnsi="Times New Roman" w:cs="Times New Roman" w:eastAsiaTheme="minorEastAsia"/>
          <w:color w:val="auto"/>
          <w:spacing w:val="4"/>
          <w:sz w:val="24"/>
          <w:szCs w:val="24"/>
          <w:vertAlign w:val="subscript"/>
        </w:rPr>
        <w:t>s</w:t>
      </w:r>
      <w:r>
        <w:rPr>
          <w:rFonts w:hint="default" w:ascii="Times New Roman" w:hAnsi="Times New Roman" w:cs="Times New Roman" w:eastAsiaTheme="minorEastAsia"/>
          <w:color w:val="auto"/>
          <w:spacing w:val="4"/>
          <w:sz w:val="24"/>
          <w:szCs w:val="24"/>
        </w:rPr>
        <w:t>时；</w:t>
      </w:r>
    </w:p>
    <w:p>
      <w:pPr>
        <w:adjustRightInd w:val="0"/>
        <w:snapToGrid w:val="0"/>
        <w:spacing w:line="360" w:lineRule="auto"/>
        <w:jc w:val="center"/>
        <w:rPr>
          <w:rFonts w:hint="default" w:ascii="Times New Roman" w:hAnsi="Times New Roman" w:cs="Times New Roman" w:eastAsiaTheme="minorEastAsia"/>
          <w:color w:val="auto"/>
          <w:spacing w:val="4"/>
          <w:sz w:val="24"/>
          <w:szCs w:val="24"/>
        </w:rPr>
      </w:pPr>
      <w:r>
        <w:rPr>
          <w:rFonts w:hint="default" w:ascii="Times New Roman" w:hAnsi="Times New Roman" w:cs="Times New Roman"/>
          <w:color w:val="auto"/>
        </w:rPr>
        <w:drawing>
          <wp:inline distT="0" distB="0" distL="0" distR="0">
            <wp:extent cx="1295400" cy="461010"/>
            <wp:effectExtent l="0" t="0" r="0"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9"/>
                    <a:stretch>
                      <a:fillRect/>
                    </a:stretch>
                  </pic:blipFill>
                  <pic:spPr>
                    <a:xfrm>
                      <a:off x="0" y="0"/>
                      <a:ext cx="1334886" cy="461010"/>
                    </a:xfrm>
                    <a:prstGeom prst="rect">
                      <a:avLst/>
                    </a:prstGeom>
                  </pic:spPr>
                </pic:pic>
              </a:graphicData>
            </a:graphic>
          </wp:inline>
        </w:drawing>
      </w:r>
      <w:r>
        <w:rPr>
          <w:rFonts w:hint="default" w:ascii="Times New Roman" w:hAnsi="Times New Roman" w:cs="Times New Roman" w:eastAsiaTheme="minorEastAsia"/>
          <w:color w:val="auto"/>
          <w:spacing w:val="4"/>
          <w:sz w:val="24"/>
          <w:szCs w:val="24"/>
        </w:rPr>
        <w:t xml:space="preserve">  DO</w:t>
      </w:r>
      <w:r>
        <w:rPr>
          <w:rFonts w:hint="default" w:ascii="Times New Roman" w:hAnsi="Times New Roman" w:cs="Times New Roman" w:eastAsiaTheme="minorEastAsia"/>
          <w:color w:val="auto"/>
          <w:spacing w:val="4"/>
          <w:sz w:val="24"/>
          <w:szCs w:val="24"/>
          <w:vertAlign w:val="subscript"/>
        </w:rPr>
        <w:t>j</w:t>
      </w:r>
      <w:r>
        <w:rPr>
          <w:rFonts w:hint="default" w:ascii="Times New Roman" w:hAnsi="Times New Roman" w:cs="Times New Roman" w:eastAsiaTheme="minorEastAsia"/>
          <w:color w:val="auto"/>
          <w:spacing w:val="4"/>
          <w:sz w:val="24"/>
          <w:szCs w:val="24"/>
        </w:rPr>
        <w:t>＞DO</w:t>
      </w:r>
      <w:r>
        <w:rPr>
          <w:rFonts w:hint="default" w:ascii="Times New Roman" w:hAnsi="Times New Roman" w:cs="Times New Roman" w:eastAsiaTheme="minorEastAsia"/>
          <w:color w:val="auto"/>
          <w:spacing w:val="4"/>
          <w:sz w:val="24"/>
          <w:szCs w:val="24"/>
          <w:vertAlign w:val="subscript"/>
        </w:rPr>
        <w:t>s</w:t>
      </w:r>
      <w:r>
        <w:rPr>
          <w:rFonts w:hint="default" w:ascii="Times New Roman" w:hAnsi="Times New Roman" w:cs="Times New Roman" w:eastAsiaTheme="minorEastAsia"/>
          <w:color w:val="auto"/>
          <w:spacing w:val="4"/>
          <w:sz w:val="24"/>
          <w:szCs w:val="24"/>
        </w:rPr>
        <w:t>时；</w:t>
      </w:r>
    </w:p>
    <w:p>
      <w:pPr>
        <w:pStyle w:val="135"/>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式中：S</w:t>
      </w:r>
      <w:r>
        <w:rPr>
          <w:rFonts w:hint="default" w:ascii="Times New Roman" w:hAnsi="Times New Roman" w:cs="Times New Roman" w:eastAsiaTheme="minorEastAsia"/>
          <w:color w:val="auto"/>
          <w:vertAlign w:val="subscript"/>
        </w:rPr>
        <w:t xml:space="preserve">DO，j </w:t>
      </w:r>
      <w:r>
        <w:rPr>
          <w:rFonts w:hint="default" w:ascii="Times New Roman" w:hAnsi="Times New Roman" w:cs="Times New Roman" w:eastAsiaTheme="minorEastAsia"/>
          <w:color w:val="auto"/>
        </w:rPr>
        <w:t>——溶解氧的标准指数，大于1表明该水质因子超标；</w:t>
      </w:r>
    </w:p>
    <w:p>
      <w:pPr>
        <w:pStyle w:val="135"/>
        <w:adjustRightInd w:val="0"/>
        <w:snapToGrid w:val="0"/>
        <w:spacing w:line="360" w:lineRule="auto"/>
        <w:ind w:firstLine="1159" w:firstLineChars="48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DO</w:t>
      </w:r>
      <w:r>
        <w:rPr>
          <w:rFonts w:hint="default" w:ascii="Times New Roman" w:hAnsi="Times New Roman" w:cs="Times New Roman" w:eastAsiaTheme="minorEastAsia"/>
          <w:color w:val="auto"/>
          <w:vertAlign w:val="subscript"/>
        </w:rPr>
        <w:t xml:space="preserve">j </w:t>
      </w:r>
      <w:r>
        <w:rPr>
          <w:rFonts w:hint="default" w:ascii="Times New Roman" w:hAnsi="Times New Roman" w:cs="Times New Roman" w:eastAsiaTheme="minorEastAsia"/>
          <w:color w:val="auto"/>
        </w:rPr>
        <w:t>——溶解氧在j点的实测统计代表值，mg/L；</w:t>
      </w:r>
    </w:p>
    <w:p>
      <w:pPr>
        <w:pStyle w:val="135"/>
        <w:adjustRightInd w:val="0"/>
        <w:snapToGrid w:val="0"/>
        <w:spacing w:line="360" w:lineRule="auto"/>
        <w:ind w:firstLine="1159" w:firstLineChars="48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DO</w:t>
      </w:r>
      <w:r>
        <w:rPr>
          <w:rFonts w:hint="default" w:ascii="Times New Roman" w:hAnsi="Times New Roman" w:cs="Times New Roman" w:eastAsiaTheme="minorEastAsia"/>
          <w:color w:val="auto"/>
          <w:vertAlign w:val="subscript"/>
        </w:rPr>
        <w:t xml:space="preserve">s </w:t>
      </w:r>
      <w:r>
        <w:rPr>
          <w:rFonts w:hint="default" w:ascii="Times New Roman" w:hAnsi="Times New Roman" w:cs="Times New Roman" w:eastAsiaTheme="minorEastAsia"/>
          <w:color w:val="auto"/>
        </w:rPr>
        <w:t>——溶解氧的水质评价标准限值，mg/L；</w:t>
      </w:r>
    </w:p>
    <w:p>
      <w:pPr>
        <w:pStyle w:val="135"/>
        <w:adjustRightInd w:val="0"/>
        <w:snapToGrid w:val="0"/>
        <w:spacing w:line="360" w:lineRule="auto"/>
        <w:ind w:firstLine="1159" w:firstLineChars="48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DO</w:t>
      </w:r>
      <w:r>
        <w:rPr>
          <w:rFonts w:hint="default" w:ascii="Times New Roman" w:hAnsi="Times New Roman" w:cs="Times New Roman" w:eastAsiaTheme="minorEastAsia"/>
          <w:color w:val="auto"/>
          <w:vertAlign w:val="subscript"/>
        </w:rPr>
        <w:t xml:space="preserve">f </w:t>
      </w:r>
      <w:r>
        <w:rPr>
          <w:rFonts w:hint="default" w:ascii="Times New Roman" w:hAnsi="Times New Roman" w:cs="Times New Roman" w:eastAsiaTheme="minorEastAsia"/>
          <w:color w:val="auto"/>
        </w:rPr>
        <w:t>——饱和溶解氧浓度，mg/L，对于河流，DO</w:t>
      </w:r>
      <w:r>
        <w:rPr>
          <w:rFonts w:hint="default" w:ascii="Times New Roman" w:hAnsi="Times New Roman" w:cs="Times New Roman" w:eastAsiaTheme="minorEastAsia"/>
          <w:color w:val="auto"/>
          <w:vertAlign w:val="subscript"/>
        </w:rPr>
        <w:t>f</w:t>
      </w:r>
      <w:r>
        <w:rPr>
          <w:rFonts w:hint="default" w:ascii="Times New Roman" w:hAnsi="Times New Roman" w:cs="Times New Roman" w:eastAsiaTheme="minorEastAsia"/>
          <w:color w:val="auto"/>
        </w:rPr>
        <w:t>=468/（31.6+T）；</w:t>
      </w:r>
    </w:p>
    <w:p>
      <w:pPr>
        <w:pStyle w:val="135"/>
        <w:adjustRightInd w:val="0"/>
        <w:snapToGrid w:val="0"/>
        <w:spacing w:line="360" w:lineRule="auto"/>
        <w:ind w:firstLine="1159" w:firstLineChars="483"/>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T ——水温（</w:t>
      </w:r>
      <w:r>
        <w:rPr>
          <w:rFonts w:hint="default" w:ascii="Times New Roman" w:hAnsi="Times New Roman" w:cs="Times New Roman"/>
          <w:color w:val="auto"/>
        </w:rPr>
        <w:t>℃</w:t>
      </w:r>
      <w:r>
        <w:rPr>
          <w:rFonts w:hint="default" w:ascii="Times New Roman" w:hAnsi="Times New Roman" w:cs="Times New Roman" w:eastAsiaTheme="minorEastAsia"/>
          <w:color w:val="auto"/>
        </w:rPr>
        <w:t>）。</w:t>
      </w:r>
    </w:p>
    <w:p>
      <w:pPr>
        <w:adjustRightInd w:val="0"/>
        <w:snapToGrid w:val="0"/>
        <w:spacing w:line="360" w:lineRule="auto"/>
        <w:ind w:firstLine="482"/>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sz w:val="24"/>
          <w:szCs w:val="24"/>
        </w:rPr>
        <w:t>水质参数的单因子指数&gt;1.0，表明该水质参数超过了规定的水质标准</w:t>
      </w:r>
      <w:r>
        <w:rPr>
          <w:rFonts w:hint="default" w:ascii="Times New Roman" w:hAnsi="Times New Roman" w:cs="Times New Roman" w:eastAsiaTheme="minorEastAsia"/>
          <w:color w:val="auto"/>
          <w:kern w:val="0"/>
          <w:sz w:val="24"/>
          <w:szCs w:val="24"/>
        </w:rPr>
        <w:t>，已经不能满足使用要求。标准指数越大，污染程度越重；标准指数越小，说明水体受污染的程度越轻。</w:t>
      </w:r>
    </w:p>
    <w:p>
      <w:pPr>
        <w:pStyle w:val="135"/>
        <w:adjustRightInd w:val="0"/>
        <w:snapToGrid w:val="0"/>
        <w:spacing w:line="360" w:lineRule="auto"/>
        <w:ind w:firstLine="482" w:firstLineChars="0"/>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rPr>
        <w:t>2、现状监测结果评价分析</w:t>
      </w:r>
    </w:p>
    <w:p>
      <w:pPr>
        <w:pStyle w:val="135"/>
        <w:adjustRightInd w:val="0"/>
        <w:snapToGrid w:val="0"/>
        <w:spacing w:line="360" w:lineRule="auto"/>
        <w:ind w:firstLine="482" w:firstLineChars="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本项目所涉及河流水质监测结果及单因子指数及水质达标分析情况，见表5.5-3和表5.5-4。</w:t>
      </w:r>
    </w:p>
    <w:p>
      <w:pPr>
        <w:wordWrap w:val="0"/>
        <w:adjustRightInd w:val="0"/>
        <w:snapToGrid w:val="0"/>
        <w:spacing w:line="276" w:lineRule="auto"/>
        <w:jc w:val="righ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 xml:space="preserve">表5.5-4  地表水水质监测结果表  </w:t>
      </w:r>
      <w:r>
        <w:rPr>
          <w:rFonts w:hint="default" w:ascii="Times New Roman" w:hAnsi="Times New Roman" w:cs="Times New Roman" w:eastAsiaTheme="minorEastAsia"/>
          <w:color w:val="auto"/>
          <w:sz w:val="24"/>
        </w:rPr>
        <w:t>（单位：mg/L；pH：无量纲；水温：℃）</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89"/>
        <w:gridCol w:w="2238"/>
        <w:gridCol w:w="1940"/>
        <w:gridCol w:w="1851"/>
        <w:gridCol w:w="19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restart"/>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监测断面</w:t>
            </w:r>
          </w:p>
        </w:tc>
        <w:tc>
          <w:tcPr>
            <w:tcW w:w="1230" w:type="pct"/>
            <w:vMerge w:val="restart"/>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监测项目</w:t>
            </w:r>
          </w:p>
        </w:tc>
        <w:tc>
          <w:tcPr>
            <w:tcW w:w="3170" w:type="pct"/>
            <w:gridSpan w:val="3"/>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监测结果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b/>
                <w:bCs/>
                <w:color w:val="auto"/>
                <w:szCs w:val="18"/>
              </w:rPr>
            </w:pPr>
          </w:p>
        </w:tc>
        <w:tc>
          <w:tcPr>
            <w:tcW w:w="1230" w:type="pct"/>
            <w:vMerge w:val="continue"/>
            <w:tcBorders>
              <w:tl2br w:val="nil"/>
              <w:tr2bl w:val="nil"/>
            </w:tcBorders>
            <w:vAlign w:val="center"/>
          </w:tcPr>
          <w:p>
            <w:pPr>
              <w:jc w:val="center"/>
              <w:rPr>
                <w:rFonts w:hint="default" w:ascii="Times New Roman" w:hAnsi="Times New Roman" w:cs="Times New Roman" w:eastAsiaTheme="minorEastAsia"/>
                <w:b/>
                <w:bCs/>
                <w:color w:val="auto"/>
                <w:szCs w:val="18"/>
              </w:rPr>
            </w:pPr>
          </w:p>
        </w:tc>
        <w:tc>
          <w:tcPr>
            <w:tcW w:w="1066" w:type="pct"/>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2020.09.01</w:t>
            </w:r>
          </w:p>
        </w:tc>
        <w:tc>
          <w:tcPr>
            <w:tcW w:w="1017" w:type="pct"/>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2020.09.02</w:t>
            </w:r>
          </w:p>
        </w:tc>
        <w:tc>
          <w:tcPr>
            <w:tcW w:w="1086" w:type="pct"/>
            <w:tcBorders>
              <w:tl2br w:val="nil"/>
              <w:tr2bl w:val="nil"/>
            </w:tcBorders>
            <w:vAlign w:val="center"/>
          </w:tcPr>
          <w:p>
            <w:pPr>
              <w:jc w:val="center"/>
              <w:rPr>
                <w:rFonts w:hint="default" w:ascii="Times New Roman" w:hAnsi="Times New Roman" w:cs="Times New Roman" w:eastAsiaTheme="minorEastAsia"/>
                <w:b/>
                <w:bCs/>
                <w:color w:val="auto"/>
                <w:szCs w:val="18"/>
              </w:rPr>
            </w:pPr>
            <w:r>
              <w:rPr>
                <w:rFonts w:hint="default" w:ascii="Times New Roman" w:hAnsi="Times New Roman" w:cs="Times New Roman" w:eastAsiaTheme="minorEastAsia"/>
                <w:b/>
                <w:bCs/>
                <w:color w:val="auto"/>
                <w:szCs w:val="18"/>
              </w:rPr>
              <w:t>2020.09.03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restar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S1  长江</w:t>
            </w:r>
            <w:r>
              <w:rPr>
                <w:rFonts w:hint="default" w:ascii="Times New Roman" w:hAnsi="Times New Roman" w:cs="Times New Roman" w:eastAsiaTheme="minorEastAsia"/>
                <w:color w:val="auto"/>
              </w:rPr>
              <w:t>1#加注码头泊位上游580m处</w:t>
            </w: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水温</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26.7</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26.4</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pH值</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7.64</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7.60</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DO</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7.3</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7.1</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高锰酸盐指数</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4.0</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3.9</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shd w:val="clear" w:color="auto" w:fill="auto"/>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COD</w:t>
            </w:r>
          </w:p>
        </w:tc>
        <w:tc>
          <w:tcPr>
            <w:tcW w:w="1066" w:type="pct"/>
            <w:tcBorders>
              <w:tl2br w:val="nil"/>
              <w:tr2bl w:val="nil"/>
            </w:tcBorders>
            <w:shd w:val="clear" w:color="auto" w:fill="auto"/>
            <w:vAlign w:val="center"/>
          </w:tcPr>
          <w:p>
            <w:pPr>
              <w:jc w:val="center"/>
              <w:rPr>
                <w:rFonts w:hint="default" w:ascii="Times New Roman" w:hAnsi="Times New Roman" w:cs="Times New Roman" w:eastAsiaTheme="minorEastAsia"/>
                <w:color w:val="auto"/>
                <w:szCs w:val="18"/>
                <w:lang w:val="en-US"/>
              </w:rPr>
            </w:pPr>
            <w:r>
              <w:rPr>
                <w:rFonts w:hint="eastAsia" w:ascii="Times New Roman" w:hAnsi="Times New Roman" w:cs="Times New Roman" w:eastAsiaTheme="minorEastAsia"/>
                <w:color w:val="auto"/>
                <w:szCs w:val="18"/>
                <w:lang w:val="en-US" w:eastAsia="zh-CN"/>
              </w:rPr>
              <w:t>18</w:t>
            </w:r>
          </w:p>
        </w:tc>
        <w:tc>
          <w:tcPr>
            <w:tcW w:w="1017" w:type="pct"/>
            <w:tcBorders>
              <w:tl2br w:val="nil"/>
              <w:tr2bl w:val="nil"/>
            </w:tcBorders>
            <w:shd w:val="clear" w:color="auto" w:fill="auto"/>
            <w:vAlign w:val="center"/>
          </w:tcPr>
          <w:p>
            <w:pPr>
              <w:jc w:val="center"/>
              <w:rPr>
                <w:rFonts w:hint="default" w:ascii="Times New Roman" w:hAnsi="Times New Roman" w:cs="Times New Roman" w:eastAsiaTheme="minorEastAsia"/>
                <w:color w:val="auto"/>
                <w:szCs w:val="18"/>
                <w:lang w:val="en-US"/>
              </w:rPr>
            </w:pPr>
            <w:r>
              <w:rPr>
                <w:rFonts w:hint="eastAsia" w:ascii="Times New Roman" w:hAnsi="Times New Roman" w:cs="Times New Roman" w:eastAsiaTheme="minorEastAsia"/>
                <w:color w:val="auto"/>
                <w:szCs w:val="18"/>
                <w:lang w:val="en-US" w:eastAsia="zh-CN"/>
              </w:rPr>
              <w:t>18</w:t>
            </w:r>
          </w:p>
        </w:tc>
        <w:tc>
          <w:tcPr>
            <w:tcW w:w="1086" w:type="pct"/>
            <w:tcBorders>
              <w:tl2br w:val="nil"/>
              <w:tr2bl w:val="nil"/>
            </w:tcBorders>
            <w:shd w:val="clear" w:color="auto" w:fill="auto"/>
            <w:vAlign w:val="center"/>
          </w:tcPr>
          <w:p>
            <w:pPr>
              <w:jc w:val="center"/>
              <w:rPr>
                <w:rFonts w:hint="default" w:ascii="Times New Roman" w:hAnsi="Times New Roman" w:cs="Times New Roman" w:eastAsiaTheme="minorEastAsia"/>
                <w:color w:val="auto"/>
                <w:szCs w:val="18"/>
                <w:lang w:val="en-US"/>
              </w:rPr>
            </w:pPr>
            <w:r>
              <w:rPr>
                <w:rFonts w:hint="eastAsia" w:ascii="Times New Roman" w:hAnsi="Times New Roman" w:cs="Times New Roman" w:eastAsiaTheme="minorEastAsia"/>
                <w:color w:val="auto"/>
                <w:szCs w:val="18"/>
                <w:lang w:val="en-US" w:eastAsia="zh-CN"/>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BOD</w:t>
            </w:r>
            <w:r>
              <w:rPr>
                <w:rFonts w:hint="default" w:ascii="Times New Roman" w:hAnsi="Times New Roman" w:cs="Times New Roman" w:eastAsiaTheme="minorEastAsia"/>
                <w:color w:val="auto"/>
                <w:szCs w:val="18"/>
                <w:vertAlign w:val="subscript"/>
              </w:rPr>
              <w:t>5</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3.6</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3.4</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NH</w:t>
            </w:r>
            <w:r>
              <w:rPr>
                <w:rFonts w:hint="default" w:ascii="Times New Roman" w:hAnsi="Times New Roman" w:cs="Times New Roman" w:eastAsiaTheme="minorEastAsia"/>
                <w:color w:val="auto"/>
                <w:szCs w:val="18"/>
                <w:vertAlign w:val="subscript"/>
              </w:rPr>
              <w:t>3</w:t>
            </w:r>
            <w:r>
              <w:rPr>
                <w:rFonts w:hint="default" w:ascii="Times New Roman" w:hAnsi="Times New Roman" w:cs="Times New Roman" w:eastAsiaTheme="minorEastAsia"/>
                <w:color w:val="auto"/>
                <w:szCs w:val="18"/>
              </w:rPr>
              <w:t>-N</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0.066</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0.062</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石油类</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ND</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ND</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default" w:ascii="Times New Roman" w:hAnsi="Times New Roman" w:cs="Times New Roman" w:eastAsiaTheme="minorEastAsia"/>
                <w:color w:val="auto"/>
                <w:szCs w:val="18"/>
                <w:highlight w:val="none"/>
              </w:rPr>
              <w:t>SS</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eastAsia" w:ascii="Times New Roman" w:hAnsi="Times New Roman" w:cs="Times New Roman" w:eastAsiaTheme="minorEastAsia"/>
                <w:color w:val="auto"/>
                <w:szCs w:val="18"/>
                <w:highlight w:val="none"/>
                <w:lang w:val="en-US" w:eastAsia="zh-CN"/>
              </w:rPr>
              <w:t>2</w:t>
            </w:r>
            <w:r>
              <w:rPr>
                <w:rFonts w:hint="default" w:ascii="Times New Roman" w:hAnsi="Times New Roman" w:cs="Times New Roman" w:eastAsiaTheme="minorEastAsia"/>
                <w:color w:val="auto"/>
                <w:szCs w:val="18"/>
                <w:highlight w:val="none"/>
              </w:rPr>
              <w:t>3</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eastAsia" w:ascii="Times New Roman" w:hAnsi="Times New Roman" w:cs="Times New Roman" w:eastAsiaTheme="minorEastAsia"/>
                <w:color w:val="auto"/>
                <w:szCs w:val="18"/>
                <w:highlight w:val="none"/>
                <w:lang w:val="en-US" w:eastAsia="zh-CN"/>
              </w:rPr>
              <w:t>2</w:t>
            </w:r>
            <w:r>
              <w:rPr>
                <w:rFonts w:hint="default" w:ascii="Times New Roman" w:hAnsi="Times New Roman" w:cs="Times New Roman" w:eastAsiaTheme="minorEastAsia"/>
                <w:color w:val="auto"/>
                <w:szCs w:val="18"/>
                <w:highlight w:val="none"/>
              </w:rPr>
              <w:t>7</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eastAsia" w:ascii="Times New Roman" w:hAnsi="Times New Roman" w:cs="Times New Roman" w:eastAsiaTheme="minorEastAsia"/>
                <w:color w:val="auto"/>
                <w:szCs w:val="18"/>
                <w:highlight w:val="none"/>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restar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S2  长江</w:t>
            </w:r>
            <w:r>
              <w:rPr>
                <w:rFonts w:hint="default" w:ascii="Times New Roman" w:hAnsi="Times New Roman" w:cs="Times New Roman" w:eastAsiaTheme="minorEastAsia"/>
                <w:color w:val="auto"/>
              </w:rPr>
              <w:t>2#加注码头泊位下游3.5km处</w:t>
            </w: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水温</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27.1</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26.5</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25.8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pH值</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7.82</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7.85</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DO</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7.5</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7.4</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高锰酸盐指数</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3.3</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3.3</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COD</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12</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10</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BOD</w:t>
            </w:r>
            <w:r>
              <w:rPr>
                <w:rFonts w:hint="default" w:ascii="Times New Roman" w:hAnsi="Times New Roman" w:cs="Times New Roman" w:eastAsiaTheme="minorEastAsia"/>
                <w:color w:val="auto"/>
                <w:szCs w:val="18"/>
                <w:vertAlign w:val="subscript"/>
              </w:rPr>
              <w:t>5</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0.8</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0.9</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NH</w:t>
            </w:r>
            <w:r>
              <w:rPr>
                <w:rFonts w:hint="default" w:ascii="Times New Roman" w:hAnsi="Times New Roman" w:cs="Times New Roman" w:eastAsiaTheme="minorEastAsia"/>
                <w:color w:val="auto"/>
                <w:szCs w:val="18"/>
                <w:vertAlign w:val="subscript"/>
              </w:rPr>
              <w:t>3</w:t>
            </w:r>
            <w:r>
              <w:rPr>
                <w:rFonts w:hint="default" w:ascii="Times New Roman" w:hAnsi="Times New Roman" w:cs="Times New Roman" w:eastAsiaTheme="minorEastAsia"/>
                <w:color w:val="auto"/>
                <w:szCs w:val="18"/>
              </w:rPr>
              <w:t>-N</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0.084</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0.079</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石油类</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0.01</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DN</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9" w:type="pct"/>
            <w:vMerge w:val="continue"/>
            <w:tcBorders>
              <w:tl2br w:val="nil"/>
              <w:tr2bl w:val="nil"/>
            </w:tcBorders>
            <w:vAlign w:val="center"/>
          </w:tcPr>
          <w:p>
            <w:pPr>
              <w:jc w:val="center"/>
              <w:rPr>
                <w:rFonts w:hint="default" w:ascii="Times New Roman" w:hAnsi="Times New Roman" w:cs="Times New Roman" w:eastAsiaTheme="minorEastAsia"/>
                <w:color w:val="auto"/>
                <w:szCs w:val="18"/>
              </w:rPr>
            </w:pPr>
          </w:p>
        </w:tc>
        <w:tc>
          <w:tcPr>
            <w:tcW w:w="1230"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default" w:ascii="Times New Roman" w:hAnsi="Times New Roman" w:cs="Times New Roman" w:eastAsiaTheme="minorEastAsia"/>
                <w:color w:val="auto"/>
                <w:szCs w:val="18"/>
                <w:highlight w:val="none"/>
              </w:rPr>
              <w:t>SS</w:t>
            </w:r>
          </w:p>
        </w:tc>
        <w:tc>
          <w:tcPr>
            <w:tcW w:w="1066"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eastAsia" w:ascii="Times New Roman" w:hAnsi="Times New Roman" w:cs="Times New Roman" w:eastAsiaTheme="minorEastAsia"/>
                <w:color w:val="auto"/>
                <w:szCs w:val="18"/>
                <w:highlight w:val="none"/>
                <w:lang w:val="en-US" w:eastAsia="zh-CN"/>
              </w:rPr>
              <w:t>2</w:t>
            </w:r>
            <w:r>
              <w:rPr>
                <w:rFonts w:hint="default" w:ascii="Times New Roman" w:hAnsi="Times New Roman" w:cs="Times New Roman" w:eastAsiaTheme="minorEastAsia"/>
                <w:color w:val="auto"/>
                <w:szCs w:val="18"/>
                <w:highlight w:val="none"/>
              </w:rPr>
              <w:t>6</w:t>
            </w:r>
          </w:p>
        </w:tc>
        <w:tc>
          <w:tcPr>
            <w:tcW w:w="1017" w:type="pct"/>
            <w:tcBorders>
              <w:tl2br w:val="nil"/>
              <w:tr2bl w:val="nil"/>
            </w:tcBorders>
            <w:vAlign w:val="center"/>
          </w:tcPr>
          <w:p>
            <w:pPr>
              <w:jc w:val="center"/>
              <w:rPr>
                <w:rFonts w:hint="default" w:ascii="Times New Roman" w:hAnsi="Times New Roman" w:cs="Times New Roman" w:eastAsiaTheme="minorEastAsia"/>
                <w:color w:val="auto"/>
                <w:szCs w:val="18"/>
                <w:highlight w:val="none"/>
              </w:rPr>
            </w:pPr>
            <w:r>
              <w:rPr>
                <w:rFonts w:hint="eastAsia" w:ascii="Times New Roman" w:hAnsi="Times New Roman" w:cs="Times New Roman" w:eastAsiaTheme="minorEastAsia"/>
                <w:color w:val="auto"/>
                <w:szCs w:val="18"/>
                <w:highlight w:val="none"/>
                <w:lang w:val="en-US" w:eastAsia="zh-CN"/>
              </w:rPr>
              <w:t>2</w:t>
            </w:r>
            <w:r>
              <w:rPr>
                <w:rFonts w:hint="default" w:ascii="Times New Roman" w:hAnsi="Times New Roman" w:cs="Times New Roman" w:eastAsiaTheme="minorEastAsia"/>
                <w:color w:val="auto"/>
                <w:szCs w:val="18"/>
                <w:highlight w:val="none"/>
              </w:rPr>
              <w:t>5</w:t>
            </w:r>
          </w:p>
        </w:tc>
        <w:tc>
          <w:tcPr>
            <w:tcW w:w="1086" w:type="pct"/>
            <w:tcBorders>
              <w:tl2br w:val="nil"/>
              <w:tr2bl w:val="nil"/>
            </w:tcBorders>
            <w:vAlign w:val="center"/>
          </w:tcPr>
          <w:p>
            <w:pPr>
              <w:jc w:val="center"/>
              <w:rPr>
                <w:rFonts w:hint="default" w:ascii="Times New Roman" w:hAnsi="Times New Roman" w:cs="Times New Roman" w:eastAsiaTheme="minorEastAsia"/>
                <w:color w:val="auto"/>
                <w:szCs w:val="18"/>
                <w:highlight w:val="none"/>
                <w:lang w:val="en-US" w:eastAsia="zh-CN"/>
              </w:rPr>
            </w:pPr>
            <w:r>
              <w:rPr>
                <w:rFonts w:hint="eastAsia" w:ascii="Times New Roman" w:hAnsi="Times New Roman" w:cs="Times New Roman" w:eastAsiaTheme="minorEastAsia"/>
                <w:color w:val="auto"/>
                <w:szCs w:val="18"/>
                <w:highlight w:val="none"/>
                <w:lang w:val="en-US" w:eastAsia="zh-CN"/>
              </w:rPr>
              <w:t>26</w:t>
            </w:r>
          </w:p>
        </w:tc>
      </w:tr>
    </w:tbl>
    <w:p>
      <w:pPr>
        <w:adjustRightInd w:val="0"/>
        <w:snapToGrid w:val="0"/>
        <w:rPr>
          <w:rFonts w:hint="default" w:ascii="Times New Roman" w:hAnsi="Times New Roman" w:cs="Times New Roman" w:eastAsiaTheme="minorEastAsia"/>
          <w:color w:val="auto"/>
          <w:highlight w:val="yellow"/>
        </w:rPr>
      </w:pPr>
      <w:r>
        <w:rPr>
          <w:rFonts w:hint="default" w:ascii="Times New Roman" w:hAnsi="Times New Roman" w:cs="Times New Roman" w:eastAsiaTheme="minorEastAsia"/>
          <w:color w:val="auto"/>
        </w:rPr>
        <w:t>注：ND表示低于该方法检出限</w:t>
      </w:r>
      <w:r>
        <w:rPr>
          <w:rFonts w:hint="default" w:ascii="Times New Roman" w:hAnsi="Times New Roman" w:cs="Times New Roman" w:eastAsiaTheme="minorEastAsia"/>
          <w:bCs/>
          <w:color w:val="auto"/>
        </w:rPr>
        <w:t>。</w:t>
      </w:r>
    </w:p>
    <w:p>
      <w:pPr>
        <w:pStyle w:val="135"/>
        <w:adjustRightInd w:val="0"/>
        <w:snapToGrid w:val="0"/>
        <w:spacing w:line="360" w:lineRule="auto"/>
        <w:ind w:firstLine="482" w:firstLineChars="0"/>
        <w:rPr>
          <w:rFonts w:hint="default" w:ascii="Times New Roman" w:hAnsi="Times New Roman" w:cs="Times New Roman" w:eastAsiaTheme="minorEastAsia"/>
          <w:color w:val="auto"/>
          <w:highlight w:val="yellow"/>
        </w:rPr>
      </w:pPr>
    </w:p>
    <w:p>
      <w:pPr>
        <w:pStyle w:val="135"/>
        <w:adjustRightInd w:val="0"/>
        <w:snapToGrid w:val="0"/>
        <w:spacing w:line="360" w:lineRule="auto"/>
        <w:ind w:firstLine="482" w:firstLineChars="0"/>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rPr>
        <w:t>标准指数评价结果见表5.5-5</w:t>
      </w:r>
      <w:r>
        <w:rPr>
          <w:rFonts w:hint="eastAsia" w:cs="Times New Roman" w:eastAsiaTheme="minorEastAsia"/>
          <w:color w:val="auto"/>
          <w:lang w:eastAsia="zh-CN"/>
        </w:rPr>
        <w:t>。</w:t>
      </w:r>
    </w:p>
    <w:p>
      <w:pPr>
        <w:pStyle w:val="135"/>
        <w:adjustRightInd w:val="0"/>
        <w:snapToGrid w:val="0"/>
        <w:spacing w:line="360" w:lineRule="auto"/>
        <w:ind w:firstLine="482" w:firstLineChars="0"/>
        <w:rPr>
          <w:rFonts w:hint="default" w:ascii="Times New Roman" w:hAnsi="Times New Roman" w:cs="Times New Roman" w:eastAsiaTheme="minorEastAsia"/>
          <w:color w:val="auto"/>
        </w:rPr>
      </w:pPr>
    </w:p>
    <w:p>
      <w:pPr>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表5.5-5  各评价因子单项指数一览表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42"/>
        <w:gridCol w:w="1511"/>
        <w:gridCol w:w="1289"/>
        <w:gridCol w:w="808"/>
        <w:gridCol w:w="1276"/>
        <w:gridCol w:w="757"/>
        <w:gridCol w:w="2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37"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监测断面</w:t>
            </w:r>
          </w:p>
        </w:tc>
        <w:tc>
          <w:tcPr>
            <w:tcW w:w="83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70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执行</w:t>
            </w:r>
            <w:r>
              <w:rPr>
                <w:rFonts w:hint="eastAsia" w:ascii="Times New Roman" w:hAnsi="Times New Roman" w:cs="Times New Roman"/>
                <w:b/>
                <w:bCs/>
                <w:color w:val="auto"/>
                <w:lang w:val="en-US" w:eastAsia="zh-CN"/>
              </w:rPr>
              <w:t>Ⅰ类</w:t>
            </w:r>
            <w:r>
              <w:rPr>
                <w:rFonts w:hint="default" w:ascii="Times New Roman" w:hAnsi="Times New Roman" w:cs="Times New Roman"/>
                <w:b/>
                <w:bCs/>
                <w:color w:val="auto"/>
              </w:rPr>
              <w:t>标准</w:t>
            </w:r>
          </w:p>
        </w:tc>
        <w:tc>
          <w:tcPr>
            <w:tcW w:w="44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eastAsia" w:ascii="Times New Roman" w:hAnsi="Times New Roman" w:cs="Times New Roman"/>
                <w:b/>
                <w:bCs/>
                <w:color w:val="auto"/>
                <w:lang w:val="en-US" w:eastAsia="zh-CN"/>
              </w:rPr>
              <w:t>Ⅰ类</w:t>
            </w:r>
            <w:r>
              <w:rPr>
                <w:rFonts w:hint="default" w:ascii="Times New Roman" w:hAnsi="Times New Roman" w:cs="Times New Roman"/>
                <w:b/>
                <w:bCs/>
                <w:color w:val="auto"/>
              </w:rPr>
              <w:t>标准指数</w:t>
            </w:r>
          </w:p>
        </w:tc>
        <w:tc>
          <w:tcPr>
            <w:tcW w:w="701"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执行</w:t>
            </w:r>
            <w:r>
              <w:rPr>
                <w:rFonts w:hint="eastAsia" w:ascii="Times New Roman" w:hAnsi="Times New Roman" w:cs="Times New Roman"/>
                <w:b/>
                <w:bCs/>
                <w:color w:val="auto"/>
                <w:lang w:val="en-US" w:eastAsia="zh-CN"/>
              </w:rPr>
              <w:t>Ⅲ类</w:t>
            </w:r>
            <w:r>
              <w:rPr>
                <w:rFonts w:hint="default" w:ascii="Times New Roman" w:hAnsi="Times New Roman" w:cs="Times New Roman"/>
                <w:b/>
                <w:bCs/>
                <w:color w:val="auto"/>
              </w:rPr>
              <w:t>标准</w:t>
            </w:r>
          </w:p>
        </w:tc>
        <w:tc>
          <w:tcPr>
            <w:tcW w:w="41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eastAsia" w:ascii="Times New Roman" w:hAnsi="Times New Roman" w:cs="Times New Roman"/>
                <w:b/>
                <w:bCs/>
                <w:color w:val="auto"/>
                <w:lang w:val="en-US" w:eastAsia="zh-CN"/>
              </w:rPr>
              <w:t>Ⅲ类</w:t>
            </w:r>
            <w:r>
              <w:rPr>
                <w:rFonts w:hint="default" w:ascii="Times New Roman" w:hAnsi="Times New Roman" w:cs="Times New Roman"/>
                <w:b/>
                <w:bCs/>
                <w:color w:val="auto"/>
              </w:rPr>
              <w:t>标准指数</w:t>
            </w:r>
          </w:p>
        </w:tc>
        <w:tc>
          <w:tcPr>
            <w:tcW w:w="116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eastAsiaTheme="minorEastAsia"/>
                <w:color w:val="auto"/>
                <w:szCs w:val="18"/>
              </w:rPr>
              <w:t>S1  长江</w:t>
            </w:r>
            <w:r>
              <w:rPr>
                <w:rFonts w:hint="default" w:ascii="Times New Roman" w:hAnsi="Times New Roman" w:cs="Times New Roman" w:eastAsiaTheme="minorEastAsia"/>
                <w:color w:val="auto"/>
              </w:rPr>
              <w:t>1#加注码头泊位上游580m处</w:t>
            </w: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水温</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444"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416"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pH值</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6~9</w:t>
            </w:r>
          </w:p>
        </w:tc>
        <w:tc>
          <w:tcPr>
            <w:tcW w:w="444"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6~9</w:t>
            </w:r>
          </w:p>
        </w:tc>
        <w:tc>
          <w:tcPr>
            <w:tcW w:w="416"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DO</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7.</w:t>
            </w:r>
            <w:r>
              <w:rPr>
                <w:rFonts w:hint="default" w:ascii="Times New Roman" w:hAnsi="Times New Roman" w:cs="Times New Roman"/>
                <w:color w:val="auto"/>
              </w:rPr>
              <w:t>5mg/L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1.04</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≥5mg/L</w:t>
            </w:r>
          </w:p>
        </w:tc>
        <w:tc>
          <w:tcPr>
            <w:tcW w:w="416"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4</w:t>
            </w:r>
          </w:p>
        </w:tc>
        <w:tc>
          <w:tcPr>
            <w:tcW w:w="1160" w:type="pct"/>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lang w:val="en-US" w:eastAsia="zh-CN"/>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高锰酸盐指数</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mg/L</w:t>
            </w:r>
          </w:p>
        </w:tc>
        <w:tc>
          <w:tcPr>
            <w:tcW w:w="444"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1.98</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≤6mg/L</w:t>
            </w:r>
          </w:p>
        </w:tc>
        <w:tc>
          <w:tcPr>
            <w:tcW w:w="41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0.67</w:t>
            </w:r>
          </w:p>
        </w:tc>
        <w:tc>
          <w:tcPr>
            <w:tcW w:w="1160" w:type="pct"/>
            <w:tcBorders>
              <w:tl2br w:val="nil"/>
              <w:tr2bl w:val="nil"/>
            </w:tcBorders>
            <w:vAlign w:val="center"/>
          </w:tcPr>
          <w:p>
            <w:pPr>
              <w:adjustRightInd w:val="0"/>
              <w:snapToGrid w:val="0"/>
              <w:jc w:val="center"/>
              <w:rPr>
                <w:rFonts w:hint="default" w:ascii="Times New Roman" w:hAnsi="Times New Roman" w:cs="Times New Roman"/>
                <w:b w:val="0"/>
                <w:bCs w:val="0"/>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COD</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15</w:t>
            </w:r>
            <w:r>
              <w:rPr>
                <w:rFonts w:hint="default" w:ascii="Times New Roman" w:hAnsi="Times New Roman" w:cs="Times New Roman"/>
                <w:color w:val="auto"/>
              </w:rPr>
              <w:t>mg/L</w:t>
            </w:r>
          </w:p>
        </w:tc>
        <w:tc>
          <w:tcPr>
            <w:tcW w:w="444"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eastAsiaTheme="minorEastAsia"/>
                <w:color w:val="auto"/>
                <w:szCs w:val="18"/>
                <w:lang w:val="en-US" w:eastAsia="zh-CN"/>
              </w:rPr>
              <w:t>1.44</w:t>
            </w:r>
          </w:p>
        </w:tc>
        <w:tc>
          <w:tcPr>
            <w:tcW w:w="70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szCs w:val="18"/>
              </w:rPr>
            </w:pPr>
            <w:r>
              <w:rPr>
                <w:rFonts w:hint="default" w:ascii="Times New Roman" w:hAnsi="Times New Roman" w:cs="Times New Roman"/>
                <w:color w:val="auto"/>
              </w:rPr>
              <w:t>≤20mg/L</w:t>
            </w:r>
          </w:p>
        </w:tc>
        <w:tc>
          <w:tcPr>
            <w:tcW w:w="41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szCs w:val="18"/>
                <w:lang w:val="en-US" w:eastAsia="zh-CN"/>
              </w:rPr>
              <w:t>0.58</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BOD</w:t>
            </w:r>
            <w:r>
              <w:rPr>
                <w:rFonts w:hint="default" w:ascii="Times New Roman" w:hAnsi="Times New Roman" w:cs="Times New Roman" w:eastAsiaTheme="minorEastAsia"/>
                <w:color w:val="auto"/>
                <w:szCs w:val="18"/>
                <w:vertAlign w:val="subscript"/>
              </w:rPr>
              <w:t>5</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3</w:t>
            </w:r>
            <w:r>
              <w:rPr>
                <w:rFonts w:hint="default" w:ascii="Times New Roman" w:hAnsi="Times New Roman" w:cs="Times New Roman"/>
                <w:color w:val="auto"/>
              </w:rPr>
              <w:t>mg/L</w:t>
            </w:r>
          </w:p>
        </w:tc>
        <w:tc>
          <w:tcPr>
            <w:tcW w:w="444"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eastAsiaTheme="minorEastAsia"/>
                <w:color w:val="auto"/>
                <w:szCs w:val="18"/>
                <w:lang w:val="en-US" w:eastAsia="zh-CN"/>
              </w:rPr>
              <w:t>1.13</w:t>
            </w:r>
          </w:p>
        </w:tc>
        <w:tc>
          <w:tcPr>
            <w:tcW w:w="70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szCs w:val="18"/>
              </w:rPr>
            </w:pPr>
            <w:r>
              <w:rPr>
                <w:rFonts w:hint="default" w:ascii="Times New Roman" w:hAnsi="Times New Roman" w:cs="Times New Roman"/>
                <w:color w:val="auto"/>
              </w:rPr>
              <w:t>≤4mg/L</w:t>
            </w:r>
          </w:p>
        </w:tc>
        <w:tc>
          <w:tcPr>
            <w:tcW w:w="41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szCs w:val="18"/>
              </w:rPr>
              <w:t>0.</w:t>
            </w:r>
            <w:r>
              <w:rPr>
                <w:rFonts w:hint="eastAsia" w:ascii="Times New Roman" w:hAnsi="Times New Roman" w:cs="Times New Roman" w:eastAsiaTheme="minorEastAsia"/>
                <w:color w:val="auto"/>
                <w:szCs w:val="18"/>
                <w:lang w:val="en-US" w:eastAsia="zh-CN"/>
              </w:rPr>
              <w:t>85</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NH</w:t>
            </w:r>
            <w:r>
              <w:rPr>
                <w:rFonts w:hint="default" w:ascii="Times New Roman" w:hAnsi="Times New Roman" w:cs="Times New Roman" w:eastAsiaTheme="minorEastAsia"/>
                <w:color w:val="auto"/>
                <w:szCs w:val="18"/>
                <w:vertAlign w:val="subscript"/>
              </w:rPr>
              <w:t>3</w:t>
            </w:r>
            <w:r>
              <w:rPr>
                <w:rFonts w:hint="default" w:ascii="Times New Roman" w:hAnsi="Times New Roman" w:cs="Times New Roman" w:eastAsiaTheme="minorEastAsia"/>
                <w:color w:val="auto"/>
                <w:szCs w:val="18"/>
              </w:rPr>
              <w:t>-N</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0.15</w:t>
            </w:r>
            <w:r>
              <w:rPr>
                <w:rFonts w:hint="default" w:ascii="Times New Roman" w:hAnsi="Times New Roman" w:cs="Times New Roman"/>
                <w:color w:val="auto"/>
              </w:rPr>
              <w:t>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38</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≤1.0mg/L</w:t>
            </w:r>
          </w:p>
        </w:tc>
        <w:tc>
          <w:tcPr>
            <w:tcW w:w="416"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0.0</w:t>
            </w:r>
            <w:r>
              <w:rPr>
                <w:rFonts w:hint="eastAsia" w:ascii="Times New Roman" w:hAnsi="Times New Roman" w:cs="Times New Roman"/>
                <w:color w:val="auto"/>
                <w:lang w:val="en-US" w:eastAsia="zh-CN"/>
              </w:rPr>
              <w:t>6</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石油类</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≤0.05mg/L</w:t>
            </w:r>
          </w:p>
        </w:tc>
        <w:tc>
          <w:tcPr>
            <w:tcW w:w="444"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0</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≤0.05mg/L</w:t>
            </w:r>
          </w:p>
        </w:tc>
        <w:tc>
          <w:tcPr>
            <w:tcW w:w="416"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0</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SS</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0mg/L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1.25</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≤30mg/L</w:t>
            </w:r>
          </w:p>
        </w:tc>
        <w:tc>
          <w:tcPr>
            <w:tcW w:w="416"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0.83</w:t>
            </w:r>
          </w:p>
        </w:tc>
        <w:tc>
          <w:tcPr>
            <w:tcW w:w="116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restart"/>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r>
              <w:rPr>
                <w:rFonts w:hint="default" w:ascii="Times New Roman" w:hAnsi="Times New Roman" w:cs="Times New Roman" w:eastAsiaTheme="minorEastAsia"/>
                <w:color w:val="auto"/>
                <w:szCs w:val="18"/>
              </w:rPr>
              <w:t>S2  长江</w:t>
            </w:r>
            <w:r>
              <w:rPr>
                <w:rFonts w:hint="default" w:ascii="Times New Roman" w:hAnsi="Times New Roman" w:cs="Times New Roman" w:eastAsiaTheme="minorEastAsia"/>
                <w:color w:val="auto"/>
              </w:rPr>
              <w:t>2#加注码头泊位下游3.5km处</w:t>
            </w: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水温</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444"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pH值</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6~9</w:t>
            </w:r>
          </w:p>
        </w:tc>
        <w:tc>
          <w:tcPr>
            <w:tcW w:w="444" w:type="pct"/>
            <w:tcBorders>
              <w:tl2br w:val="nil"/>
              <w:tr2bl w:val="nil"/>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6~9</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DO</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7.</w:t>
            </w:r>
            <w:r>
              <w:rPr>
                <w:rFonts w:hint="default" w:ascii="Times New Roman" w:hAnsi="Times New Roman" w:cs="Times New Roman"/>
                <w:color w:val="auto"/>
              </w:rPr>
              <w:t>5mg/L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1.02</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≥5mg/L</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31</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高锰酸盐指数</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mg/L</w:t>
            </w:r>
          </w:p>
        </w:tc>
        <w:tc>
          <w:tcPr>
            <w:tcW w:w="444"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1.63</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≤6mg/L</w:t>
            </w:r>
          </w:p>
        </w:tc>
        <w:tc>
          <w:tcPr>
            <w:tcW w:w="416"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0.55</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COD</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15</w:t>
            </w:r>
            <w:r>
              <w:rPr>
                <w:rFonts w:hint="default" w:ascii="Times New Roman" w:hAnsi="Times New Roman" w:cs="Times New Roman"/>
                <w:color w:val="auto"/>
              </w:rPr>
              <w:t>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0.73</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≤20mg/L</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55</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BOD</w:t>
            </w:r>
            <w:r>
              <w:rPr>
                <w:rFonts w:hint="default" w:ascii="Times New Roman" w:hAnsi="Times New Roman" w:cs="Times New Roman" w:eastAsiaTheme="minorEastAsia"/>
                <w:color w:val="auto"/>
                <w:szCs w:val="18"/>
                <w:vertAlign w:val="subscript"/>
              </w:rPr>
              <w:t>5</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3</w:t>
            </w:r>
            <w:r>
              <w:rPr>
                <w:rFonts w:hint="default" w:ascii="Times New Roman" w:hAnsi="Times New Roman" w:cs="Times New Roman"/>
                <w:color w:val="auto"/>
              </w:rPr>
              <w:t>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28</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≤4mg/L</w:t>
            </w:r>
          </w:p>
        </w:tc>
        <w:tc>
          <w:tcPr>
            <w:tcW w:w="416" w:type="pct"/>
            <w:tcBorders>
              <w:tl2br w:val="nil"/>
              <w:tr2bl w:val="nil"/>
            </w:tcBorders>
            <w:shd w:val="clear" w:color="auto" w:fill="auto"/>
            <w:vAlign w:val="center"/>
          </w:tcPr>
          <w:p>
            <w:pPr>
              <w:widowControl/>
              <w:adjustRightInd w:val="0"/>
              <w:snapToGrid w:val="0"/>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0.2</w:t>
            </w:r>
            <w:r>
              <w:rPr>
                <w:rFonts w:hint="eastAsia" w:ascii="Times New Roman" w:hAnsi="Times New Roman" w:cs="Times New Roman"/>
                <w:color w:val="auto"/>
                <w:lang w:val="en-US" w:eastAsia="zh-CN"/>
              </w:rPr>
              <w:t>2</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NH</w:t>
            </w:r>
            <w:r>
              <w:rPr>
                <w:rFonts w:hint="default" w:ascii="Times New Roman" w:hAnsi="Times New Roman" w:cs="Times New Roman" w:eastAsiaTheme="minorEastAsia"/>
                <w:color w:val="auto"/>
                <w:szCs w:val="18"/>
                <w:vertAlign w:val="subscript"/>
              </w:rPr>
              <w:t>3</w:t>
            </w:r>
            <w:r>
              <w:rPr>
                <w:rFonts w:hint="default" w:ascii="Times New Roman" w:hAnsi="Times New Roman" w:cs="Times New Roman" w:eastAsiaTheme="minorEastAsia"/>
                <w:color w:val="auto"/>
                <w:szCs w:val="18"/>
              </w:rPr>
              <w:t>-N</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0.15</w:t>
            </w:r>
            <w:r>
              <w:rPr>
                <w:rFonts w:hint="default" w:ascii="Times New Roman" w:hAnsi="Times New Roman" w:cs="Times New Roman"/>
                <w:color w:val="auto"/>
              </w:rPr>
              <w:t>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55</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≤1.0mg/L</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0.08</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石油类</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≤0.05mg/L</w:t>
            </w:r>
          </w:p>
        </w:tc>
        <w:tc>
          <w:tcPr>
            <w:tcW w:w="444" w:type="pct"/>
            <w:tcBorders>
              <w:tl2br w:val="nil"/>
              <w:tr2bl w:val="nil"/>
            </w:tcBorders>
            <w:vAlign w:val="center"/>
          </w:tcPr>
          <w:p>
            <w:pPr>
              <w:widowControl/>
              <w:adjustRightInd w:val="0"/>
              <w:snapToGrid w:val="0"/>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2</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≤0.05mg/L</w:t>
            </w:r>
          </w:p>
        </w:tc>
        <w:tc>
          <w:tcPr>
            <w:tcW w:w="416" w:type="pct"/>
            <w:tcBorders>
              <w:tl2br w:val="nil"/>
              <w:tr2bl w:val="nil"/>
            </w:tcBorders>
            <w:shd w:val="clear" w:color="auto" w:fill="auto"/>
            <w:vAlign w:val="center"/>
          </w:tcPr>
          <w:p>
            <w:pPr>
              <w:widowControl/>
              <w:adjustRightInd w:val="0"/>
              <w:snapToGrid w:val="0"/>
              <w:jc w:val="center"/>
              <w:rPr>
                <w:rFonts w:hint="eastAsia" w:ascii="Times New Roman" w:hAnsi="Times New Roman" w:eastAsia="宋体" w:cs="Times New Roman"/>
                <w:color w:val="auto"/>
                <w:lang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2</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7" w:type="pct"/>
            <w:vMerge w:val="continue"/>
            <w:tcBorders>
              <w:tl2br w:val="nil"/>
              <w:tr2bl w:val="nil"/>
            </w:tcBorders>
            <w:vAlign w:val="center"/>
          </w:tcPr>
          <w:p>
            <w:pPr>
              <w:pStyle w:val="7"/>
              <w:adjustRightInd w:val="0"/>
              <w:snapToGrid w:val="0"/>
              <w:spacing w:after="0"/>
              <w:jc w:val="center"/>
              <w:rPr>
                <w:rFonts w:hint="default" w:ascii="Times New Roman" w:hAnsi="Times New Roman" w:cs="Times New Roman"/>
                <w:color w:val="auto"/>
              </w:rPr>
            </w:pPr>
          </w:p>
        </w:tc>
        <w:tc>
          <w:tcPr>
            <w:tcW w:w="830" w:type="pct"/>
            <w:tcBorders>
              <w:tl2br w:val="nil"/>
              <w:tr2bl w:val="nil"/>
            </w:tcBorders>
            <w:vAlign w:val="center"/>
          </w:tcPr>
          <w:p>
            <w:pPr>
              <w:jc w:val="center"/>
              <w:rPr>
                <w:rFonts w:hint="default" w:ascii="Times New Roman" w:hAnsi="Times New Roman" w:cs="Times New Roman" w:eastAsiaTheme="minorEastAsia"/>
                <w:color w:val="auto"/>
                <w:szCs w:val="18"/>
              </w:rPr>
            </w:pPr>
            <w:r>
              <w:rPr>
                <w:rFonts w:hint="default" w:ascii="Times New Roman" w:hAnsi="Times New Roman" w:cs="Times New Roman" w:eastAsiaTheme="minorEastAsia"/>
                <w:color w:val="auto"/>
                <w:szCs w:val="18"/>
              </w:rPr>
              <w:t>SS</w:t>
            </w:r>
          </w:p>
        </w:tc>
        <w:tc>
          <w:tcPr>
            <w:tcW w:w="70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lang w:val="en-US" w:eastAsia="zh-CN"/>
              </w:rPr>
              <w:t>2</w:t>
            </w:r>
            <w:r>
              <w:rPr>
                <w:rFonts w:hint="default" w:ascii="Times New Roman" w:hAnsi="Times New Roman" w:cs="Times New Roman"/>
                <w:color w:val="auto"/>
              </w:rPr>
              <w:t>0mg/L</w:t>
            </w:r>
          </w:p>
        </w:tc>
        <w:tc>
          <w:tcPr>
            <w:tcW w:w="444" w:type="pct"/>
            <w:tcBorders>
              <w:tl2br w:val="nil"/>
              <w:tr2bl w:val="nil"/>
            </w:tcBorders>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1.28</w:t>
            </w:r>
          </w:p>
        </w:tc>
        <w:tc>
          <w:tcPr>
            <w:tcW w:w="70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≤30mg/L</w:t>
            </w:r>
          </w:p>
        </w:tc>
        <w:tc>
          <w:tcPr>
            <w:tcW w:w="416" w:type="pct"/>
            <w:tcBorders>
              <w:tl2br w:val="nil"/>
              <w:tr2bl w:val="nil"/>
            </w:tcBorders>
            <w:shd w:val="clear" w:color="auto" w:fill="auto"/>
            <w:vAlign w:val="center"/>
          </w:tcPr>
          <w:p>
            <w:pPr>
              <w:widowControl/>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0.85</w:t>
            </w:r>
          </w:p>
        </w:tc>
        <w:tc>
          <w:tcPr>
            <w:tcW w:w="1160" w:type="pct"/>
            <w:tcBorders>
              <w:tl2br w:val="nil"/>
              <w:tr2bl w:val="nil"/>
            </w:tcBorders>
            <w:shd w:val="clear" w:color="auto" w:fill="auto"/>
            <w:vAlign w:val="center"/>
          </w:tcPr>
          <w:p>
            <w:pPr>
              <w:adjustRightInd w:val="0"/>
              <w:snapToGrid w:val="0"/>
              <w:jc w:val="center"/>
              <w:rPr>
                <w:rFonts w:hint="default" w:ascii="Times New Roman" w:hAnsi="Times New Roman" w:cs="Times New Roman"/>
                <w:color w:val="auto"/>
              </w:rPr>
            </w:pPr>
            <w:r>
              <w:rPr>
                <w:rFonts w:hint="eastAsia" w:ascii="Times New Roman" w:hAnsi="Times New Roman" w:cs="Times New Roman"/>
                <w:b w:val="0"/>
                <w:bCs w:val="0"/>
                <w:color w:val="auto"/>
                <w:lang w:val="en-US" w:eastAsia="zh-CN"/>
              </w:rPr>
              <w:t>Ⅰ类不</w:t>
            </w:r>
            <w:r>
              <w:rPr>
                <w:rFonts w:hint="default" w:ascii="Times New Roman" w:hAnsi="Times New Roman" w:cs="Times New Roman"/>
                <w:b w:val="0"/>
                <w:bCs w:val="0"/>
                <w:color w:val="auto"/>
              </w:rPr>
              <w:t>达标</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Ⅲ类达标</w:t>
            </w:r>
          </w:p>
        </w:tc>
      </w:tr>
    </w:tbl>
    <w:p>
      <w:pPr>
        <w:pStyle w:val="135"/>
        <w:adjustRightInd w:val="0"/>
        <w:snapToGrid w:val="0"/>
        <w:spacing w:line="360" w:lineRule="auto"/>
        <w:ind w:firstLine="482" w:firstLineChars="0"/>
        <w:rPr>
          <w:rFonts w:hint="default" w:ascii="Times New Roman" w:hAnsi="Times New Roman" w:cs="Times New Roman" w:eastAsiaTheme="minorEastAsia"/>
          <w:b/>
          <w:color w:val="auto"/>
          <w:highlight w:val="yellow"/>
        </w:rPr>
      </w:pP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3、现状评价结果</w:t>
      </w:r>
    </w:p>
    <w:p>
      <w:pPr>
        <w:adjustRightInd w:val="0"/>
        <w:snapToGrid w:val="0"/>
        <w:spacing w:line="360" w:lineRule="auto"/>
        <w:ind w:firstLine="480" w:firstLineChars="200"/>
        <w:rPr>
          <w:rFonts w:hint="default" w:ascii="Times New Roman" w:hAnsi="Times New Roman" w:cs="Times New Roman" w:eastAsiaTheme="minorEastAsia"/>
          <w:color w:val="auto"/>
        </w:rPr>
      </w:pPr>
      <w:r>
        <w:rPr>
          <w:rFonts w:hint="default" w:ascii="Times New Roman" w:hAnsi="Times New Roman" w:cs="Times New Roman" w:eastAsiaTheme="minorEastAsia"/>
          <w:b w:val="0"/>
          <w:bCs w:val="0"/>
          <w:color w:val="auto"/>
          <w:sz w:val="24"/>
          <w:szCs w:val="24"/>
        </w:rPr>
        <w:t>由评价结果可知，</w:t>
      </w:r>
      <w:r>
        <w:rPr>
          <w:rFonts w:hint="default" w:ascii="Times New Roman" w:hAnsi="Times New Roman" w:cs="Times New Roman" w:eastAsiaTheme="minorEastAsia"/>
          <w:b w:val="0"/>
          <w:bCs w:val="0"/>
          <w:color w:val="auto"/>
          <w:kern w:val="0"/>
          <w:sz w:val="24"/>
          <w:szCs w:val="24"/>
        </w:rPr>
        <w:t>各监测断面中</w:t>
      </w:r>
      <w:r>
        <w:rPr>
          <w:rFonts w:hint="default" w:ascii="Times New Roman" w:hAnsi="Times New Roman" w:cs="Times New Roman" w:eastAsiaTheme="minorEastAsia"/>
          <w:b w:val="0"/>
          <w:bCs w:val="0"/>
          <w:color w:val="auto"/>
          <w:sz w:val="24"/>
          <w:szCs w:val="24"/>
        </w:rPr>
        <w:t>DO、高锰酸盐指数、COD、BOD</w:t>
      </w:r>
      <w:r>
        <w:rPr>
          <w:rFonts w:hint="default" w:ascii="Times New Roman" w:hAnsi="Times New Roman" w:cs="Times New Roman" w:eastAsiaTheme="minorEastAsia"/>
          <w:b w:val="0"/>
          <w:bCs w:val="0"/>
          <w:color w:val="auto"/>
          <w:sz w:val="24"/>
          <w:szCs w:val="24"/>
          <w:vertAlign w:val="subscript"/>
        </w:rPr>
        <w:t>5</w:t>
      </w:r>
      <w:r>
        <w:rPr>
          <w:rFonts w:hint="default" w:ascii="Times New Roman" w:hAnsi="Times New Roman" w:cs="Times New Roman" w:eastAsiaTheme="minorEastAsia"/>
          <w:b w:val="0"/>
          <w:bCs w:val="0"/>
          <w:color w:val="auto"/>
          <w:kern w:val="0"/>
          <w:sz w:val="24"/>
          <w:szCs w:val="24"/>
        </w:rPr>
        <w:t>、</w:t>
      </w:r>
      <w:r>
        <w:rPr>
          <w:rFonts w:hint="default" w:ascii="Times New Roman" w:hAnsi="Times New Roman" w:cs="Times New Roman" w:eastAsiaTheme="minorEastAsia"/>
          <w:b w:val="0"/>
          <w:bCs w:val="0"/>
          <w:color w:val="auto"/>
          <w:sz w:val="24"/>
          <w:szCs w:val="24"/>
        </w:rPr>
        <w:t>NH</w:t>
      </w:r>
      <w:r>
        <w:rPr>
          <w:rFonts w:hint="default" w:ascii="Times New Roman" w:hAnsi="Times New Roman" w:cs="Times New Roman" w:eastAsiaTheme="minorEastAsia"/>
          <w:b w:val="0"/>
          <w:bCs w:val="0"/>
          <w:color w:val="auto"/>
          <w:sz w:val="24"/>
          <w:szCs w:val="24"/>
          <w:vertAlign w:val="subscript"/>
        </w:rPr>
        <w:t>3</w:t>
      </w:r>
      <w:r>
        <w:rPr>
          <w:rFonts w:hint="default" w:ascii="Times New Roman" w:hAnsi="Times New Roman" w:cs="Times New Roman" w:eastAsiaTheme="minorEastAsia"/>
          <w:b w:val="0"/>
          <w:bCs w:val="0"/>
          <w:color w:val="auto"/>
          <w:sz w:val="24"/>
          <w:szCs w:val="24"/>
        </w:rPr>
        <w:t>-N、石油类</w:t>
      </w:r>
      <w:r>
        <w:rPr>
          <w:rFonts w:hint="default" w:ascii="Times New Roman" w:hAnsi="Times New Roman" w:cs="Times New Roman" w:eastAsiaTheme="minorEastAsia"/>
          <w:b w:val="0"/>
          <w:bCs w:val="0"/>
          <w:color w:val="auto"/>
          <w:kern w:val="0"/>
          <w:sz w:val="24"/>
          <w:szCs w:val="24"/>
        </w:rPr>
        <w:t>指标均能</w:t>
      </w:r>
      <w:r>
        <w:rPr>
          <w:rFonts w:hint="default" w:ascii="Times New Roman" w:hAnsi="Times New Roman" w:cs="Times New Roman" w:eastAsiaTheme="minorEastAsia"/>
          <w:b w:val="0"/>
          <w:bCs w:val="0"/>
          <w:color w:val="auto"/>
          <w:sz w:val="24"/>
          <w:szCs w:val="24"/>
        </w:rPr>
        <w:t>满足《地表水环境质量标准》（GB3838-2002）</w:t>
      </w:r>
      <w:r>
        <w:rPr>
          <w:rFonts w:hint="default" w:ascii="Times New Roman" w:hAnsi="Times New Roman" w:cs="Times New Roman"/>
          <w:b w:val="0"/>
          <w:bCs w:val="0"/>
          <w:color w:val="auto"/>
          <w:sz w:val="24"/>
          <w:szCs w:val="24"/>
          <w:lang w:val="en-US" w:eastAsia="zh-CN"/>
        </w:rPr>
        <w:t>Ⅲ类</w:t>
      </w:r>
      <w:r>
        <w:rPr>
          <w:rFonts w:hint="default" w:ascii="Times New Roman" w:hAnsi="Times New Roman" w:cs="Times New Roman" w:eastAsiaTheme="minorEastAsia"/>
          <w:b w:val="0"/>
          <w:bCs w:val="0"/>
          <w:color w:val="auto"/>
          <w:sz w:val="24"/>
          <w:szCs w:val="24"/>
        </w:rPr>
        <w:t>水质</w:t>
      </w:r>
      <w:r>
        <w:rPr>
          <w:rFonts w:hint="default" w:ascii="Times New Roman" w:hAnsi="Times New Roman" w:cs="Times New Roman" w:eastAsiaTheme="minorEastAsia"/>
          <w:b w:val="0"/>
          <w:bCs w:val="0"/>
          <w:color w:val="auto"/>
          <w:sz w:val="24"/>
          <w:szCs w:val="24"/>
          <w:lang w:val="en-US" w:eastAsia="zh-CN"/>
        </w:rPr>
        <w:t>考核</w:t>
      </w:r>
      <w:r>
        <w:rPr>
          <w:rFonts w:hint="default" w:ascii="Times New Roman" w:hAnsi="Times New Roman" w:cs="Times New Roman" w:eastAsiaTheme="minorEastAsia"/>
          <w:b w:val="0"/>
          <w:bCs w:val="0"/>
          <w:color w:val="auto"/>
          <w:sz w:val="24"/>
          <w:szCs w:val="24"/>
        </w:rPr>
        <w:t>标准，</w:t>
      </w:r>
      <w:r>
        <w:rPr>
          <w:rFonts w:hint="default" w:ascii="Times New Roman" w:hAnsi="Times New Roman" w:cs="Times New Roman" w:eastAsiaTheme="minorEastAsia"/>
          <w:b w:val="0"/>
          <w:bCs w:val="0"/>
          <w:color w:val="auto"/>
          <w:kern w:val="0"/>
          <w:sz w:val="24"/>
          <w:szCs w:val="24"/>
        </w:rPr>
        <w:t>各监测断面中</w:t>
      </w:r>
      <w:r>
        <w:rPr>
          <w:rFonts w:hint="default" w:ascii="Times New Roman" w:hAnsi="Times New Roman" w:cs="Times New Roman" w:eastAsiaTheme="minorEastAsia"/>
          <w:b w:val="0"/>
          <w:bCs w:val="0"/>
          <w:color w:val="auto"/>
          <w:sz w:val="24"/>
          <w:szCs w:val="24"/>
        </w:rPr>
        <w:t>SS</w:t>
      </w:r>
      <w:r>
        <w:rPr>
          <w:rFonts w:hint="default" w:ascii="Times New Roman" w:hAnsi="Times New Roman" w:cs="Times New Roman" w:eastAsiaTheme="minorEastAsia"/>
          <w:b w:val="0"/>
          <w:bCs w:val="0"/>
          <w:color w:val="auto"/>
          <w:kern w:val="0"/>
          <w:sz w:val="24"/>
          <w:szCs w:val="24"/>
        </w:rPr>
        <w:t>指标未能满足</w:t>
      </w:r>
      <w:r>
        <w:rPr>
          <w:rFonts w:hint="default" w:ascii="Times New Roman" w:hAnsi="Times New Roman" w:cs="Times New Roman" w:eastAsiaTheme="minorEastAsia"/>
          <w:b w:val="0"/>
          <w:bCs w:val="0"/>
          <w:color w:val="auto"/>
          <w:sz w:val="24"/>
          <w:szCs w:val="24"/>
        </w:rPr>
        <w:t>《地表水资源质量标准》（SL63-94）的</w:t>
      </w:r>
      <w:r>
        <w:rPr>
          <w:rFonts w:hint="eastAsia" w:ascii="Times New Roman" w:hAnsi="Times New Roman" w:cs="Times New Roman"/>
          <w:b w:val="0"/>
          <w:bCs w:val="0"/>
          <w:color w:val="auto"/>
          <w:sz w:val="24"/>
          <w:szCs w:val="24"/>
          <w:lang w:val="en-US" w:eastAsia="zh-CN"/>
        </w:rPr>
        <w:t>三级</w:t>
      </w:r>
      <w:r>
        <w:rPr>
          <w:rFonts w:hint="default" w:ascii="Times New Roman" w:hAnsi="Times New Roman" w:cs="Times New Roman" w:eastAsiaTheme="minorEastAsia"/>
          <w:b w:val="0"/>
          <w:bCs w:val="0"/>
          <w:color w:val="auto"/>
          <w:sz w:val="24"/>
          <w:szCs w:val="24"/>
        </w:rPr>
        <w:t>标准。</w:t>
      </w:r>
      <w:r>
        <w:rPr>
          <w:rFonts w:hint="default" w:ascii="Times New Roman" w:hAnsi="Times New Roman" w:cs="Times New Roman" w:eastAsiaTheme="minorEastAsia"/>
          <w:b w:val="0"/>
          <w:bCs w:val="0"/>
          <w:color w:val="auto"/>
          <w:sz w:val="24"/>
          <w:szCs w:val="24"/>
          <w:lang w:val="en-US" w:eastAsia="zh-CN"/>
        </w:rPr>
        <w:t>除氨氮</w:t>
      </w:r>
      <w:r>
        <w:rPr>
          <w:rFonts w:hint="default" w:ascii="Times New Roman" w:hAnsi="Times New Roman" w:cs="Times New Roman" w:eastAsiaTheme="minorEastAsia"/>
          <w:b w:val="0"/>
          <w:bCs w:val="0"/>
          <w:color w:val="auto"/>
          <w:sz w:val="24"/>
          <w:szCs w:val="24"/>
          <w:lang w:eastAsia="zh-CN"/>
        </w:rPr>
        <w:t>、</w:t>
      </w:r>
      <w:r>
        <w:rPr>
          <w:rFonts w:hint="default" w:ascii="Times New Roman" w:hAnsi="Times New Roman" w:cs="Times New Roman" w:eastAsiaTheme="minorEastAsia"/>
          <w:b w:val="0"/>
          <w:bCs w:val="0"/>
          <w:color w:val="auto"/>
          <w:sz w:val="24"/>
          <w:szCs w:val="24"/>
          <w:lang w:val="en-US" w:eastAsia="zh-CN"/>
        </w:rPr>
        <w:t>石油类外，其</w:t>
      </w:r>
      <w:r>
        <w:rPr>
          <w:rFonts w:hint="default" w:ascii="Times New Roman" w:hAnsi="Times New Roman" w:cs="Times New Roman" w:eastAsiaTheme="minorEastAsia"/>
          <w:b w:val="0"/>
          <w:bCs w:val="0"/>
          <w:color w:val="auto"/>
          <w:sz w:val="24"/>
          <w:szCs w:val="24"/>
        </w:rPr>
        <w:t>余监测因子监测值均</w:t>
      </w:r>
      <w:r>
        <w:rPr>
          <w:rFonts w:hint="default" w:ascii="Times New Roman" w:hAnsi="Times New Roman" w:cs="Times New Roman" w:eastAsiaTheme="minorEastAsia"/>
          <w:b w:val="0"/>
          <w:bCs w:val="0"/>
          <w:color w:val="auto"/>
          <w:sz w:val="24"/>
          <w:szCs w:val="24"/>
          <w:lang w:val="en-US" w:eastAsia="zh-CN"/>
        </w:rPr>
        <w:t>不</w:t>
      </w:r>
      <w:r>
        <w:rPr>
          <w:rFonts w:hint="default" w:ascii="Times New Roman" w:hAnsi="Times New Roman" w:cs="Times New Roman" w:eastAsiaTheme="minorEastAsia"/>
          <w:b w:val="0"/>
          <w:bCs w:val="0"/>
          <w:color w:val="auto"/>
          <w:sz w:val="24"/>
          <w:szCs w:val="24"/>
        </w:rPr>
        <w:t>满足《地表水环境质量标准》（GB3838-2002）中</w:t>
      </w:r>
      <w:r>
        <w:rPr>
          <w:rFonts w:hint="default" w:ascii="Times New Roman" w:hAnsi="Times New Roman" w:cs="Times New Roman" w:eastAsiaTheme="minorEastAsia"/>
          <w:b w:val="0"/>
          <w:bCs w:val="0"/>
          <w:color w:val="auto"/>
          <w:sz w:val="24"/>
          <w:szCs w:val="24"/>
          <w:lang w:val="en-US" w:eastAsia="zh-CN"/>
        </w:rPr>
        <w:t>Ⅰ</w:t>
      </w:r>
      <w:r>
        <w:rPr>
          <w:rFonts w:hint="default" w:ascii="Times New Roman" w:hAnsi="Times New Roman" w:cs="Times New Roman" w:eastAsiaTheme="minorEastAsia"/>
          <w:b w:val="0"/>
          <w:bCs w:val="0"/>
          <w:color w:val="auto"/>
          <w:sz w:val="24"/>
          <w:szCs w:val="24"/>
        </w:rPr>
        <w:t>类水质标准</w:t>
      </w:r>
      <w:r>
        <w:rPr>
          <w:rFonts w:hint="default" w:ascii="Times New Roman" w:hAnsi="Times New Roman" w:cs="Times New Roman" w:eastAsiaTheme="minorEastAsia"/>
          <w:b w:val="0"/>
          <w:bCs w:val="0"/>
          <w:color w:val="auto"/>
          <w:sz w:val="24"/>
          <w:szCs w:val="24"/>
          <w:lang w:eastAsia="zh-CN"/>
        </w:rPr>
        <w:t>。</w:t>
      </w:r>
    </w:p>
    <w:p>
      <w:pPr>
        <w:pStyle w:val="3"/>
        <w:ind w:left="578" w:hanging="578"/>
        <w:rPr>
          <w:rFonts w:hint="default" w:ascii="Times New Roman" w:hAnsi="Times New Roman" w:cs="Times New Roman" w:eastAsiaTheme="minorEastAsia"/>
          <w:b/>
          <w:color w:val="auto"/>
        </w:rPr>
      </w:pPr>
      <w:bookmarkStart w:id="79" w:name="_Toc3257"/>
      <w:bookmarkStart w:id="80" w:name="_Toc25590407"/>
      <w:bookmarkStart w:id="81" w:name="_Toc28682"/>
      <w:r>
        <w:rPr>
          <w:rFonts w:hint="default" w:ascii="Times New Roman" w:hAnsi="Times New Roman" w:cs="Times New Roman" w:eastAsiaTheme="minorEastAsia"/>
          <w:b/>
          <w:color w:val="auto"/>
        </w:rPr>
        <w:t>河流底泥现状监测与评价</w:t>
      </w:r>
      <w:bookmarkEnd w:id="79"/>
      <w:bookmarkEnd w:id="80"/>
      <w:bookmarkEnd w:id="81"/>
    </w:p>
    <w:p>
      <w:pPr>
        <w:pStyle w:val="129"/>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本次评价委托湖南省中测湘源检测有限公司于2020年9月1日期间针对加注站拟建处底泥环境进行了环境现状监测。</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河流底泥环境质量现状监测</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1、监测布点</w:t>
      </w:r>
    </w:p>
    <w:p>
      <w:pPr>
        <w:snapToGrid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rPr>
        <w:t>在加注站码头处设置1个监测点位D1</w:t>
      </w:r>
      <w:r>
        <w:rPr>
          <w:rFonts w:hint="eastAsia" w:ascii="Times New Roman" w:hAnsi="Times New Roman" w:cs="Times New Roman" w:eastAsiaTheme="minorEastAsia"/>
          <w:color w:val="auto"/>
          <w:sz w:val="24"/>
          <w:szCs w:val="24"/>
          <w:lang w:eastAsia="zh-CN"/>
        </w:rPr>
        <w:t>。</w:t>
      </w:r>
    </w:p>
    <w:p>
      <w:pPr>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表5.6-1  底泥监测断面一览表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480"/>
        <w:gridCol w:w="2631"/>
        <w:gridCol w:w="39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63"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序号</w:t>
            </w:r>
          </w:p>
        </w:tc>
        <w:tc>
          <w:tcPr>
            <w:tcW w:w="1446"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地表水体</w:t>
            </w:r>
          </w:p>
        </w:tc>
        <w:tc>
          <w:tcPr>
            <w:tcW w:w="2190"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监测位置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63"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D1</w:t>
            </w:r>
          </w:p>
        </w:tc>
        <w:tc>
          <w:tcPr>
            <w:tcW w:w="1446"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长江</w:t>
            </w:r>
          </w:p>
        </w:tc>
        <w:tc>
          <w:tcPr>
            <w:tcW w:w="2190" w:type="pct"/>
            <w:vAlign w:val="center"/>
          </w:tcPr>
          <w:p>
            <w:pPr>
              <w:pStyle w:val="6"/>
              <w:tabs>
                <w:tab w:val="left" w:pos="1021"/>
              </w:tabs>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1#加注平台</w:t>
            </w:r>
          </w:p>
        </w:tc>
      </w:tr>
    </w:tbl>
    <w:p>
      <w:pPr>
        <w:snapToGrid w:val="0"/>
        <w:spacing w:line="360" w:lineRule="auto"/>
        <w:ind w:firstLine="480" w:firstLineChars="200"/>
        <w:rPr>
          <w:rFonts w:hint="default" w:ascii="Times New Roman" w:hAnsi="Times New Roman" w:cs="Times New Roman" w:eastAsiaTheme="minorEastAsia"/>
          <w:color w:val="auto"/>
          <w:sz w:val="24"/>
          <w:szCs w:val="24"/>
          <w:highlight w:val="yellow"/>
        </w:rPr>
      </w:pP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2、监测因子</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pH、汞、铜、砷、铅、镉、镍、锌、铬等9项。</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3、监测时间和频次</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于2020年9月1日进行监测，取样一次。采集的底泥为表层沉积物。</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4、监测方法</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按照《土壤环境监测技术规范》（HJ/T166-2004）有关规定。</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河流底泥环境质量现状评价</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1、评价方法</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执行《土壤环境质量建设用地土壤污染风险管控标准》（GB36600-2018）表1中第二类建设用地土壤污染风险筛选值要求，以及《土壤环境质量农用地土壤污染风险管控标准》（GB 15618-2018）中用地筛选值限值要求。采用标准指数法进行评价。</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2、现状监测结果评价分析</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河流底泥现状监测结果见表5.6-2。</w:t>
      </w:r>
    </w:p>
    <w:p>
      <w:pPr>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表5.6-2  河流底泥现状监测结果一览表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19"/>
        <w:gridCol w:w="2159"/>
        <w:gridCol w:w="1478"/>
        <w:gridCol w:w="1820"/>
        <w:gridCol w:w="18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Align w:val="center"/>
          </w:tcPr>
          <w:p>
            <w:pPr>
              <w:widowControl/>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监测点位</w:t>
            </w:r>
          </w:p>
        </w:tc>
        <w:tc>
          <w:tcPr>
            <w:tcW w:w="1187" w:type="pct"/>
            <w:vAlign w:val="center"/>
          </w:tcPr>
          <w:p>
            <w:pPr>
              <w:widowControl/>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监测项目</w:t>
            </w:r>
          </w:p>
        </w:tc>
        <w:tc>
          <w:tcPr>
            <w:tcW w:w="812" w:type="pct"/>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标准值（mg/kg）</w:t>
            </w:r>
          </w:p>
        </w:tc>
        <w:tc>
          <w:tcPr>
            <w:tcW w:w="1000" w:type="pct"/>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监测结果</w:t>
            </w:r>
          </w:p>
        </w:tc>
        <w:tc>
          <w:tcPr>
            <w:tcW w:w="1000" w:type="pct"/>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restart"/>
            <w:vAlign w:val="center"/>
          </w:tcPr>
          <w:p>
            <w:pPr>
              <w:widowControl/>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D1</w:t>
            </w:r>
            <w:r>
              <w:rPr>
                <w:rFonts w:hint="eastAsia" w:ascii="Times New Roman" w:hAnsi="Times New Roman" w:cs="Times New Roman" w:eastAsiaTheme="minorEastAsia"/>
                <w:color w:val="auto"/>
                <w:lang w:val="en-US" w:eastAsia="zh-CN"/>
              </w:rPr>
              <w:t xml:space="preserve"> </w:t>
            </w:r>
            <w:r>
              <w:rPr>
                <w:rFonts w:hint="default" w:ascii="Times New Roman" w:hAnsi="Times New Roman" w:cs="Times New Roman" w:eastAsiaTheme="minorEastAsia"/>
                <w:color w:val="auto"/>
              </w:rPr>
              <w:t xml:space="preserve"> 长江（1#加注码头平台）</w:t>
            </w:r>
          </w:p>
        </w:tc>
        <w:tc>
          <w:tcPr>
            <w:tcW w:w="1187"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pH值（无量纲）</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6.5＜pH≤7.5</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7.51</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铜</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≤18000</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40.0</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铅</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≤800</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40.0</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锌</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≤250</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116</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镉</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≤65</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0.56</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汞</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≤38</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0.325</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砷</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≤60</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11.4</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color w:val="auto"/>
                <w:kern w:val="0"/>
                <w:lang w:bidi="ar"/>
              </w:rPr>
              <w:t>铬</w:t>
            </w:r>
          </w:p>
        </w:tc>
        <w:tc>
          <w:tcPr>
            <w:tcW w:w="812"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rPr>
              <w:t>≤200</w:t>
            </w:r>
          </w:p>
        </w:tc>
        <w:tc>
          <w:tcPr>
            <w:tcW w:w="1000" w:type="pct"/>
            <w:vAlign w:val="center"/>
          </w:tcPr>
          <w:p>
            <w:pPr>
              <w:widowControl/>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75</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0" w:type="pct"/>
            <w:vMerge w:val="continue"/>
            <w:vAlign w:val="center"/>
          </w:tcPr>
          <w:p>
            <w:pPr>
              <w:widowControl/>
              <w:adjustRightInd w:val="0"/>
              <w:snapToGrid w:val="0"/>
              <w:jc w:val="center"/>
              <w:rPr>
                <w:rFonts w:hint="default" w:ascii="Times New Roman" w:hAnsi="Times New Roman" w:cs="Times New Roman" w:eastAsiaTheme="minorEastAsia"/>
                <w:color w:val="auto"/>
              </w:rPr>
            </w:pPr>
          </w:p>
        </w:tc>
        <w:tc>
          <w:tcPr>
            <w:tcW w:w="1187" w:type="pct"/>
            <w:vAlign w:val="center"/>
          </w:tcPr>
          <w:p>
            <w:pPr>
              <w:widowControl/>
              <w:adjustRightInd w:val="0"/>
              <w:snapToGrid w:val="0"/>
              <w:jc w:val="center"/>
              <w:rPr>
                <w:rFonts w:hint="default" w:ascii="Times New Roman" w:hAnsi="Times New Roman" w:cs="Times New Roman"/>
                <w:color w:val="auto"/>
                <w:kern w:val="0"/>
                <w:lang w:bidi="ar"/>
              </w:rPr>
            </w:pPr>
            <w:r>
              <w:rPr>
                <w:rFonts w:hint="default" w:ascii="Times New Roman" w:hAnsi="Times New Roman" w:cs="Times New Roman"/>
                <w:color w:val="auto"/>
              </w:rPr>
              <w:t>镍</w:t>
            </w:r>
          </w:p>
        </w:tc>
        <w:tc>
          <w:tcPr>
            <w:tcW w:w="812" w:type="pct"/>
            <w:vAlign w:val="center"/>
          </w:tcPr>
          <w:p>
            <w:pPr>
              <w:adjustRightInd w:val="0"/>
              <w:snapToGrid w:val="0"/>
              <w:jc w:val="center"/>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≤900</w:t>
            </w:r>
          </w:p>
        </w:tc>
        <w:tc>
          <w:tcPr>
            <w:tcW w:w="1000" w:type="pct"/>
            <w:vAlign w:val="center"/>
          </w:tcPr>
          <w:p>
            <w:pPr>
              <w:widowControl/>
              <w:adjustRightInd w:val="0"/>
              <w:snapToGrid w:val="0"/>
              <w:jc w:val="center"/>
              <w:rPr>
                <w:rFonts w:hint="default" w:ascii="Times New Roman" w:hAnsi="Times New Roman" w:cs="Times New Roman"/>
                <w:color w:val="auto"/>
                <w:kern w:val="0"/>
                <w:lang w:bidi="ar"/>
              </w:rPr>
            </w:pPr>
            <w:r>
              <w:rPr>
                <w:rFonts w:hint="default" w:ascii="Times New Roman" w:hAnsi="Times New Roman" w:cs="Times New Roman"/>
                <w:color w:val="auto"/>
                <w:kern w:val="0"/>
                <w:lang w:bidi="ar"/>
              </w:rPr>
              <w:t>33</w:t>
            </w:r>
          </w:p>
        </w:tc>
        <w:tc>
          <w:tcPr>
            <w:tcW w:w="1000" w:type="pct"/>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达标</w:t>
            </w:r>
          </w:p>
        </w:tc>
      </w:tr>
    </w:tbl>
    <w:p>
      <w:pPr>
        <w:snapToGrid w:val="0"/>
        <w:spacing w:line="360" w:lineRule="auto"/>
        <w:ind w:firstLine="480" w:firstLineChars="200"/>
        <w:rPr>
          <w:rFonts w:hint="default" w:ascii="Times New Roman" w:hAnsi="Times New Roman" w:cs="Times New Roman" w:eastAsiaTheme="minorEastAsia"/>
          <w:color w:val="auto"/>
          <w:sz w:val="24"/>
          <w:szCs w:val="24"/>
        </w:rPr>
      </w:pP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由上表的监测结果可知，项目所在地水域底泥各个监测指标均可满足《土壤环境质量建设用地土壤污染风险管控标准》（GB36600-2018）中第二类用地风险筛选值要求和《土壤环境质量农用地土壤污染风险管控标准》（GB 15618-2018）中用地筛选值限值要求，项目所在地水域底泥环境较好。</w:t>
      </w:r>
    </w:p>
    <w:p>
      <w:pPr>
        <w:pStyle w:val="3"/>
        <w:ind w:left="578" w:hanging="578"/>
        <w:rPr>
          <w:rFonts w:hint="default" w:ascii="Times New Roman" w:hAnsi="Times New Roman" w:cs="Times New Roman" w:eastAsiaTheme="minorEastAsia"/>
          <w:b/>
          <w:color w:val="auto"/>
        </w:rPr>
      </w:pPr>
      <w:bookmarkStart w:id="82" w:name="_Toc459"/>
      <w:bookmarkStart w:id="83" w:name="_Toc18195"/>
      <w:bookmarkStart w:id="84" w:name="_Toc25590409"/>
      <w:r>
        <w:rPr>
          <w:rFonts w:hint="default" w:ascii="Times New Roman" w:hAnsi="Times New Roman" w:cs="Times New Roman" w:eastAsiaTheme="minorEastAsia"/>
          <w:b/>
          <w:color w:val="auto"/>
        </w:rPr>
        <w:t>声环境现状调查与评价</w:t>
      </w:r>
      <w:bookmarkEnd w:id="82"/>
      <w:bookmarkEnd w:id="83"/>
      <w:bookmarkEnd w:id="84"/>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本次评价委托湖南省中测湘源检测有限公司于2020年9月1日~9月2日期间针对码头周边敏感点进行了声环境现状监测。</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声环境现状调查</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1、评价范围声功能区划</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目前，本项目所在地区尚没有进行环境功能区划。</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2、本项目周边主要噪声污染源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本项目评价范围内均为农村，主要噪声源主要为现有交通噪声和居民生活噪声，其中交通噪声为主要污染源。</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声环境现状监测</w:t>
      </w:r>
    </w:p>
    <w:p>
      <w:pPr>
        <w:snapToGrid w:val="0"/>
        <w:spacing w:line="360" w:lineRule="auto"/>
        <w:ind w:firstLine="482" w:firstLineChars="20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1、监测布点</w:t>
      </w:r>
    </w:p>
    <w:p>
      <w:pPr>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长江干堤厂界四周，详见表5.7-1。</w:t>
      </w:r>
    </w:p>
    <w:p>
      <w:pPr>
        <w:adjustRightInd w:val="0"/>
        <w:snapToGrid w:val="0"/>
        <w:spacing w:line="276"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color w:val="auto"/>
          <w:sz w:val="24"/>
          <w:szCs w:val="24"/>
        </w:rPr>
        <w:t>表5.7-1  声环境现状监测布点一览表</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810"/>
        <w:gridCol w:w="62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4" w:type="pct"/>
            <w:tcBorders>
              <w:tl2br w:val="nil"/>
              <w:tr2bl w:val="nil"/>
            </w:tcBorders>
            <w:shd w:val="clear" w:color="auto" w:fill="auto"/>
            <w:tcMar>
              <w:left w:w="0" w:type="dxa"/>
              <w:right w:w="0" w:type="dxa"/>
            </w:tcMar>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序号</w:t>
            </w:r>
          </w:p>
        </w:tc>
        <w:tc>
          <w:tcPr>
            <w:tcW w:w="3455" w:type="pct"/>
            <w:tcBorders>
              <w:tl2br w:val="nil"/>
              <w:tr2bl w:val="nil"/>
            </w:tcBorders>
            <w:shd w:val="clear" w:color="auto" w:fill="auto"/>
            <w:tcMar>
              <w:left w:w="0" w:type="dxa"/>
              <w:right w:w="0" w:type="dxa"/>
            </w:tcMar>
            <w:vAlign w:val="center"/>
          </w:tcPr>
          <w:p>
            <w:pPr>
              <w:widowControl/>
              <w:adjustRightInd w:val="0"/>
              <w:snapToGrid w:val="0"/>
              <w:jc w:val="center"/>
              <w:rPr>
                <w:rFonts w:hint="default" w:ascii="Times New Roman" w:hAnsi="Times New Roman" w:cs="Times New Roman" w:eastAsiaTheme="minorEastAsia"/>
                <w:b/>
                <w:bCs/>
                <w:color w:val="auto"/>
                <w:kern w:val="0"/>
                <w:lang w:bidi="ar"/>
              </w:rPr>
            </w:pPr>
            <w:r>
              <w:rPr>
                <w:rFonts w:hint="default" w:ascii="Times New Roman" w:hAnsi="Times New Roman" w:cs="Times New Roman" w:eastAsiaTheme="minorEastAsia"/>
                <w:b/>
                <w:bCs/>
                <w:color w:val="auto"/>
                <w:kern w:val="0"/>
                <w:lang w:bidi="ar"/>
              </w:rPr>
              <w:t>监测点位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4" w:type="pct"/>
            <w:tcBorders>
              <w:tl2br w:val="nil"/>
              <w:tr2bl w:val="nil"/>
            </w:tcBorders>
            <w:shd w:val="clear" w:color="auto" w:fill="auto"/>
            <w:tcMar>
              <w:left w:w="0" w:type="dxa"/>
              <w:right w:w="0" w:type="dxa"/>
            </w:tcMar>
            <w:vAlign w:val="center"/>
          </w:tcPr>
          <w:p>
            <w:pPr>
              <w:pStyle w:val="174"/>
              <w:adjustRightInd w:val="0"/>
              <w:snapToGrid w:val="0"/>
              <w:spacing w:line="240" w:lineRule="auto"/>
              <w:rPr>
                <w:rFonts w:hint="default" w:ascii="Times New Roman" w:hAnsi="Times New Roman" w:cs="Times New Roman" w:eastAsiaTheme="minorEastAsia"/>
                <w:color w:val="auto"/>
                <w:kern w:val="0"/>
                <w:sz w:val="21"/>
                <w:szCs w:val="21"/>
                <w:lang w:bidi="ar"/>
              </w:rPr>
            </w:pPr>
            <w:r>
              <w:rPr>
                <w:rFonts w:hint="default" w:ascii="Times New Roman" w:hAnsi="Times New Roman" w:cs="Times New Roman" w:eastAsiaTheme="minorEastAsia"/>
                <w:color w:val="auto"/>
                <w:kern w:val="0"/>
                <w:sz w:val="21"/>
                <w:szCs w:val="21"/>
                <w:lang w:bidi="ar"/>
              </w:rPr>
              <w:t>N1</w:t>
            </w:r>
          </w:p>
        </w:tc>
        <w:tc>
          <w:tcPr>
            <w:tcW w:w="3455" w:type="pct"/>
            <w:tcBorders>
              <w:tl2br w:val="nil"/>
              <w:tr2bl w:val="nil"/>
            </w:tcBorders>
            <w:shd w:val="clear" w:color="auto" w:fill="auto"/>
            <w:tcMar>
              <w:left w:w="0" w:type="dxa"/>
              <w:right w:w="0" w:type="dxa"/>
            </w:tcMar>
            <w:vAlign w:val="center"/>
          </w:tcPr>
          <w:p>
            <w:pPr>
              <w:pStyle w:val="174"/>
              <w:adjustRightInd w:val="0"/>
              <w:snapToGrid w:val="0"/>
              <w:spacing w:line="240" w:lineRule="auto"/>
              <w:rPr>
                <w:rFonts w:hint="default" w:ascii="Times New Roman" w:hAnsi="Times New Roman" w:cs="Times New Roman" w:eastAsiaTheme="minorEastAsia"/>
                <w:color w:val="auto"/>
                <w:kern w:val="0"/>
                <w:sz w:val="21"/>
                <w:szCs w:val="21"/>
                <w:lang w:bidi="ar"/>
              </w:rPr>
            </w:pPr>
            <w:r>
              <w:rPr>
                <w:rFonts w:hint="default" w:ascii="Times New Roman" w:hAnsi="Times New Roman" w:cs="Times New Roman" w:eastAsiaTheme="minorEastAsia"/>
                <w:color w:val="auto"/>
                <w:kern w:val="0"/>
                <w:sz w:val="21"/>
                <w:szCs w:val="21"/>
                <w:lang w:bidi="ar"/>
              </w:rPr>
              <w:t>长江干堤外侧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44" w:type="pct"/>
            <w:tcBorders>
              <w:tl2br w:val="nil"/>
              <w:tr2bl w:val="nil"/>
            </w:tcBorders>
            <w:shd w:val="clear" w:color="auto" w:fill="auto"/>
            <w:tcMar>
              <w:left w:w="0" w:type="dxa"/>
              <w:right w:w="0" w:type="dxa"/>
            </w:tcMar>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eastAsiaTheme="minorEastAsia"/>
                <w:color w:val="auto"/>
                <w:kern w:val="0"/>
                <w:lang w:bidi="ar"/>
              </w:rPr>
              <w:t>N2</w:t>
            </w:r>
          </w:p>
        </w:tc>
        <w:tc>
          <w:tcPr>
            <w:tcW w:w="3455" w:type="pct"/>
            <w:tcBorders>
              <w:tl2br w:val="nil"/>
              <w:tr2bl w:val="nil"/>
            </w:tcBorders>
            <w:shd w:val="clear" w:color="auto" w:fill="auto"/>
            <w:tcMar>
              <w:left w:w="0" w:type="dxa"/>
              <w:right w:w="0" w:type="dxa"/>
            </w:tcMar>
            <w:vAlign w:val="center"/>
          </w:tcPr>
          <w:p>
            <w:pPr>
              <w:widowControl/>
              <w:adjustRightInd w:val="0"/>
              <w:snapToGrid w:val="0"/>
              <w:jc w:val="center"/>
              <w:rPr>
                <w:rFonts w:hint="default" w:ascii="Times New Roman" w:hAnsi="Times New Roman" w:cs="Times New Roman" w:eastAsiaTheme="minorEastAsia"/>
                <w:color w:val="auto"/>
                <w:kern w:val="0"/>
                <w:lang w:bidi="ar"/>
              </w:rPr>
            </w:pPr>
            <w:r>
              <w:rPr>
                <w:rFonts w:hint="default" w:ascii="Times New Roman" w:hAnsi="Times New Roman" w:cs="Times New Roman"/>
                <w:color w:val="auto"/>
              </w:rPr>
              <w:t>长江干堤内侧</w:t>
            </w:r>
          </w:p>
        </w:tc>
      </w:tr>
    </w:tbl>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2、监测时间、频率</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监测2天，每天昼夜间各监测1次，对各个噪声监测点进行昼间和夜间监测。昼间06:00~22:00，夜间22:00~06:00（次日）。</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3、监测方法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按《声环境质量标准》（GB3096-2008）的规定，采用符合国家计量规定的声级计进行监测。监测期间天气良好，无雨雪、无雷电天气，风速小于5m/s，传声器设置户外1m处，高度为1.2m以上。</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声环境现状评价</w:t>
      </w:r>
    </w:p>
    <w:p>
      <w:pPr>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1、评价标准及方法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采用等效声级与相应标准值比较的方法进行，本项目所在地声环境质量执行《声环境质量标准》（GB3096-2008）2类标准。</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2、评价结果及分析</w:t>
      </w:r>
    </w:p>
    <w:p>
      <w:pPr>
        <w:adjustRightInd w:val="0"/>
        <w:snapToGrid w:val="0"/>
        <w:spacing w:line="360" w:lineRule="auto"/>
        <w:ind w:firstLine="480" w:firstLineChars="200"/>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本项目各个噪声监测点声环境现状监测及评价结果见表5.7-2</w:t>
      </w:r>
      <w:r>
        <w:rPr>
          <w:rFonts w:hint="eastAsia" w:ascii="Times New Roman" w:hAnsi="Times New Roman" w:cs="Times New Roman" w:eastAsiaTheme="minorEastAsia"/>
          <w:color w:val="auto"/>
          <w:sz w:val="24"/>
          <w:szCs w:val="24"/>
          <w:lang w:eastAsia="zh-CN"/>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276" w:lineRule="auto"/>
        <w:jc w:val="center"/>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表5.7-2  噪声监测结果一览表</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05"/>
        <w:gridCol w:w="817"/>
        <w:gridCol w:w="985"/>
        <w:gridCol w:w="972"/>
        <w:gridCol w:w="994"/>
        <w:gridCol w:w="728"/>
        <w:gridCol w:w="732"/>
        <w:gridCol w:w="728"/>
        <w:gridCol w:w="7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03" w:type="pct"/>
            <w:vMerge w:val="restar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检测点位</w:t>
            </w:r>
          </w:p>
        </w:tc>
        <w:tc>
          <w:tcPr>
            <w:tcW w:w="2028" w:type="pct"/>
            <w:gridSpan w:val="4"/>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bCs/>
                <w:color w:val="auto"/>
              </w:rPr>
              <w:t>检测结果L</w:t>
            </w:r>
            <w:r>
              <w:rPr>
                <w:rFonts w:hint="default" w:ascii="Times New Roman" w:hAnsi="Times New Roman" w:cs="Times New Roman"/>
                <w:b/>
                <w:bCs/>
                <w:color w:val="auto"/>
                <w:vertAlign w:val="subscript"/>
              </w:rPr>
              <w:t>eq</w:t>
            </w:r>
            <w:r>
              <w:rPr>
                <w:rFonts w:hint="default" w:ascii="Times New Roman" w:hAnsi="Times New Roman" w:cs="Times New Roman"/>
                <w:b/>
                <w:bCs/>
                <w:color w:val="auto"/>
              </w:rPr>
              <w:t>（dB（A））</w:t>
            </w:r>
          </w:p>
        </w:tc>
        <w:tc>
          <w:tcPr>
            <w:tcW w:w="786" w:type="pct"/>
            <w:gridSpan w:val="2"/>
            <w:vMerge w:val="restart"/>
            <w:tcBorders>
              <w:tl2br w:val="nil"/>
              <w:tr2bl w:val="nil"/>
            </w:tcBorders>
            <w:vAlign w:val="center"/>
          </w:tcPr>
          <w:p>
            <w:pPr>
              <w:jc w:val="center"/>
              <w:rPr>
                <w:rFonts w:hint="default" w:ascii="Times New Roman" w:hAnsi="Times New Roman" w:cs="Times New Roman"/>
                <w:b/>
                <w:bCs/>
                <w:color w:val="auto"/>
              </w:rPr>
            </w:pPr>
            <w:r>
              <w:rPr>
                <w:rFonts w:hint="default" w:ascii="Times New Roman" w:hAnsi="Times New Roman" w:cs="Times New Roman"/>
                <w:b/>
                <w:bCs/>
                <w:color w:val="auto"/>
              </w:rPr>
              <w:t>标准值</w:t>
            </w:r>
          </w:p>
        </w:tc>
        <w:tc>
          <w:tcPr>
            <w:tcW w:w="781" w:type="pct"/>
            <w:gridSpan w:val="2"/>
            <w:vMerge w:val="restart"/>
            <w:tcBorders>
              <w:tl2br w:val="nil"/>
              <w:tr2bl w:val="nil"/>
            </w:tcBorders>
            <w:vAlign w:val="center"/>
          </w:tcPr>
          <w:p>
            <w:pPr>
              <w:jc w:val="center"/>
              <w:rPr>
                <w:rFonts w:hint="default" w:ascii="Times New Roman" w:hAnsi="Times New Roman" w:cs="Times New Roman"/>
                <w:b/>
                <w:bCs/>
                <w:color w:val="auto"/>
              </w:rPr>
            </w:pPr>
            <w:r>
              <w:rPr>
                <w:rFonts w:hint="default" w:ascii="Times New Roman" w:hAnsi="Times New Roman" w:cs="Times New Roman"/>
                <w:b/>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03" w:type="pct"/>
            <w:vMerge w:val="continue"/>
            <w:tcBorders>
              <w:tl2br w:val="nil"/>
              <w:tr2bl w:val="nil"/>
            </w:tcBorders>
            <w:vAlign w:val="center"/>
          </w:tcPr>
          <w:p>
            <w:pPr>
              <w:jc w:val="center"/>
              <w:rPr>
                <w:rFonts w:hint="default" w:ascii="Times New Roman" w:hAnsi="Times New Roman" w:cs="Times New Roman"/>
                <w:b/>
                <w:color w:val="auto"/>
              </w:rPr>
            </w:pPr>
          </w:p>
        </w:tc>
        <w:tc>
          <w:tcPr>
            <w:tcW w:w="970" w:type="pct"/>
            <w:gridSpan w:val="2"/>
            <w:tcBorders>
              <w:tl2br w:val="nil"/>
              <w:tr2bl w:val="nil"/>
            </w:tcBorders>
            <w:vAlign w:val="center"/>
          </w:tcPr>
          <w:p>
            <w:pPr>
              <w:jc w:val="center"/>
              <w:rPr>
                <w:rFonts w:hint="default" w:ascii="Times New Roman" w:hAnsi="Times New Roman" w:cs="Times New Roman"/>
                <w:b/>
                <w:color w:val="auto"/>
              </w:rPr>
            </w:pPr>
            <w:r>
              <w:rPr>
                <w:rFonts w:hint="eastAsia" w:ascii="Times New Roman" w:hAnsi="Times New Roman" w:cs="Times New Roman"/>
                <w:b/>
                <w:bCs/>
                <w:color w:val="auto"/>
                <w:lang w:val="en-US" w:eastAsia="zh-CN"/>
              </w:rPr>
              <w:t>2020.</w:t>
            </w:r>
            <w:r>
              <w:rPr>
                <w:rFonts w:hint="default" w:ascii="Times New Roman" w:hAnsi="Times New Roman" w:cs="Times New Roman"/>
                <w:b/>
                <w:bCs/>
                <w:color w:val="auto"/>
              </w:rPr>
              <w:t>9</w:t>
            </w:r>
            <w:r>
              <w:rPr>
                <w:rFonts w:hint="eastAsia" w:ascii="Times New Roman" w:hAnsi="Times New Roman" w:cs="Times New Roman"/>
                <w:b/>
                <w:bCs/>
                <w:color w:val="auto"/>
                <w:lang w:eastAsia="zh-CN"/>
              </w:rPr>
              <w:t>.</w:t>
            </w:r>
            <w:r>
              <w:rPr>
                <w:rFonts w:hint="default" w:ascii="Times New Roman" w:hAnsi="Times New Roman" w:cs="Times New Roman"/>
                <w:b/>
                <w:bCs/>
                <w:color w:val="auto"/>
              </w:rPr>
              <w:t>1</w:t>
            </w:r>
          </w:p>
        </w:tc>
        <w:tc>
          <w:tcPr>
            <w:tcW w:w="1057" w:type="pct"/>
            <w:gridSpan w:val="2"/>
            <w:tcBorders>
              <w:tl2br w:val="nil"/>
              <w:tr2bl w:val="nil"/>
            </w:tcBorders>
            <w:vAlign w:val="center"/>
          </w:tcPr>
          <w:p>
            <w:pPr>
              <w:jc w:val="center"/>
              <w:rPr>
                <w:rFonts w:hint="default" w:ascii="Times New Roman" w:hAnsi="Times New Roman" w:cs="Times New Roman"/>
                <w:b/>
                <w:color w:val="auto"/>
              </w:rPr>
            </w:pPr>
            <w:r>
              <w:rPr>
                <w:rFonts w:hint="eastAsia" w:ascii="Times New Roman" w:hAnsi="Times New Roman" w:cs="Times New Roman"/>
                <w:b/>
                <w:bCs/>
                <w:color w:val="auto"/>
                <w:lang w:val="en-US" w:eastAsia="zh-CN"/>
              </w:rPr>
              <w:t>2020.</w:t>
            </w:r>
            <w:r>
              <w:rPr>
                <w:rFonts w:hint="default" w:ascii="Times New Roman" w:hAnsi="Times New Roman" w:cs="Times New Roman"/>
                <w:b/>
                <w:bCs/>
                <w:color w:val="auto"/>
              </w:rPr>
              <w:t>9</w:t>
            </w:r>
            <w:r>
              <w:rPr>
                <w:rFonts w:hint="eastAsia" w:ascii="Times New Roman" w:hAnsi="Times New Roman" w:cs="Times New Roman"/>
                <w:b/>
                <w:bCs/>
                <w:color w:val="auto"/>
                <w:lang w:val="en-US" w:eastAsia="zh-CN"/>
              </w:rPr>
              <w:t>.</w:t>
            </w:r>
            <w:r>
              <w:rPr>
                <w:rFonts w:hint="default" w:ascii="Times New Roman" w:hAnsi="Times New Roman" w:cs="Times New Roman"/>
                <w:b/>
                <w:bCs/>
                <w:color w:val="auto"/>
              </w:rPr>
              <w:t>2</w:t>
            </w:r>
          </w:p>
        </w:tc>
        <w:tc>
          <w:tcPr>
            <w:tcW w:w="786" w:type="pct"/>
            <w:gridSpan w:val="2"/>
            <w:vMerge w:val="continue"/>
            <w:tcBorders>
              <w:tl2br w:val="nil"/>
              <w:tr2bl w:val="nil"/>
            </w:tcBorders>
            <w:vAlign w:val="center"/>
          </w:tcPr>
          <w:p>
            <w:pPr>
              <w:jc w:val="center"/>
              <w:rPr>
                <w:rFonts w:hint="default" w:ascii="Times New Roman" w:hAnsi="Times New Roman" w:cs="Times New Roman"/>
                <w:b/>
                <w:bCs/>
                <w:color w:val="auto"/>
              </w:rPr>
            </w:pPr>
          </w:p>
        </w:tc>
        <w:tc>
          <w:tcPr>
            <w:tcW w:w="781" w:type="pct"/>
            <w:gridSpan w:val="2"/>
            <w:vMerge w:val="continue"/>
            <w:tcBorders>
              <w:tl2br w:val="nil"/>
              <w:tr2bl w:val="nil"/>
            </w:tcBorders>
            <w:vAlign w:val="center"/>
          </w:tcPr>
          <w:p>
            <w:pPr>
              <w:jc w:val="center"/>
              <w:rPr>
                <w:rFonts w:hint="default" w:ascii="Times New Roman" w:hAnsi="Times New Roman" w:cs="Times New Roman"/>
                <w:b/>
                <w:bCs/>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403" w:type="pct"/>
            <w:vMerge w:val="continue"/>
            <w:tcBorders>
              <w:tl2br w:val="nil"/>
              <w:tr2bl w:val="nil"/>
            </w:tcBorders>
            <w:vAlign w:val="center"/>
          </w:tcPr>
          <w:p>
            <w:pPr>
              <w:jc w:val="center"/>
              <w:rPr>
                <w:rFonts w:hint="default" w:ascii="Times New Roman" w:hAnsi="Times New Roman" w:cs="Times New Roman"/>
                <w:b/>
                <w:color w:val="auto"/>
              </w:rPr>
            </w:pPr>
          </w:p>
        </w:tc>
        <w:tc>
          <w:tcPr>
            <w:tcW w:w="440"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529"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夜间</w:t>
            </w:r>
          </w:p>
        </w:tc>
        <w:tc>
          <w:tcPr>
            <w:tcW w:w="523"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533"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夜间</w:t>
            </w:r>
          </w:p>
        </w:tc>
        <w:tc>
          <w:tcPr>
            <w:tcW w:w="392"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394"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夜间</w:t>
            </w:r>
          </w:p>
        </w:tc>
        <w:tc>
          <w:tcPr>
            <w:tcW w:w="392"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389" w:type="pc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pct"/>
            <w:tcBorders>
              <w:tl2br w:val="nil"/>
              <w:tr2bl w:val="nil"/>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长江干堤外侧</w:t>
            </w:r>
          </w:p>
        </w:tc>
        <w:tc>
          <w:tcPr>
            <w:tcW w:w="440"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55.3</w:t>
            </w:r>
          </w:p>
        </w:tc>
        <w:tc>
          <w:tcPr>
            <w:tcW w:w="529"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48.9</w:t>
            </w:r>
          </w:p>
        </w:tc>
        <w:tc>
          <w:tcPr>
            <w:tcW w:w="523"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53.6</w:t>
            </w:r>
          </w:p>
        </w:tc>
        <w:tc>
          <w:tcPr>
            <w:tcW w:w="533"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48.6</w:t>
            </w:r>
          </w:p>
        </w:tc>
        <w:tc>
          <w:tcPr>
            <w:tcW w:w="392"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w:t>
            </w:r>
          </w:p>
        </w:tc>
        <w:tc>
          <w:tcPr>
            <w:tcW w:w="394"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55</w:t>
            </w:r>
          </w:p>
        </w:tc>
        <w:tc>
          <w:tcPr>
            <w:tcW w:w="392"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达标</w:t>
            </w:r>
          </w:p>
        </w:tc>
        <w:tc>
          <w:tcPr>
            <w:tcW w:w="389"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pct"/>
            <w:tcBorders>
              <w:tl2br w:val="nil"/>
              <w:tr2bl w:val="nil"/>
            </w:tcBorders>
            <w:vAlign w:val="center"/>
          </w:tcPr>
          <w:p>
            <w:pPr>
              <w:jc w:val="center"/>
              <w:rPr>
                <w:rFonts w:hint="default" w:ascii="Times New Roman" w:hAnsi="Times New Roman" w:cs="Times New Roman"/>
                <w:color w:val="auto"/>
                <w:kern w:val="0"/>
              </w:rPr>
            </w:pPr>
            <w:r>
              <w:rPr>
                <w:rFonts w:hint="default" w:ascii="Times New Roman" w:hAnsi="Times New Roman" w:cs="Times New Roman"/>
                <w:color w:val="auto"/>
                <w:kern w:val="0"/>
              </w:rPr>
              <w:t>长江干堤内侧</w:t>
            </w:r>
          </w:p>
        </w:tc>
        <w:tc>
          <w:tcPr>
            <w:tcW w:w="440"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49.1</w:t>
            </w:r>
          </w:p>
        </w:tc>
        <w:tc>
          <w:tcPr>
            <w:tcW w:w="529"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44.0</w:t>
            </w:r>
          </w:p>
        </w:tc>
        <w:tc>
          <w:tcPr>
            <w:tcW w:w="523"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51.4</w:t>
            </w:r>
          </w:p>
        </w:tc>
        <w:tc>
          <w:tcPr>
            <w:tcW w:w="533"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44.3</w:t>
            </w:r>
          </w:p>
        </w:tc>
        <w:tc>
          <w:tcPr>
            <w:tcW w:w="392"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60</w:t>
            </w:r>
          </w:p>
        </w:tc>
        <w:tc>
          <w:tcPr>
            <w:tcW w:w="394"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w:t>
            </w:r>
          </w:p>
        </w:tc>
        <w:tc>
          <w:tcPr>
            <w:tcW w:w="392"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达标</w:t>
            </w:r>
          </w:p>
        </w:tc>
        <w:tc>
          <w:tcPr>
            <w:tcW w:w="389" w:type="pct"/>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达标</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监测结果见表5.7-2。各测点昼间噪声值符合《声环境质量标准》（GB3096-2008）中2类标准要求。目前声环境现状良好。</w:t>
      </w:r>
    </w:p>
    <w:p>
      <w:pPr>
        <w:pStyle w:val="3"/>
        <w:ind w:left="578" w:hanging="578"/>
        <w:rPr>
          <w:rFonts w:hint="default" w:ascii="Times New Roman" w:hAnsi="Times New Roman" w:cs="Times New Roman" w:eastAsiaTheme="minorEastAsia"/>
          <w:b/>
          <w:color w:val="auto"/>
        </w:rPr>
      </w:pPr>
      <w:bookmarkStart w:id="85" w:name="_Toc28092"/>
      <w:bookmarkStart w:id="86" w:name="_Toc337"/>
      <w:r>
        <w:rPr>
          <w:rFonts w:hint="default" w:ascii="Times New Roman" w:hAnsi="Times New Roman" w:cs="Times New Roman" w:eastAsiaTheme="minorEastAsia"/>
          <w:b/>
          <w:color w:val="auto"/>
        </w:rPr>
        <w:t>生态环境现状调查与评价</w:t>
      </w:r>
      <w:bookmarkEnd w:id="85"/>
      <w:bookmarkEnd w:id="86"/>
    </w:p>
    <w:p>
      <w:pPr>
        <w:tabs>
          <w:tab w:val="left" w:pos="900"/>
        </w:tabs>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本项目生态环境</w:t>
      </w:r>
      <w:r>
        <w:rPr>
          <w:rFonts w:hint="default" w:ascii="Times New Roman" w:hAnsi="Times New Roman" w:cs="Times New Roman" w:eastAsiaTheme="minorEastAsia"/>
          <w:color w:val="auto"/>
          <w:sz w:val="24"/>
          <w:szCs w:val="24"/>
          <w:highlight w:val="none"/>
        </w:rPr>
        <w:t>现状调查资料引用于《</w:t>
      </w:r>
      <w:r>
        <w:rPr>
          <w:rFonts w:hint="default" w:ascii="Times New Roman" w:hAnsi="Times New Roman" w:cs="Times New Roman" w:eastAsiaTheme="minorEastAsia"/>
          <w:color w:val="auto"/>
          <w:sz w:val="24"/>
          <w:szCs w:val="24"/>
          <w:highlight w:val="none"/>
          <w:lang w:val="zh-CN"/>
        </w:rPr>
        <w:t>岳阳LNG接收站（储备中心）、加注站项目工程对“长江监利段四大家鱼国家级水产种质资源保护区”</w:t>
      </w:r>
      <w:r>
        <w:rPr>
          <w:rFonts w:hint="default" w:ascii="Times New Roman" w:hAnsi="Times New Roman" w:cs="Times New Roman" w:eastAsiaTheme="minorEastAsia"/>
          <w:color w:val="auto"/>
          <w:sz w:val="24"/>
          <w:szCs w:val="24"/>
          <w:highlight w:val="none"/>
        </w:rPr>
        <w:t>影响专题论证报告》及《</w:t>
      </w:r>
      <w:r>
        <w:rPr>
          <w:rFonts w:hint="default" w:ascii="Times New Roman" w:hAnsi="Times New Roman" w:cs="Times New Roman" w:eastAsiaTheme="minorEastAsia"/>
          <w:color w:val="auto"/>
          <w:sz w:val="24"/>
          <w:szCs w:val="24"/>
          <w:highlight w:val="none"/>
          <w:lang w:eastAsia="zh-CN"/>
        </w:rPr>
        <w:t>岳阳LNG接收站（储备中心）项目工程对湖南东洞庭湖国家级自然保护区生物多样性影响评价报告</w:t>
      </w:r>
      <w:r>
        <w:rPr>
          <w:rFonts w:hint="default" w:ascii="Times New Roman" w:hAnsi="Times New Roman" w:cs="Times New Roman" w:eastAsiaTheme="minorEastAsia"/>
          <w:color w:val="auto"/>
          <w:sz w:val="24"/>
          <w:szCs w:val="24"/>
          <w:highlight w:val="none"/>
        </w:rPr>
        <w:t>》中</w:t>
      </w:r>
      <w:r>
        <w:rPr>
          <w:rFonts w:hint="default" w:ascii="Times New Roman" w:hAnsi="Times New Roman" w:cs="Times New Roman" w:eastAsiaTheme="minorEastAsia"/>
          <w:color w:val="auto"/>
          <w:sz w:val="24"/>
          <w:szCs w:val="24"/>
        </w:rPr>
        <w:t>相关内容。</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陆生生态环境现状调查</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植物资源</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通过对影响评价区范围内进行的植物调查，共统计维管束植物18科27种，其中蕨类2科2种，被子植物16科25种，其中被子植物科和种分别占到总数的89%和93%，调查结果说明影响评价区植物以被子植物为主。调查结果中禾本科植物种类最多有8种，其次为大乾科，分别有3种。</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根据植物生活型划分其中草本植物13种，占总数的72%，包括大部分的被子植物，调查结果说明该区域植物以草本植物为主，以短尖苔草为代表的苔草属植物分布较广。</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根据《中国湿地植被》（中国湿地植被编辑委员会，1999）分类原则，评价区内湿地植物大致可分为18个群系，现分述如下：</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1、旱柳群系（</w:t>
      </w:r>
      <w:r>
        <w:rPr>
          <w:rFonts w:hint="default" w:ascii="Times New Roman" w:hAnsi="Times New Roman" w:cs="Times New Roman"/>
          <w:b/>
          <w:bCs/>
          <w:i/>
          <w:iCs/>
          <w:color w:val="auto"/>
          <w:sz w:val="24"/>
          <w:szCs w:val="18"/>
        </w:rPr>
        <w:t>Form.Salix matsudana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旱柳为为评价区较为常见的乔木树种之一，常见于堤岸、滩涂、耕地边、村落附近，多零散分布。</w:t>
      </w:r>
    </w:p>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771900" cy="2586990"/>
            <wp:effectExtent l="0" t="0" r="0" b="3810"/>
            <wp:docPr id="4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8"/>
                    <pic:cNvPicPr>
                      <a:picLocks noChangeAspect="1"/>
                    </pic:cNvPicPr>
                  </pic:nvPicPr>
                  <pic:blipFill>
                    <a:blip r:embed="rId50"/>
                    <a:stretch>
                      <a:fillRect/>
                    </a:stretch>
                  </pic:blipFill>
                  <pic:spPr>
                    <a:xfrm>
                      <a:off x="0" y="0"/>
                      <a:ext cx="3771900" cy="2586990"/>
                    </a:xfrm>
                    <a:prstGeom prst="rect">
                      <a:avLst/>
                    </a:prstGeom>
                    <a:noFill/>
                    <a:ln>
                      <a:noFill/>
                    </a:ln>
                  </pic:spPr>
                </pic:pic>
              </a:graphicData>
            </a:graphic>
          </wp:inline>
        </w:drawing>
      </w:r>
    </w:p>
    <w:p>
      <w:pPr>
        <w:widowControl/>
        <w:jc w:val="center"/>
        <w:rPr>
          <w:rFonts w:hint="default" w:ascii="Times New Roman" w:hAnsi="Times New Roman" w:cs="Times New Roman"/>
          <w:color w:val="auto"/>
        </w:rPr>
      </w:pPr>
      <w:r>
        <w:rPr>
          <w:rFonts w:hint="default" w:ascii="Times New Roman" w:hAnsi="Times New Roman" w:cs="Times New Roman"/>
          <w:b/>
          <w:color w:val="auto"/>
          <w:kern w:val="0"/>
          <w:sz w:val="24"/>
          <w:szCs w:val="24"/>
          <w:lang w:bidi="ar"/>
        </w:rPr>
        <w:t>图5.8-1  旱柳群系</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2、枫杨群系（</w:t>
      </w:r>
      <w:r>
        <w:rPr>
          <w:rFonts w:hint="default" w:ascii="Times New Roman" w:hAnsi="Times New Roman" w:cs="Times New Roman"/>
          <w:b/>
          <w:bCs/>
          <w:i/>
          <w:iCs/>
          <w:color w:val="auto"/>
          <w:sz w:val="24"/>
          <w:szCs w:val="18"/>
        </w:rPr>
        <w:t>Form. Pterocarya stenoptera</w:t>
      </w:r>
      <w:r>
        <w:rPr>
          <w:rFonts w:hint="default" w:ascii="Times New Roman" w:hAnsi="Times New Roman" w:cs="Times New Roman"/>
          <w:b/>
          <w:bCs/>
          <w:color w:val="auto"/>
          <w:sz w:val="24"/>
          <w:szCs w:val="18"/>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枫杨在评价区分布较广泛，见于评价区内江边、河流及池塘边、堤岸、农田附近，多零散分布。</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color w:val="auto"/>
        </w:rPr>
        <w:drawing>
          <wp:inline distT="0" distB="0" distL="114300" distR="114300">
            <wp:extent cx="3487420" cy="2943225"/>
            <wp:effectExtent l="0" t="0" r="17780" b="9525"/>
            <wp:docPr id="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
                    <pic:cNvPicPr>
                      <a:picLocks noChangeAspect="1"/>
                    </pic:cNvPicPr>
                  </pic:nvPicPr>
                  <pic:blipFill>
                    <a:blip r:embed="rId51"/>
                    <a:stretch>
                      <a:fillRect/>
                    </a:stretch>
                  </pic:blipFill>
                  <pic:spPr>
                    <a:xfrm>
                      <a:off x="0" y="0"/>
                      <a:ext cx="3487420" cy="2943225"/>
                    </a:xfrm>
                    <a:prstGeom prst="rect">
                      <a:avLst/>
                    </a:prstGeom>
                    <a:noFill/>
                    <a:ln>
                      <a:noFill/>
                    </a:ln>
                  </pic:spPr>
                </pic:pic>
              </a:graphicData>
            </a:graphic>
          </wp:inline>
        </w:drawing>
      </w:r>
    </w:p>
    <w:p>
      <w:pPr>
        <w:widowControl/>
        <w:jc w:val="center"/>
        <w:rPr>
          <w:rFonts w:hint="default" w:ascii="Times New Roman" w:hAnsi="Times New Roman" w:cs="Times New Roman"/>
          <w:color w:val="auto"/>
        </w:rPr>
      </w:pPr>
      <w:r>
        <w:rPr>
          <w:rFonts w:hint="default" w:ascii="Times New Roman" w:hAnsi="Times New Roman" w:cs="Times New Roman"/>
          <w:b/>
          <w:color w:val="auto"/>
          <w:kern w:val="0"/>
          <w:sz w:val="24"/>
          <w:szCs w:val="24"/>
          <w:lang w:bidi="ar"/>
        </w:rPr>
        <w:t>图5.8-2  枫杨群系</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3、意杨群系（</w:t>
      </w:r>
      <w:r>
        <w:rPr>
          <w:rFonts w:hint="default" w:ascii="Times New Roman" w:hAnsi="Times New Roman" w:cs="Times New Roman"/>
          <w:b/>
          <w:bCs/>
          <w:i/>
          <w:iCs/>
          <w:color w:val="auto"/>
          <w:sz w:val="24"/>
          <w:szCs w:val="18"/>
        </w:rPr>
        <w:t>Form.Populus canadensis</w:t>
      </w:r>
      <w:r>
        <w:rPr>
          <w:rFonts w:hint="default" w:ascii="Times New Roman" w:hAnsi="Times New Roman" w:cs="Times New Roman"/>
          <w:b/>
          <w:bCs/>
          <w:color w:val="auto"/>
          <w:sz w:val="24"/>
          <w:szCs w:val="18"/>
        </w:rPr>
        <w:t>）</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18"/>
        </w:rPr>
        <w:t>意杨在19世纪中叶引入我国，现各地普遍栽培。评价区内意杨多为防护林，在提岸两侧多呈成片状、条带状分布，是评价区内最为常见的人工林之一。群落外貌绿色，林冠整齐，群落结构及种类组成较简单。</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color w:val="auto"/>
        </w:rPr>
        <w:drawing>
          <wp:inline distT="0" distB="0" distL="114300" distR="114300">
            <wp:extent cx="3557905" cy="3167380"/>
            <wp:effectExtent l="0" t="0" r="4445" b="13970"/>
            <wp:docPr id="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6"/>
                    <pic:cNvPicPr>
                      <a:picLocks noChangeAspect="1"/>
                    </pic:cNvPicPr>
                  </pic:nvPicPr>
                  <pic:blipFill>
                    <a:blip r:embed="rId52"/>
                    <a:stretch>
                      <a:fillRect/>
                    </a:stretch>
                  </pic:blipFill>
                  <pic:spPr>
                    <a:xfrm>
                      <a:off x="0" y="0"/>
                      <a:ext cx="3557905" cy="3167380"/>
                    </a:xfrm>
                    <a:prstGeom prst="rect">
                      <a:avLst/>
                    </a:prstGeom>
                    <a:noFill/>
                    <a:ln>
                      <a:noFill/>
                    </a:ln>
                  </pic:spPr>
                </pic:pic>
              </a:graphicData>
            </a:graphic>
          </wp:inline>
        </w:drawing>
      </w:r>
    </w:p>
    <w:p>
      <w:pPr>
        <w:widowControl/>
        <w:jc w:val="center"/>
        <w:rPr>
          <w:rFonts w:hint="default" w:ascii="Times New Roman" w:hAnsi="Times New Roman" w:cs="Times New Roman"/>
          <w:color w:val="auto"/>
        </w:rPr>
      </w:pPr>
      <w:r>
        <w:rPr>
          <w:rFonts w:hint="default" w:ascii="Times New Roman" w:hAnsi="Times New Roman" w:cs="Times New Roman"/>
          <w:b/>
          <w:color w:val="auto"/>
          <w:kern w:val="0"/>
          <w:sz w:val="24"/>
          <w:szCs w:val="24"/>
          <w:lang w:bidi="ar"/>
        </w:rPr>
        <w:t>图5.8-3  意杨群系</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4、构树群系（</w:t>
      </w:r>
      <w:r>
        <w:rPr>
          <w:rFonts w:hint="default" w:ascii="Times New Roman" w:hAnsi="Times New Roman" w:cs="Times New Roman"/>
          <w:b/>
          <w:bCs/>
          <w:i/>
          <w:iCs/>
          <w:color w:val="auto"/>
          <w:sz w:val="24"/>
          <w:szCs w:val="18"/>
        </w:rPr>
        <w:t>Form.Broussonetia papyrifera</w:t>
      </w:r>
      <w:r>
        <w:rPr>
          <w:rFonts w:hint="default" w:ascii="Times New Roman" w:hAnsi="Times New Roman" w:cs="Times New Roman"/>
          <w:b/>
          <w:bCs/>
          <w:color w:val="auto"/>
          <w:sz w:val="24"/>
          <w:szCs w:val="18"/>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构树为评价区分布面积较大、最为常见的灌木树种之一，在耕地周围、村落旁、堤岸附近、滩涂上均有较广泛分布，多呈片状或团状分布。</w:t>
      </w:r>
    </w:p>
    <w:p>
      <w:pPr>
        <w:adjustRightInd w:val="0"/>
        <w:snapToGrid w:val="0"/>
        <w:spacing w:line="360"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color w:val="auto"/>
        </w:rPr>
        <w:drawing>
          <wp:inline distT="0" distB="0" distL="114300" distR="114300">
            <wp:extent cx="4521835" cy="3110865"/>
            <wp:effectExtent l="0" t="0" r="12065" b="13335"/>
            <wp:docPr id="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7"/>
                    <pic:cNvPicPr>
                      <a:picLocks noChangeAspect="1"/>
                    </pic:cNvPicPr>
                  </pic:nvPicPr>
                  <pic:blipFill>
                    <a:blip r:embed="rId53"/>
                    <a:stretch>
                      <a:fillRect/>
                    </a:stretch>
                  </pic:blipFill>
                  <pic:spPr>
                    <a:xfrm>
                      <a:off x="0" y="0"/>
                      <a:ext cx="4521835" cy="3110865"/>
                    </a:xfrm>
                    <a:prstGeom prst="rect">
                      <a:avLst/>
                    </a:prstGeom>
                    <a:noFill/>
                    <a:ln>
                      <a:noFill/>
                    </a:ln>
                  </pic:spPr>
                </pic:pic>
              </a:graphicData>
            </a:graphic>
          </wp:inline>
        </w:drawing>
      </w:r>
    </w:p>
    <w:p>
      <w:pPr>
        <w:widowControl/>
        <w:ind w:firstLine="482" w:firstLineChars="200"/>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图5.8-4  构树群系</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5、白茅群系(</w:t>
      </w:r>
      <w:r>
        <w:rPr>
          <w:rFonts w:hint="default" w:ascii="Times New Roman" w:hAnsi="Times New Roman" w:cs="Times New Roman"/>
          <w:b/>
          <w:bCs/>
          <w:i/>
          <w:iCs/>
          <w:color w:val="auto"/>
          <w:sz w:val="24"/>
          <w:szCs w:val="18"/>
        </w:rPr>
        <w:t>Form.Imperata cylindrica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白茅为多年生草本，适应性范围广，繁殖力强，在评价区分布广泛，为评价区最为常见的草本植物之一，常于耕地附近、路边、滩涂及堤岸附近呈片状分布。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6、狗牙根群系（</w:t>
      </w:r>
      <w:r>
        <w:rPr>
          <w:rFonts w:hint="default" w:ascii="Times New Roman" w:hAnsi="Times New Roman" w:cs="Times New Roman"/>
          <w:b/>
          <w:bCs/>
          <w:i/>
          <w:iCs/>
          <w:color w:val="auto"/>
          <w:sz w:val="24"/>
          <w:szCs w:val="18"/>
        </w:rPr>
        <w:t>Form.Cynodon dactylon</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狗牙根发生期长，生活力强，繁殖迅速，蔓延快，常成片生长，不怕践踏，抗逆性极强。狗牙根在评价区内分布广泛，常生于评价区堤岸、滩涂、路边开阔地，呈片状分布。</w:t>
      </w:r>
    </w:p>
    <w:p>
      <w:pPr>
        <w:widowControl/>
        <w:adjustRightInd w:val="0"/>
        <w:snapToGrid w:val="0"/>
        <w:spacing w:line="360" w:lineRule="auto"/>
        <w:ind w:firstLine="482" w:firstLineChars="200"/>
        <w:rPr>
          <w:rFonts w:hint="default" w:ascii="Times New Roman" w:hAnsi="Times New Roman" w:cs="Times New Roman"/>
          <w:color w:val="auto"/>
          <w:sz w:val="24"/>
          <w:szCs w:val="18"/>
        </w:rPr>
      </w:pPr>
      <w:r>
        <w:rPr>
          <w:rFonts w:hint="default" w:ascii="Times New Roman" w:hAnsi="Times New Roman" w:cs="Times New Roman"/>
          <w:b/>
          <w:bCs/>
          <w:color w:val="auto"/>
          <w:sz w:val="24"/>
          <w:szCs w:val="18"/>
        </w:rPr>
        <w:t>7、牛鞭草群系（</w:t>
      </w:r>
      <w:r>
        <w:rPr>
          <w:rFonts w:hint="default" w:ascii="Times New Roman" w:hAnsi="Times New Roman" w:cs="Times New Roman"/>
          <w:b/>
          <w:bCs/>
          <w:i/>
          <w:iCs/>
          <w:color w:val="auto"/>
          <w:sz w:val="24"/>
          <w:szCs w:val="18"/>
        </w:rPr>
        <w:t>Form.Hemarthriaaltissima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牛鞭草适应性强，繁殖力强，在水分良好的条件下生长较好。牛鞭草在评价区内分布广泛，常生于滩涂及浅水区域、河流、坑塘边，常呈团状或片状分布。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8、虉草群系（</w:t>
      </w:r>
      <w:r>
        <w:rPr>
          <w:rFonts w:hint="default" w:ascii="Times New Roman" w:hAnsi="Times New Roman" w:cs="Times New Roman"/>
          <w:b/>
          <w:bCs/>
          <w:i/>
          <w:iCs/>
          <w:color w:val="auto"/>
          <w:sz w:val="24"/>
          <w:szCs w:val="18"/>
        </w:rPr>
        <w:t>Form.Phalaris arundinacea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虉草在评价区内分布广泛，常生于滩涂或浅水水域边，常呈带状或团状分布。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9、双穗雀稗群系（</w:t>
      </w:r>
      <w:r>
        <w:rPr>
          <w:rFonts w:hint="default" w:ascii="Times New Roman" w:hAnsi="Times New Roman" w:cs="Times New Roman"/>
          <w:b/>
          <w:bCs/>
          <w:i/>
          <w:iCs/>
          <w:color w:val="auto"/>
          <w:sz w:val="24"/>
          <w:szCs w:val="18"/>
        </w:rPr>
        <w:t>Form.Paspalum paspaloides</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双穗雀稗繁殖力强，生态幅较宽，适应性强，竞争力强，为评价区内最为常见的草本植物之一，在评价区分布面积较大，多分布于农田边、河流及库塘周围、滩涂等水湿地。</w:t>
      </w:r>
    </w:p>
    <w:p>
      <w:pPr>
        <w:adjustRightInd w:val="0"/>
        <w:snapToGrid w:val="0"/>
        <w:spacing w:line="360" w:lineRule="auto"/>
        <w:ind w:firstLine="482"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b/>
          <w:bCs/>
          <w:color w:val="auto"/>
          <w:sz w:val="24"/>
          <w:szCs w:val="18"/>
        </w:rPr>
        <w:t>10、南荻群系（</w:t>
      </w:r>
      <w:r>
        <w:rPr>
          <w:rFonts w:hint="default" w:ascii="Times New Roman" w:hAnsi="Times New Roman" w:cs="Times New Roman"/>
          <w:b/>
          <w:bCs/>
          <w:i/>
          <w:iCs/>
          <w:color w:val="auto"/>
          <w:sz w:val="24"/>
          <w:szCs w:val="18"/>
        </w:rPr>
        <w:t>Form.Triarrhena lutarioriparia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南荻为多年生高大竹状草本，具十分发达的根状茎，适应性强，繁殖力强，竞争力强，为评价区滩涂湿地分布面积最大、最常见的植物之一，常生于江洲湖滩、浅水沼泽地。</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11、芦苇群系（</w:t>
      </w:r>
      <w:r>
        <w:rPr>
          <w:rFonts w:hint="default" w:ascii="Times New Roman" w:hAnsi="Times New Roman" w:cs="Times New Roman"/>
          <w:b/>
          <w:bCs/>
          <w:i/>
          <w:iCs/>
          <w:color w:val="auto"/>
          <w:sz w:val="24"/>
          <w:szCs w:val="18"/>
        </w:rPr>
        <w:t>Form.Phragmites australis</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芦苇为多年生草本，根状茎发达，适应性强，繁殖力强，为评价区内分布最广泛、最常见的植物之一，常生于滩涂、沼泽地、沟渠等湿地环境，多呈片状或团状分布。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12、蒌蒿群系（</w:t>
      </w:r>
      <w:r>
        <w:rPr>
          <w:rFonts w:hint="default" w:ascii="Times New Roman" w:hAnsi="Times New Roman" w:cs="Times New Roman"/>
          <w:b/>
          <w:bCs/>
          <w:i/>
          <w:iCs/>
          <w:color w:val="auto"/>
          <w:sz w:val="24"/>
          <w:szCs w:val="18"/>
        </w:rPr>
        <w:t>Form.Artemisia selengensis</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蒌蒿为多年生草本，适应性强，在评价区分布广泛，常生于滩涂、河湖岸边与沼泽地带，在滩涂、沼泽及浅水区常呈团状或片状分布。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13、弯囊薹草群系（</w:t>
      </w:r>
      <w:r>
        <w:rPr>
          <w:rFonts w:hint="default" w:ascii="Times New Roman" w:hAnsi="Times New Roman" w:cs="Times New Roman"/>
          <w:b/>
          <w:bCs/>
          <w:i/>
          <w:iCs/>
          <w:color w:val="auto"/>
          <w:sz w:val="24"/>
          <w:szCs w:val="18"/>
        </w:rPr>
        <w:t>Form.Carex dispalata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弯囊薹草具长而较粗的地下匍匐茎，根状茎粗，适应性强，繁殖力强，在评价区分布广泛，常生于潮湿地，沟边或沼泽地，呈片状或团状分布。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14、蓼子草群系（</w:t>
      </w:r>
      <w:r>
        <w:rPr>
          <w:rFonts w:hint="default" w:ascii="Times New Roman" w:hAnsi="Times New Roman" w:cs="Times New Roman"/>
          <w:b/>
          <w:bCs/>
          <w:i/>
          <w:iCs/>
          <w:color w:val="auto"/>
          <w:sz w:val="24"/>
          <w:szCs w:val="18"/>
        </w:rPr>
        <w:t>Form.Polygonum criopolitanum</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蓼子草为一年生草本，在评价区分布广泛，常生于河滩沙地、沟边湿地，呈小片状或小团状镶嵌于其他湖草群系中。</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15、水烛群系（</w:t>
      </w:r>
      <w:r>
        <w:rPr>
          <w:rFonts w:hint="default" w:ascii="Times New Roman" w:hAnsi="Times New Roman" w:cs="Times New Roman"/>
          <w:b/>
          <w:bCs/>
          <w:i/>
          <w:iCs/>
          <w:color w:val="auto"/>
          <w:sz w:val="24"/>
          <w:szCs w:val="18"/>
        </w:rPr>
        <w:t>Form.Typha angustifolia</w:t>
      </w:r>
      <w:r>
        <w:rPr>
          <w:rFonts w:hint="default" w:ascii="Times New Roman" w:hAnsi="Times New Roman" w:cs="Times New Roman"/>
          <w:b/>
          <w:bCs/>
          <w:color w:val="auto"/>
          <w:sz w:val="24"/>
          <w:szCs w:val="18"/>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水烛为多年生水生或沼生草本，根状茎发达，适应性强，在评价区沼泽浅水区、湖滩等浅水区较常见，常呈小片状分布。</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color w:val="auto"/>
        </w:rPr>
        <w:drawing>
          <wp:inline distT="0" distB="0" distL="114300" distR="114300">
            <wp:extent cx="3922395" cy="2733675"/>
            <wp:effectExtent l="0" t="0" r="1905" b="9525"/>
            <wp:docPr id="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8"/>
                    <pic:cNvPicPr>
                      <a:picLocks noChangeAspect="1"/>
                    </pic:cNvPicPr>
                  </pic:nvPicPr>
                  <pic:blipFill>
                    <a:blip r:embed="rId54"/>
                    <a:stretch>
                      <a:fillRect/>
                    </a:stretch>
                  </pic:blipFill>
                  <pic:spPr>
                    <a:xfrm>
                      <a:off x="0" y="0"/>
                      <a:ext cx="3922395" cy="273367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b/>
          <w:bCs/>
          <w:color w:val="auto"/>
          <w:sz w:val="24"/>
          <w:szCs w:val="18"/>
        </w:rPr>
        <w:t>图5.8-5  水烛群系</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16、浮萍群系（</w:t>
      </w:r>
      <w:r>
        <w:rPr>
          <w:rFonts w:hint="default" w:ascii="Times New Roman" w:hAnsi="Times New Roman" w:cs="Times New Roman"/>
          <w:b/>
          <w:bCs/>
          <w:i/>
          <w:iCs/>
          <w:color w:val="auto"/>
          <w:sz w:val="24"/>
          <w:szCs w:val="18"/>
        </w:rPr>
        <w:t>Form.Lemnaminor</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浮萍为漂浮植物，适应性较强，繁殖迅速，在评价区分布广泛，常见于农田、沟渠、坑塘、河流、江边等区域，常呈团状或片状分布。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17、黑藻群系（</w:t>
      </w:r>
      <w:r>
        <w:rPr>
          <w:rFonts w:hint="default" w:ascii="Times New Roman" w:hAnsi="Times New Roman" w:cs="Times New Roman"/>
          <w:b/>
          <w:bCs/>
          <w:i/>
          <w:iCs/>
          <w:color w:val="auto"/>
          <w:sz w:val="24"/>
          <w:szCs w:val="18"/>
        </w:rPr>
        <w:t>Form.Hydrilla verticillata</w:t>
      </w:r>
      <w:r>
        <w:rPr>
          <w:rFonts w:hint="default" w:ascii="Times New Roman" w:hAnsi="Times New Roman" w:cs="Times New Roman"/>
          <w:b/>
          <w:bCs/>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黑藻为多年生沉水草本，适应性强，生长速度快，繁殖力强，为评价区较为常见的沉水植物之一，常生于洲滩及江边浅水区域，多呈群落状分布。</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18、金鱼藻群系（</w:t>
      </w:r>
      <w:r>
        <w:rPr>
          <w:rFonts w:hint="default" w:ascii="Times New Roman" w:hAnsi="Times New Roman" w:cs="Times New Roman"/>
          <w:b/>
          <w:bCs/>
          <w:i/>
          <w:iCs/>
          <w:color w:val="auto"/>
          <w:sz w:val="24"/>
          <w:szCs w:val="18"/>
        </w:rPr>
        <w:t>Form.Ceratophyllum demersum</w:t>
      </w:r>
      <w:r>
        <w:rPr>
          <w:rFonts w:hint="default" w:ascii="Times New Roman" w:hAnsi="Times New Roman" w:cs="Times New Roman"/>
          <w:b/>
          <w:bCs/>
          <w:color w:val="auto"/>
          <w:sz w:val="24"/>
          <w:szCs w:val="18"/>
        </w:rPr>
        <w:t>）</w:t>
      </w:r>
    </w:p>
    <w:p>
      <w:pPr>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金鱼藻为多年生沉水植物，在评价区分布较广泛，常生于坑塘、河沟、江边，多零星分布。</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动物资源</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1、两栖类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根据现场调查和查阅历史文献资料，评价区分布有两栖类5种，隶属于1目3科，分别为无尾目，蟾蜍科1种、蛙科3种、姬蛙科1种。其中，东洋种2种，广布种3种。</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上述5种两栖动物，中华大蟾蜍（</w:t>
      </w:r>
      <w:r>
        <w:rPr>
          <w:rFonts w:hint="default" w:ascii="Times New Roman" w:hAnsi="Times New Roman" w:cs="Times New Roman"/>
          <w:i/>
          <w:iCs/>
          <w:color w:val="auto"/>
          <w:sz w:val="24"/>
          <w:szCs w:val="18"/>
        </w:rPr>
        <w:t>Bufo gargarizans</w:t>
      </w:r>
      <w:r>
        <w:rPr>
          <w:rFonts w:hint="default" w:ascii="Times New Roman" w:hAnsi="Times New Roman" w:cs="Times New Roman"/>
          <w:color w:val="auto"/>
          <w:sz w:val="24"/>
          <w:szCs w:val="18"/>
        </w:rPr>
        <w:t>）、镇海林蛙（</w:t>
      </w:r>
      <w:r>
        <w:rPr>
          <w:rFonts w:hint="default" w:ascii="Times New Roman" w:hAnsi="Times New Roman" w:cs="Times New Roman"/>
          <w:i/>
          <w:iCs/>
          <w:color w:val="auto"/>
          <w:sz w:val="24"/>
          <w:szCs w:val="18"/>
        </w:rPr>
        <w:t>Ranazhenhaienesis</w:t>
      </w:r>
      <w:r>
        <w:rPr>
          <w:rFonts w:hint="default" w:ascii="Times New Roman" w:hAnsi="Times New Roman" w:cs="Times New Roman"/>
          <w:color w:val="auto"/>
          <w:sz w:val="24"/>
          <w:szCs w:val="18"/>
        </w:rPr>
        <w:t>）、黑斑侧褶蛙（</w:t>
      </w:r>
      <w:r>
        <w:rPr>
          <w:rFonts w:hint="default" w:ascii="Times New Roman" w:hAnsi="Times New Roman" w:cs="Times New Roman"/>
          <w:i/>
          <w:iCs/>
          <w:color w:val="auto"/>
          <w:sz w:val="24"/>
          <w:szCs w:val="18"/>
        </w:rPr>
        <w:t>Pelophylax nigromaculata</w:t>
      </w:r>
      <w:r>
        <w:rPr>
          <w:rFonts w:hint="default" w:ascii="Times New Roman" w:hAnsi="Times New Roman" w:cs="Times New Roman"/>
          <w:color w:val="auto"/>
          <w:sz w:val="24"/>
          <w:szCs w:val="18"/>
        </w:rPr>
        <w:t>）、泽陆蛙（</w:t>
      </w:r>
      <w:r>
        <w:rPr>
          <w:rFonts w:hint="default" w:ascii="Times New Roman" w:hAnsi="Times New Roman" w:cs="Times New Roman"/>
          <w:i/>
          <w:iCs/>
          <w:color w:val="auto"/>
          <w:sz w:val="24"/>
          <w:szCs w:val="18"/>
        </w:rPr>
        <w:t>Fejervarya limnocharis</w:t>
      </w:r>
      <w:r>
        <w:rPr>
          <w:rFonts w:hint="default" w:ascii="Times New Roman" w:hAnsi="Times New Roman" w:cs="Times New Roman"/>
          <w:color w:val="auto"/>
          <w:sz w:val="24"/>
          <w:szCs w:val="18"/>
        </w:rPr>
        <w:t>）和饰纹姬蛙（</w:t>
      </w:r>
      <w:r>
        <w:rPr>
          <w:rFonts w:hint="default" w:ascii="Times New Roman" w:hAnsi="Times New Roman" w:cs="Times New Roman"/>
          <w:i/>
          <w:iCs/>
          <w:color w:val="auto"/>
          <w:sz w:val="24"/>
          <w:szCs w:val="18"/>
        </w:rPr>
        <w:t>Microhyla ornata</w:t>
      </w:r>
      <w:r>
        <w:rPr>
          <w:rFonts w:hint="default" w:ascii="Times New Roman" w:hAnsi="Times New Roman" w:cs="Times New Roman"/>
          <w:color w:val="auto"/>
          <w:sz w:val="24"/>
          <w:szCs w:val="18"/>
        </w:rPr>
        <w:t>），为“三有”保护物种和湖南省重点保护动物，其中黑斑侧褶蛙被IUCN评级为近危级别（NT）。现场调研未发现上述重点保护动物。</w:t>
      </w:r>
    </w:p>
    <w:p>
      <w:pPr>
        <w:widowControl/>
        <w:adjustRightInd w:val="0"/>
        <w:snapToGrid w:val="0"/>
        <w:spacing w:line="360" w:lineRule="auto"/>
        <w:ind w:firstLine="482" w:firstLineChars="200"/>
        <w:rPr>
          <w:rFonts w:hint="default" w:ascii="Times New Roman" w:hAnsi="Times New Roman" w:cs="Times New Roman"/>
          <w:color w:val="auto"/>
          <w:sz w:val="24"/>
          <w:szCs w:val="18"/>
        </w:rPr>
      </w:pPr>
      <w:r>
        <w:rPr>
          <w:rFonts w:hint="default" w:ascii="Times New Roman" w:hAnsi="Times New Roman" w:cs="Times New Roman"/>
          <w:b/>
          <w:bCs/>
          <w:color w:val="auto"/>
          <w:sz w:val="24"/>
          <w:szCs w:val="18"/>
        </w:rPr>
        <w:t>2、爬行类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评价区分布有爬行类5种，隶属于1目3科，分别为有鳞目，壁虎科1种、石龙子科1种、游蛇科3种。其中东洋种2种，广布种3种。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调查到的5种爬行类全部是国家林业局规定的“三有”保护物种，并且除铅山壁虎（</w:t>
      </w:r>
      <w:r>
        <w:rPr>
          <w:rFonts w:hint="default" w:ascii="Times New Roman" w:hAnsi="Times New Roman" w:cs="Times New Roman"/>
          <w:i/>
          <w:iCs/>
          <w:color w:val="auto"/>
          <w:sz w:val="24"/>
          <w:szCs w:val="18"/>
        </w:rPr>
        <w:t>Gekko hokouensis</w:t>
      </w:r>
      <w:r>
        <w:rPr>
          <w:rFonts w:hint="default" w:ascii="Times New Roman" w:hAnsi="Times New Roman" w:cs="Times New Roman"/>
          <w:color w:val="auto"/>
          <w:sz w:val="24"/>
          <w:szCs w:val="18"/>
        </w:rPr>
        <w:t>）外，全部为湖南省重点保护物种。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铅山壁虎主要以昆虫等为食，分布在调查区域附近的居民区等地。</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中国水蛇主要捕食蛙、虾、小鱼等，主要在调查区或附近的的水体中活动。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中国石龙子主要在调查区的乔木林灌丛或附近草丛中活动，主要以小虫为食。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虎斑颈槽蛇、赤链蛇，主要在调查区内丘陵小溪流间活动。调查区中上述2种爬行类种类数量最多，构成了评价区爬行类的主体。</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3、兽类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现场调查和查阅相关历史文献资料，评价区内分布有哺乳动物8种，隶属于5目6科，分别为翼手目蝙蝠科1种，啮齿目仓鼠科1种、鼠科3种，兔形目兔科1种，食肉目鼬科1种，鲸目鼠海豚科1种。其中东洋种3种，广布种5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在所调查到的8种哺乳类中，有国家Ⅱ级保护动物1种，为江豚（</w:t>
      </w:r>
      <w:r>
        <w:rPr>
          <w:rFonts w:hint="default" w:ascii="Times New Roman" w:hAnsi="Times New Roman" w:cs="Times New Roman"/>
          <w:i/>
          <w:iCs/>
          <w:color w:val="auto"/>
          <w:sz w:val="24"/>
          <w:szCs w:val="18"/>
        </w:rPr>
        <w:t>Neophocaena phocaenoides</w:t>
      </w:r>
      <w:r>
        <w:rPr>
          <w:rFonts w:hint="default" w:ascii="Times New Roman" w:hAnsi="Times New Roman" w:cs="Times New Roman"/>
          <w:color w:val="auto"/>
          <w:sz w:val="24"/>
          <w:szCs w:val="18"/>
        </w:rPr>
        <w:t>）。有湖南省重点保护动物3种，分别为普通伏翼（</w:t>
      </w:r>
      <w:r>
        <w:rPr>
          <w:rFonts w:hint="default" w:ascii="Times New Roman" w:hAnsi="Times New Roman" w:cs="Times New Roman"/>
          <w:i/>
          <w:iCs/>
          <w:color w:val="auto"/>
          <w:sz w:val="24"/>
          <w:szCs w:val="18"/>
        </w:rPr>
        <w:t>Pipistrellus pipistrellus</w:t>
      </w:r>
      <w:r>
        <w:rPr>
          <w:rFonts w:hint="default" w:ascii="Times New Roman" w:hAnsi="Times New Roman" w:cs="Times New Roman"/>
          <w:color w:val="auto"/>
          <w:sz w:val="24"/>
          <w:szCs w:val="18"/>
        </w:rPr>
        <w:t>）、华南兔（</w:t>
      </w:r>
      <w:r>
        <w:rPr>
          <w:rFonts w:hint="default" w:ascii="Times New Roman" w:hAnsi="Times New Roman" w:cs="Times New Roman"/>
          <w:i/>
          <w:iCs/>
          <w:color w:val="auto"/>
          <w:sz w:val="24"/>
          <w:szCs w:val="18"/>
        </w:rPr>
        <w:t>Lepus sinensis</w:t>
      </w:r>
      <w:r>
        <w:rPr>
          <w:rFonts w:hint="default" w:ascii="Times New Roman" w:hAnsi="Times New Roman" w:cs="Times New Roman"/>
          <w:color w:val="auto"/>
          <w:sz w:val="24"/>
          <w:szCs w:val="18"/>
        </w:rPr>
        <w:t>）和黄鼬（</w:t>
      </w:r>
      <w:r>
        <w:rPr>
          <w:rFonts w:hint="default" w:ascii="Times New Roman" w:hAnsi="Times New Roman" w:cs="Times New Roman"/>
          <w:i/>
          <w:iCs/>
          <w:color w:val="auto"/>
          <w:sz w:val="24"/>
          <w:szCs w:val="18"/>
        </w:rPr>
        <w:t>Mustelasibirica</w:t>
      </w:r>
      <w:r>
        <w:rPr>
          <w:rFonts w:hint="default" w:ascii="Times New Roman" w:hAnsi="Times New Roman" w:cs="Times New Roman"/>
          <w:color w:val="auto"/>
          <w:sz w:val="24"/>
          <w:szCs w:val="18"/>
        </w:rPr>
        <w:t>），也是国家林业局规定的“三有”保护物种。有2种哺乳类被被IUCN评级收录，黄鼬被列为近危级别（NT），江豚被列为濒危级别（EN），其中黄鼬和江豚还被列入了《濒危野生动植物种国际贸易公约》（CITES）。</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翼手目普通伏翼，常在悬崖和墙壁的缝隙里或树洞和岩洞里休眠，又是也活动到居民区。东方田鼠、黑线姬鼠、黄胸鼠、褐家鼠、华南兔和黄鼬，主要在地面活动觅食、栖息、避敌于洞穴中，有的也在地下寻找食物，在评价区分布在灌丛、草丛和农田中。</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现场调查中，虽在评价区内未发现江豚，但在评价区以南往东12km的长江荆江门水域，发现有江豚1~3头次。</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4、鸟类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群落组成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实地调查结果，评价区内共记录到鸟类61种，隶属于13目34科。其中，鸊鷉目1科2种；鹳形目1科9种；雁形目1科3种；隼形目1科2种；鸡形目1科1种；鹤形目1科2种；鸻形目4科6种；鸽形目1科2种；鹃形目1科2种；佛法僧目1科1种；戴胜目1科1种；形目1科1种；雀形目19科29种。研究区内的鸟类种类以雀形目为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从鸟类居留型来盾，评价区内所调查到的61种鸟类中，留鸟29种，占所记录到鸟类的47.54%，冬候鸟14种，占记录鸟类的22.95%，夏候鸟18种，占记录鸟类的29.51%。评价区内的鸟内以留鸟为主。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地理区系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在中国动物地理区划上，东洞庭湖属于东洋界、华中区、东部丘陵平原亚区。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根据调查结果，评价区内分布的61种鸟类中，有东洋种18种，占所记录到鸟类的29.51%，古北种16种，占所记录鸟类的26.23%，广布种27种，占所记录鸟类的44.26%，由此可以看出，评价区的鸟类以广布种为主。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生态与生活型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根据生态类型，鸟类分为林鸟和水鸟。根据调查结果，评价区内记录到的61种鸟类中，有林鸟8目39种，水鸟5目22种。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按生活习性的不同，鸟类可分为游禽、涉禽、猛禽、鸣禽、攀禽、陆禽、走禽和水禽8种生活型。评价区61种鸟类中，有除走禽和水禽之外的6种生态类型，具体描述如下：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游禽：主要特征为脚向后伸，趾间有蹼，有扁阔的或尖嘴，善于游泳、潜水和在水中掏取食物。评价区内有6种游禽分布，占所有鸟类的9.84%，其代表种有小䴙、绿头鸭、斑嘴鸭等，主要分布于评价区的河流、湖泊等湿地水域中。</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涉禽：主要特征为嘴、颈和脚都比较长，脚趾也很长，适于涉水行进，不会游泳，常用长嘴插入水底或地面取食。评价区内有16种涉禽分布，占所有分布鸟类的26.23%，其代表种有大白鹭、白鹭、苍鹭等鹭科鸟类，红脚苦恶鸟等秧鸡科鸟类，水雉等雉鸻科鸟类，灰斑鸻、青脚鹬等鸻和鹬科鸟类。评价区内的涉禽主要分布于湖泊湿地的浅水区域、滩涂及周边的水田中。</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陆禽：主要特征为体格结实，嘴坚硬，脚强而有力，适于挖土，多在地面活动觅食。评价区内有3种陆禽分布，占所有分布鸟种的4.92%，其代表种为环颈雉、山斑鸠和珠颈斑鸠等。评价区内的陆禽主要分布于江边的林缘地带、农田及居民点区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猛禽：主要特征为具有弯曲如钩的锐利嘴和爪，翅膀强大有力，能在天空翱翔或滑翔，捕食空中或地下活的猎物。评价区内分布有2种猛禽，占所有分布鸟种的3.28%，该两种猛禽分别为白尾鹞和普通鵟。评价区内的猛禽主要分布在江边的意杨林和芦苇地，及周边农田等区域，活动范围较广。</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攀禽：主要特征为嘴强直或弯曲；脚短健，有对趾足、并趾足和异趾足，适合在树上攀缘。评价区内分布有5种攀禽，占所有分布鸟种的8.2%，其代表种为四声杜鹃、小鸦鹃、普通翠鸟、戴胜等。在评价区除了翠鸟主要分布于水域附近外，其他种类主要分布于沿长江岸线林地或林缘，及周边村庄农田、林地区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鸣禽：鸣管和鸣肌特别发达，一般体形较小，体态轻捷，活泼灵巧，善于鸣叫和歌唱，且巧于筑巢。评价区内分布有29种鸣禽，占所有分布鸟种的47.54%，也是评价区内分布的主体鸟种。其代表种有喜鹊、麻雀、白头鹎、丝光椋鸟等雀形目鸟类，均为典型的林地鸟类。</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鸣禽在评价区广泛分布，居民区的方前屋后，农田、乔木林、灌丛中均有分布，不论是种类还是数量，鸣禽在评价区内都占绝对优势。</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鸟类多样性</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评价区的鸟类调查中共设有5条样线，分别为农科村长江大堤样线（L1）、保安村段长江大堤样线（L2）、联合村样线（L3）、庆丰村华洪运河样线（L4）、坨湖样线（L5）。调查结果显示，鸟类种类最多的为样线L5，有34种；其次为样线L3和L1，分别有20种和18种。</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鸟类数量也依次为L5、L3和L1，分别为298只、191只和116只。shannon多样性指数排在前3的依次为L5、L4和L2，分别为2.62、2.47和2.36，pielou均匀度指数排在前3的依次为L4、L2和L5，分别为0.62、0.58和0.46。</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坨湖样线（L5）有湖泊湿地、农田、乔木、灌丛等多样性较为丰富的生境，分布有鹭类、鸭类等水鸟和种类较多的雀形目鸟类，其多样性指数较高。长江大堤样线（L1）仅为意大利杨等较为单一的植被，鸟类多样性较小。</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依据生境类型，大致可分为草本灌丛、常绿灌丛、常绿乔木、沟渠、河流、湖泊湿地、居民房、落叶灌丛、落叶乔木、农田等10种类型，其中shannon多样性指数最高的为湖泊湿地，其次为落叶乔木生境和沟渠生境类型。不同生境类型多样性指数如下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虽然湖南东洞庭湖主湖区是多种珍稀濒危鸟类地，特别是小天鹅、白琵鹭、小白额雁的重要越冬地，但在评价区域内未调查到国家重点保护的越冬水鸟。究其原因，一是该区域的湖泊湿地大多为养殖型湖泊，水位周期性波动较小，滩涂面积小且草滩未发育，湿地生态系统较为单一；二是该区域内的长江湿地，沿岸洲滩面积小，且其上均种植有杨树，植被类型单一，同时，长江内常年有船只经过，且河岸进行清理，导致湖区沉水植物发育不良，也不能给珍稀濒危鹤类提供沉水植物块茎等食物；三是周边有农田等人工湿地，由于靠近居民点，人为干扰大，也不能给这些鸟类提供良好的栖息场所。</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综上所述，影响评价区虽属于湖南东洞庭湖保护区一部分，但由于长期受高强度人为活动干扰影响，该区域湿地植物组成、结构、类型、区系、生态价值上与湖南东洞庭湖保护区有较大差距，不能代表整个湖南东洞庭湖保护区植物群落特点。植物多样性的差别也导致了以此为生的野生动物（主要是鸟类）种类组成、区系、重点保护对象差异明显，且该区域无重点保护野生湿地鸟类。</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植物样方调查</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本次对评价区内植物采用现地样方进行调查，同时收集相关档案与文献数据进行比对。于2018年8月下旬、9月初到工程影响评价区对评价区内的植物做相关调查。调查样地以标准样地面积法为主。除边缘地类型采用1m×1m，其他类型的样地面积均采用10m×10m，其中再设置58个1m×1m小样方对标准样地内草本、灌木进行调查。通过对影响评价区的踏查，发现评价区有作物群落、湖岸植物群落以及湿地植物群落，所以本次的调查主要针对这三种群落进行标准样地调查。共设置10个标准样地以及58个小样方，其中湖岸植物群落设5个，湿地植物群落设2个，作物群落面积设3个。样方调查记录见表5.8-1。</w:t>
      </w:r>
    </w:p>
    <w:p>
      <w:pPr>
        <w:widowControl/>
        <w:spacing w:line="276" w:lineRule="auto"/>
        <w:ind w:firstLine="482" w:firstLineChars="200"/>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  植物群落样方调查记录表</w:t>
      </w:r>
    </w:p>
    <w:tbl>
      <w:tblPr>
        <w:tblStyle w:val="72"/>
        <w:tblW w:w="501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62"/>
        <w:gridCol w:w="1074"/>
        <w:gridCol w:w="2772"/>
        <w:gridCol w:w="582"/>
        <w:gridCol w:w="1026"/>
        <w:gridCol w:w="887"/>
        <w:gridCol w:w="1071"/>
        <w:gridCol w:w="7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片层</w:t>
            </w:r>
          </w:p>
        </w:tc>
        <w:tc>
          <w:tcPr>
            <w:tcW w:w="58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物种名</w:t>
            </w:r>
          </w:p>
        </w:tc>
        <w:tc>
          <w:tcPr>
            <w:tcW w:w="151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拉丁名</w:t>
            </w:r>
          </w:p>
        </w:tc>
        <w:tc>
          <w:tcPr>
            <w:tcW w:w="31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株数</w:t>
            </w:r>
          </w:p>
        </w:tc>
        <w:tc>
          <w:tcPr>
            <w:tcW w:w="56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平均胸径（cm）</w:t>
            </w:r>
          </w:p>
        </w:tc>
        <w:tc>
          <w:tcPr>
            <w:tcW w:w="48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平均高（m）</w:t>
            </w:r>
          </w:p>
        </w:tc>
        <w:tc>
          <w:tcPr>
            <w:tcW w:w="58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盖度(%)</w:t>
            </w:r>
          </w:p>
        </w:tc>
        <w:tc>
          <w:tcPr>
            <w:tcW w:w="411"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样地号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结缕草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Zoysia japonica Steud</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狗牙根</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Cynodon dactylon (L.) Pers.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短尖苔草</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Carex brevicuspis C. B.</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Clarke.</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江南荸荠</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Heleocharis migoana</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杨树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Populus</w:t>
            </w:r>
            <w:r>
              <w:rPr>
                <w:rFonts w:hint="default" w:ascii="Times New Roman" w:hAnsi="Times New Roman" w:cs="Times New Roman"/>
                <w:color w:val="auto"/>
              </w:rPr>
              <w:t>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78</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芦苇</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 xml:space="preserve">Phragmites communis </w:t>
            </w:r>
            <w:r>
              <w:rPr>
                <w:rFonts w:hint="default" w:ascii="Times New Roman" w:hAnsi="Times New Roman" w:cs="Times New Roman"/>
                <w:color w:val="auto"/>
              </w:rPr>
              <w:t>Trin</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狗尾草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Setaria viridis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水稻</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 xml:space="preserve">Oryza sativa </w:t>
            </w:r>
            <w:r>
              <w:rPr>
                <w:rFonts w:hint="default" w:ascii="Times New Roman" w:hAnsi="Times New Roman" w:cs="Times New Roman"/>
                <w:color w:val="auto"/>
              </w:rPr>
              <w:t>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棉花</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Gossypium spp</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旱柳</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Salix matsudana</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构树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Broussonetia papyrifera</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茶树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Camellia sinensis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芦苇</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 xml:space="preserve">Phragmites communis </w:t>
            </w:r>
            <w:r>
              <w:rPr>
                <w:rFonts w:hint="default" w:ascii="Times New Roman" w:hAnsi="Times New Roman" w:cs="Times New Roman"/>
                <w:color w:val="auto"/>
              </w:rPr>
              <w:t>Trin</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短尖苔草</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Carex brevicuspis C. B.</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Clarke.</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白茅</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Imperata cylindrica (L.)</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Beauv.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杨树苗</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Populus euramevicana cv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狗牙根</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Cynodon dactylon (L.) Pers.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叶下珠</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Phyllanthus urinaria L.156</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鸡眼草</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Kummerowia striata (Thunb.)</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Schindl.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天胡萎</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Hydrocotyle sibthorpioides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地锦草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Euphorbia humifusa Willd.</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葎草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Humulus scandens (Lour.)</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牛筋草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Eleusine indica (L.)Gaerth</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野大豆</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Leguminosae</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铁苋菜</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Acalypha australis 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鳞花草</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Lepidagathis incurva</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Buch.-Ham. ex D.</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劳豆</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Glycine soja Sieb. et Zucc.</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狗牙根</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Cynodon dactylon (L.) Pers.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白茅</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Imperata cylindrica (L.)</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Beauv.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艾</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Artemisia argyi Levl. et Vant.</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千金藤</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Stephania japonica (Thunb.)</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Miers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荆条</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Vitex negundo L. var.</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heterophylla (Franch.) Rehd.</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野菊</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Dendranthema indicum (L.)</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Des Moul.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刚竹</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Phyllostachys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25</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楝</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Melia azedarach 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类芦</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eyraudia reynaudiana (Kunth)</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Keng</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牛筋草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Eleusine indica (L.)Gaerth</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绞股蓝</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Gynostemma pentaphyllum</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(Thunb.) Makino</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桑幼苗</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Morus alba 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桑树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Morus alba 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26</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牛筋草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Eleusine indica (L.)Gaerth</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杨树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Populus euramevicana cv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桑树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Morus alba L.</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35</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芦苇</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 xml:space="preserve">Phragmites communis </w:t>
            </w:r>
            <w:r>
              <w:rPr>
                <w:rFonts w:hint="default" w:ascii="Times New Roman" w:hAnsi="Times New Roman" w:cs="Times New Roman"/>
                <w:color w:val="auto"/>
              </w:rPr>
              <w:t>Trin</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绞股蓝</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Gynostemma pentaphyllum</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(Thunb.) Makino</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葎草</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Humulus scandens (Lour.)</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Merr.</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杨树幼苗</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Populus euramevicana cv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爵床</w:t>
            </w:r>
          </w:p>
        </w:tc>
        <w:tc>
          <w:tcPr>
            <w:tcW w:w="1518" w:type="pct"/>
            <w:tcBorders>
              <w:tl2br w:val="nil"/>
              <w:tr2bl w:val="nil"/>
            </w:tcBorders>
            <w:vAlign w:val="center"/>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Rostellularia procumbens (L.)</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Nees</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艾</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Artemisia argyi Levl. et Vant.</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草本</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牛筋草</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Eleusine indica (L.)Gaerth</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乔木</w:t>
            </w:r>
          </w:p>
        </w:tc>
        <w:tc>
          <w:tcPr>
            <w:tcW w:w="58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杨树</w:t>
            </w:r>
          </w:p>
        </w:tc>
        <w:tc>
          <w:tcPr>
            <w:tcW w:w="151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Populus euramevicana cv</w:t>
            </w:r>
          </w:p>
        </w:tc>
        <w:tc>
          <w:tcPr>
            <w:tcW w:w="319"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562"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80</w:t>
            </w:r>
          </w:p>
        </w:tc>
        <w:tc>
          <w:tcPr>
            <w:tcW w:w="4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58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4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经调查评价区范围内，湖岸植物面积86.99hm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，主要有柳、构树、意大利杨树等乔木，茶树等灌木，狗牙根、苔草等草本，其余大面积为水稻、棉花、蔬菜等作物群落，面积743.13hm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。植物多样性较为单一。</w:t>
      </w:r>
    </w:p>
    <w:p>
      <w:pPr>
        <w:widowControl/>
        <w:spacing w:line="360" w:lineRule="auto"/>
        <w:jc w:val="center"/>
        <w:rPr>
          <w:rFonts w:hint="default" w:ascii="Times New Roman" w:hAnsi="Times New Roman" w:cs="Times New Roman"/>
          <w:color w:val="auto"/>
          <w:sz w:val="24"/>
          <w:szCs w:val="18"/>
        </w:rPr>
      </w:pPr>
      <w:r>
        <w:rPr>
          <w:rFonts w:hint="default" w:ascii="Times New Roman" w:hAnsi="Times New Roman" w:cs="Times New Roman"/>
          <w:color w:val="auto"/>
        </w:rPr>
        <w:drawing>
          <wp:inline distT="0" distB="0" distL="114300" distR="114300">
            <wp:extent cx="5504815" cy="6168390"/>
            <wp:effectExtent l="0" t="0" r="635" b="3810"/>
            <wp:docPr id="4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9"/>
                    <pic:cNvPicPr>
                      <a:picLocks noChangeAspect="1"/>
                    </pic:cNvPicPr>
                  </pic:nvPicPr>
                  <pic:blipFill>
                    <a:blip r:embed="rId55"/>
                    <a:stretch>
                      <a:fillRect/>
                    </a:stretch>
                  </pic:blipFill>
                  <pic:spPr>
                    <a:xfrm>
                      <a:off x="0" y="0"/>
                      <a:ext cx="5504815" cy="6168390"/>
                    </a:xfrm>
                    <a:prstGeom prst="rect">
                      <a:avLst/>
                    </a:prstGeom>
                    <a:noFill/>
                    <a:ln>
                      <a:noFill/>
                    </a:ln>
                  </pic:spPr>
                </pic:pic>
              </a:graphicData>
            </a:graphic>
          </wp:inline>
        </w:drawing>
      </w:r>
    </w:p>
    <w:p>
      <w:pPr>
        <w:widowControl/>
        <w:adjustRightInd w:val="0"/>
        <w:snapToGrid w:val="0"/>
        <w:spacing w:line="360"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图5.8-6  评价区现状图</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动物调查</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东洞庭湖国家级自然保护区主要保护对象为湿地生态环境及其生物多样性，是我国重要的候鸟越冬地、停歇地和繁殖地。专题评价单位于2018年8月、10月分别对重点评价区域进行动物多样性调查，以鸟类为重点调查对象，将本项目对东洞庭湖湿地生物多样性的影响进行预测和分析。</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现场调查结果并参考《中国两栖动物图鉴》（费梁，1999年）、《中国爬行动物图鉴》（中国野生动物保护协会，2002年）、《中国鸟类野外手册》（马敬能、何芬奇，2000年）、《中国鸟类分类与分布名录（第三版）》（郑光美，2017年）、《中国野生哺乳动物》（盛和林、大泰司纪之等，1999年）等对重点评价区的动物资源现状得出综合结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根据实地考察及对相关资料进行综合分析，重点评价区分布的陆生脊椎动物有4纲20目46科79种；其中有国家重点保护动物4种。评价区动物的种类组成、区系和保护等级具体见下表。</w:t>
      </w:r>
    </w:p>
    <w:p>
      <w:pPr>
        <w:widowControl/>
        <w:ind w:firstLine="482" w:firstLineChars="200"/>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表5.8-2  评价区动物种类组成、区系和保护等级统计表</w:t>
      </w:r>
    </w:p>
    <w:tbl>
      <w:tblPr>
        <w:tblStyle w:val="7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33"/>
        <w:gridCol w:w="1134"/>
        <w:gridCol w:w="1134"/>
        <w:gridCol w:w="1147"/>
        <w:gridCol w:w="1134"/>
        <w:gridCol w:w="1134"/>
        <w:gridCol w:w="1143"/>
        <w:gridCol w:w="11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99" w:type="pct"/>
            <w:gridSpan w:val="4"/>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种类组成</w:t>
            </w:r>
          </w:p>
        </w:tc>
        <w:tc>
          <w:tcPr>
            <w:tcW w:w="1874" w:type="pct"/>
            <w:gridSpan w:val="3"/>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动物区系</w:t>
            </w:r>
          </w:p>
        </w:tc>
        <w:tc>
          <w:tcPr>
            <w:tcW w:w="626"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rPr>
            </w:pPr>
            <w:r>
              <w:rPr>
                <w:rFonts w:hint="default" w:ascii="Times New Roman" w:hAnsi="Times New Roman" w:cs="Times New Roman"/>
                <w:b/>
                <w:bCs/>
                <w:color w:val="auto"/>
              </w:rPr>
              <w:t>保护动物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纲</w:t>
            </w:r>
          </w:p>
        </w:tc>
        <w:tc>
          <w:tcPr>
            <w:tcW w:w="62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目</w:t>
            </w:r>
          </w:p>
        </w:tc>
        <w:tc>
          <w:tcPr>
            <w:tcW w:w="62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科</w:t>
            </w:r>
          </w:p>
        </w:tc>
        <w:tc>
          <w:tcPr>
            <w:tcW w:w="63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w:t>
            </w:r>
          </w:p>
        </w:tc>
        <w:tc>
          <w:tcPr>
            <w:tcW w:w="62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东洋种</w:t>
            </w:r>
          </w:p>
        </w:tc>
        <w:tc>
          <w:tcPr>
            <w:tcW w:w="62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古北种</w:t>
            </w:r>
          </w:p>
        </w:tc>
        <w:tc>
          <w:tcPr>
            <w:tcW w:w="62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广布种</w:t>
            </w:r>
          </w:p>
        </w:tc>
        <w:tc>
          <w:tcPr>
            <w:tcW w:w="62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国家重点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两栖纲</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6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w:t>
            </w:r>
          </w:p>
        </w:tc>
        <w:tc>
          <w:tcPr>
            <w:tcW w:w="623"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6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626" w:type="pct"/>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爬行纲</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6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w:t>
            </w:r>
          </w:p>
        </w:tc>
        <w:tc>
          <w:tcPr>
            <w:tcW w:w="623"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6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626" w:type="pct"/>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鸟纲</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13</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34</w:t>
            </w:r>
          </w:p>
        </w:tc>
        <w:tc>
          <w:tcPr>
            <w:tcW w:w="6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61</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18</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16</w:t>
            </w:r>
          </w:p>
        </w:tc>
        <w:tc>
          <w:tcPr>
            <w:tcW w:w="6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27</w:t>
            </w:r>
          </w:p>
        </w:tc>
        <w:tc>
          <w:tcPr>
            <w:tcW w:w="62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哺乳纲</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6</w:t>
            </w:r>
          </w:p>
        </w:tc>
        <w:tc>
          <w:tcPr>
            <w:tcW w:w="6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8</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623" w:type="pct"/>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6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w:t>
            </w:r>
          </w:p>
        </w:tc>
        <w:tc>
          <w:tcPr>
            <w:tcW w:w="62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20</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79</w:t>
            </w:r>
          </w:p>
        </w:tc>
        <w:tc>
          <w:tcPr>
            <w:tcW w:w="6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79</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25</w:t>
            </w:r>
          </w:p>
        </w:tc>
        <w:tc>
          <w:tcPr>
            <w:tcW w:w="62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16</w:t>
            </w:r>
          </w:p>
        </w:tc>
        <w:tc>
          <w:tcPr>
            <w:tcW w:w="62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38</w:t>
            </w:r>
          </w:p>
        </w:tc>
        <w:tc>
          <w:tcPr>
            <w:tcW w:w="62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4</w:t>
            </w:r>
          </w:p>
        </w:tc>
      </w:tr>
    </w:tbl>
    <w:p>
      <w:pPr>
        <w:widowControl/>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1、两栖类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评价区内的两栖类调查，采用样线调查法为主，同时结合访问调查作为辅导进行。</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评价区内共调查到两栖动物1目3科5种。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重点评价区在所记录的5种两栖动物中，无国家重点保护动物。</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2、爬行类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评价区内的爬行类调查，采用样线调查法为主，同时结合访问调查作为辅导进行。</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评价区内共调查到爬行动物1目3科5种。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上述5种两栖动物，无国家级重点保护动物。</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3、鸟类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鸟类调查方法</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鸟类调查采用样线调查法。收集整理评价区范围及邻近地区的现有的生境类型，并在综合分析现有资料的基础上，将评价区划分为农科村长江大堤样线（L1）、保安村段长江大堤样线（L2）、联合村样线（L3）、庆丰村华洪运河样线（L4）、坨湖样线（L5）等5条样线，样线长度1.5~2km。根据确定样线，以鸟类和部分重点保护兽类为主要调查对象，有针对性地对现场进行调查和记录。</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调查工具为SWAROVKI单筒望远镜和双筒望远镜、奥维互动地图（记录GPS和样线）、照相机、《中国鸟类野外手册》等。</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记录内容包括第条样线起止经纬度信息，植被、地貌和人类活动状况，线观察到的动物数量及截距等相关信息，动物群落生活环境和典型环境外貌，调查航迹等信息。</w:t>
      </w:r>
    </w:p>
    <w:p>
      <w:pPr>
        <w:widowControl/>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表5.8-3  鸟类调查样线信息表</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11"/>
        <w:gridCol w:w="1512"/>
        <w:gridCol w:w="1514"/>
        <w:gridCol w:w="1529"/>
        <w:gridCol w:w="1514"/>
        <w:gridCol w:w="15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样线名</w:t>
            </w:r>
          </w:p>
        </w:tc>
        <w:tc>
          <w:tcPr>
            <w:tcW w:w="831"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起点经度</w:t>
            </w:r>
          </w:p>
        </w:tc>
        <w:tc>
          <w:tcPr>
            <w:tcW w:w="83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终点经度</w:t>
            </w:r>
          </w:p>
        </w:tc>
        <w:tc>
          <w:tcPr>
            <w:tcW w:w="84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起点纬度</w:t>
            </w:r>
          </w:p>
        </w:tc>
        <w:tc>
          <w:tcPr>
            <w:tcW w:w="83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终点纬度</w:t>
            </w:r>
          </w:p>
        </w:tc>
        <w:tc>
          <w:tcPr>
            <w:tcW w:w="83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样线长度（km）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L1</w:t>
            </w:r>
          </w:p>
        </w:tc>
        <w:tc>
          <w:tcPr>
            <w:tcW w:w="83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112.9159</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29.54715</w:t>
            </w:r>
          </w:p>
        </w:tc>
        <w:tc>
          <w:tcPr>
            <w:tcW w:w="84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112.9134</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29.56491</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L2</w:t>
            </w:r>
          </w:p>
        </w:tc>
        <w:tc>
          <w:tcPr>
            <w:tcW w:w="83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112.9107</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29.58116</w:t>
            </w:r>
          </w:p>
        </w:tc>
        <w:tc>
          <w:tcPr>
            <w:tcW w:w="84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112.9058</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29.59833</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L3</w:t>
            </w:r>
          </w:p>
        </w:tc>
        <w:tc>
          <w:tcPr>
            <w:tcW w:w="83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112.8885</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29.55184</w:t>
            </w:r>
          </w:p>
        </w:tc>
        <w:tc>
          <w:tcPr>
            <w:tcW w:w="84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112.8917</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29.56744</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L4</w:t>
            </w:r>
          </w:p>
        </w:tc>
        <w:tc>
          <w:tcPr>
            <w:tcW w:w="83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112.8773</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29.58549</w:t>
            </w:r>
          </w:p>
        </w:tc>
        <w:tc>
          <w:tcPr>
            <w:tcW w:w="84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112.8725</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29.57524</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L5</w:t>
            </w:r>
          </w:p>
        </w:tc>
        <w:tc>
          <w:tcPr>
            <w:tcW w:w="83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112.8781</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29.59254</w:t>
            </w:r>
          </w:p>
        </w:tc>
        <w:tc>
          <w:tcPr>
            <w:tcW w:w="84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112.8735</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29.60483</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1.5</w:t>
            </w:r>
          </w:p>
        </w:tc>
      </w:tr>
    </w:tbl>
    <w:p>
      <w:pPr>
        <w:keepNext w:val="0"/>
        <w:keepLines w:val="0"/>
        <w:pageBreakBefore w:val="0"/>
        <w:widowControl/>
        <w:kinsoku/>
        <w:wordWrap/>
        <w:overflowPunct/>
        <w:topLinePunct w:val="0"/>
        <w:autoSpaceDE/>
        <w:autoSpaceDN/>
        <w:bidi w:val="0"/>
        <w:adjustRightInd w:val="0"/>
        <w:snapToGrid w:val="0"/>
        <w:ind w:firstLine="420" w:firstLineChars="200"/>
        <w:textAlignment w:val="auto"/>
        <w:rPr>
          <w:rFonts w:hint="default" w:ascii="Times New Roman" w:hAnsi="Times New Roman" w:cs="Times New Roman"/>
          <w:color w:val="auto"/>
        </w:rPr>
      </w:pPr>
    </w:p>
    <w:p>
      <w:pPr>
        <w:keepNext w:val="0"/>
        <w:keepLines w:val="0"/>
        <w:pageBreakBefore w:val="0"/>
        <w:widowControl/>
        <w:kinsoku/>
        <w:wordWrap/>
        <w:overflowPunct/>
        <w:topLinePunct w:val="0"/>
        <w:autoSpaceDE/>
        <w:autoSpaceDN/>
        <w:bidi w:val="0"/>
        <w:adjustRightInd w:val="0"/>
        <w:snapToGrid w:val="0"/>
        <w:ind w:firstLine="42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rPr>
        <mc:AlternateContent>
          <mc:Choice Requires="wps">
            <w:drawing>
              <wp:anchor distT="0" distB="0" distL="114300" distR="114300" simplePos="0" relativeHeight="251660288" behindDoc="0" locked="0" layoutInCell="1" allowOverlap="1">
                <wp:simplePos x="0" y="0"/>
                <wp:positionH relativeFrom="column">
                  <wp:posOffset>4672965</wp:posOffset>
                </wp:positionH>
                <wp:positionV relativeFrom="paragraph">
                  <wp:posOffset>1859280</wp:posOffset>
                </wp:positionV>
                <wp:extent cx="637540" cy="319405"/>
                <wp:effectExtent l="4445" t="4445" r="5715" b="19050"/>
                <wp:wrapNone/>
                <wp:docPr id="46" name="文本框 46"/>
                <wp:cNvGraphicFramePr/>
                <a:graphic xmlns:a="http://schemas.openxmlformats.org/drawingml/2006/main">
                  <a:graphicData uri="http://schemas.microsoft.com/office/word/2010/wordprocessingShape">
                    <wps:wsp>
                      <wps:cNvSpPr txBox="1"/>
                      <wps:spPr>
                        <a:xfrm>
                          <a:off x="5598795" y="4777740"/>
                          <a:ext cx="637540" cy="3194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b/>
                                <w:bCs/>
                              </w:rPr>
                              <w:t>加注站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95pt;margin-top:146.4pt;height:25.15pt;width:50.2pt;z-index:251660288;mso-width-relative:page;mso-height-relative:page;" fillcolor="#FFFFFF [3201]" filled="t" stroked="t" coordsize="21600,21600" o:gfxdata="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NbMMdgAAAALAQAADwAAAAAAAAABACAAAAAiAAAAZHJzL2Rvd25yZXYueG1sUEsBAhQAFAAA&#10;AAgAh07iQFXx7WBhAgAAxAQAAA4AAAAAAAAAAQAgAAAAJwEAAGRycy9lMm9Eb2MueG1sUEsFBgAA&#10;AAAGAAYAWQEAAPoFAAAAAA==&#10;">
                <v:fill on="t" focussize="0,0"/>
                <v:stroke weight="0.5pt" color="#000000 [3204]" joinstyle="round"/>
                <v:imagedata o:title=""/>
                <o:lock v:ext="edit" aspectratio="f"/>
                <v:textbox>
                  <w:txbxContent>
                    <w:p>
                      <w:r>
                        <w:rPr>
                          <w:rFonts w:hint="eastAsia"/>
                          <w:b/>
                          <w:bCs/>
                        </w:rPr>
                        <w:t>加注站</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59264" behindDoc="0" locked="0" layoutInCell="1" allowOverlap="1">
                <wp:simplePos x="0" y="0"/>
                <wp:positionH relativeFrom="column">
                  <wp:posOffset>4519930</wp:posOffset>
                </wp:positionH>
                <wp:positionV relativeFrom="paragraph">
                  <wp:posOffset>1914525</wp:posOffset>
                </wp:positionV>
                <wp:extent cx="125730" cy="438150"/>
                <wp:effectExtent l="45085" t="3810" r="57785" b="15240"/>
                <wp:wrapNone/>
                <wp:docPr id="45" name="上下箭头 45"/>
                <wp:cNvGraphicFramePr/>
                <a:graphic xmlns:a="http://schemas.openxmlformats.org/drawingml/2006/main">
                  <a:graphicData uri="http://schemas.microsoft.com/office/word/2010/wordprocessingShape">
                    <wps:wsp>
                      <wps:cNvSpPr/>
                      <wps:spPr>
                        <a:xfrm rot="20880000">
                          <a:off x="5669915" y="6206490"/>
                          <a:ext cx="125730" cy="438150"/>
                        </a:xfrm>
                        <a:prstGeom prst="upDownArrow">
                          <a:avLst/>
                        </a:prstGeom>
                      </wps:spPr>
                      <wps:style>
                        <a:lnRef idx="2">
                          <a:schemeClr val="accent4">
                            <a:shade val="50000"/>
                          </a:schemeClr>
                        </a:lnRef>
                        <a:fillRef idx="1">
                          <a:schemeClr val="accent4"/>
                        </a:fillRef>
                        <a:effectRef idx="0">
                          <a:schemeClr val="accent4"/>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0" type="#_x0000_t70" style="position:absolute;left:0pt;margin-left:355.9pt;margin-top:150.75pt;height:34.5pt;width:9.9pt;rotation:-786432f;z-index:251659264;v-text-anchor:middle;mso-width-relative:page;mso-height-relative:page;" fillcolor="#FFC000 [3207]" filled="t" stroked="t" coordsize="21600,21600" o:gfxdata="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cj+qtkAAAALAQAADwAAAAAAAAABACAAAAAiAAAAZHJz&#10;L2Rvd25yZXYueG1sUEsBAhQAFAAAAAgAh07iQPiOym2uAgAASQUAAA4AAAAAAAAAAQAgAAAAKAEA&#10;AGRycy9lMm9Eb2MueG1sUEsFBgAAAAAGAAYAWQEAAEgGAAAAAA==&#10;" adj="5400,3099">
                <v:fill on="t" focussize="0,0"/>
                <v:stroke weight="1pt" color="#BC8C00 [3207]" miterlimit="8" joinstyle="miter"/>
                <v:imagedata o:title=""/>
                <o:lock v:ext="edit" aspectratio="f"/>
                <v:textbox>
                  <w:txbxContent>
                    <w:p>
                      <w:pPr>
                        <w:jc w:val="center"/>
                      </w:pPr>
                    </w:p>
                  </w:txbxContent>
                </v:textbox>
              </v:shape>
            </w:pict>
          </mc:Fallback>
        </mc:AlternateContent>
      </w:r>
      <w:r>
        <w:rPr>
          <w:rFonts w:hint="default" w:ascii="Times New Roman" w:hAnsi="Times New Roman" w:cs="Times New Roman"/>
          <w:color w:val="auto"/>
        </w:rPr>
        <w:drawing>
          <wp:inline distT="0" distB="0" distL="114300" distR="114300">
            <wp:extent cx="5163185" cy="4996815"/>
            <wp:effectExtent l="0" t="0" r="18415" b="13335"/>
            <wp:docPr id="4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0"/>
                    <pic:cNvPicPr>
                      <a:picLocks noChangeAspect="1"/>
                    </pic:cNvPicPr>
                  </pic:nvPicPr>
                  <pic:blipFill>
                    <a:blip r:embed="rId56"/>
                    <a:stretch>
                      <a:fillRect/>
                    </a:stretch>
                  </pic:blipFill>
                  <pic:spPr>
                    <a:xfrm>
                      <a:off x="0" y="0"/>
                      <a:ext cx="5163185" cy="499681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图5.8-7  鸟类调查样线布局图</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鸟类调查结果</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内共调查以鸟类13目34科61种720只。其中鸊鷉目1科2种8只；鹳形目1科9种17只，雁形目1科3种25只，隼形目1科2种3只，鸡形目1科1种1只，鹤形目1科2种3只，鸻形目4科6种14只，鸽形目1科2种14只，鹃形目1科2种2只，佛法僧目1科1种2只，戴胜目1科1种5只，形目1科1种1只，雀形目19科29种625只。评价区内不论是种类还是数量上，都以雀形目鸟类为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各样线上鸟类种类和数量发下表。</w:t>
      </w:r>
    </w:p>
    <w:p>
      <w:pPr>
        <w:widowControl/>
        <w:adjustRightInd w:val="0"/>
        <w:snapToGrid w:val="0"/>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表5.8-4  评价区内各样线鸟类种类和数量统计表</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13"/>
        <w:gridCol w:w="1815"/>
        <w:gridCol w:w="1816"/>
        <w:gridCol w:w="1835"/>
        <w:gridCol w:w="18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样线名</w:t>
            </w:r>
          </w:p>
        </w:tc>
        <w:tc>
          <w:tcPr>
            <w:tcW w:w="997"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目</w:t>
            </w:r>
          </w:p>
        </w:tc>
        <w:tc>
          <w:tcPr>
            <w:tcW w:w="99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科</w:t>
            </w:r>
          </w:p>
        </w:tc>
        <w:tc>
          <w:tcPr>
            <w:tcW w:w="100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w:t>
            </w:r>
          </w:p>
        </w:tc>
        <w:tc>
          <w:tcPr>
            <w:tcW w:w="99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鸟类数量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L1</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15</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18</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L2</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11</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13</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L3</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6</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15</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20</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L4</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7</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14</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17</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L5</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7</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22</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34</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298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13</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34</w:t>
            </w:r>
          </w:p>
        </w:tc>
        <w:tc>
          <w:tcPr>
            <w:tcW w:w="100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61</w:t>
            </w:r>
          </w:p>
        </w:tc>
        <w:tc>
          <w:tcPr>
            <w:tcW w:w="99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rPr>
            </w:pPr>
            <w:r>
              <w:rPr>
                <w:rFonts w:hint="default" w:ascii="Times New Roman" w:hAnsi="Times New Roman" w:cs="Times New Roman"/>
                <w:color w:val="auto"/>
              </w:rPr>
              <w:t>720</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鸟类分布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农科村长江大堤样线（L1）：该样线主要为人工种植杨树的落叶乔木、落叶灌丛及长江河流湿地生境。其分布的鸟类有白鹡鸰、白颊噪鹛、大斑啄木鸟、大山雀、黑卷尾、喜鹊、小鸦鹃、白尾鹞、普通鵟等18种，并记录到116只，其中数量最多的为喜鹊48只，其次为大山雀25只。其中评价区内的3种国家二级保护鸟类小鸦鹃、白尾鹞、普通鵟均在该样线上有分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保安村段长江大堤样线（L2）：该样线主要为人工种植杨树的砍伐迹地及落叶乔木、灌丛生境和长江河流湿地生境。其分布的鸟类有八哥、白头鹎、黑卷尾、黑脸噪鹛、家燕、金翅雀、金腰燕、山斑鸠等13种60只，其中数量最多的为麻雀13只。该样线是所有调查样线中鸟类种类最少的样线。</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联合村样线（L3）：该样线主要为居民区及其房前屋后的落叶和常绿乔木、灌丛、沟渠和农田生境。其分布的鸟类有八哥、白鹭、北红尾鸲、池鹭、黑水鸡、黑尾蜡嘴雀、家燕、绿鹭、牛背鹭、普通翠鸟、白尾鹞、戴胜等20种191只，其中数量最多的是家燕50只，其次是八哥42只。该样线上调查到国家二级保护鸟类白尾鹞1只。</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庆丰村华洪运河样线（L4）：该样线主要为华洪运河的河流湿地、落叶和常绿乔木、灌丛及农田生境。其分布的鸟类有白颊噪鹛、黑尾蜡嘴雀、红脚苦恶鸟、灰喜鹊、小、夜鹭、雉鸡、黄苇鳽、黑鳽等17种55只，其中数量最多的是大山雀12只。该样线是所有调查样线中鸟类数量最少的样线。</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坨湖样线（L5）：该样线主要为湖泊湿地、农田、落叶和常绿乔木及灌丛生境。其分布的鸟类有白鹭、白腰文鸟、斑嘴鸭、纯色山鹪莺、红头长尾山雀、灰头麦鸡、金腰燕、领雀嘴鹎、鹊鸲、凤头、黄眉柳莺、水雉、绿翅鸭、绿头鸭、青脚鹬、矶鹬、环颈鸻、苍鹭、大白鹭、须浮鸥等34种298只，其中数量最多的是金腰燕80只，其次是红头长尾山雀和丝光椋鸟各45只。该样线也是所有样线中调查到的鸟类种类和数量最多的样线。</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鸟类多样性</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评价区域内，各样线以及各生境类型上，所调查到的鸟类其多样性指数和均匀度指数对比如下图。</w:t>
      </w:r>
    </w:p>
    <w:p>
      <w:pPr>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542790" cy="2341245"/>
            <wp:effectExtent l="0" t="0" r="10160" b="1905"/>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pic:cNvPicPr>
                  </pic:nvPicPr>
                  <pic:blipFill>
                    <a:blip r:embed="rId57"/>
                    <a:stretch>
                      <a:fillRect/>
                    </a:stretch>
                  </pic:blipFill>
                  <pic:spPr>
                    <a:xfrm>
                      <a:off x="0" y="0"/>
                      <a:ext cx="4542790" cy="234124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图5.8-8  调查样线上鸟类多样性和均匀度</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554220" cy="2461895"/>
            <wp:effectExtent l="0" t="0" r="17780" b="14605"/>
            <wp:docPr id="5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2"/>
                    <pic:cNvPicPr>
                      <a:picLocks noChangeAspect="1"/>
                    </pic:cNvPicPr>
                  </pic:nvPicPr>
                  <pic:blipFill>
                    <a:blip r:embed="rId58"/>
                    <a:stretch>
                      <a:fillRect/>
                    </a:stretch>
                  </pic:blipFill>
                  <pic:spPr>
                    <a:xfrm>
                      <a:off x="0" y="0"/>
                      <a:ext cx="4554220" cy="246189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图5.8-9  不同生境类型上鸟类多样性与均匀度</w:t>
      </w:r>
    </w:p>
    <w:p>
      <w:pPr>
        <w:widowControl/>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从上图中可看出，在坨湖样线（L5）上的鸟类的多样性最高；在湖泊湿地和落叶乔木生境类型上，其鸟类多样性最高。</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4、哺乳类</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评价区内的哺乳类调查，采用样线调查法为主，同时结合访问调查作为辅导进行。</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评价区内共调查到哺乳类</w:t>
      </w:r>
      <w:r>
        <w:rPr>
          <w:rFonts w:hint="default" w:ascii="Times New Roman" w:hAnsi="Times New Roman" w:eastAsia="TimesNewRomanPSMT" w:cs="Times New Roman"/>
          <w:color w:val="auto"/>
          <w:sz w:val="24"/>
          <w:szCs w:val="24"/>
        </w:rPr>
        <w:t>5</w:t>
      </w:r>
      <w:r>
        <w:rPr>
          <w:rFonts w:hint="default" w:ascii="Times New Roman" w:hAnsi="Times New Roman" w:cs="Times New Roman"/>
          <w:color w:val="auto"/>
          <w:sz w:val="24"/>
          <w:szCs w:val="24"/>
        </w:rPr>
        <w:t>目</w:t>
      </w:r>
      <w:r>
        <w:rPr>
          <w:rFonts w:hint="default" w:ascii="Times New Roman" w:hAnsi="Times New Roman" w:eastAsia="TimesNewRomanPSMT" w:cs="Times New Roman"/>
          <w:color w:val="auto"/>
          <w:sz w:val="24"/>
          <w:szCs w:val="24"/>
        </w:rPr>
        <w:t>6</w:t>
      </w:r>
      <w:r>
        <w:rPr>
          <w:rFonts w:hint="default" w:ascii="Times New Roman" w:hAnsi="Times New Roman" w:cs="Times New Roman"/>
          <w:color w:val="auto"/>
          <w:sz w:val="24"/>
          <w:szCs w:val="24"/>
        </w:rPr>
        <w:t>科</w:t>
      </w:r>
      <w:r>
        <w:rPr>
          <w:rFonts w:hint="default" w:ascii="Times New Roman" w:hAnsi="Times New Roman" w:eastAsia="TimesNewRomanPSMT" w:cs="Times New Roman"/>
          <w:color w:val="auto"/>
          <w:sz w:val="24"/>
          <w:szCs w:val="24"/>
        </w:rPr>
        <w:t>8</w:t>
      </w:r>
      <w:r>
        <w:rPr>
          <w:rFonts w:hint="default" w:ascii="Times New Roman" w:hAnsi="Times New Roman" w:cs="Times New Roman"/>
          <w:color w:val="auto"/>
          <w:sz w:val="24"/>
          <w:szCs w:val="24"/>
        </w:rPr>
        <w:t>种。</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在评价区所调查到的</w:t>
      </w:r>
      <w:r>
        <w:rPr>
          <w:rFonts w:hint="default" w:ascii="Times New Roman" w:hAnsi="Times New Roman" w:eastAsia="TimesNewRomanPSMT" w:cs="Times New Roman"/>
          <w:color w:val="auto"/>
          <w:sz w:val="24"/>
          <w:szCs w:val="24"/>
        </w:rPr>
        <w:t>8</w:t>
      </w:r>
      <w:r>
        <w:rPr>
          <w:rFonts w:hint="default" w:ascii="Times New Roman" w:hAnsi="Times New Roman" w:cs="Times New Roman"/>
          <w:color w:val="auto"/>
          <w:sz w:val="24"/>
          <w:szCs w:val="24"/>
        </w:rPr>
        <w:t>种哺乳类中，有国家Ⅱ级保护动物</w:t>
      </w:r>
      <w:r>
        <w:rPr>
          <w:rFonts w:hint="default" w:ascii="Times New Roman" w:hAnsi="Times New Roman" w:eastAsia="TimesNewRomanPSMT" w:cs="Times New Roman"/>
          <w:color w:val="auto"/>
          <w:sz w:val="24"/>
          <w:szCs w:val="24"/>
        </w:rPr>
        <w:t>1</w:t>
      </w:r>
      <w:r>
        <w:rPr>
          <w:rFonts w:hint="default" w:ascii="Times New Roman" w:hAnsi="Times New Roman" w:cs="Times New Roman"/>
          <w:color w:val="auto"/>
          <w:sz w:val="24"/>
          <w:szCs w:val="24"/>
        </w:rPr>
        <w:t>种，湖南省重点保护动物</w:t>
      </w:r>
      <w:r>
        <w:rPr>
          <w:rFonts w:hint="default" w:ascii="Times New Roman" w:hAnsi="Times New Roman" w:eastAsia="TimesNewRomanPSMT" w:cs="Times New Roman"/>
          <w:color w:val="auto"/>
          <w:sz w:val="24"/>
          <w:szCs w:val="24"/>
        </w:rPr>
        <w:t>3</w:t>
      </w:r>
      <w:r>
        <w:rPr>
          <w:rFonts w:hint="default" w:ascii="Times New Roman" w:hAnsi="Times New Roman" w:cs="Times New Roman"/>
          <w:color w:val="auto"/>
          <w:sz w:val="24"/>
          <w:szCs w:val="24"/>
        </w:rPr>
        <w:t>种（也是国家林业局规定的</w:t>
      </w:r>
      <w:r>
        <w:rPr>
          <w:rFonts w:hint="default" w:ascii="Times New Roman" w:hAnsi="Times New Roman" w:eastAsia="TimesNewRomanPSMT" w:cs="Times New Roman"/>
          <w:color w:val="auto"/>
          <w:sz w:val="24"/>
          <w:szCs w:val="24"/>
        </w:rPr>
        <w:t>“</w:t>
      </w:r>
      <w:r>
        <w:rPr>
          <w:rFonts w:hint="default" w:ascii="Times New Roman" w:hAnsi="Times New Roman" w:cs="Times New Roman"/>
          <w:color w:val="auto"/>
          <w:sz w:val="24"/>
          <w:szCs w:val="24"/>
        </w:rPr>
        <w:t>三有</w:t>
      </w:r>
      <w:r>
        <w:rPr>
          <w:rFonts w:hint="default" w:ascii="Times New Roman" w:hAnsi="Times New Roman" w:eastAsia="TimesNewRomanPSMT" w:cs="Times New Roman"/>
          <w:color w:val="auto"/>
          <w:sz w:val="24"/>
          <w:szCs w:val="24"/>
        </w:rPr>
        <w:t>”</w:t>
      </w:r>
      <w:r>
        <w:rPr>
          <w:rFonts w:hint="default" w:ascii="Times New Roman" w:hAnsi="Times New Roman" w:cs="Times New Roman"/>
          <w:color w:val="auto"/>
          <w:sz w:val="24"/>
          <w:szCs w:val="24"/>
        </w:rPr>
        <w:t>保护物种）。有</w:t>
      </w:r>
      <w:r>
        <w:rPr>
          <w:rFonts w:hint="default" w:ascii="Times New Roman" w:hAnsi="Times New Roman" w:eastAsia="TimesNewRomanPSMT" w:cs="Times New Roman"/>
          <w:color w:val="auto"/>
          <w:sz w:val="24"/>
          <w:szCs w:val="24"/>
        </w:rPr>
        <w:t>IUCN</w:t>
      </w:r>
      <w:r>
        <w:rPr>
          <w:rFonts w:hint="default" w:ascii="Times New Roman" w:hAnsi="Times New Roman" w:cs="Times New Roman"/>
          <w:color w:val="auto"/>
          <w:sz w:val="24"/>
          <w:szCs w:val="24"/>
        </w:rPr>
        <w:t>近危级别（</w:t>
      </w:r>
      <w:r>
        <w:rPr>
          <w:rFonts w:hint="default" w:ascii="Times New Roman" w:hAnsi="Times New Roman" w:eastAsia="TimesNewRomanPSMT" w:cs="Times New Roman"/>
          <w:color w:val="auto"/>
          <w:sz w:val="24"/>
          <w:szCs w:val="24"/>
        </w:rPr>
        <w:t>NT</w:t>
      </w:r>
      <w:r>
        <w:rPr>
          <w:rFonts w:hint="default" w:ascii="Times New Roman" w:hAnsi="Times New Roman" w:cs="Times New Roman"/>
          <w:color w:val="auto"/>
          <w:sz w:val="24"/>
          <w:szCs w:val="24"/>
        </w:rPr>
        <w:t>）</w:t>
      </w:r>
      <w:r>
        <w:rPr>
          <w:rFonts w:hint="default" w:ascii="Times New Roman" w:hAnsi="Times New Roman" w:eastAsia="TimesNewRomanPSMT" w:cs="Times New Roman"/>
          <w:color w:val="auto"/>
          <w:sz w:val="24"/>
          <w:szCs w:val="24"/>
        </w:rPr>
        <w:t>1</w:t>
      </w:r>
      <w:r>
        <w:rPr>
          <w:rFonts w:hint="default" w:ascii="Times New Roman" w:hAnsi="Times New Roman" w:cs="Times New Roman"/>
          <w:color w:val="auto"/>
          <w:sz w:val="24"/>
          <w:szCs w:val="24"/>
        </w:rPr>
        <w:t>种，濒危级别（</w:t>
      </w:r>
      <w:r>
        <w:rPr>
          <w:rFonts w:hint="default" w:ascii="Times New Roman" w:hAnsi="Times New Roman" w:eastAsia="TimesNewRomanPSMT" w:cs="Times New Roman"/>
          <w:color w:val="auto"/>
          <w:sz w:val="24"/>
          <w:szCs w:val="24"/>
        </w:rPr>
        <w:t>EN</w:t>
      </w:r>
      <w:r>
        <w:rPr>
          <w:rFonts w:hint="default" w:ascii="Times New Roman" w:hAnsi="Times New Roman" w:cs="Times New Roman"/>
          <w:color w:val="auto"/>
          <w:sz w:val="24"/>
          <w:szCs w:val="24"/>
        </w:rPr>
        <w:t>）</w:t>
      </w:r>
      <w:r>
        <w:rPr>
          <w:rFonts w:hint="default" w:ascii="Times New Roman" w:hAnsi="Times New Roman" w:eastAsia="TimesNewRomanPSMT" w:cs="Times New Roman"/>
          <w:color w:val="auto"/>
          <w:sz w:val="24"/>
          <w:szCs w:val="24"/>
        </w:rPr>
        <w:t>1</w:t>
      </w:r>
      <w:r>
        <w:rPr>
          <w:rFonts w:hint="default" w:ascii="Times New Roman" w:hAnsi="Times New Roman" w:cs="Times New Roman"/>
          <w:color w:val="auto"/>
          <w:sz w:val="24"/>
          <w:szCs w:val="24"/>
        </w:rPr>
        <w:t>种。列入了《濒危野生动植物种国际贸易公约》（</w:t>
      </w:r>
      <w:r>
        <w:rPr>
          <w:rFonts w:hint="default" w:ascii="Times New Roman" w:hAnsi="Times New Roman" w:eastAsia="TimesNewRomanPSMT" w:cs="Times New Roman"/>
          <w:color w:val="auto"/>
          <w:sz w:val="24"/>
          <w:szCs w:val="24"/>
        </w:rPr>
        <w:t>CITES</w:t>
      </w:r>
      <w:r>
        <w:rPr>
          <w:rFonts w:hint="default" w:ascii="Times New Roman" w:hAnsi="Times New Roman" w:cs="Times New Roman"/>
          <w:color w:val="auto"/>
          <w:sz w:val="24"/>
          <w:szCs w:val="24"/>
        </w:rPr>
        <w:t>）附录的有</w:t>
      </w:r>
      <w:r>
        <w:rPr>
          <w:rFonts w:hint="default" w:ascii="Times New Roman" w:hAnsi="Times New Roman" w:eastAsia="TimesNewRomanPSMT" w:cs="Times New Roman"/>
          <w:color w:val="auto"/>
          <w:sz w:val="24"/>
          <w:szCs w:val="24"/>
        </w:rPr>
        <w:t>2</w:t>
      </w:r>
      <w:r>
        <w:rPr>
          <w:rFonts w:hint="default" w:ascii="Times New Roman" w:hAnsi="Times New Roman" w:cs="Times New Roman"/>
          <w:color w:val="auto"/>
          <w:sz w:val="24"/>
          <w:szCs w:val="24"/>
        </w:rPr>
        <w:t>种。但本项目评价范围内未发现有上述重点保护动物。</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水生生态环境调查</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调查内容、范围和调查方法</w:t>
      </w:r>
    </w:p>
    <w:p>
      <w:pPr>
        <w:adjustRightInd w:val="0"/>
        <w:snapToGrid w:val="0"/>
        <w:spacing w:line="360" w:lineRule="auto"/>
        <w:ind w:firstLine="482" w:firstLineChars="200"/>
        <w:jc w:val="left"/>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1、调查内容</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⑴ 渔业资源、鱼类种群结构、数量及生态功能区（包括产卵场、索饵场、越冬场）。</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⑵ 浮游生物、底栖生物种类和密度。</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⑶ 水生植物种类。</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⑷ 珍稀特有和濒危水生生物现状。</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⑸ 水生态环境现状调查。</w:t>
      </w:r>
    </w:p>
    <w:p>
      <w:pPr>
        <w:adjustRightInd w:val="0"/>
        <w:snapToGrid w:val="0"/>
        <w:spacing w:line="360" w:lineRule="auto"/>
        <w:ind w:firstLine="482" w:firstLineChars="200"/>
        <w:jc w:val="left"/>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2、调查范围及时段</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调查范围涵盖保护区核心区、实验区以及工程所在区域江段。其中鱼类资源调查包含整个保护区，时段为2019年7月和10月；鱼类早期资源设置监利三洲镇断面，时段为2019年的5~7月；其它水生生物调查范围为工程所在的保护区的实验区，时间为2019年10月和2020年7月。</w:t>
      </w:r>
    </w:p>
    <w:p>
      <w:pPr>
        <w:adjustRightInd w:val="0"/>
        <w:snapToGrid w:val="0"/>
        <w:spacing w:line="360" w:lineRule="auto"/>
        <w:ind w:firstLine="482" w:firstLineChars="200"/>
        <w:jc w:val="left"/>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3、调查方法</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本项目影响评价专题现场调查和取样点布置见下图。</w:t>
      </w:r>
    </w:p>
    <w:p>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color w:val="auto"/>
        </w:rPr>
        <w:drawing>
          <wp:inline distT="0" distB="0" distL="114300" distR="114300">
            <wp:extent cx="5490845" cy="3961765"/>
            <wp:effectExtent l="0" t="0" r="14605" b="63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9"/>
                    <a:stretch>
                      <a:fillRect/>
                    </a:stretch>
                  </pic:blipFill>
                  <pic:spPr>
                    <a:xfrm>
                      <a:off x="0" y="0"/>
                      <a:ext cx="5490845" cy="3961765"/>
                    </a:xfrm>
                    <a:prstGeom prst="rect">
                      <a:avLst/>
                    </a:prstGeom>
                    <a:noFill/>
                    <a:ln>
                      <a:noFill/>
                    </a:ln>
                  </pic:spPr>
                </pic:pic>
              </a:graphicData>
            </a:graphic>
          </wp:inline>
        </w:drawing>
      </w:r>
    </w:p>
    <w:p>
      <w:pPr>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图5.8</w:t>
      </w:r>
      <w:r>
        <w:rPr>
          <w:rFonts w:hint="default" w:ascii="Times New Roman" w:hAnsi="Times New Roman" w:eastAsia="Times New Roman" w:cs="Times New Roman"/>
          <w:b/>
          <w:bCs/>
          <w:color w:val="auto"/>
          <w:sz w:val="24"/>
          <w:szCs w:val="18"/>
        </w:rPr>
        <w:t>-1</w:t>
      </w:r>
      <w:r>
        <w:rPr>
          <w:rFonts w:hint="default" w:ascii="Times New Roman" w:hAnsi="Times New Roman" w:cs="Times New Roman"/>
          <w:b/>
          <w:bCs/>
          <w:color w:val="auto"/>
          <w:sz w:val="24"/>
          <w:szCs w:val="18"/>
        </w:rPr>
        <w:t>0  鱼类资源、早期资源调查和取样点布置图</w:t>
      </w:r>
    </w:p>
    <w:p>
      <w:pPr>
        <w:adjustRightInd w:val="0"/>
        <w:snapToGrid w:val="0"/>
        <w:jc w:val="center"/>
        <w:rPr>
          <w:rFonts w:hint="default" w:ascii="Times New Roman" w:hAnsi="Times New Roman" w:cs="Times New Roman"/>
          <w:color w:val="auto"/>
          <w:sz w:val="28"/>
        </w:rPr>
      </w:pPr>
      <w:r>
        <w:rPr>
          <w:rFonts w:hint="default" w:ascii="Times New Roman" w:hAnsi="Times New Roman" w:cs="Times New Roman"/>
          <w:color w:val="auto"/>
        </w:rPr>
        <w:drawing>
          <wp:inline distT="0" distB="0" distL="114300" distR="114300">
            <wp:extent cx="5494020" cy="3964305"/>
            <wp:effectExtent l="0" t="0" r="11430" b="171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0"/>
                    <a:stretch>
                      <a:fillRect/>
                    </a:stretch>
                  </pic:blipFill>
                  <pic:spPr>
                    <a:xfrm>
                      <a:off x="0" y="0"/>
                      <a:ext cx="5494020" cy="396430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b/>
          <w:bCs/>
          <w:color w:val="auto"/>
          <w:sz w:val="24"/>
          <w:szCs w:val="18"/>
        </w:rPr>
        <w:t>图5.8</w:t>
      </w:r>
      <w:r>
        <w:rPr>
          <w:rFonts w:hint="default" w:ascii="Times New Roman" w:hAnsi="Times New Roman" w:eastAsia="Times New Roman" w:cs="Times New Roman"/>
          <w:b/>
          <w:bCs/>
          <w:color w:val="auto"/>
          <w:sz w:val="24"/>
          <w:szCs w:val="18"/>
        </w:rPr>
        <w:t>-</w:t>
      </w:r>
      <w:r>
        <w:rPr>
          <w:rFonts w:hint="default" w:ascii="Times New Roman" w:hAnsi="Times New Roman" w:cs="Times New Roman"/>
          <w:b/>
          <w:bCs/>
          <w:color w:val="auto"/>
          <w:sz w:val="24"/>
          <w:szCs w:val="18"/>
        </w:rPr>
        <w:t>11  浮游生物资源采样断面布置图</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渔业资源</w:t>
      </w:r>
    </w:p>
    <w:p>
      <w:pPr>
        <w:widowControl/>
        <w:numPr>
          <w:ilvl w:val="0"/>
          <w:numId w:val="7"/>
        </w:num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主动捕捞，在监测江段选择不同生境。针对鱼类生态习性，每个采样点利用不同特点的网具和不同规格的网具进行主动捕捞。根据采样面积、网口滤水体积和采样时间定量计算采样量；（b）商业捕捞，在监测江段购买当地渔船渔获物，了解主要捕捞种类，捕捞方式，日捕捞量等。（c）通过访问当地渔业管理部门的工作人员，了解主要捕捞种类，捕捞方式，日捕捞量及年渔业捕捞收入和珍稀鱼类活动情况，且随时收集未记录的物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样本采样过程中同时记录所采鱼类的采集时间、地点、样品编号、栖息环境、水流速度、水温、渔具渔法类型等。渔获物采集结束后对每一尾标本进行解剖和常规生物学测量，获得生物学研究数据。并现场对采集到的每一尾幼鱼和成鱼，进行种类鉴定，逐尾进行生物学测量（测量指标为体长、体重，其中体长测量精确到1mm；体重测量精确到1g）。现场不能确定或者以前没有采集到的种类，用10%的福尔马林溶液固定后，加写布质标签，标明采集地点、采集时间和采集地生境，运回实验室进行种类鉴定和复核，并进行生物学测量。对渔获物资料进行整理分析，得出各工作站点主要捕捞对象及其在渔获物中所占比重，不同捕捞渔具渔获物的长度和重量组成，以判断鱼类资源状况。</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产漂流性卵鱼类早期资源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采用主动捕捞方式进行监测，在监测江段设置监测断面，通过圆锥网和弶网收集鱼卵和鱼苗，每天定时采集，圆锥网每次采集时间为10~15min，弶网24小时不间断采集，同时记录水位、网口流速和调查江段溶解氧和水温。采集网具为50目圆锥网或50目弶网，圆锥网网长2.5m，网口面积0.196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，网后接圆柱形集苗器（长20cm，直径12cm）；弶网网长2.5m，网口面积0.353m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，网后接箱形集苗器（长50cm，宽30cm）。同时记录水位、流速、水温、pH值、电导率、溶氧等参数。</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通过观察及测量卵径、胚体长、卵色泽、发育期及其它特征进行鉴定，部分鱼卵在室内培养成幼鱼，依据其外部形态特征进行鉴定。对于形态特征差异极为细微、鉴定结果容易出错的种类采用分子生物学方法鉴定。具体如下：样品使用乙醇固定保存，带回实验室后将鱼苗或鱼卵放入1.5mL离心管中，用镊子压碎鱼卵，每管加200µLHOMBuffer（80mmol/LEDTA，100mmol/LTris碱，0.5%SDS）和20µL蛋白酶K（20µg/mL），55℃消化2h以上直至完全。每管加200µLNaCl（4.5mol/L）和150µL氯仿，混匀10min，12000r/min离心10min。取上清液，加0.7倍体积的异丙醇，混匀后置-20℃30min，12000r/min离心10min。弃上清，加500µL70%乙醇洗涤，12000r/min离心5min。弃上清，室温干燥加入50µlPH值为8.0的Tris-EDTA溶液，于4℃下过夜充分溶解，冻存于-20℃。选择扩增线粒体DNA（mitochondrialDNA，mtDNA）基因/片段：线粒体细胞色素C氧化酶I基因（cytochromecoxidase I，COI）或细胞色素b基因（cytochromeb，Cytb）用于鱼类早期发育阶段的分类鉴定。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浮游生物</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浮游植物</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浮游植物的采集包括定性采集和定量采集。定性采集采用25号筛绢制成的浮游生物网在水中拖曳采集。定量采集则采用2500ml采水器取上、中、下层水样，经充分混合后，取2000ml水样（根据江水泥沙含量、浮游植物数量等实际情况决定取样量，并采用泥沙分离的方法），加入鲁哥氏液固定，经过48h静置沉淀，浓缩至约30ml，保存待检。一般同断面的浮游植物与原生动物、轮虫共一份定性、定量样品。</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浮游动物</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原生动物和轮虫的采集包括定性采集和定量采集。定性采集采用25号筛绢制成的浮游生物网在水中拖曳采集，将网头中的样品放入50ml样品瓶中，加福尔马林液2.5ml进行固定。定量采集则采用2500ml采水器不同水层中采集一定量的水样，经充分混合后，取2000ml的水样，然后加入鲁哥氏液固定，经过48h以上的静置沉淀浓缩为标准样。一般同断面的浮游植物与原生动物、轮虫共一份定性、定量样品。</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枝角类和桡足类定性采集采用13号筛绢制成的浮游生物网在水中拖曳采集，将网头中的样品放入50ml样品瓶中，加福尔马林液2.5ml进行固定。定量采集则采用2500ml采水器不同水层中采集一定量的水样，经充分混合后，取10L的水样用25号筛绢制成的浮游生物网过滤后，将网头中的样品放入50ml样品瓶中，加福尔马林液2.5ml进行固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③ 底栖生物</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用Peterson氏底泥采集器采集定量样品，每个采样点采泥样2</w:t>
      </w:r>
      <w:r>
        <w:rPr>
          <w:rFonts w:hint="eastAsia" w:ascii="Times New Roman" w:hAnsi="Times New Roman" w:cs="Times New Roman"/>
          <w:color w:val="auto"/>
          <w:sz w:val="24"/>
          <w:szCs w:val="18"/>
          <w:lang w:val="en-US" w:eastAsia="zh-CN"/>
        </w:rPr>
        <w:t>~</w:t>
      </w:r>
      <w:r>
        <w:rPr>
          <w:rFonts w:hint="default" w:ascii="Times New Roman" w:hAnsi="Times New Roman" w:cs="Times New Roman"/>
          <w:color w:val="auto"/>
          <w:sz w:val="24"/>
          <w:szCs w:val="18"/>
        </w:rPr>
        <w:t>3个。软体动物定性样品用D形踢网（kick-net）进行采集，水生昆虫、寡毛类定性样品采集同定量样品。砾石底质无法用采泥器挖取的，捞取砾石用60目筛绢网筛洗或直接翻起石块在水流下方用筛绢网捞取。</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泥样倒入塑料盆中，对底泥中的砾石，要仔细刷下附着底栖动物，经40目分样筛筛选后拣出大型动物，剩余杂物全部装入塑料袋中，加少许清水带回室内，在白色解剖盘中用细吸管、尖嘴镊、解剖针分拣。软体动物用5%甲醛或75%乙醇溶液；水生昆虫用5%甲醛固定数小时后再用75%乙醇保存；寡毛类先放入加清水的培养皿中，并缓缓滴数滴75%乙醇麻醉，待其身体完全舒展后再用5%甲醛固定，75%乙醇保存。</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水生植物</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对于评价区的水生植物的种类和数量调查，本报告主要是在保护区科学考察报告的基础上进行甄别，并整理出评价区常见水生植物名录。</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⑸ 水质环境</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在调查鱼类资源状况的同时现场测量水温、pH值、电导率、溶氧等参数，并参考“综合考察报告”给出近几年水质变化状况。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⑹ 珍稀、特有和濒危水生生物现状</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以“综合考察报告”为依据，阅读查找相关文献资料，整理保护区内各类珍稀、特有和濒危水生生物的资源现状、繁殖习性等情况，再结合实地考察进行调查。</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水生生物资源和水生态环境现状与评价</w:t>
      </w:r>
    </w:p>
    <w:p>
      <w:pPr>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1、渔业资源</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鱼类种类组成</w:t>
      </w:r>
    </w:p>
    <w:p>
      <w:pPr>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保护区位于长江中游，该江段饵料资源丰富，适于鱼类等水生动物栖息，综合《长江鱼类》、《长江水系渔业资源》、《湖北鱼类志》、《中国动物志》、《长江监利段“四大家鱼”国家级水产种质资源保护区综合考察报告》等相关文献资料，保护区水域分布有鱼类109种，分属9目21科77属。该区中鲤形目为包含最多的种类，共有54属71种或亚种，占其种类总数的2/3，其它有：鲟形目2属4种、鲶形目6属10种、鲈形目8属13种、鲱形目2属3种、鳉形目2属3种、合鳃目1属1种、鲑形目1属3种、鳗鲡目1属1种。在21科鱼类中，鲤科鱼类种类数最多，有10亚科60种，其次为鳅科，2亚科9种，鲿科5种，其余各科种类较少。在鲤科中，以鮈亚科10属16种、鲌亚科7属13种、雅罗鱼亚科6属7种为主。项目区域位于四大家鱼水产种资资源保护区，主要以青鱼（</w:t>
      </w:r>
      <w:r>
        <w:rPr>
          <w:rFonts w:hint="default" w:ascii="Times New Roman" w:hAnsi="Times New Roman" w:cs="Times New Roman"/>
          <w:i/>
          <w:iCs/>
          <w:color w:val="auto"/>
          <w:sz w:val="24"/>
          <w:szCs w:val="18"/>
        </w:rPr>
        <w:t>Mylopharyngodon piceus</w:t>
      </w:r>
      <w:r>
        <w:rPr>
          <w:rFonts w:hint="default" w:ascii="Times New Roman" w:hAnsi="Times New Roman" w:cs="Times New Roman"/>
          <w:color w:val="auto"/>
          <w:sz w:val="24"/>
          <w:szCs w:val="18"/>
        </w:rPr>
        <w:t>）、草鱼（</w:t>
      </w:r>
      <w:r>
        <w:rPr>
          <w:rFonts w:hint="default" w:ascii="Times New Roman" w:hAnsi="Times New Roman" w:cs="Times New Roman"/>
          <w:i/>
          <w:iCs/>
          <w:color w:val="auto"/>
          <w:sz w:val="24"/>
          <w:szCs w:val="18"/>
        </w:rPr>
        <w:t>Ctenopharyngodon idellus</w:t>
      </w:r>
      <w:r>
        <w:rPr>
          <w:rFonts w:hint="default" w:ascii="Times New Roman" w:hAnsi="Times New Roman" w:cs="Times New Roman"/>
          <w:color w:val="auto"/>
          <w:sz w:val="24"/>
          <w:szCs w:val="18"/>
        </w:rPr>
        <w:t>）、鲢（</w:t>
      </w:r>
      <w:r>
        <w:rPr>
          <w:rFonts w:hint="default" w:ascii="Times New Roman" w:hAnsi="Times New Roman" w:cs="Times New Roman"/>
          <w:i/>
          <w:iCs/>
          <w:color w:val="auto"/>
          <w:sz w:val="24"/>
          <w:szCs w:val="18"/>
        </w:rPr>
        <w:t>Hypophthalmichthys molitrix</w:t>
      </w:r>
      <w:r>
        <w:rPr>
          <w:rFonts w:hint="default" w:ascii="Times New Roman" w:hAnsi="Times New Roman" w:cs="Times New Roman"/>
          <w:color w:val="auto"/>
          <w:sz w:val="24"/>
          <w:szCs w:val="18"/>
        </w:rPr>
        <w:t>）、鳙（</w:t>
      </w:r>
      <w:r>
        <w:rPr>
          <w:rFonts w:hint="default" w:ascii="Times New Roman" w:hAnsi="Times New Roman" w:cs="Times New Roman"/>
          <w:i/>
          <w:iCs/>
          <w:color w:val="auto"/>
          <w:sz w:val="24"/>
          <w:szCs w:val="18"/>
        </w:rPr>
        <w:t>Aristichthys mobilis</w:t>
      </w:r>
      <w:r>
        <w:rPr>
          <w:rFonts w:hint="default" w:ascii="Times New Roman" w:hAnsi="Times New Roman" w:cs="Times New Roman"/>
          <w:color w:val="auto"/>
          <w:sz w:val="24"/>
          <w:szCs w:val="18"/>
        </w:rPr>
        <w:t>）为主。现场调研未发现国家二级重点保护鱼类胭脂鱼、江豚以及其他重点保护水生动物。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鱼类区系特点</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保护区内鱼类组成具有长江中游区系的特点，大致可归为3类：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第1类：第三纪早期鱼类，是一些第三纪中新世及以前残留下来的种类，这些鱼的代表种数不多，但因适应性强，分布广，是一些常见的鱼类，包括有鲤、鲫、胭脂鱼、鳑鲏、泥鳅、鲶、鳜等。他们的体色多数具有河道色或拟草色。</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第2类：古北区鱼类，包含两个类群，一是中国江河平原区系类群，起源于我国东部，以老三纪的古北区原有的鱼类及其后裔为主，多数善泳、喜氧，适于开阔水域的中上层鱼类，包括有青、草、鲢、鳙、鳊属、鲌属、鲴属、铜鱼属等，为保护区内优势种群，比例超过半数。二是北方山麓平原区系鱼类，形成于第世纪全新世冰川期，其主要生态特征是耐寒，喜清流水，喜高氧，体呈纺锤形，种类较少，只有花鳅属鱼类等。</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第3类：中印区鱼类，包括两个类群，一是印度平原区系类群，即亚热带低地沼泽区系鱼类，大多是体形较小、不善游泳，具有适高温、耐缺氧的特点，包括有鮠科和鲃亚科的一些种类以及青鳉、乌鳢、斗鱼、塘鳢、黄鳝、刺鳅等。二是中印山麓区系鱼类，适应山区急流生活，体多扁平，胸鳍水平展开，有特化的吸盘结构，包括平鳍鳅科、鱼央科和鮡科的鱼类。</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鱼类生态类型</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长江中游保护区河段水流平缓，沿岸湖泊星罗棋布，水质肥沃，鱼类种类丰富，有众多的经济鱼类。鱼类种间关系显得十分复杂。有专食小型鱼类的凶猛鱼类，如鳡、鯮、长吻鮠等；也有虽是凶猛鱼类，但本身也常遭受大型凶猛鱼类捕食的鱼类，如鲌类；更多的小型鱼类，如虾虎鱼、鳑鲏、青鳉、鮈、麦穗鱼等。在自然状况下，大多是充当凶猛鱼类的食物。有半洄游性鱼类，如草鱼、青鱼、鲢、鳙等；有洄游鱼类，如鲚、鳗鲡等。</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食性类型：①凶猛性类鱼类：以鱼类为主要捕食对象，如鳡、鳤、翘嘴鲌、鳜、乌鳢、青梢鲌；②植食性鱼类：其中以食浮游植物为主的有鲢；以食固着藻类为食的有鳊、团头鲂及鳑鮍；以食水草为主的有草鱼；以固着藻和有机碎屑为食的有鲴。③杂食性鱼类：这类鱼类食谱较广，包括小型动物、植物及碎屑，其食性在不同环境水体和不同季节有明显变化，包括鲤、鲫、铜鱼、赤眼鳟等。④底栖动物食性鱼类：以底栖软体动物为食的类群，包括鮈亚科等大部分种、黄颡鱼、黄鳝等。⑤滤食性类：这类鱼类主要是通过鳃耙过滤以取食水中浮游动植物，包括鲢、鳙和银鱼。</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产卵类型：① 产漂流性卵鱼类种类：主要是生活在江河水体中的中、上层的鱼类。繁殖季节在4~6月，产出的卵体积较大，比重略大于水，主要包括草鱼、鲢、青鱼、鳙、鳜、赤眼鳟、鳜等。此繁殖类群对环境要求较高，必须满足一定的水温、水位、流速、流态等条件才能进行繁殖和孵化。② 产浮性卵种类：此类群主要是生活在静水和缓流水体中，繁殖季节在5~7月，产出的卵体积较小，比重小于水。</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主要种类有青鳉、黄鱼幼、叉尾斗鱼、乌鳢、虾虎鱼等。③产粘性卵种类：此类群鱼主要生活在江河水体中下层，繁殖季节2~5月份。产粘性卵种类可分为弱和强粘性卵两类，产弱粘性卵种类通常生活在静水、水草丰富的地方，有鲤、鲫等；产强粘性卵的种类通常生活于激流浅滩或流速较大的河槽，有南方鲇、黄颡鱼、大鳍鱯等鲿科鱼类。鲂、蒙古鲌、鲇、黄颡鱼产卵时期一般为3~6月。</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渔获物群落结构</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2019年7月和10月份对岳阳江段的幼鱼和成鱼开展现场调查，共采集到鱼类41种，隶属5目9科（表5.8-5）。种类组成以鲤科鱼类为主，种类数占总数的比例为68.9%；其次是鲿科鱼类，种类数占总数的比例为9.8%；鳅科和脂科鱼类，种类数分别占总数的比例为4.9%，其余各科鱼类仅有一种。</w:t>
      </w:r>
    </w:p>
    <w:p>
      <w:pPr>
        <w:widowControl/>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表5.8-5  岳阳江段渔获物种类</w:t>
      </w:r>
    </w:p>
    <w:tbl>
      <w:tblPr>
        <w:tblStyle w:val="71"/>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72"/>
        <w:gridCol w:w="1734"/>
        <w:gridCol w:w="60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tblHeader/>
          <w:jc w:val="center"/>
        </w:trPr>
        <w:tc>
          <w:tcPr>
            <w:tcW w:w="69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编号</w:t>
            </w:r>
          </w:p>
        </w:tc>
        <w:tc>
          <w:tcPr>
            <w:tcW w:w="95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w:t>
            </w:r>
          </w:p>
        </w:tc>
        <w:tc>
          <w:tcPr>
            <w:tcW w:w="3347" w:type="pct"/>
            <w:tcBorders>
              <w:tl2br w:val="nil"/>
              <w:tr2bl w:val="nil"/>
            </w:tcBorders>
            <w:vAlign w:val="center"/>
          </w:tcPr>
          <w:p>
            <w:pPr>
              <w:adjustRightInd w:val="0"/>
              <w:snapToGrid w:val="0"/>
              <w:jc w:val="center"/>
              <w:rPr>
                <w:rFonts w:hint="default" w:ascii="Times New Roman" w:hAnsi="Times New Roman" w:eastAsia="Times New Roman" w:cs="Times New Roman"/>
                <w:b/>
                <w:bCs/>
                <w:color w:val="auto"/>
              </w:rPr>
            </w:pPr>
            <w:r>
              <w:rPr>
                <w:rFonts w:hint="default" w:ascii="Times New Roman" w:hAnsi="Times New Roman" w:cs="Times New Roman"/>
                <w:b/>
                <w:bCs/>
                <w:color w:val="auto"/>
              </w:rPr>
              <w:t>拉丁学名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一、鲤形目</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CYPRINIFORMES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1</w:t>
            </w:r>
            <w:r>
              <w:rPr>
                <w:rFonts w:hint="default" w:ascii="Times New Roman" w:hAnsi="Times New Roman" w:cs="Times New Roman"/>
                <w:color w:val="auto"/>
              </w:rPr>
              <w:t>）鲤科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Cyprinidae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青鱼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Mylopharyngodonpiceus</w:t>
            </w:r>
            <w:r>
              <w:rPr>
                <w:rFonts w:hint="default" w:ascii="Times New Roman" w:hAnsi="Times New Roman" w:eastAsia="Times New Roman" w:cs="Times New Roman"/>
                <w:color w:val="auto"/>
              </w:rPr>
              <w:t>(Richardson)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草鱼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Ctenopharyngodonidellus</w:t>
            </w:r>
            <w:r>
              <w:rPr>
                <w:rFonts w:hint="default" w:ascii="Times New Roman" w:hAnsi="Times New Roman" w:eastAsia="Times New Roman" w:cs="Times New Roman"/>
                <w:color w:val="auto"/>
              </w:rPr>
              <w:t>(CuvieretValenciennes)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赤眼鳟</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Squaliobarbuscurriculus</w:t>
            </w:r>
            <w:r>
              <w:rPr>
                <w:rFonts w:hint="default" w:ascii="Times New Roman" w:hAnsi="Times New Roman" w:eastAsia="Times New Roman" w:cs="Times New Roman"/>
                <w:color w:val="auto"/>
              </w:rPr>
              <w:t>(Richardson)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4</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鳡</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Elopichthysbambusa</w:t>
            </w:r>
            <w:r>
              <w:rPr>
                <w:rFonts w:hint="default" w:ascii="Times New Roman" w:hAnsi="Times New Roman" w:eastAsia="Times New Roman" w:cs="Times New Roman"/>
                <w:color w:val="auto"/>
              </w:rPr>
              <w:t>(Richardson)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5</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银飘鱼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Pseudolaubucasinensis</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6</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伍氏华鳊</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Sinibramawui</w:t>
            </w:r>
            <w:r>
              <w:rPr>
                <w:rFonts w:hint="default" w:ascii="Times New Roman" w:hAnsi="Times New Roman" w:eastAsia="Times New Roman" w:cs="Times New Roman"/>
                <w:color w:val="auto"/>
              </w:rPr>
              <w:t>(Rendahlde)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7</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䱗</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Hemiculterleucisculus</w:t>
            </w:r>
            <w:r>
              <w:rPr>
                <w:rFonts w:hint="default" w:ascii="Times New Roman" w:hAnsi="Times New Roman" w:eastAsia="Times New Roman" w:cs="Times New Roman"/>
                <w:color w:val="auto"/>
              </w:rPr>
              <w:t>(Basilewsky)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8</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翘嘴鲌</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Culteralburnus</w:t>
            </w:r>
            <w:r>
              <w:rPr>
                <w:rFonts w:hint="default" w:ascii="Times New Roman" w:hAnsi="Times New Roman" w:eastAsia="Times New Roman" w:cs="Times New Roman"/>
                <w:color w:val="auto"/>
              </w:rPr>
              <w:t>(Basilewsky)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9</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蒙古鲌</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Cultermongolicus</w:t>
            </w:r>
            <w:r>
              <w:rPr>
                <w:rFonts w:hint="default" w:ascii="Times New Roman" w:hAnsi="Times New Roman" w:eastAsia="Times New Roman" w:cs="Times New Roman"/>
                <w:color w:val="auto"/>
              </w:rPr>
              <w:t>(Basilewsky)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10</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拟尖头鲌</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Culteroxycephaloides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11</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鳊</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Parabramispekinensis</w:t>
            </w:r>
            <w:r>
              <w:rPr>
                <w:rFonts w:hint="default" w:ascii="Times New Roman" w:hAnsi="Times New Roman" w:eastAsia="Times New Roman" w:cs="Times New Roman"/>
                <w:color w:val="auto"/>
              </w:rPr>
              <w:t>(Basilewsky)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12</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似鳊</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Pseudobramasimoni</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13</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鳙</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Aristichthysnobilis</w:t>
            </w:r>
            <w:r>
              <w:rPr>
                <w:rFonts w:hint="default" w:ascii="Times New Roman" w:hAnsi="Times New Roman" w:eastAsia="Times New Roman" w:cs="Times New Roman"/>
                <w:color w:val="auto"/>
              </w:rPr>
              <w:t>(Richardson)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14</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鲢</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Hypophthalmichthysmolitrix</w:t>
            </w:r>
            <w:r>
              <w:rPr>
                <w:rFonts w:hint="default" w:ascii="Times New Roman" w:hAnsi="Times New Roman" w:eastAsia="Times New Roman" w:cs="Times New Roman"/>
                <w:color w:val="auto"/>
              </w:rPr>
              <w:t>(CuvieretValenciennes)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15</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麦穗鱼</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Pseudorasboraparva</w:t>
            </w:r>
            <w:r>
              <w:rPr>
                <w:rFonts w:hint="default" w:ascii="Times New Roman" w:hAnsi="Times New Roman" w:eastAsia="Times New Roman" w:cs="Times New Roman"/>
                <w:color w:val="auto"/>
              </w:rPr>
              <w:t>(TemmincketSchlegel)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16</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华鳈</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Sarcocheilichthyssinensis</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17</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银鮈</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Squalidusargentatus</w:t>
            </w:r>
            <w:r>
              <w:rPr>
                <w:rFonts w:hint="default" w:ascii="Times New Roman" w:hAnsi="Times New Roman" w:eastAsia="Times New Roman" w:cs="Times New Roman"/>
                <w:color w:val="auto"/>
              </w:rPr>
              <w:t>(SauvageetDabry)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18</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银鲴</w:t>
            </w:r>
          </w:p>
        </w:tc>
        <w:tc>
          <w:tcPr>
            <w:tcW w:w="3346" w:type="pct"/>
            <w:tcBorders>
              <w:tl2br w:val="nil"/>
              <w:tr2bl w:val="nil"/>
            </w:tcBorders>
            <w:vAlign w:val="center"/>
          </w:tcPr>
          <w:p>
            <w:pPr>
              <w:adjustRightInd w:val="0"/>
              <w:snapToGrid w:val="0"/>
              <w:jc w:val="left"/>
              <w:rPr>
                <w:rFonts w:hint="default" w:ascii="Times New Roman" w:hAnsi="Times New Roman" w:cs="Times New Roman"/>
                <w:color w:val="auto"/>
              </w:rPr>
            </w:pPr>
            <w:r>
              <w:rPr>
                <w:rFonts w:hint="default" w:ascii="Times New Roman" w:hAnsi="Times New Roman" w:eastAsia="Times New Roman" w:cs="Times New Roman"/>
                <w:i/>
                <w:color w:val="auto"/>
              </w:rPr>
              <w:t>Xenocyprisargentea</w:t>
            </w:r>
            <w:r>
              <w:rPr>
                <w:rFonts w:hint="default" w:ascii="Times New Roman" w:hAnsi="Times New Roman" w:eastAsia="Times New Roman" w:cs="Times New Roman"/>
                <w:color w:val="auto"/>
              </w:rPr>
              <w:t>(Günther</w:t>
            </w:r>
            <w:r>
              <w:rPr>
                <w:rFonts w:hint="default" w:ascii="Times New Roman" w:hAnsi="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19</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铜鱼</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Coreiusheterodon</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20</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吻鮈</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Rhinogobiotypus</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21</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圆筒吻鮈</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Rhinogobiocylindricus</w:t>
            </w:r>
            <w:r>
              <w:rPr>
                <w:rFonts w:hint="default" w:ascii="Times New Roman" w:hAnsi="Times New Roman" w:eastAsia="Times New Roman" w:cs="Times New Roman"/>
                <w:color w:val="auto"/>
              </w:rPr>
              <w:t>(Günther)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22</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蛇鮈</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Saurogobiodabryi</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23</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兴凯鱊</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Acheilognathuschankaensis</w:t>
            </w:r>
            <w:r>
              <w:rPr>
                <w:rFonts w:hint="default" w:ascii="Times New Roman" w:hAnsi="Times New Roman" w:eastAsia="Times New Roman" w:cs="Times New Roman"/>
                <w:color w:val="auto"/>
              </w:rPr>
              <w:t>(Dybowski)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24</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高体鳑鲏</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Rhodeusocellatus</w:t>
            </w:r>
            <w:r>
              <w:rPr>
                <w:rFonts w:hint="default" w:ascii="Times New Roman" w:hAnsi="Times New Roman" w:eastAsia="Times New Roman" w:cs="Times New Roman"/>
                <w:color w:val="auto"/>
              </w:rPr>
              <w:t>(Kner)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25</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鲤</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Cyprinuscarpio</w:t>
            </w:r>
            <w:r>
              <w:rPr>
                <w:rFonts w:hint="default" w:ascii="Times New Roman" w:hAnsi="Times New Roman" w:eastAsia="Times New Roman" w:cs="Times New Roman"/>
                <w:color w:val="auto"/>
              </w:rPr>
              <w:t>(Linnaeus)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26</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鲫</w:t>
            </w:r>
          </w:p>
        </w:tc>
        <w:tc>
          <w:tcPr>
            <w:tcW w:w="3346"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Carassiusauratus</w:t>
            </w:r>
            <w:r>
              <w:rPr>
                <w:rFonts w:hint="default" w:ascii="Times New Roman" w:hAnsi="Times New Roman" w:eastAsia="Times New Roman" w:cs="Times New Roman"/>
                <w:color w:val="auto"/>
              </w:rPr>
              <w:t>(Linnaeus)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27</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团头鲂</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Megalobramaamblycephala</w:t>
            </w:r>
            <w:r>
              <w:rPr>
                <w:rFonts w:hint="default" w:ascii="Times New Roman" w:hAnsi="Times New Roman" w:eastAsia="Times New Roman" w:cs="Times New Roman"/>
                <w:color w:val="auto"/>
              </w:rPr>
              <w:t>(Yih)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28</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鲂</w:t>
            </w:r>
          </w:p>
        </w:tc>
        <w:tc>
          <w:tcPr>
            <w:tcW w:w="3347" w:type="pct"/>
            <w:tcBorders>
              <w:tl2br w:val="nil"/>
              <w:tr2bl w:val="nil"/>
            </w:tcBorders>
            <w:vAlign w:val="center"/>
          </w:tcPr>
          <w:p>
            <w:pPr>
              <w:adjustRightInd w:val="0"/>
              <w:snapToGrid w:val="0"/>
              <w:jc w:val="left"/>
              <w:rPr>
                <w:rFonts w:hint="default" w:ascii="Times New Roman" w:hAnsi="Times New Roman" w:cs="Times New Roman"/>
                <w:color w:val="auto"/>
              </w:rPr>
            </w:pPr>
            <w:r>
              <w:rPr>
                <w:rFonts w:hint="default" w:ascii="Times New Roman" w:hAnsi="Times New Roman" w:eastAsia="Times New Roman" w:cs="Times New Roman"/>
                <w:i/>
                <w:color w:val="auto"/>
              </w:rPr>
              <w:t>Megalobramaskolkovii</w:t>
            </w:r>
            <w:r>
              <w:rPr>
                <w:rFonts w:hint="default" w:ascii="Times New Roman" w:hAnsi="Times New Roman" w:eastAsia="Times New Roman" w:cs="Times New Roman"/>
                <w:color w:val="auto"/>
              </w:rPr>
              <w:t>(Dybowski</w:t>
            </w:r>
            <w:r>
              <w:rPr>
                <w:rFonts w:hint="default" w:ascii="Times New Roman" w:hAnsi="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2</w:t>
            </w:r>
            <w:r>
              <w:rPr>
                <w:rFonts w:hint="default" w:ascii="Times New Roman" w:hAnsi="Times New Roman" w:cs="Times New Roman"/>
                <w:color w:val="auto"/>
              </w:rPr>
              <w:t>）鳅科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Cobitidae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29</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紫薄鳅</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Leptobotiataeniops</w:t>
            </w:r>
            <w:r>
              <w:rPr>
                <w:rFonts w:hint="default" w:ascii="Times New Roman" w:hAnsi="Times New Roman" w:eastAsia="Times New Roman" w:cs="Times New Roman"/>
                <w:color w:val="auto"/>
              </w:rPr>
              <w:t>(Sauvage)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30</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武昌副沙鳅</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Parabotiabanarescui</w:t>
            </w:r>
            <w:r>
              <w:rPr>
                <w:rFonts w:hint="default" w:ascii="Times New Roman" w:hAnsi="Times New Roman" w:eastAsia="Times New Roman" w:cs="Times New Roman"/>
                <w:color w:val="auto"/>
              </w:rPr>
              <w:t>(Nalbant)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3</w:t>
            </w:r>
            <w:r>
              <w:rPr>
                <w:rFonts w:hint="default" w:ascii="Times New Roman" w:hAnsi="Times New Roman" w:cs="Times New Roman"/>
                <w:color w:val="auto"/>
              </w:rPr>
              <w:t>）胭脂鱼科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Catostomidae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31</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胭脂鱼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Myxocyprinusasiaticus</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二、鲇形目</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SILURIFORMES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4</w:t>
            </w:r>
            <w:r>
              <w:rPr>
                <w:rFonts w:hint="default" w:ascii="Times New Roman" w:hAnsi="Times New Roman" w:cs="Times New Roman"/>
                <w:color w:val="auto"/>
              </w:rPr>
              <w:t>）鲿科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Bagridae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32</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黄颡鱼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Pelteobagrusfulvidraco</w:t>
            </w:r>
            <w:r>
              <w:rPr>
                <w:rFonts w:hint="default" w:ascii="Times New Roman" w:hAnsi="Times New Roman" w:eastAsia="Times New Roman" w:cs="Times New Roman"/>
                <w:color w:val="auto"/>
              </w:rPr>
              <w:t>(Richardson)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33</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光泽黄颡鱼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Pelteobagrusnitidus</w:t>
            </w:r>
            <w:r>
              <w:rPr>
                <w:rFonts w:hint="default" w:ascii="Times New Roman" w:hAnsi="Times New Roman" w:eastAsia="Times New Roman" w:cs="Times New Roman"/>
                <w:color w:val="auto"/>
              </w:rPr>
              <w:t>(SauvageetDabry)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34</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长吻鮠</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Leiocassislongirostris</w:t>
            </w:r>
            <w:r>
              <w:rPr>
                <w:rFonts w:hint="default" w:ascii="Times New Roman" w:hAnsi="Times New Roman" w:eastAsia="Times New Roman" w:cs="Times New Roman"/>
                <w:color w:val="auto"/>
              </w:rPr>
              <w:t>(Günther)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35</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大鳍鳠</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Mystusmacropterus</w:t>
            </w:r>
            <w:r>
              <w:rPr>
                <w:rFonts w:hint="default" w:ascii="Times New Roman" w:hAnsi="Times New Roman" w:eastAsia="Times New Roman" w:cs="Times New Roman"/>
                <w:color w:val="auto"/>
              </w:rPr>
              <w:t>(Bleeker)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5</w:t>
            </w:r>
            <w:r>
              <w:rPr>
                <w:rFonts w:hint="default" w:ascii="Times New Roman" w:hAnsi="Times New Roman" w:cs="Times New Roman"/>
                <w:color w:val="auto"/>
              </w:rPr>
              <w:t>）鲇科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Siluridae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36</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鲇</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Silurusasotus</w:t>
            </w:r>
            <w:r>
              <w:rPr>
                <w:rFonts w:hint="default" w:ascii="Times New Roman" w:hAnsi="Times New Roman" w:eastAsia="Times New Roman" w:cs="Times New Roman"/>
                <w:color w:val="auto"/>
              </w:rPr>
              <w:t>(Linnaeus)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三、鲈形目</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PERCIFORMES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6</w:t>
            </w:r>
            <w:r>
              <w:rPr>
                <w:rFonts w:hint="default" w:ascii="Times New Roman" w:hAnsi="Times New Roman" w:cs="Times New Roman"/>
                <w:color w:val="auto"/>
              </w:rPr>
              <w:t>）鮨科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Serranidae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37</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鳜</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Sinipercachuatsi</w:t>
            </w:r>
            <w:r>
              <w:rPr>
                <w:rFonts w:hint="default" w:ascii="Times New Roman" w:hAnsi="Times New Roman" w:eastAsia="Times New Roman" w:cs="Times New Roman"/>
                <w:color w:val="auto"/>
              </w:rPr>
              <w:t>(Basilewsky)</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38</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大眼鳜</w:t>
            </w:r>
          </w:p>
        </w:tc>
        <w:tc>
          <w:tcPr>
            <w:tcW w:w="3347" w:type="pct"/>
            <w:tcBorders>
              <w:tl2br w:val="nil"/>
              <w:tr2bl w:val="nil"/>
            </w:tcBorders>
            <w:vAlign w:val="center"/>
          </w:tcPr>
          <w:p>
            <w:pPr>
              <w:adjustRightInd w:val="0"/>
              <w:snapToGrid w:val="0"/>
              <w:jc w:val="left"/>
              <w:rPr>
                <w:rFonts w:hint="default" w:ascii="Times New Roman" w:hAnsi="Times New Roman" w:cs="Times New Roman"/>
                <w:color w:val="auto"/>
              </w:rPr>
            </w:pPr>
            <w:r>
              <w:rPr>
                <w:rFonts w:hint="default" w:ascii="Times New Roman" w:hAnsi="Times New Roman" w:eastAsia="Times New Roman" w:cs="Times New Roman"/>
                <w:i/>
                <w:color w:val="auto"/>
              </w:rPr>
              <w:t>Sinipercakneri</w:t>
            </w:r>
            <w:r>
              <w:rPr>
                <w:rFonts w:hint="default" w:ascii="Times New Roman" w:hAnsi="Times New Roman" w:cs="Times New Roman"/>
                <w:color w:val="auto"/>
              </w:rPr>
              <w:t>（</w:t>
            </w:r>
            <w:r>
              <w:rPr>
                <w:rFonts w:hint="default" w:ascii="Times New Roman" w:hAnsi="Times New Roman" w:eastAsia="Times New Roman" w:cs="Times New Roman"/>
                <w:color w:val="auto"/>
              </w:rPr>
              <w:t>Garman</w:t>
            </w:r>
            <w:r>
              <w:rPr>
                <w:rFonts w:hint="default" w:ascii="Times New Roman" w:hAnsi="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7</w:t>
            </w:r>
            <w:r>
              <w:rPr>
                <w:rFonts w:hint="default" w:ascii="Times New Roman" w:hAnsi="Times New Roman" w:cs="Times New Roman"/>
                <w:color w:val="auto"/>
              </w:rPr>
              <w:t>）鳢科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Channidae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39</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乌鳢</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Channaargus</w:t>
            </w:r>
            <w:r>
              <w:rPr>
                <w:rFonts w:hint="default" w:ascii="Times New Roman" w:hAnsi="Times New Roman" w:eastAsia="Times New Roman" w:cs="Times New Roman"/>
                <w:color w:val="auto"/>
              </w:rPr>
              <w:t>(Cantor)</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四、鲱形目</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CLUPEIFORMES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8</w:t>
            </w:r>
            <w:r>
              <w:rPr>
                <w:rFonts w:hint="default" w:ascii="Times New Roman" w:hAnsi="Times New Roman" w:cs="Times New Roman"/>
                <w:color w:val="auto"/>
              </w:rPr>
              <w:t>）鳀科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Engraulidae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40</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短颌鲚</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Coiliabrachygnathus</w:t>
            </w:r>
            <w:r>
              <w:rPr>
                <w:rFonts w:hint="default" w:ascii="Times New Roman" w:hAnsi="Times New Roman" w:eastAsia="Times New Roman" w:cs="Times New Roman"/>
                <w:color w:val="auto"/>
              </w:rPr>
              <w:t>(Kreyenberget)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五、鲑形目</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SALMONIFORMES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jc w:val="center"/>
        </w:trPr>
        <w:tc>
          <w:tcPr>
            <w:tcW w:w="1652"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eastAsia="Times New Roman" w:cs="Times New Roman"/>
                <w:b/>
                <w:color w:val="auto"/>
              </w:rPr>
              <w:t>9</w:t>
            </w:r>
            <w:r>
              <w:rPr>
                <w:rFonts w:hint="default" w:ascii="Times New Roman" w:hAnsi="Times New Roman" w:cs="Times New Roman"/>
                <w:color w:val="auto"/>
              </w:rPr>
              <w:t>）银鱼科</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Salangidae</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0" w:hRule="atLeast"/>
          <w:jc w:val="center"/>
        </w:trPr>
        <w:tc>
          <w:tcPr>
            <w:tcW w:w="699" w:type="pct"/>
            <w:tcBorders>
              <w:tl2br w:val="nil"/>
              <w:tr2bl w:val="nil"/>
            </w:tcBorders>
            <w:vAlign w:val="center"/>
          </w:tcPr>
          <w:p>
            <w:pPr>
              <w:adjustRightInd w:val="0"/>
              <w:snapToGrid w:val="0"/>
              <w:jc w:val="center"/>
              <w:rPr>
                <w:rFonts w:hint="default" w:ascii="Times New Roman" w:hAnsi="Times New Roman" w:eastAsia="Times New Roman" w:cs="Times New Roman"/>
                <w:color w:val="auto"/>
              </w:rPr>
            </w:pPr>
            <w:r>
              <w:rPr>
                <w:rFonts w:hint="default" w:ascii="Times New Roman" w:hAnsi="Times New Roman" w:eastAsia="Times New Roman" w:cs="Times New Roman"/>
                <w:b/>
                <w:color w:val="auto"/>
              </w:rPr>
              <w:t>41</w:t>
            </w:r>
          </w:p>
        </w:tc>
        <w:tc>
          <w:tcPr>
            <w:tcW w:w="953"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太湖新银鱼</w:t>
            </w:r>
          </w:p>
        </w:tc>
        <w:tc>
          <w:tcPr>
            <w:tcW w:w="3347" w:type="pct"/>
            <w:tcBorders>
              <w:tl2br w:val="nil"/>
              <w:tr2bl w:val="nil"/>
            </w:tcBorders>
            <w:vAlign w:val="center"/>
          </w:tcPr>
          <w:p>
            <w:pPr>
              <w:adjustRightInd w:val="0"/>
              <w:snapToGrid w:val="0"/>
              <w:jc w:val="left"/>
              <w:rPr>
                <w:rFonts w:hint="default" w:ascii="Times New Roman" w:hAnsi="Times New Roman" w:eastAsia="Times New Roman" w:cs="Times New Roman"/>
                <w:color w:val="auto"/>
              </w:rPr>
            </w:pPr>
            <w:r>
              <w:rPr>
                <w:rFonts w:hint="default" w:ascii="Times New Roman" w:hAnsi="Times New Roman" w:eastAsia="Times New Roman" w:cs="Times New Roman"/>
                <w:i/>
                <w:color w:val="auto"/>
              </w:rPr>
              <w:t>Neosalanxtaihuensis</w:t>
            </w:r>
            <w:r>
              <w:rPr>
                <w:rFonts w:hint="default" w:ascii="Times New Roman" w:hAnsi="Times New Roman" w:eastAsia="Times New Roman" w:cs="Times New Roman"/>
                <w:color w:val="auto"/>
              </w:rPr>
              <w:t>(Chen)</w:t>
            </w:r>
          </w:p>
        </w:tc>
      </w:tr>
    </w:tbl>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根据渔获物调查结果，优势种主要有铜鱼、短颌鲚、银鲴、鲢、团头鲂等，其中“四大家鱼”渔获物总尾数和总重量比例分别为9.32%和43.33%，为岳阳江段主要经济鱼类，渔获物组成比例见表5.8-6。</w:t>
      </w:r>
    </w:p>
    <w:p>
      <w:pPr>
        <w:widowControl/>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表5.8-6  岳阳江段渔获物组成</w:t>
      </w:r>
    </w:p>
    <w:tbl>
      <w:tblPr>
        <w:tblStyle w:val="72"/>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01"/>
        <w:gridCol w:w="3139"/>
        <w:gridCol w:w="2280"/>
        <w:gridCol w:w="22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blHeader/>
          <w:jc w:val="center"/>
        </w:trPr>
        <w:tc>
          <w:tcPr>
            <w:tcW w:w="770"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724"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w:t>
            </w:r>
          </w:p>
        </w:tc>
        <w:tc>
          <w:tcPr>
            <w:tcW w:w="1252"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尾数%</w:t>
            </w:r>
          </w:p>
        </w:tc>
        <w:tc>
          <w:tcPr>
            <w:tcW w:w="1252"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重量%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铜鱼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23.99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鳊</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4.44</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赤眼鳟</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1.75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银鲴</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7.04</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高体鳑鲏</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0.12</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6</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麦穗鱼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0.06</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7</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吻鮈</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0.27</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8</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拟尖头鲌</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0.80</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9</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鲤</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3.99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10.83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10</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似鳊</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2.99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11</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翘嘴鲌</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2.34</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2.46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12</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蒙古鲌</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3.05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2.73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13</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草鱼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2.13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9.59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兴凯鱊</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15</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鲢</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5.71</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14.19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16</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团头鲂</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5.65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6.07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17</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鲫</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1.69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18</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华鳈</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19</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蛇鮈</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0.15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20</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鳙</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1.18</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12.77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21</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䱗</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0.41</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22</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圆筒吻鮈</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23</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鳡</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2.22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24</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鲂</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0.53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25</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飘鱼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1.24</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26</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青鱼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0.30</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6.78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27</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银鮈</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0.24</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28</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伍氏华鳊</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29</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武昌副沙鳅</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30</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紫薄鳅</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31</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胭脂鱼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32</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大鳍鳠</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33</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光泽黄颡鱼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0.33</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34</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长吻鮠</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0.06</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35</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黄颡鱼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2.46</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0.81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36</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鲇</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0.62</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37</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乌鳢</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0.30</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38</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鳜</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2.66</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2.93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39</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大眼鳜</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0.59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40</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短颌鲚</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21.15</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77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41</w:t>
            </w:r>
          </w:p>
        </w:tc>
        <w:tc>
          <w:tcPr>
            <w:tcW w:w="172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银鱼</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0.09</w:t>
            </w:r>
          </w:p>
        </w:tc>
        <w:tc>
          <w:tcPr>
            <w:tcW w:w="1252"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w:t>
            </w:r>
          </w:p>
        </w:tc>
      </w:tr>
    </w:tbl>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岳阳江段四大家鱼平均体长范围为23~120cm，平均体重范围为297</w:t>
      </w:r>
      <w:r>
        <w:rPr>
          <w:rFonts w:hint="eastAsia" w:ascii="Times New Roman" w:hAnsi="Times New Roman" w:cs="Times New Roman"/>
          <w:color w:val="auto"/>
          <w:sz w:val="24"/>
          <w:szCs w:val="18"/>
          <w:lang w:val="en-US" w:eastAsia="zh-CN"/>
        </w:rPr>
        <w:t>~</w:t>
      </w:r>
      <w:r>
        <w:rPr>
          <w:rFonts w:hint="default" w:ascii="Times New Roman" w:hAnsi="Times New Roman" w:cs="Times New Roman"/>
          <w:color w:val="auto"/>
          <w:sz w:val="24"/>
          <w:szCs w:val="18"/>
        </w:rPr>
        <w:t>32500g。调查期间，单位捕捞努力量渔获量（CPUE）为12.19kg/船/天。四大家鱼类的体长、体重见表5.8-7。</w:t>
      </w:r>
    </w:p>
    <w:p>
      <w:pPr>
        <w:widowControl/>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表5.8</w:t>
      </w:r>
      <w:r>
        <w:rPr>
          <w:rFonts w:hint="default" w:ascii="Times New Roman" w:hAnsi="Times New Roman" w:eastAsia="Times New Roman" w:cs="Times New Roman"/>
          <w:b/>
          <w:bCs/>
          <w:color w:val="auto"/>
          <w:sz w:val="24"/>
          <w:szCs w:val="24"/>
        </w:rPr>
        <w:t>-</w:t>
      </w:r>
      <w:r>
        <w:rPr>
          <w:rFonts w:hint="default" w:ascii="Times New Roman" w:hAnsi="Times New Roman" w:cs="Times New Roman"/>
          <w:b/>
          <w:bCs/>
          <w:color w:val="auto"/>
          <w:sz w:val="24"/>
          <w:szCs w:val="24"/>
        </w:rPr>
        <w:t>7  岳阳江段重要经济鱼类的体长、体重</w:t>
      </w:r>
    </w:p>
    <w:tbl>
      <w:tblPr>
        <w:tblStyle w:val="72"/>
        <w:tblW w:w="5000" w:type="pct"/>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803"/>
        <w:gridCol w:w="1823"/>
        <w:gridCol w:w="1836"/>
        <w:gridCol w:w="1830"/>
        <w:gridCol w:w="1808"/>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90" w:type="pct"/>
            <w:tcBorders>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w:t>
            </w:r>
          </w:p>
        </w:tc>
        <w:tc>
          <w:tcPr>
            <w:tcW w:w="1001"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鲢</w:t>
            </w:r>
          </w:p>
        </w:tc>
        <w:tc>
          <w:tcPr>
            <w:tcW w:w="1008"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草鱼</w:t>
            </w:r>
          </w:p>
        </w:tc>
        <w:tc>
          <w:tcPr>
            <w:tcW w:w="1005"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鳙</w:t>
            </w:r>
          </w:p>
        </w:tc>
        <w:tc>
          <w:tcPr>
            <w:tcW w:w="993" w:type="pct"/>
            <w:tcBorders>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青鱼</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90"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平均体长（</w:t>
            </w:r>
            <w:r>
              <w:rPr>
                <w:rFonts w:hint="default" w:ascii="Times New Roman" w:hAnsi="Times New Roman" w:eastAsia="Times New Roman" w:cs="Times New Roman"/>
                <w:color w:val="auto"/>
              </w:rPr>
              <w:t>cm</w:t>
            </w:r>
            <w:r>
              <w:rPr>
                <w:rFonts w:hint="default" w:ascii="Times New Roman" w:hAnsi="Times New Roman" w:cs="Times New Roman"/>
                <w:color w:val="auto"/>
              </w:rPr>
              <w:t>）</w:t>
            </w:r>
          </w:p>
        </w:tc>
        <w:tc>
          <w:tcPr>
            <w:tcW w:w="1001"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23.6</w:t>
            </w:r>
          </w:p>
        </w:tc>
        <w:tc>
          <w:tcPr>
            <w:tcW w:w="1008"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44.5</w:t>
            </w:r>
          </w:p>
        </w:tc>
        <w:tc>
          <w:tcPr>
            <w:tcW w:w="100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55.6</w:t>
            </w:r>
          </w:p>
        </w:tc>
        <w:tc>
          <w:tcPr>
            <w:tcW w:w="993"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120</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90"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体长范围（</w:t>
            </w:r>
            <w:r>
              <w:rPr>
                <w:rFonts w:hint="default" w:ascii="Times New Roman" w:hAnsi="Times New Roman" w:eastAsia="Times New Roman" w:cs="Times New Roman"/>
                <w:color w:val="auto"/>
              </w:rPr>
              <w:t>cm</w:t>
            </w:r>
            <w:r>
              <w:rPr>
                <w:rFonts w:hint="default" w:ascii="Times New Roman" w:hAnsi="Times New Roman" w:cs="Times New Roman"/>
                <w:color w:val="auto"/>
              </w:rPr>
              <w:t>）</w:t>
            </w:r>
          </w:p>
        </w:tc>
        <w:tc>
          <w:tcPr>
            <w:tcW w:w="1001"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15</w:t>
            </w:r>
            <w:r>
              <w:rPr>
                <w:rFonts w:hint="default" w:ascii="Times New Roman" w:hAnsi="Times New Roman" w:cs="Times New Roman"/>
                <w:color w:val="auto"/>
              </w:rPr>
              <w:t>~</w:t>
            </w:r>
            <w:r>
              <w:rPr>
                <w:rFonts w:hint="default" w:ascii="Times New Roman" w:hAnsi="Times New Roman" w:eastAsia="Times New Roman" w:cs="Times New Roman"/>
                <w:color w:val="auto"/>
              </w:rPr>
              <w:t>56</w:t>
            </w:r>
          </w:p>
        </w:tc>
        <w:tc>
          <w:tcPr>
            <w:tcW w:w="1008"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35.6</w:t>
            </w:r>
            <w:r>
              <w:rPr>
                <w:rFonts w:hint="default" w:ascii="Times New Roman" w:hAnsi="Times New Roman" w:cs="Times New Roman"/>
                <w:color w:val="auto"/>
              </w:rPr>
              <w:t>~</w:t>
            </w:r>
            <w:r>
              <w:rPr>
                <w:rFonts w:hint="default" w:ascii="Times New Roman" w:hAnsi="Times New Roman" w:eastAsia="Times New Roman" w:cs="Times New Roman"/>
                <w:color w:val="auto"/>
              </w:rPr>
              <w:t>56</w:t>
            </w:r>
          </w:p>
        </w:tc>
        <w:tc>
          <w:tcPr>
            <w:tcW w:w="100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42</w:t>
            </w:r>
            <w:r>
              <w:rPr>
                <w:rFonts w:hint="default" w:ascii="Times New Roman" w:hAnsi="Times New Roman" w:cs="Times New Roman"/>
                <w:color w:val="auto"/>
              </w:rPr>
              <w:t>~</w:t>
            </w:r>
            <w:r>
              <w:rPr>
                <w:rFonts w:hint="default" w:ascii="Times New Roman" w:hAnsi="Times New Roman" w:eastAsia="Times New Roman" w:cs="Times New Roman"/>
                <w:color w:val="auto"/>
              </w:rPr>
              <w:t>79</w:t>
            </w:r>
          </w:p>
        </w:tc>
        <w:tc>
          <w:tcPr>
            <w:tcW w:w="993"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120</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90"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平均体重（</w:t>
            </w:r>
            <w:r>
              <w:rPr>
                <w:rFonts w:hint="default" w:ascii="Times New Roman" w:hAnsi="Times New Roman" w:eastAsia="Times New Roman" w:cs="Times New Roman"/>
                <w:color w:val="auto"/>
              </w:rPr>
              <w:t>g</w:t>
            </w:r>
            <w:r>
              <w:rPr>
                <w:rFonts w:hint="default" w:ascii="Times New Roman" w:hAnsi="Times New Roman" w:cs="Times New Roman"/>
                <w:color w:val="auto"/>
              </w:rPr>
              <w:t>）</w:t>
            </w:r>
          </w:p>
        </w:tc>
        <w:tc>
          <w:tcPr>
            <w:tcW w:w="1001"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297.11</w:t>
            </w:r>
          </w:p>
        </w:tc>
        <w:tc>
          <w:tcPr>
            <w:tcW w:w="1008"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1492.38</w:t>
            </w:r>
          </w:p>
        </w:tc>
        <w:tc>
          <w:tcPr>
            <w:tcW w:w="100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3330.64</w:t>
            </w:r>
          </w:p>
        </w:tc>
        <w:tc>
          <w:tcPr>
            <w:tcW w:w="993"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32500</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90" w:type="pct"/>
            <w:tcBorders>
              <w:top w:val="single" w:color="000000" w:sz="4" w:space="0"/>
              <w:left w:val="single" w:color="000000" w:sz="12"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体重范围（</w:t>
            </w:r>
            <w:r>
              <w:rPr>
                <w:rFonts w:hint="default" w:ascii="Times New Roman" w:hAnsi="Times New Roman" w:eastAsia="Times New Roman" w:cs="Times New Roman"/>
                <w:color w:val="auto"/>
              </w:rPr>
              <w:t>g</w:t>
            </w:r>
            <w:r>
              <w:rPr>
                <w:rFonts w:hint="default" w:ascii="Times New Roman" w:hAnsi="Times New Roman" w:cs="Times New Roman"/>
                <w:color w:val="auto"/>
              </w:rPr>
              <w:t>）</w:t>
            </w:r>
          </w:p>
        </w:tc>
        <w:tc>
          <w:tcPr>
            <w:tcW w:w="1001" w:type="pct"/>
            <w:tcBorders>
              <w:top w:val="single" w:color="000000" w:sz="4" w:space="0"/>
              <w:left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54.3</w:t>
            </w:r>
            <w:r>
              <w:rPr>
                <w:rFonts w:hint="default" w:ascii="Times New Roman" w:hAnsi="Times New Roman" w:cs="Times New Roman"/>
                <w:color w:val="auto"/>
              </w:rPr>
              <w:t>~</w:t>
            </w:r>
            <w:r>
              <w:rPr>
                <w:rFonts w:hint="default" w:ascii="Times New Roman" w:hAnsi="Times New Roman" w:eastAsia="Times New Roman" w:cs="Times New Roman"/>
                <w:color w:val="auto"/>
              </w:rPr>
              <w:t>2600</w:t>
            </w:r>
          </w:p>
        </w:tc>
        <w:tc>
          <w:tcPr>
            <w:tcW w:w="1008" w:type="pct"/>
            <w:tcBorders>
              <w:top w:val="single" w:color="000000" w:sz="4" w:space="0"/>
              <w:left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141.6</w:t>
            </w:r>
            <w:r>
              <w:rPr>
                <w:rFonts w:hint="default" w:ascii="Times New Roman" w:hAnsi="Times New Roman" w:cs="Times New Roman"/>
                <w:color w:val="auto"/>
              </w:rPr>
              <w:t>~</w:t>
            </w:r>
            <w:r>
              <w:rPr>
                <w:rFonts w:hint="default" w:ascii="Times New Roman" w:hAnsi="Times New Roman" w:eastAsia="Times New Roman" w:cs="Times New Roman"/>
                <w:color w:val="auto"/>
              </w:rPr>
              <w:t>2481.4</w:t>
            </w:r>
          </w:p>
        </w:tc>
        <w:tc>
          <w:tcPr>
            <w:tcW w:w="1005" w:type="pct"/>
            <w:tcBorders>
              <w:top w:val="single" w:color="000000" w:sz="4" w:space="0"/>
              <w:left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1300</w:t>
            </w:r>
            <w:r>
              <w:rPr>
                <w:rFonts w:hint="default" w:ascii="Times New Roman" w:hAnsi="Times New Roman" w:cs="Times New Roman"/>
                <w:color w:val="auto"/>
              </w:rPr>
              <w:t>~</w:t>
            </w:r>
            <w:r>
              <w:rPr>
                <w:rFonts w:hint="default" w:ascii="Times New Roman" w:hAnsi="Times New Roman" w:eastAsia="Times New Roman" w:cs="Times New Roman"/>
                <w:color w:val="auto"/>
              </w:rPr>
              <w:t>10500</w:t>
            </w:r>
          </w:p>
        </w:tc>
        <w:tc>
          <w:tcPr>
            <w:tcW w:w="993" w:type="pct"/>
            <w:tcBorders>
              <w:top w:val="single" w:color="000000" w:sz="4" w:space="0"/>
              <w:left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32500</w:t>
            </w:r>
          </w:p>
        </w:tc>
      </w:tr>
    </w:tbl>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⑸ 渔业状况</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岳阳江段渔民作业渔具为三层流刺网、流刺网及钓钩等三类，一是刺网类，主要是有单层网和三层流刺网；二是钩具类，主要有14号以下定置或流动滚钩；三是搬罾类，主要有船曾和定置曾。另外还有撒网、放钩、放筒、拖虾等小型渔具。渔获种类主要有鳊、铜鱼、草鱼、鲢、鳙、青鱼、黄颡鱼、长吻鮠、鲇、鳡、鳜和翘嘴鮊等。禁捕前，岳阳江段有专业捕捞队，同时也有一些季节性的非专业捕捞渔民，岳阳江段单船动力5~8匹马力，平均日产量为5~15千克，近年该江段存在电捕鱼现象。近年来，岳阳江段水域渔业产量下降较为严重，2005~2014年，城陵矶江段天然捕捞产量分别为201吨、187吨、162吨、161吨、151吨、155吨、158吨、180吨、195吨和185吨；2017年监利江段共监测作业渔船1914条，总共捕捞渔获物重量为1206.9吨。该水域产量呈缓慢下降趋势，与禁渔期的实施和水生生物增殖放流有关。</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⑹ 渔业资源现状评价</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与20世纪70年代相比，目前长江中游渔获物种类组成与规格均发生了较大变化。渔获物中数量较多的青鱼、草鱼、鲢、鳙等江湖半洄游性鱼类目前数量已较少，而鲫、鲤、黄颡鱼和短颌鲚等定居性鱼类在渔获物中的比重却相对上升，已成为主要捕捞对象。1974年长江水系渔业资源调查资料表明，长江中游江段青鱼、草鱼、鲢、鳙在渔获重量中占46%，而本次调查仅占渔获总量的20%左右，江湖半洄游性鱼类数量明显下降。</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从渔获物个体规格来看，本次调查的渔获物个体一般较小，大部分未达到性成熟年龄，如四大家鱼、鲤等。捕捞规格小，捕捞强度过大，渔获物中小型化、低龄化现象十分严重。已有研究也表明青鱼、草鱼、鲢、鳙、鲤、鲇等十种主要经济鱼类均属超额开发，其捕捞水平已不利于鱼类资源正常维持。</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2、鱼类早期资源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种类组成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调查期间监利三洲镇断面共采集鱼卵2673颗，卵膜径总体偏小，卵膜径范围1.8~7mm，以中型卵为主。通过分子生物学技术手段对卵膜径大于4mm的鱼卵进行抽样鉴定。共鉴定出卵苗种类21种，有贝氏䱗、银鮈、鳊、草鱼、蛇鮈、鳡、鲢、飘鱼、似鳊、赤眼鳟、吻鮈、寡鳞飘鱼、湖北圆吻鲴、银鲴、青鱼、花斑副沙鳅、鳅鮀、汉水扁尾薄鳅、宜昌鳅鮀、紫薄鳅、武昌副沙鳅，隶属于1目2科；其中贝氏䱗占总渔获量56.6%，其次是银鮈，占18.3%；其它常见种类（数量百分比大于0.1%）有鳊、紫薄鳅、宜昌鳅鮀、草鱼、蛇鮈、汉水扁尾薄鳅，共6种，主要种类组成见图5.8-12。</w:t>
      </w:r>
    </w:p>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129405" cy="3075305"/>
            <wp:effectExtent l="0" t="0" r="4445" b="10795"/>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
                    <pic:cNvPicPr>
                      <a:picLocks noChangeAspect="1"/>
                    </pic:cNvPicPr>
                  </pic:nvPicPr>
                  <pic:blipFill>
                    <a:blip r:embed="rId61"/>
                    <a:stretch>
                      <a:fillRect/>
                    </a:stretch>
                  </pic:blipFill>
                  <pic:spPr>
                    <a:xfrm>
                      <a:off x="0" y="0"/>
                      <a:ext cx="4129405" cy="3075305"/>
                    </a:xfrm>
                    <a:prstGeom prst="rect">
                      <a:avLst/>
                    </a:prstGeom>
                    <a:noFill/>
                    <a:ln>
                      <a:noFill/>
                    </a:ln>
                  </pic:spPr>
                </pic:pic>
              </a:graphicData>
            </a:graphic>
          </wp:inline>
        </w:drawing>
      </w:r>
    </w:p>
    <w:p>
      <w:pPr>
        <w:widowControl/>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图5.8-12  长江监利三洲镇断面鱼卵种类组成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岳阳江段鱼类按产卵类型可以分为四类：①产浮性卵鱼类：大眼鳜；②产沉性卵鱼类：飘鱼、沙塘鳢、南方鲇；③产漂流性卵鱼类：鲢、草鱼、鳊、铜鱼、鱤、银鲴、紫薄鳅、吻鮈、蛇鮈等；④产粘性卵鱼类：鲤、黄颡鱼、瓦氏黄颡鱼等。</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四大家鱼种类组成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对28528尾四大家鱼进行抽样鉴定，结果表明四大家鱼以鲢为主，占总数的60.8%；其次为草鱼和青鱼，分别占总数的30.3%和7.1%；鳙数量最少，占总数的1.8%，见表5.8-8。</w:t>
      </w:r>
    </w:p>
    <w:p>
      <w:pPr>
        <w:widowControl/>
        <w:adjustRightInd w:val="0"/>
        <w:snapToGrid w:val="0"/>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表5.8-8  长江监利三洲镇断面四大家鱼鱼苗组成</w:t>
      </w:r>
    </w:p>
    <w:tbl>
      <w:tblPr>
        <w:tblStyle w:val="72"/>
        <w:tblW w:w="4999" w:type="pct"/>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3032"/>
        <w:gridCol w:w="3033"/>
        <w:gridCol w:w="3033"/>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w:t>
            </w:r>
          </w:p>
        </w:tc>
        <w:tc>
          <w:tcPr>
            <w:tcW w:w="1666" w:type="pct"/>
            <w:tcBorders>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数量（尾）</w:t>
            </w:r>
          </w:p>
        </w:tc>
        <w:tc>
          <w:tcPr>
            <w:tcW w:w="1666" w:type="pct"/>
            <w:tcBorders>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百分比（</w:t>
            </w:r>
            <w:r>
              <w:rPr>
                <w:rFonts w:hint="default" w:ascii="Times New Roman" w:hAnsi="Times New Roman" w:eastAsia="Times New Roman" w:cs="Times New Roman"/>
                <w:b/>
                <w:bCs/>
                <w:color w:val="auto"/>
              </w:rPr>
              <w:t>%</w:t>
            </w:r>
            <w:r>
              <w:rPr>
                <w:rFonts w:hint="default" w:ascii="Times New Roman" w:hAnsi="Times New Roman" w:cs="Times New Roman"/>
                <w:b/>
                <w:bCs/>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鲢</w:t>
            </w:r>
          </w:p>
        </w:tc>
        <w:tc>
          <w:tcPr>
            <w:tcW w:w="166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17350</w:t>
            </w:r>
          </w:p>
        </w:tc>
        <w:tc>
          <w:tcPr>
            <w:tcW w:w="1666"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60.8</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草鱼</w:t>
            </w:r>
          </w:p>
        </w:tc>
        <w:tc>
          <w:tcPr>
            <w:tcW w:w="166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8657</w:t>
            </w:r>
          </w:p>
        </w:tc>
        <w:tc>
          <w:tcPr>
            <w:tcW w:w="1666"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30.3</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青鱼</w:t>
            </w:r>
          </w:p>
        </w:tc>
        <w:tc>
          <w:tcPr>
            <w:tcW w:w="166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2013</w:t>
            </w:r>
          </w:p>
        </w:tc>
        <w:tc>
          <w:tcPr>
            <w:tcW w:w="1666"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7.1</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鳙</w:t>
            </w:r>
          </w:p>
        </w:tc>
        <w:tc>
          <w:tcPr>
            <w:tcW w:w="166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508</w:t>
            </w:r>
          </w:p>
        </w:tc>
        <w:tc>
          <w:tcPr>
            <w:tcW w:w="1666"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1.8</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66" w:type="pct"/>
            <w:tcBorders>
              <w:top w:val="single" w:color="000000" w:sz="4" w:space="0"/>
              <w:left w:val="single" w:color="000000" w:sz="12"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合计</w:t>
            </w:r>
          </w:p>
        </w:tc>
        <w:tc>
          <w:tcPr>
            <w:tcW w:w="1666" w:type="pct"/>
            <w:tcBorders>
              <w:top w:val="single" w:color="000000" w:sz="4" w:space="0"/>
              <w:left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28528</w:t>
            </w:r>
          </w:p>
        </w:tc>
        <w:tc>
          <w:tcPr>
            <w:tcW w:w="1666" w:type="pct"/>
            <w:tcBorders>
              <w:top w:val="single" w:color="000000" w:sz="4" w:space="0"/>
              <w:left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eastAsia="Times New Roman" w:cs="Times New Roman"/>
                <w:color w:val="auto"/>
              </w:rPr>
              <w:t>100</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产卵场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2019年监利三洲镇江段调查结果，四大家鱼产卵场在保护区内有1处家鱼产卵场，位于监利江段。监利江段产卵场规模0.1亿，产卵场分布的江段长约23km。根据2019年洪湖燕窝江段的初步调查结果，螺山镇江段（17km）和洪湖市下江段（5km）均有家鱼产卵场分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四大家鱼早期资源现状评价</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1981年监利江段四大家鱼鱼苗径流量67亿尾，1997~2001年监利江段四大家鱼鱼苗径流量分别为35.87亿尾、27.47亿尾、21.54亿尾、28.54亿尾和19.04亿尾。2010-2018年，监利江段四大家鱼径流量分别为4.28亿尾、1.21亿尾、3.97亿尾和5.20亿尾、3.55亿尾、5.24亿尾、13.48亿尾、2.86亿尾、8.25亿尾。可见近几十年间，工程所在江段的四大家鱼资源量衰退极为明显，需要加大保护力度。</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3、珍稀濒危水生生物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中华鲟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资源状况</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历史上，长江、珠江、闽江、钱塘江和黄河均有中华鲟的分布。目前，闽江、钱塘江和黄河水系的中华鲟已经绝迹，珠江水系的中华鲟数量稀少，仅长江的现存量较大。葛洲坝截流前，中华鲟在长江流域的渔获物中占有一定的比例，葛洲坝截流后，其资源量急剧下降。总体上看，1981年至1999年的19年间，中华鲟繁殖群体的数量减少了90%左右，2005~2007年产卵前中华鲟繁殖群体的数量分别为235尾、217尾和203尾。</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到达长江口的中华鲟幼鱼群体的数量也明显减少，上世纪中华鲟幼鱼曾是长江口4种主要的经济鱼类之一，而葛洲坝截流后，每年的总误捕量只有5000尾左右。上世纪末，长江口江苏溆浦段中华鲟幼鱼资源量出现了回升趋势，年误捕量达一万尾，但2005~2009年这一阶段的逐年监测数据表明：中华鲟幼鱼的数量正在逐步降低，2009年5-7月该监测站获得的误捕数量只有17尾，2016年，在长江中游共误捕中华鲟亚成体2尾，2019年在监利段未误捕中华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葛洲坝下中华鲟的繁殖</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产卵繁殖的具体时间：长江中华鲟的产卵季节是10~11月。1983~2003年的21年中，长江水产研究所在葛洲坝坝下江段共发现了36批次中华鲟的产卵活动，其中有15年是每年产卵二批，仅6年是每年产卵一批。三峡蓄水后，仅在2012年发现2批次的中华鲟产卵。2013~2014年，长江水产研究所牵头，联合中国科学院水生生物研究所和水利部中科院水工程生态研究所两家科研单位通过采用江底采卵、食卵鱼解剖、水声学探测、水下视频等多种技术手段，对葛洲坝下中华鲟不同区域进行了监测：在葛洲坝下产卵场连续二年没有发现中华鲟产卵活动的发生。2016年，在长江湖北宜昌至江西湖口江段开展了中华鲟的自然繁殖调查，结果表明，在葛洲坝下宜昌江段监测到中华鲟的产卵活动，这是时隔三年之后（2013~2015年），在该江段再次监测到中华鲟的自然繁殖活动。2017~2019年，在葛洲坝下宜昌江段未监测到中华鲟的产卵活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长江江豚</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自然环境的变迁、水位下降、水质污染及涉水工程等，致使江豚生存环境恶化；鱼类资源匮乏，长江江豚食物减少，影响长江江豚的生存；航运船只增加，严重干扰长江江豚的声纳系统，误伤事故频发等对长江江豚的正常活动带来严重影响，导致长江江豚资源锐减。张先锋根据（1984~1991）考察时收集的资料，首次推算长江江豚数量约2700头，其中宜昌至武汉长江江豚为500头，武汉以下的江段为2200头。周开亚等（1989~1992）在南京至湖口段4次考察的结果推算江阴至武汉段的长江江豚种群数量为700头。于道平等（1993~1999）根据长江下游安徽段（湖口—南京）11次生态考察，估计长江安徽段（湖口—南京）长江江豚数量为1054头。肖文用截线抽样法估算出鄱阳湖及其主要支流中长江江豚388头。由于受各种条件的影响和限制，以及考察方法和手段不一致，推算的长江江豚种群数量虽有出入，但2001年上海鲸豚保护研讨会上普遍认为长江江豚已不足2000头。2006年，采用声学仪器对长江干流包括两湖江豚进行系统地调查，结果表明长江干流的江豚约1200头，鄱阳湖约450头，洞庭湖不足150头，估计全流域不足1800头。2012年水生生物研究所豚类学科组对长江干流及通江湖泊长江江豚进行考察，《2012长江淡水豚考察报告》指出长江江豚种群数量仅剩1000多头，其中干流江豚种群约为500头，鄱阳湖约为450头，洞庭湖约为90头。长江干流中的江豚种群数量年均下降速率已高达13.73%，超过2006年以前的两倍。鉴于长江江豚种群数量不断下降，农业部已经建议将长江江豚升级为国家一级保护动物，并根据IUCN的最新标准对长江江豚的濒危现状进行重新评估。2017年历时115天，宜昌-湖口江段共观察到江豚数量1882头，母子豚609头。</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据文献分析，在评价区域长江江豚有分布。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胭脂鱼</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历史上，胭脂鱼曾是区域内较大型经济鱼类之一。据四川省宜宾市渔业社1958年的统计，胭脂鱼在岷江曾占渔获总量的13%以上；60年代在宜宾扁窗子库区，渔获量占13%；但到70年代，胭脂鱼资源量就已明显减少，70年代中期渔获量已降至2%。近年来，葛洲坝坝下江段性成熟的胭脂鱼数量明显减少，误捕的极少量胭脂鱼也多为7.5kg以下未成熟的幼鱼，这部分鱼被捕捉后对坝下江段胭脂鱼的自然繁殖极为不利，使坝下江段新形成的产卵场受到破坏。目前，坝下江段每年误捕的胭脂鱼数量一般不超过10尾。2017</w:t>
      </w:r>
      <w:r>
        <w:rPr>
          <w:rFonts w:hint="default" w:ascii="Times New Roman" w:hAnsi="Times New Roman" w:cs="Times New Roman"/>
          <w:color w:val="auto"/>
          <w:sz w:val="24"/>
          <w:szCs w:val="18"/>
          <w:lang w:val="en-US" w:eastAsia="zh-CN"/>
        </w:rPr>
        <w:t>~</w:t>
      </w:r>
      <w:r>
        <w:rPr>
          <w:rFonts w:hint="default" w:ascii="Times New Roman" w:hAnsi="Times New Roman" w:cs="Times New Roman"/>
          <w:color w:val="auto"/>
          <w:sz w:val="24"/>
          <w:szCs w:val="18"/>
        </w:rPr>
        <w:t>2019年调查统计长江中游干流监测到误捕胭脂鱼28尾。1992~1995年间，长江下游安徽及南京江段常有较大数量的胭脂鱼幼鱼被误捕，高峰时曾达到万余尾。但近年来误捕量已经很少，资源的衰退是显而易见的。造成胭脂鱼资源衰退的原因除了过度捕捞和水质污染的影响外，水利工程的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隔作用和对栖息环境的破坏也是不容忽视的原因之一。</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据文献分析，在评价区胭脂鱼为偶见种。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4、其他水生生物资源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浮游植物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种类组成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2019年10月和2020年7月，共采集到浮游植物44种，其中硅藻门18种，绿藻门13种，蓝藻门8种，甲藻门2种，隐藻门、裸藻门和金藻门各1种。浮游植物详细名录见表5.8-9。</w:t>
      </w:r>
    </w:p>
    <w:p>
      <w:pPr>
        <w:widowControl/>
        <w:adjustRightInd w:val="0"/>
        <w:snapToGrid w:val="0"/>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表5.8-9  岳阳江段浮游植物种类名录</w:t>
      </w:r>
    </w:p>
    <w:tbl>
      <w:tblPr>
        <w:tblStyle w:val="7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61"/>
        <w:gridCol w:w="3107"/>
        <w:gridCol w:w="42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blHeader/>
        </w:trPr>
        <w:tc>
          <w:tcPr>
            <w:tcW w:w="968"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编号</w:t>
            </w:r>
          </w:p>
        </w:tc>
        <w:tc>
          <w:tcPr>
            <w:tcW w:w="1706"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门类</w:t>
            </w:r>
          </w:p>
        </w:tc>
        <w:tc>
          <w:tcPr>
            <w:tcW w:w="2324" w:type="pct"/>
            <w:tcBorders>
              <w:tl2br w:val="nil"/>
              <w:tr2bl w:val="nil"/>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拉丁名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硅藻门</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1</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菱形藻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Nitzschia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2</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颗粒直链藻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Aulacoseriagranulata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3</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颗粒直链藻极狭变种</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Melosiragranulatavar.angustissima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4</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变异直链藻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Melosiravarians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5</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布纹藻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Gyrosigma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6</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脆杆藻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Fragilaria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7</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桥弯藻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Cymbella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8</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曲壳藻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Achnanthes</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9</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卵形藻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Cocconeis</w:t>
            </w:r>
            <w:r>
              <w:rPr>
                <w:rFonts w:hint="default" w:ascii="Times New Roman" w:hAnsi="Times New Roman" w:eastAsia="Times New Roman" w:cs="Times New Roman"/>
                <w:color w:val="auto"/>
              </w:rPr>
              <w:t>sp</w:t>
            </w:r>
            <w:r>
              <w:rPr>
                <w:rFonts w:hint="default" w:ascii="Times New Roman" w:hAnsi="Times New Roman" w:eastAsia="Times New Roman" w:cs="Times New Roman"/>
                <w:i/>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10</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小环藻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Cyclotella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11</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模糊直链藻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Melosiraambigua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12</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针杆藻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Synedra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13</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舟形藻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Navicula</w:t>
            </w:r>
            <w:r>
              <w:rPr>
                <w:rFonts w:hint="default" w:ascii="Times New Roman" w:hAnsi="Times New Roman" w:eastAsia="Times New Roman" w:cs="Times New Roman"/>
                <w:color w:val="auto"/>
              </w:rPr>
              <w:t>sp</w:t>
            </w:r>
            <w:r>
              <w:rPr>
                <w:rFonts w:hint="default" w:ascii="Times New Roman" w:hAnsi="Times New Roman" w:eastAsia="Times New Roman" w:cs="Times New Roman"/>
                <w:i/>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vMerge w:val="restart"/>
            <w:tcBorders>
              <w:tl2br w:val="nil"/>
              <w:tr2bl w:val="nil"/>
            </w:tcBorders>
            <w:vAlign w:val="center"/>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14</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颗粒直链藻极狭变种</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Melosiragranulata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vMerge w:val="continue"/>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螺旋变形</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var.angustissimaf.spiralis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15</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谷皮菱形藻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Nitzschiapalea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16</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双眉藻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Amphora</w:t>
            </w:r>
            <w:r>
              <w:rPr>
                <w:rFonts w:hint="default" w:ascii="Times New Roman" w:hAnsi="Times New Roman" w:eastAsia="Times New Roman" w:cs="Times New Roman"/>
                <w:color w:val="auto"/>
              </w:rPr>
              <w:t>sp</w:t>
            </w:r>
            <w:r>
              <w:rPr>
                <w:rFonts w:hint="default" w:ascii="Times New Roman" w:hAnsi="Times New Roman" w:eastAsia="Times New Roman" w:cs="Times New Roman"/>
                <w:i/>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17</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异极藻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Gomphonema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18</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直链藻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Melosira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绿藻门</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Chlorophyta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19</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空星藻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Coelastrumsphaericum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20</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实球藻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Pandorinamorum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21</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针形纤维藻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Ankistrodesmusacicularis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22</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凹顶鼓藻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Euastrumansatum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23</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单角盘星藻具孔变种</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Pediastrumsimplesvar.duodenarium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24</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二尾栅藻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Scenedesmusbicanda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25</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新月藻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Closterium</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26</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游丝藻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Planktonema</w:t>
            </w:r>
            <w:r>
              <w:rPr>
                <w:rFonts w:hint="default" w:ascii="Times New Roman" w:hAnsi="Times New Roman" w:eastAsia="Times New Roman" w:cs="Times New Roman"/>
                <w:color w:val="auto"/>
              </w:rPr>
              <w:t>sp</w:t>
            </w:r>
            <w:r>
              <w:rPr>
                <w:rFonts w:hint="default" w:ascii="Times New Roman" w:hAnsi="Times New Roman" w:cs="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27</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月牙藻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Selenastrum</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28</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衣藻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Chlamydomonas</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29</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双对栅藻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Scenedesmusbijuga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30</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小球藻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Chlorellavulgaris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31</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镰形纤维藻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Ankistrodesmusfalcatus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cs="Times New Roman"/>
                <w:color w:val="auto"/>
              </w:rPr>
              <w:t>蓝藻门</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b/>
                <w:color w:val="auto"/>
              </w:rPr>
              <w:t>Cyanophyta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32</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色球藻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Chroococcus</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33</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微囊藻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Microcystis</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34</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浮丝藻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Planktothrix</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35</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假鱼腥藻</w:t>
            </w:r>
          </w:p>
        </w:tc>
        <w:tc>
          <w:tcPr>
            <w:tcW w:w="232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eastAsia="Times New Roman" w:cs="Times New Roman"/>
                <w:i/>
                <w:color w:val="auto"/>
              </w:rPr>
              <w:t>Pseudanabaena</w:t>
            </w:r>
            <w:r>
              <w:rPr>
                <w:rFonts w:hint="default" w:ascii="Times New Roman" w:hAnsi="Times New Roman" w:eastAsia="Times New Roman" w:cs="Times New Roman"/>
                <w:color w:val="auto"/>
              </w:rPr>
              <w:t>sp.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36</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蓝纤维藻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Dactylococcopsisrhaphidioides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37</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泽丝藻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Limnothrixredekei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38</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长胞藻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Sphaerospermopsis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39</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浮球藻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Gloeocystis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cs="Times New Roman"/>
                <w:color w:val="auto"/>
              </w:rPr>
              <w:t>隐藻门</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b/>
                <w:color w:val="auto"/>
              </w:rPr>
              <w:t>Cryptophyta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40</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卵形隐藻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Cryptomonasovata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cs="Times New Roman"/>
                <w:color w:val="auto"/>
              </w:rPr>
              <w:t>裸藻门</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b/>
                <w:color w:val="auto"/>
              </w:rPr>
              <w:t>Euglenophyta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41</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裸藻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Euglena</w:t>
            </w:r>
            <w:r>
              <w:rPr>
                <w:rFonts w:hint="default" w:ascii="Times New Roman" w:hAnsi="Times New Roman" w:eastAsia="Times New Roman" w:cs="Times New Roman"/>
                <w:color w:val="auto"/>
              </w:rPr>
              <w:t>sp</w:t>
            </w:r>
            <w:r>
              <w:rPr>
                <w:rFonts w:hint="default" w:ascii="Times New Roman" w:hAnsi="Times New Roman" w:eastAsia="Times New Roman" w:cs="Times New Roman"/>
                <w:i/>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cs="Times New Roman"/>
                <w:color w:val="auto"/>
              </w:rPr>
              <w:t>甲藻门</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b/>
                <w:color w:val="auto"/>
              </w:rPr>
              <w:t>Pyrrophta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42</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裸甲藻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Gymnodiniumuberrimum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43</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拟多甲藻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Peridiniopsis</w:t>
            </w:r>
            <w:r>
              <w:rPr>
                <w:rFonts w:hint="default" w:ascii="Times New Roman" w:hAnsi="Times New Roman" w:eastAsia="Times New Roman" w:cs="Times New Roman"/>
                <w:color w:val="auto"/>
              </w:rPr>
              <w:t>sp</w:t>
            </w:r>
            <w:r>
              <w:rPr>
                <w:rFonts w:hint="default" w:ascii="Times New Roman" w:hAnsi="Times New Roman" w:eastAsia="Times New Roman" w:cs="Times New Roman"/>
                <w:i/>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675" w:type="pct"/>
            <w:gridSpan w:val="2"/>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cs="Times New Roman"/>
                <w:color w:val="auto"/>
              </w:rPr>
              <w:t>金藻门</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b/>
                <w:color w:val="auto"/>
              </w:rPr>
              <w:t>Chrysophyta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968" w:type="pct"/>
            <w:tcBorders>
              <w:tl2br w:val="nil"/>
              <w:tr2bl w:val="nil"/>
            </w:tcBorders>
            <w:vAlign w:val="center"/>
          </w:tcPr>
          <w:p>
            <w:pPr>
              <w:adjustRightInd w:val="0"/>
              <w:snapToGrid w:val="0"/>
              <w:jc w:val="center"/>
              <w:rPr>
                <w:rFonts w:hint="default" w:ascii="Times New Roman" w:hAnsi="Times New Roman" w:eastAsia="Times New Roman" w:cs="Times New Roman"/>
                <w:b/>
                <w:color w:val="auto"/>
              </w:rPr>
            </w:pPr>
            <w:r>
              <w:rPr>
                <w:rFonts w:hint="default" w:ascii="Times New Roman" w:hAnsi="Times New Roman" w:eastAsia="Times New Roman" w:cs="Times New Roman"/>
                <w:b/>
                <w:color w:val="auto"/>
              </w:rPr>
              <w:t>44</w:t>
            </w:r>
          </w:p>
        </w:tc>
        <w:tc>
          <w:tcPr>
            <w:tcW w:w="17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黄群藻</w:t>
            </w:r>
          </w:p>
        </w:tc>
        <w:tc>
          <w:tcPr>
            <w:tcW w:w="2324" w:type="pct"/>
            <w:tcBorders>
              <w:tl2br w:val="nil"/>
              <w:tr2bl w:val="nil"/>
            </w:tcBorders>
            <w:vAlign w:val="center"/>
          </w:tcPr>
          <w:p>
            <w:pPr>
              <w:adjustRightInd w:val="0"/>
              <w:snapToGrid w:val="0"/>
              <w:jc w:val="center"/>
              <w:rPr>
                <w:rFonts w:hint="default" w:ascii="Times New Roman" w:hAnsi="Times New Roman" w:eastAsia="Times New Roman" w:cs="Times New Roman"/>
                <w:i/>
                <w:color w:val="auto"/>
              </w:rPr>
            </w:pPr>
            <w:r>
              <w:rPr>
                <w:rFonts w:hint="default" w:ascii="Times New Roman" w:hAnsi="Times New Roman" w:eastAsia="Times New Roman" w:cs="Times New Roman"/>
                <w:i/>
                <w:color w:val="auto"/>
              </w:rPr>
              <w:t>Synuraceaeurelin</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密度和生物量</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调查期间浮游植物的密度分布呈2020年7月份较高，2019年10月份较低；生物量分布呈现2019年10月份较高，2020年7月份较低。浮游植物的密度平均值为28.23×10</w:t>
      </w:r>
      <w:r>
        <w:rPr>
          <w:rFonts w:hint="default" w:ascii="Times New Roman" w:hAnsi="Times New Roman" w:cs="Times New Roman"/>
          <w:color w:val="auto"/>
          <w:sz w:val="24"/>
          <w:szCs w:val="18"/>
          <w:vertAlign w:val="superscript"/>
        </w:rPr>
        <w:t>4</w:t>
      </w:r>
      <w:r>
        <w:rPr>
          <w:rFonts w:hint="default" w:ascii="Times New Roman" w:hAnsi="Times New Roman" w:cs="Times New Roman"/>
          <w:color w:val="auto"/>
          <w:sz w:val="24"/>
          <w:szCs w:val="18"/>
        </w:rPr>
        <w:t>ind/L；浮游植物的生物量平均值为0.42mg/L。浮游植物的密度和生物量见表5.8-10。</w:t>
      </w:r>
    </w:p>
    <w:p>
      <w:pPr>
        <w:widowControl/>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表5.8-10  岳阳江段浮游植物的密度和生物量</w:t>
      </w:r>
    </w:p>
    <w:tbl>
      <w:tblPr>
        <w:tblStyle w:val="72"/>
        <w:tblW w:w="4999" w:type="pct"/>
        <w:jc w:val="center"/>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Layout w:type="autofit"/>
        <w:tblCellMar>
          <w:top w:w="0" w:type="dxa"/>
          <w:left w:w="0" w:type="dxa"/>
          <w:bottom w:w="0" w:type="dxa"/>
          <w:right w:w="0" w:type="dxa"/>
        </w:tblCellMar>
      </w:tblPr>
      <w:tblGrid>
        <w:gridCol w:w="2267"/>
        <w:gridCol w:w="2276"/>
        <w:gridCol w:w="2276"/>
        <w:gridCol w:w="2279"/>
      </w:tblGrid>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CellMar>
            <w:top w:w="0" w:type="dxa"/>
            <w:left w:w="0" w:type="dxa"/>
            <w:bottom w:w="0" w:type="dxa"/>
            <w:right w:w="0" w:type="dxa"/>
          </w:tblCellMar>
        </w:tblPrEx>
        <w:trPr>
          <w:trHeight w:val="340" w:hRule="atLeast"/>
          <w:jc w:val="center"/>
        </w:trPr>
        <w:tc>
          <w:tcPr>
            <w:tcW w:w="1246" w:type="pct"/>
            <w:tcBorders>
              <w:left w:val="single" w:color="000000" w:sz="12"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指标</w:t>
            </w:r>
          </w:p>
        </w:tc>
        <w:tc>
          <w:tcPr>
            <w:tcW w:w="1250" w:type="pct"/>
            <w:tcBorders>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2019年10月</w:t>
            </w:r>
          </w:p>
        </w:tc>
        <w:tc>
          <w:tcPr>
            <w:tcW w:w="1250" w:type="pct"/>
            <w:tcBorders>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2020年7月</w:t>
            </w:r>
          </w:p>
        </w:tc>
        <w:tc>
          <w:tcPr>
            <w:tcW w:w="1252" w:type="pct"/>
            <w:tcBorders>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平均值</w:t>
            </w:r>
          </w:p>
        </w:tc>
      </w:tr>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CellMar>
            <w:top w:w="0" w:type="dxa"/>
            <w:left w:w="0" w:type="dxa"/>
            <w:bottom w:w="0" w:type="dxa"/>
            <w:right w:w="0" w:type="dxa"/>
          </w:tblCellMar>
        </w:tblPrEx>
        <w:trPr>
          <w:trHeight w:val="340" w:hRule="atLeast"/>
          <w:jc w:val="center"/>
        </w:trPr>
        <w:tc>
          <w:tcPr>
            <w:tcW w:w="1246" w:type="pct"/>
            <w:tcBorders>
              <w:top w:val="single" w:color="000000" w:sz="4" w:space="0"/>
              <w:left w:val="single" w:color="000000" w:sz="12"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密度（</w:t>
            </w:r>
            <w:r>
              <w:rPr>
                <w:rFonts w:hint="default" w:ascii="Times New Roman" w:hAnsi="Times New Roman" w:eastAsia="Times New Roman" w:cs="Times New Roman"/>
                <w:color w:val="auto"/>
              </w:rPr>
              <w:t>×10</w:t>
            </w:r>
            <w:r>
              <w:rPr>
                <w:rFonts w:hint="default" w:ascii="Times New Roman" w:hAnsi="Times New Roman" w:eastAsia="Times New Roman" w:cs="Times New Roman"/>
                <w:color w:val="auto"/>
                <w:vertAlign w:val="superscript"/>
              </w:rPr>
              <w:t>4</w:t>
            </w:r>
            <w:r>
              <w:rPr>
                <w:rFonts w:hint="default" w:ascii="Times New Roman" w:hAnsi="Times New Roman" w:eastAsia="Times New Roman" w:cs="Times New Roman"/>
                <w:color w:val="auto"/>
              </w:rPr>
              <w:t>ind/L</w:t>
            </w:r>
            <w:r>
              <w:rPr>
                <w:rFonts w:hint="default" w:ascii="Times New Roman" w:hAnsi="Times New Roman" w:cs="Times New Roman"/>
                <w:color w:val="auto"/>
              </w:rPr>
              <w:t>）</w:t>
            </w:r>
          </w:p>
        </w:tc>
        <w:tc>
          <w:tcPr>
            <w:tcW w:w="125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17.55</w:t>
            </w:r>
          </w:p>
        </w:tc>
        <w:tc>
          <w:tcPr>
            <w:tcW w:w="125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38.91</w:t>
            </w:r>
          </w:p>
        </w:tc>
        <w:tc>
          <w:tcPr>
            <w:tcW w:w="1252"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28.23</w:t>
            </w:r>
          </w:p>
        </w:tc>
      </w:tr>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CellMar>
            <w:top w:w="0" w:type="dxa"/>
            <w:left w:w="0" w:type="dxa"/>
            <w:bottom w:w="0" w:type="dxa"/>
            <w:right w:w="0" w:type="dxa"/>
          </w:tblCellMar>
        </w:tblPrEx>
        <w:trPr>
          <w:trHeight w:val="340" w:hRule="atLeast"/>
          <w:jc w:val="center"/>
        </w:trPr>
        <w:tc>
          <w:tcPr>
            <w:tcW w:w="1246" w:type="pct"/>
            <w:tcBorders>
              <w:top w:val="single" w:color="000000" w:sz="4" w:space="0"/>
              <w:left w:val="single" w:color="000000" w:sz="12"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生物量（</w:t>
            </w:r>
            <w:r>
              <w:rPr>
                <w:rFonts w:hint="default" w:ascii="Times New Roman" w:hAnsi="Times New Roman" w:eastAsia="Times New Roman" w:cs="Times New Roman"/>
                <w:color w:val="auto"/>
              </w:rPr>
              <w:t>mg/L</w:t>
            </w:r>
            <w:r>
              <w:rPr>
                <w:rFonts w:hint="default" w:ascii="Times New Roman" w:hAnsi="Times New Roman" w:cs="Times New Roman"/>
                <w:color w:val="auto"/>
              </w:rPr>
              <w:t>）</w:t>
            </w:r>
          </w:p>
        </w:tc>
        <w:tc>
          <w:tcPr>
            <w:tcW w:w="1250" w:type="pct"/>
            <w:tcBorders>
              <w:top w:val="single" w:color="000000" w:sz="4" w:space="0"/>
              <w:left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0.50</w:t>
            </w:r>
          </w:p>
        </w:tc>
        <w:tc>
          <w:tcPr>
            <w:tcW w:w="1250" w:type="pct"/>
            <w:tcBorders>
              <w:top w:val="single" w:color="000000" w:sz="4" w:space="0"/>
              <w:left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0.34</w:t>
            </w:r>
          </w:p>
        </w:tc>
        <w:tc>
          <w:tcPr>
            <w:tcW w:w="1252" w:type="pct"/>
            <w:tcBorders>
              <w:top w:val="single" w:color="000000" w:sz="4" w:space="0"/>
              <w:left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0.42</w:t>
            </w:r>
          </w:p>
        </w:tc>
      </w:tr>
    </w:tbl>
    <w:p>
      <w:pPr>
        <w:widowControl/>
        <w:adjustRightInd w:val="0"/>
        <w:snapToGrid w:val="0"/>
        <w:spacing w:line="360" w:lineRule="auto"/>
        <w:jc w:val="center"/>
        <w:rPr>
          <w:rFonts w:hint="default" w:ascii="Times New Roman" w:hAnsi="Times New Roman" w:cs="Times New Roman"/>
          <w:b/>
          <w:bCs/>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据文献记载，20世纪80年代本项目江段浮游植物约为40种，种类数与本次调查结果相一致。</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浮游动物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种类组成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2019年10月和2020年，共采集到浮游动物76种，其中原生动物12种，轮虫48种，枝角类6种，桡足类10种。浮游动物详细名录见表5.8-11。</w:t>
      </w:r>
    </w:p>
    <w:p>
      <w:pPr>
        <w:widowControl/>
        <w:adjustRightInd w:val="0"/>
        <w:snapToGrid w:val="0"/>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表5.8-11  岳阳江段浮游动物种类名录</w:t>
      </w:r>
    </w:p>
    <w:tbl>
      <w:tblPr>
        <w:tblStyle w:val="72"/>
        <w:tblW w:w="0" w:type="auto"/>
        <w:jc w:val="center"/>
        <w:tblBorders>
          <w:top w:val="single" w:color="000000" w:sz="12"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31"/>
        <w:gridCol w:w="3212"/>
        <w:gridCol w:w="3562"/>
      </w:tblGrid>
      <w:tr>
        <w:tblPrEx>
          <w:tblBorders>
            <w:top w:val="single" w:color="000000" w:sz="1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31" w:type="dxa"/>
            <w:tcBorders>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编号</w:t>
            </w:r>
          </w:p>
        </w:tc>
        <w:tc>
          <w:tcPr>
            <w:tcW w:w="3212" w:type="dxa"/>
            <w:tcBorders>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门类</w:t>
            </w:r>
          </w:p>
        </w:tc>
        <w:tc>
          <w:tcPr>
            <w:tcW w:w="3562" w:type="dxa"/>
            <w:tcBorders>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拉丁名</w:t>
            </w:r>
          </w:p>
        </w:tc>
      </w:tr>
      <w:tr>
        <w:tblPrEx>
          <w:tblBorders>
            <w:top w:val="single" w:color="000000" w:sz="1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443" w:type="dxa"/>
            <w:gridSpan w:val="2"/>
            <w:tcBorders>
              <w:top w:val="single" w:color="000000" w:sz="4" w:space="0"/>
              <w:left w:val="single" w:color="000000" w:sz="12" w:space="0"/>
              <w:bottom w:val="nil"/>
              <w:right w:val="single" w:color="000000" w:sz="4"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原生动物</w:t>
            </w:r>
          </w:p>
        </w:tc>
        <w:tc>
          <w:tcPr>
            <w:tcW w:w="3562" w:type="dxa"/>
            <w:tcBorders>
              <w:top w:val="single" w:color="000000" w:sz="4" w:space="0"/>
              <w:left w:val="single" w:color="000000" w:sz="4" w:space="0"/>
              <w:bottom w:val="nil"/>
              <w:right w:val="single" w:color="000000" w:sz="12" w:space="0"/>
            </w:tcBorders>
          </w:tcPr>
          <w:p>
            <w:pPr>
              <w:adjustRightInd w:val="0"/>
              <w:snapToGrid w:val="0"/>
              <w:rPr>
                <w:rFonts w:hint="default" w:ascii="Times New Roman" w:hAnsi="Times New Roman" w:cs="Times New Roman"/>
                <w:b/>
                <w:bCs/>
                <w:color w:val="auto"/>
              </w:rPr>
            </w:pPr>
            <w:r>
              <w:rPr>
                <w:rFonts w:hint="default" w:ascii="Times New Roman" w:hAnsi="Times New Roman" w:cs="Times New Roman"/>
                <w:b/>
                <w:color w:val="auto"/>
              </w:rPr>
              <w:t>Protozoa</w:t>
            </w:r>
          </w:p>
        </w:tc>
      </w:tr>
    </w:tbl>
    <w:tbl>
      <w:tblPr>
        <w:tblStyle w:val="71"/>
        <w:tblW w:w="9006" w:type="dxa"/>
        <w:jc w:val="center"/>
        <w:tblBorders>
          <w:top w:val="none" w:color="auto" w:sz="0"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230"/>
        <w:gridCol w:w="3213"/>
        <w:gridCol w:w="3563"/>
      </w:tblGrid>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板壳虫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Coleps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表壳虫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Arcella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弯凸表壳虫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Arcellagibbosa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砂壳虫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Difflugia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冠砂壳虫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Difflugiacorona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球形砂壳虫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Difflugiaglobulosa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褐砂壳虫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Difflugiaavellana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叉口砂壳虫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Difflugiaqramen</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针棘匣壳虫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Centropyxisaculeate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10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鳞壳虫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Euglypha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11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似铃壳虫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Tintinnopsis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4"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12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圆壳虫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Cyclopyxis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4" w:hRule="atLeast"/>
          <w:jc w:val="center"/>
        </w:trPr>
        <w:tc>
          <w:tcPr>
            <w:tcW w:w="5443" w:type="dxa"/>
            <w:gridSpan w:val="2"/>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轮虫</w:t>
            </w:r>
          </w:p>
        </w:tc>
        <w:tc>
          <w:tcPr>
            <w:tcW w:w="3562"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Rotifera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13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晶囊轮虫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Asplachna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前节晶囊轮虫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AsplachnapriodontaGosse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卜氏晶囊轮虫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Asplanchnabrightwel</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盖氏晶囊轮虫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Asplanchnagirodi</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角突臂尾轮虫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Brachionusangularis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镰形臂尾轮虫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Brachionusfalcatus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19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尾突臂尾轮虫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Brachionuscaudatus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萼花臂尾轮虫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Brachionuscalyciflorus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剪形臂尾轮虫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Brachionusfonficula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方形臂尾轮虫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Brachionusquadridentatus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裂足臂尾轮虫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Brachionusdiversicornis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蒲达臂尾轮虫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Branchionusbudapestiensis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壶状臂尾轮虫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Brachionusurceus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螺形龟甲轮虫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Keratellacochlearis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无棘龟甲轮虫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Tecta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曲腿龟甲轮虫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Keratellavalga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29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矩形龟甲轮虫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Keratellaquadrala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腔轮虫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Lecane</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囊形腔轮虫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Lecanebulla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蹄形腔轮虫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Lecaneungulata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鞍甲轮虫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Lepadella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Trichocerca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对棘异尾轮虫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Trichocercastylata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刺盖异尾轮虫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Trichocercacapucina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圆筒异尾轮虫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Trichocercacylindrica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沟痕泡轮虫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Pompholyxsulcata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39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扁平泡轮虫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Pompholyxcomplanata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裂痕龟纹轮虫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Anuraeopsisfissa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疣毛轮虫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Synchaeta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梳状疣毛轮虫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Synchactapectinata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鳞冠轮虫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Squatinella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狭甲轮虫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Colurella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盘镜轮虫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Testudinellapatina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大肚须足轮虫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Euchlannsdilatata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卵形无柄轮虫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Ascomorphaovalis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腹尾轮虫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Gastropus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49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旋轮虫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Philodina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四角平甲轮虫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Plalyiasqualriconis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十指平甲轮虫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Plalyiasmilitaris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截头皱甲轮虫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Ploesomatruncatum</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晶体皱甲轮虫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Ploesomalenticulare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胶鞘轮虫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Collotheca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奇异六腕轮虫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Hexarthramira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臂三肢轮虫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Filiniabrachiata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长三肢轮虫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Filinialongiseta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多肢轮虫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Polyarthra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59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Epiphanes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60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长足轮虫</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Rolarianeplunia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5443" w:type="dxa"/>
            <w:gridSpan w:val="2"/>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枝角类</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b/>
                <w:color w:val="auto"/>
              </w:rPr>
              <w:t>Cladocera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长额象鼻溞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Bosminalongirostris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颈沟基合溞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Bosminopsisdeitersi</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秀体溞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Diaphanosoma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微型裸腹溞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Moinamicrura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方形网纹溞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Ceriodaphniaquadrangula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66</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船卵溞</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Scapholeberis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5443" w:type="dxa"/>
            <w:gridSpan w:val="2"/>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桡足类</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t>Copepoda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67</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桡足类无节幼体</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copepodnauplius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68</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剑水蚤幼体</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cyclopslarva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69</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台湾温剑水蚤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Thermocyclopstaihokuensis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70</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广布中剑水蚤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Mesocyclopsleuckart</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71</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胸饰外剑水蚤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Microcyclopsphaleratus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72</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近剑水蚤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Tropocyclops</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73</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哲水蚤幼体</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Calanoidalarva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74</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舌状叶镖水蚤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Phyllodiaptomustunguidus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75</w:t>
            </w:r>
          </w:p>
        </w:tc>
        <w:tc>
          <w:tcPr>
            <w:tcW w:w="3213" w:type="dxa"/>
            <w:tcBorders>
              <w:top w:val="single" w:color="000000" w:sz="4" w:space="0"/>
              <w:left w:val="single" w:color="000000" w:sz="4" w:space="0"/>
              <w:bottom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右突新镖水蚤</w:t>
            </w:r>
          </w:p>
        </w:tc>
        <w:tc>
          <w:tcPr>
            <w:tcW w:w="3563" w:type="dxa"/>
            <w:tcBorders>
              <w:top w:val="single" w:color="000000" w:sz="4" w:space="0"/>
              <w:left w:val="single" w:color="000000" w:sz="4" w:space="0"/>
              <w:bottom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Neodiaptomusschmackeri</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jc w:val="center"/>
        </w:trPr>
        <w:tc>
          <w:tcPr>
            <w:tcW w:w="2230" w:type="dxa"/>
            <w:tcBorders>
              <w:top w:val="single" w:color="000000" w:sz="4" w:space="0"/>
              <w:left w:val="single" w:color="000000" w:sz="12"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76</w:t>
            </w:r>
          </w:p>
        </w:tc>
        <w:tc>
          <w:tcPr>
            <w:tcW w:w="3213" w:type="dxa"/>
            <w:tcBorders>
              <w:top w:val="single" w:color="000000" w:sz="4" w:space="0"/>
              <w:left w:val="single" w:color="000000" w:sz="4" w:space="0"/>
              <w:right w:val="single" w:color="000000" w:sz="4" w:space="0"/>
            </w:tcBorders>
            <w:vAlign w:val="top"/>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指状许水蚤</w:t>
            </w:r>
          </w:p>
        </w:tc>
        <w:tc>
          <w:tcPr>
            <w:tcW w:w="3563" w:type="dxa"/>
            <w:tcBorders>
              <w:top w:val="single" w:color="000000" w:sz="4" w:space="0"/>
              <w:left w:val="single" w:color="000000" w:sz="4" w:space="0"/>
              <w:right w:val="single" w:color="000000" w:sz="12" w:space="0"/>
            </w:tcBorders>
            <w:vAlign w:val="top"/>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i/>
                <w:color w:val="auto"/>
              </w:rPr>
              <w:t>Schmacheriainopinus</w:t>
            </w:r>
          </w:p>
        </w:tc>
      </w:tr>
    </w:tbl>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密度和生物量</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调查期间浮游动物的密度呈现2019年7月份较高，2019年10月份较低，浮游动物密度的平均值为0.02×10</w:t>
      </w:r>
      <w:r>
        <w:rPr>
          <w:rFonts w:hint="default" w:ascii="Times New Roman" w:hAnsi="Times New Roman" w:cs="Times New Roman"/>
          <w:color w:val="auto"/>
          <w:sz w:val="24"/>
          <w:szCs w:val="18"/>
          <w:vertAlign w:val="superscript"/>
        </w:rPr>
        <w:t>4</w:t>
      </w:r>
      <w:r>
        <w:rPr>
          <w:rFonts w:hint="default" w:ascii="Times New Roman" w:hAnsi="Times New Roman" w:cs="Times New Roman"/>
          <w:color w:val="auto"/>
          <w:sz w:val="24"/>
          <w:szCs w:val="18"/>
        </w:rPr>
        <w:t>ind/L；浮游动物的生物量分布呈现2019年10月较高，2020年7月份较低的趋势，生物量的平均值为0.029mg/L。浮游动物的密度和生物量见表5.8-12。</w:t>
      </w:r>
    </w:p>
    <w:p>
      <w:pPr>
        <w:widowControl/>
        <w:adjustRightInd w:val="0"/>
        <w:snapToGrid w:val="0"/>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表5.8-12  岳阳江段浮游动物密度和生物量</w:t>
      </w:r>
    </w:p>
    <w:tbl>
      <w:tblPr>
        <w:tblStyle w:val="72"/>
        <w:tblW w:w="4999" w:type="pct"/>
        <w:jc w:val="center"/>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Layout w:type="autofit"/>
        <w:tblCellMar>
          <w:top w:w="0" w:type="dxa"/>
          <w:left w:w="0" w:type="dxa"/>
          <w:bottom w:w="0" w:type="dxa"/>
          <w:right w:w="0" w:type="dxa"/>
        </w:tblCellMar>
      </w:tblPr>
      <w:tblGrid>
        <w:gridCol w:w="2267"/>
        <w:gridCol w:w="2276"/>
        <w:gridCol w:w="2276"/>
        <w:gridCol w:w="2279"/>
      </w:tblGrid>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PrEx>
        <w:trPr>
          <w:trHeight w:val="340" w:hRule="atLeast"/>
          <w:jc w:val="center"/>
        </w:trPr>
        <w:tc>
          <w:tcPr>
            <w:tcW w:w="1246" w:type="pct"/>
            <w:tcBorders>
              <w:left w:val="single" w:color="000000" w:sz="12"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指标</w:t>
            </w:r>
          </w:p>
        </w:tc>
        <w:tc>
          <w:tcPr>
            <w:tcW w:w="1250" w:type="pct"/>
            <w:tcBorders>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2019年10月</w:t>
            </w:r>
          </w:p>
        </w:tc>
        <w:tc>
          <w:tcPr>
            <w:tcW w:w="1250" w:type="pct"/>
            <w:tcBorders>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2020年7月</w:t>
            </w:r>
          </w:p>
        </w:tc>
        <w:tc>
          <w:tcPr>
            <w:tcW w:w="1252" w:type="pct"/>
            <w:tcBorders>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平均</w:t>
            </w:r>
          </w:p>
        </w:tc>
      </w:tr>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CellMar>
            <w:top w:w="0" w:type="dxa"/>
            <w:left w:w="0" w:type="dxa"/>
            <w:bottom w:w="0" w:type="dxa"/>
            <w:right w:w="0" w:type="dxa"/>
          </w:tblCellMar>
        </w:tblPrEx>
        <w:trPr>
          <w:trHeight w:val="340" w:hRule="atLeast"/>
          <w:jc w:val="center"/>
        </w:trPr>
        <w:tc>
          <w:tcPr>
            <w:tcW w:w="1246" w:type="pct"/>
            <w:tcBorders>
              <w:top w:val="single" w:color="000000" w:sz="4" w:space="0"/>
              <w:left w:val="single" w:color="000000" w:sz="12"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密度（</w:t>
            </w:r>
            <w:r>
              <w:rPr>
                <w:rFonts w:hint="default" w:ascii="Times New Roman" w:hAnsi="Times New Roman" w:eastAsia="Times New Roman" w:cs="Times New Roman"/>
                <w:color w:val="auto"/>
              </w:rPr>
              <w:t>×10</w:t>
            </w:r>
            <w:r>
              <w:rPr>
                <w:rFonts w:hint="default" w:ascii="Times New Roman" w:hAnsi="Times New Roman" w:eastAsia="Times New Roman" w:cs="Times New Roman"/>
                <w:color w:val="auto"/>
                <w:vertAlign w:val="superscript"/>
              </w:rPr>
              <w:t>4</w:t>
            </w:r>
            <w:r>
              <w:rPr>
                <w:rFonts w:hint="default" w:ascii="Times New Roman" w:hAnsi="Times New Roman" w:eastAsia="Times New Roman" w:cs="Times New Roman"/>
                <w:color w:val="auto"/>
              </w:rPr>
              <w:t>ind/L</w:t>
            </w:r>
            <w:r>
              <w:rPr>
                <w:rFonts w:hint="default" w:ascii="Times New Roman" w:hAnsi="Times New Roman" w:cs="Times New Roman"/>
                <w:color w:val="auto"/>
              </w:rPr>
              <w:t>）</w:t>
            </w:r>
          </w:p>
        </w:tc>
        <w:tc>
          <w:tcPr>
            <w:tcW w:w="125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0.005</w:t>
            </w:r>
          </w:p>
        </w:tc>
        <w:tc>
          <w:tcPr>
            <w:tcW w:w="125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0.035</w:t>
            </w:r>
          </w:p>
        </w:tc>
        <w:tc>
          <w:tcPr>
            <w:tcW w:w="1252"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0.02</w:t>
            </w:r>
          </w:p>
        </w:tc>
      </w:tr>
      <w:tr>
        <w:tblPrEx>
          <w:tblBorders>
            <w:top w:val="single" w:color="000000" w:sz="12" w:space="0"/>
            <w:left w:val="none" w:color="auto" w:sz="0" w:space="0"/>
            <w:bottom w:val="single" w:color="000000" w:sz="12" w:space="0"/>
            <w:right w:val="none" w:color="auto" w:sz="0" w:space="0"/>
            <w:insideH w:val="single" w:color="000000" w:sz="12" w:space="0"/>
            <w:insideV w:val="none" w:color="auto" w:sz="0" w:space="0"/>
          </w:tblBorders>
          <w:tblCellMar>
            <w:top w:w="0" w:type="dxa"/>
            <w:left w:w="0" w:type="dxa"/>
            <w:bottom w:w="0" w:type="dxa"/>
            <w:right w:w="0" w:type="dxa"/>
          </w:tblCellMar>
        </w:tblPrEx>
        <w:trPr>
          <w:trHeight w:val="340" w:hRule="atLeast"/>
          <w:jc w:val="center"/>
        </w:trPr>
        <w:tc>
          <w:tcPr>
            <w:tcW w:w="1246" w:type="pct"/>
            <w:tcBorders>
              <w:top w:val="single" w:color="000000" w:sz="4" w:space="0"/>
              <w:left w:val="single" w:color="000000" w:sz="12"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生物量（</w:t>
            </w:r>
            <w:r>
              <w:rPr>
                <w:rFonts w:hint="default" w:ascii="Times New Roman" w:hAnsi="Times New Roman" w:eastAsia="Times New Roman" w:cs="Times New Roman"/>
                <w:color w:val="auto"/>
              </w:rPr>
              <w:t>mg/L</w:t>
            </w:r>
            <w:r>
              <w:rPr>
                <w:rFonts w:hint="default" w:ascii="Times New Roman" w:hAnsi="Times New Roman" w:cs="Times New Roman"/>
                <w:color w:val="auto"/>
              </w:rPr>
              <w:t>）</w:t>
            </w:r>
          </w:p>
        </w:tc>
        <w:tc>
          <w:tcPr>
            <w:tcW w:w="1250" w:type="pct"/>
            <w:tcBorders>
              <w:top w:val="single" w:color="000000" w:sz="4" w:space="0"/>
              <w:left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0.035</w:t>
            </w:r>
          </w:p>
        </w:tc>
        <w:tc>
          <w:tcPr>
            <w:tcW w:w="1250" w:type="pct"/>
            <w:tcBorders>
              <w:top w:val="single" w:color="000000" w:sz="4" w:space="0"/>
              <w:left w:val="single" w:color="000000" w:sz="4" w:space="0"/>
              <w:right w:val="single" w:color="000000" w:sz="4"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0.023</w:t>
            </w:r>
          </w:p>
        </w:tc>
        <w:tc>
          <w:tcPr>
            <w:tcW w:w="1252" w:type="pct"/>
            <w:tcBorders>
              <w:top w:val="single" w:color="000000" w:sz="4" w:space="0"/>
              <w:left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0.029</w:t>
            </w:r>
          </w:p>
        </w:tc>
      </w:tr>
    </w:tbl>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据文献记载，20世纪80年代本项目江段浮游动物约为48种，种类数比本次调查结果少，这可能与采样点和采样时间不同引起的。</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底栖动物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岳阳江段采集底栖生物经分类鉴定，共采集到底栖动物35种，其中寡毛类8种，水生昆虫10种，软体动物14种，其它3种。种类组成见表5.8-13。调查期间底栖动物的生物量的平均值35.3g/m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由于底栖动物移动能力差，其分布与密度取决于各地方的增殖和死亡情况，反映了该地方的环境条件。由于人类活动造成污染时，污染物质在底泥中堆积，使环境恶化，往往给水体生态系的物质循环和水生生物带来恶劣影响。因此，作为对底层环境长期影响的指标底栖生物是重要的。另外，受二次污染影响大也是底栖动物的特点。</w:t>
      </w:r>
    </w:p>
    <w:p>
      <w:pPr>
        <w:widowControl/>
        <w:adjustRightInd w:val="0"/>
        <w:snapToGrid w:val="0"/>
        <w:spacing w:line="276" w:lineRule="auto"/>
        <w:ind w:firstLine="482" w:firstLineChars="200"/>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表5.8-13  岳阳江段底栖动物名录</w:t>
      </w:r>
    </w:p>
    <w:tbl>
      <w:tblPr>
        <w:tblStyle w:val="71"/>
        <w:tblW w:w="4998" w:type="pct"/>
        <w:tblInd w:w="0" w:type="dxa"/>
        <w:tblBorders>
          <w:top w:val="none" w:color="auto" w:sz="0" w:space="0"/>
          <w:left w:val="none" w:color="auto" w:sz="0" w:space="0"/>
          <w:bottom w:val="single" w:color="000000" w:sz="12"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2251"/>
        <w:gridCol w:w="3246"/>
        <w:gridCol w:w="3599"/>
      </w:tblGrid>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blHeader/>
        </w:trPr>
        <w:tc>
          <w:tcPr>
            <w:tcW w:w="1237" w:type="pct"/>
            <w:tcBorders>
              <w:top w:val="single" w:color="000000" w:sz="12"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编号</w:t>
            </w:r>
          </w:p>
        </w:tc>
        <w:tc>
          <w:tcPr>
            <w:tcW w:w="1783" w:type="pct"/>
            <w:tcBorders>
              <w:top w:val="single" w:color="000000" w:sz="12"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门类</w:t>
            </w:r>
          </w:p>
        </w:tc>
        <w:tc>
          <w:tcPr>
            <w:tcW w:w="1978" w:type="pct"/>
            <w:tcBorders>
              <w:top w:val="single" w:color="000000" w:sz="12"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拉丁名</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3021" w:type="pct"/>
            <w:gridSpan w:val="2"/>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寡毛类</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Oligochaeta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苏氏尾鳃蚓</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Branchiurasowerbyi</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霍甫水丝蚓</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Limodrilushoffmeisteri</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中华河蚓</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Rhyacodrilussinicus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前节管水蚓</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Aulodrilusprothecatus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1"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夹杂带丝蚓</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Lumbriculusvriegatum</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印西头鳃虫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Branchiodrilushortensis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普通仙女虫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Naiscommunis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简明仙女虫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Naisseniplex</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3021" w:type="pct"/>
            <w:gridSpan w:val="2"/>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水生昆虫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Insecta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9</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羽摇蚊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Chironomusplumosus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10</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背摇蚊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Chironomusdorsalis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粗腹摇蚊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Pelopiasp.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12</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长跗摇蚊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Tanytarsussp.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13</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异腹鳃摇蚊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Einfeldiainsolita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14</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多足摇蚊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Polypedilumsp.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15</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隐摇蚊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Cryptochionomussp.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16</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直突摇蚊</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Orthocldiaussp.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17</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水虻</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Stratiomyia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70"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18</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蠓蚊幼虫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Palpomvia</w:t>
            </w:r>
            <w:r>
              <w:rPr>
                <w:rFonts w:hint="default" w:ascii="Times New Roman" w:hAnsi="Times New Roman" w:cs="Times New Roman"/>
                <w:color w:val="auto"/>
              </w:rPr>
              <w:t>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4" w:hRule="atLeast"/>
        </w:trPr>
        <w:tc>
          <w:tcPr>
            <w:tcW w:w="3021" w:type="pct"/>
            <w:gridSpan w:val="2"/>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软体动物</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Molluscs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梨形环棱螺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i/>
                <w:color w:val="auto"/>
              </w:rPr>
              <w:t>Bellamyapurificata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20</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耳河螺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Rivulariaauriculate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铜锈环棱螺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Bellamyaaeruginosa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22</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中华圆田螺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Cipungopaluinachinensis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23</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长角涵螺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Alocinmalongicornis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24</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纹沼螺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Parafossarulusstriatulus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25</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中华沼螺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Parafossarulussinensis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26</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扁旋螺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Grauluscompressus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27</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白旋螺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Graulusalbus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28</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长萝卜螺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Radixperger</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29</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方格短沟蜷</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Semisulcospircaucellata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30</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湖球蚬</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Sphneriumlacustre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淡水壳菜</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Limnopernalacustris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19</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梨形环棱螺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Bellamyapurificata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20</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耳河螺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Rivulariaauriculate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铜锈环棱螺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Bellamyaaeruginosa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22</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中华圆田螺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Cipungopaluinachinensis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23</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长角涵螺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Alocinmalongicornis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24</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纹沼螺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Parafossarulusstriatulus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25</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中华沼螺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Parafossarulussinensis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26</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扁旋螺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Grauluscompressus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27</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白旋螺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Graulusalbus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28</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长萝卜螺</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Radixperger</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29</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方格短沟蜷</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Semisulcospircaucellata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30</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湖球蚬</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Sphneriumlacustre</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31</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淡水壳菜</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Limnopernalacustris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32</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河蚬</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Corbiculafluminea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3021" w:type="pct"/>
            <w:gridSpan w:val="2"/>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b/>
                <w:bCs/>
                <w:color w:val="auto"/>
              </w:rPr>
              <w:t>其他</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b/>
                <w:color w:val="auto"/>
              </w:rPr>
              <w:t>Others</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33</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线虫</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Nematoda</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bottom w:val="single" w:color="000000" w:sz="4"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34</w:t>
            </w:r>
          </w:p>
        </w:tc>
        <w:tc>
          <w:tcPr>
            <w:tcW w:w="1783" w:type="pct"/>
            <w:tcBorders>
              <w:top w:val="single" w:color="000000" w:sz="4" w:space="0"/>
              <w:left w:val="single" w:color="000000" w:sz="4" w:space="0"/>
              <w:bottom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钩虾</w:t>
            </w:r>
          </w:p>
        </w:tc>
        <w:tc>
          <w:tcPr>
            <w:tcW w:w="1978" w:type="pct"/>
            <w:tcBorders>
              <w:top w:val="single" w:color="000000" w:sz="4" w:space="0"/>
              <w:left w:val="single" w:color="000000" w:sz="4" w:space="0"/>
              <w:bottom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Gammaridaesp.</w:t>
            </w:r>
          </w:p>
        </w:tc>
      </w:tr>
      <w:tr>
        <w:tblPrEx>
          <w:tblBorders>
            <w:top w:val="none" w:color="auto" w:sz="0"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155" w:hRule="atLeast"/>
        </w:trPr>
        <w:tc>
          <w:tcPr>
            <w:tcW w:w="1237" w:type="pct"/>
            <w:tcBorders>
              <w:top w:val="single" w:color="000000" w:sz="4" w:space="0"/>
              <w:left w:val="single" w:color="000000" w:sz="12" w:space="0"/>
              <w:right w:val="single" w:color="000000" w:sz="4" w:space="0"/>
            </w:tcBorders>
          </w:tcPr>
          <w:p>
            <w:pPr>
              <w:adjustRightInd w:val="0"/>
              <w:snapToGrid w:val="0"/>
              <w:jc w:val="center"/>
              <w:rPr>
                <w:rFonts w:hint="default" w:ascii="Times New Roman" w:hAnsi="Times New Roman" w:cs="Times New Roman"/>
                <w:b/>
                <w:color w:val="auto"/>
              </w:rPr>
            </w:pPr>
            <w:r>
              <w:rPr>
                <w:rFonts w:hint="default" w:ascii="Times New Roman" w:hAnsi="Times New Roman" w:cs="Times New Roman"/>
                <w:color w:val="auto"/>
              </w:rPr>
              <w:t>35</w:t>
            </w:r>
          </w:p>
        </w:tc>
        <w:tc>
          <w:tcPr>
            <w:tcW w:w="1783" w:type="pct"/>
            <w:tcBorders>
              <w:top w:val="single" w:color="000000" w:sz="4" w:space="0"/>
              <w:left w:val="single" w:color="000000" w:sz="4" w:space="0"/>
              <w:right w:val="single" w:color="000000" w:sz="4" w:space="0"/>
            </w:tcBorders>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扁蛭</w:t>
            </w:r>
          </w:p>
        </w:tc>
        <w:tc>
          <w:tcPr>
            <w:tcW w:w="1978" w:type="pct"/>
            <w:tcBorders>
              <w:top w:val="single" w:color="000000" w:sz="4" w:space="0"/>
              <w:left w:val="single" w:color="000000" w:sz="4" w:space="0"/>
              <w:right w:val="single" w:color="000000" w:sz="12" w:space="0"/>
            </w:tcBorders>
          </w:tcPr>
          <w:p>
            <w:pPr>
              <w:adjustRightInd w:val="0"/>
              <w:snapToGrid w:val="0"/>
              <w:jc w:val="center"/>
              <w:rPr>
                <w:rFonts w:hint="default" w:ascii="Times New Roman" w:hAnsi="Times New Roman" w:cs="Times New Roman"/>
                <w:i/>
                <w:color w:val="auto"/>
              </w:rPr>
            </w:pPr>
            <w:r>
              <w:rPr>
                <w:rFonts w:hint="default" w:ascii="Times New Roman" w:hAnsi="Times New Roman" w:cs="Times New Roman"/>
                <w:i/>
                <w:color w:val="auto"/>
              </w:rPr>
              <w:t>Glossiplonin</w:t>
            </w:r>
            <w:r>
              <w:rPr>
                <w:rFonts w:hint="default" w:ascii="Times New Roman" w:hAnsi="Times New Roman" w:cs="Times New Roman"/>
                <w:color w:val="auto"/>
              </w:rPr>
              <w:t>sp.</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水生维管束植物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岳阳江段采集水生维管束植物经分类鉴定，共采集到水生维管束植物27种，其中眼子菜科、莎草科分别为4种，水鳖科、菱科分别为3种，禾本科、苋科分别为2种，其余各一种，种类组成见表5.8-14。</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竹叶眼子菜群落为本区水生植被绝对优势种，带状连续分布于离江岸线约5~10m处，带宽5~10m不等。群落组成较单一，有穗状狐尾藻、黑藻间杂其间。竹叶眼子菜难成本区的绝对优势种与水质清澈，营养贫乏，基底较硬有关。</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穗状狐尾藻群落带关分布于竹叶眼子菜带之处，带宽可达15~20m，植物扎根较深，约3~4m，但主要占领上半层水体，层水体由苦草和金鱼藻占领。</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③ 黑藻群落带状分布于竹叶眼子菜内侧，水深较浅，约1~2m经常有许多水绵呈烟雾状分布于群落中，影响植物光合作用，是水体中一大害，应采取适当措施予以控制。</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④ 针蔺群落广泛分布于河口村段浅滩，水深约1m，枯水期挺出水面，伴生种有小灯心草和水田碎米荠。</w:t>
      </w:r>
    </w:p>
    <w:p>
      <w:pPr>
        <w:widowControl/>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表5.8-14  岳阳江段水生植物名录</w:t>
      </w:r>
    </w:p>
    <w:tbl>
      <w:tblPr>
        <w:tblStyle w:val="72"/>
        <w:tblW w:w="4999" w:type="pct"/>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336"/>
        <w:gridCol w:w="2109"/>
        <w:gridCol w:w="4221"/>
        <w:gridCol w:w="1432"/>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blHeader/>
          <w:jc w:val="center"/>
        </w:trPr>
        <w:tc>
          <w:tcPr>
            <w:tcW w:w="731" w:type="pct"/>
            <w:tcBorders>
              <w:top w:val="single" w:color="000000" w:sz="12"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159" w:type="pct"/>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种类</w:t>
            </w:r>
          </w:p>
        </w:tc>
        <w:tc>
          <w:tcPr>
            <w:tcW w:w="2320" w:type="pct"/>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拉丁名</w:t>
            </w:r>
          </w:p>
        </w:tc>
        <w:tc>
          <w:tcPr>
            <w:tcW w:w="788" w:type="pct"/>
            <w:tcBorders>
              <w:top w:val="single" w:color="000000" w:sz="12"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数量</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一、水蕨科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Ceratapteridaceae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水蕨</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Ceratopteris thalictroides</w:t>
            </w:r>
            <w:r>
              <w:rPr>
                <w:rFonts w:hint="default" w:ascii="Times New Roman" w:hAnsi="Times New Roman" w:cs="Times New Roman"/>
                <w:color w:val="auto"/>
              </w:rPr>
              <w:t>(L)Brongn</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二、槐叶苹科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Salviniaceae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2</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槐叶苹</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Salivinia natans</w:t>
            </w:r>
            <w:r>
              <w:rPr>
                <w:rFonts w:hint="default" w:ascii="Times New Roman" w:hAnsi="Times New Roman" w:cs="Times New Roman"/>
                <w:color w:val="auto"/>
              </w:rPr>
              <w:t>(L.) All</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三、眼子菜科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Potamogetonaceas</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3</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竹叶眼子菜</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Potamogeton malaianus </w:t>
            </w:r>
            <w:r>
              <w:rPr>
                <w:rFonts w:hint="default" w:ascii="Times New Roman" w:hAnsi="Times New Roman" w:cs="Times New Roman"/>
                <w:color w:val="auto"/>
              </w:rPr>
              <w:t>Miq</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4</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微齿眼子菜</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Potamogeton maackianus </w:t>
            </w:r>
            <w:r>
              <w:rPr>
                <w:rFonts w:hint="default" w:ascii="Times New Roman" w:hAnsi="Times New Roman" w:cs="Times New Roman"/>
                <w:color w:val="auto"/>
              </w:rPr>
              <w:t>A. Benn</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5</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菠草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Potamogeton </w:t>
            </w:r>
            <w:r>
              <w:rPr>
                <w:rFonts w:hint="default" w:ascii="Times New Roman" w:hAnsi="Times New Roman" w:cs="Times New Roman"/>
                <w:color w:val="auto"/>
              </w:rPr>
              <w:t>Crispus 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6</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蓖齿眼子菜</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Potamogeton pectinatus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四、茨藻科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Najadaceae</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7</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大茨藻</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Najasmarina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355" w:hRule="atLeast"/>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五、水鳖科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Drocharitaceae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8</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黑藻</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Hydrilla verticillata</w:t>
            </w:r>
            <w:r>
              <w:rPr>
                <w:rFonts w:hint="default" w:ascii="Times New Roman" w:hAnsi="Times New Roman" w:cs="Times New Roman"/>
                <w:color w:val="auto"/>
              </w:rPr>
              <w:t>（L.F) Royle</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9</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苦草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Vallisneria spiralis</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10</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大苦草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Vallisneria gigantea </w:t>
            </w:r>
            <w:r>
              <w:rPr>
                <w:rFonts w:hint="default" w:ascii="Times New Roman" w:hAnsi="Times New Roman" w:cs="Times New Roman"/>
                <w:color w:val="auto"/>
              </w:rPr>
              <w:t>Craebner</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六、莎草科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Cyperaceae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11</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荸荠</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Eleochar istuberosa</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12</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蔗草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Scirpus triqueter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13</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水毛花</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Scirpus triangulates</w:t>
            </w:r>
            <w:r>
              <w:rPr>
                <w:rFonts w:hint="default" w:ascii="Times New Roman" w:hAnsi="Times New Roman" w:cs="Times New Roman"/>
                <w:color w:val="auto"/>
              </w:rPr>
              <w:t>Roxb</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14</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拟二叶飘拂草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Fimhristvlis ttiplrylloides </w:t>
            </w:r>
            <w:r>
              <w:rPr>
                <w:rFonts w:hint="default" w:ascii="Times New Roman" w:hAnsi="Times New Roman" w:cs="Times New Roman"/>
                <w:color w:val="auto"/>
              </w:rPr>
              <w:t>Makino</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七、千屈菜科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Lythraceae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15</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水苋菜</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Ammannia baccifera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八、禾本科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Grarnineae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16</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菰</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Zizania</w:t>
            </w:r>
            <w:r>
              <w:rPr>
                <w:rFonts w:hint="default" w:ascii="Times New Roman" w:hAnsi="Times New Roman" w:cs="Times New Roman"/>
                <w:color w:val="auto"/>
              </w:rPr>
              <w:t>Linn</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17</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芦苇</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Phragmites communis </w:t>
            </w:r>
            <w:r>
              <w:rPr>
                <w:rFonts w:hint="default" w:ascii="Times New Roman" w:hAnsi="Times New Roman" w:cs="Times New Roman"/>
                <w:color w:val="auto"/>
              </w:rPr>
              <w:t>Tria</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九、苋科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Lemnaceae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18</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空心莲子草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Alternanthera philoxeroides </w:t>
            </w:r>
            <w:r>
              <w:rPr>
                <w:rFonts w:hint="default" w:ascii="Times New Roman" w:hAnsi="Times New Roman" w:cs="Times New Roman"/>
                <w:color w:val="auto"/>
              </w:rPr>
              <w:t>(Mart)</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19</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莲子草</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Aiternanthera sessilis </w:t>
            </w:r>
            <w:r>
              <w:rPr>
                <w:rFonts w:hint="default" w:ascii="Times New Roman" w:hAnsi="Times New Roman" w:cs="Times New Roman"/>
                <w:color w:val="auto"/>
              </w:rPr>
              <w:t>(L.) R. Br</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十、金鱼藻科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Ceratophyllaceae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1"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rPr>
              <w:t>20</w:t>
            </w:r>
          </w:p>
        </w:tc>
        <w:tc>
          <w:tcPr>
            <w:tcW w:w="1159"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color w:val="auto"/>
              </w:rPr>
              <w:t>五刺金鱼藻</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i/>
                <w:color w:val="auto"/>
              </w:rPr>
              <w:t xml:space="preserve">Ceratophyllum aryzetorum </w:t>
            </w:r>
            <w:r>
              <w:rPr>
                <w:rFonts w:hint="default" w:ascii="Times New Roman" w:hAnsi="Times New Roman" w:cs="Times New Roman"/>
                <w:color w:val="auto"/>
              </w:rPr>
              <w:t>Kom</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十一、菱科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bCs/>
                <w:color w:val="auto"/>
              </w:rPr>
            </w:pPr>
            <w:r>
              <w:rPr>
                <w:rFonts w:hint="default" w:ascii="Times New Roman" w:hAnsi="Times New Roman" w:cs="Times New Roman"/>
                <w:b/>
                <w:color w:val="auto"/>
              </w:rPr>
              <w:t>Trapaceae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21</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野菱</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 xml:space="preserve">Trapa incise </w:t>
            </w:r>
            <w:r>
              <w:rPr>
                <w:rFonts w:hint="default" w:ascii="Times New Roman" w:hAnsi="Times New Roman" w:cs="Times New Roman"/>
                <w:color w:val="auto"/>
              </w:rPr>
              <w:t>(Sieb et Zucc)</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22</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菱</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 xml:space="preserve">Trapa bispinosa </w:t>
            </w:r>
            <w:r>
              <w:rPr>
                <w:rFonts w:hint="default" w:ascii="Times New Roman" w:hAnsi="Times New Roman" w:cs="Times New Roman"/>
                <w:color w:val="auto"/>
              </w:rPr>
              <w:t>Roxb</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23</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四角菱</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Trapa quadrispinosa</w:t>
            </w:r>
            <w:r>
              <w:rPr>
                <w:rFonts w:hint="default" w:ascii="Times New Roman" w:hAnsi="Times New Roman" w:cs="Times New Roman"/>
                <w:color w:val="auto"/>
              </w:rPr>
              <w:t>Roxb</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十二、小二仙草科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b/>
                <w:color w:val="auto"/>
              </w:rPr>
              <w:t>Haloragidaceae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24</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穗状狐尾藻</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 xml:space="preserve">Myriophyllum Spicatum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十三、寥科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b/>
                <w:color w:val="auto"/>
              </w:rPr>
              <w:t>Polygonaceae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25</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水寥</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 xml:space="preserve">Polygonum hydropiper </w:t>
            </w:r>
            <w:r>
              <w:rPr>
                <w:rFonts w:hint="default" w:ascii="Times New Roman" w:hAnsi="Times New Roman" w:cs="Times New Roman"/>
                <w:color w:val="auto"/>
              </w:rPr>
              <w:t>L</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十四、泽泻科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b/>
                <w:color w:val="auto"/>
              </w:rPr>
              <w:t>Alismataceae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26</w:t>
            </w:r>
          </w:p>
        </w:tc>
        <w:tc>
          <w:tcPr>
            <w:tcW w:w="115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矮慈姑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 xml:space="preserve">Sagittaria pygmaea </w:t>
            </w:r>
            <w:r>
              <w:rPr>
                <w:rFonts w:hint="default" w:ascii="Times New Roman" w:hAnsi="Times New Roman" w:cs="Times New Roman"/>
                <w:color w:val="auto"/>
              </w:rPr>
              <w:t>Miq</w:t>
            </w:r>
          </w:p>
        </w:tc>
        <w:tc>
          <w:tcPr>
            <w:tcW w:w="788" w:type="pct"/>
            <w:tcBorders>
              <w:top w:val="single" w:color="000000" w:sz="4" w:space="0"/>
              <w:left w:val="single" w:color="000000" w:sz="4" w:space="0"/>
              <w:bottom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891" w:type="pct"/>
            <w:gridSpan w:val="2"/>
            <w:tcBorders>
              <w:top w:val="single" w:color="000000" w:sz="4" w:space="0"/>
              <w:left w:val="single" w:color="000000" w:sz="12" w:space="0"/>
              <w:bottom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rPr>
              <w:t>十五、睡莲科</w:t>
            </w:r>
          </w:p>
        </w:tc>
        <w:tc>
          <w:tcPr>
            <w:tcW w:w="232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b/>
                <w:color w:val="auto"/>
              </w:rPr>
              <w:t>Nymphaeaceae</w:t>
            </w:r>
          </w:p>
        </w:tc>
        <w:tc>
          <w:tcPr>
            <w:tcW w:w="788" w:type="pct"/>
            <w:tcBorders>
              <w:top w:val="single" w:color="000000" w:sz="4" w:space="0"/>
              <w:left w:val="single" w:color="000000" w:sz="4" w:space="0"/>
              <w:bottom w:val="single" w:color="000000" w:sz="4" w:space="0"/>
              <w:right w:val="single" w:color="000000" w:sz="12" w:space="0"/>
            </w:tcBorders>
            <w:vAlign w:val="center"/>
          </w:tcPr>
          <w:p>
            <w:pPr>
              <w:widowControl/>
              <w:adjustRightInd w:val="0"/>
              <w:snapToGrid w:val="0"/>
              <w:jc w:val="center"/>
              <w:rPr>
                <w:rFonts w:hint="default" w:ascii="Times New Roman" w:hAnsi="Times New Roman" w:cs="Times New Roman"/>
                <w:b/>
                <w:bCs/>
                <w:color w:val="auto"/>
              </w:rPr>
            </w:pP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734" w:type="pct"/>
            <w:tcBorders>
              <w:top w:val="single" w:color="000000" w:sz="4" w:space="0"/>
              <w:left w:val="single" w:color="000000" w:sz="12"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b/>
                <w:color w:val="auto"/>
              </w:rPr>
              <w:t>27</w:t>
            </w:r>
          </w:p>
        </w:tc>
        <w:tc>
          <w:tcPr>
            <w:tcW w:w="1156" w:type="pct"/>
            <w:tcBorders>
              <w:top w:val="single" w:color="000000" w:sz="4" w:space="0"/>
              <w:left w:val="single" w:color="000000" w:sz="4" w:space="0"/>
              <w:right w:val="single" w:color="000000" w:sz="4" w:space="0"/>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莲</w:t>
            </w:r>
          </w:p>
        </w:tc>
        <w:tc>
          <w:tcPr>
            <w:tcW w:w="2320" w:type="pct"/>
            <w:tcBorders>
              <w:top w:val="single" w:color="000000" w:sz="4" w:space="0"/>
              <w:left w:val="single" w:color="000000" w:sz="4" w:space="0"/>
              <w:right w:val="single" w:color="000000" w:sz="4" w:space="0"/>
            </w:tcBorders>
            <w:vAlign w:val="center"/>
          </w:tcPr>
          <w:p>
            <w:pPr>
              <w:adjustRightInd w:val="0"/>
              <w:snapToGrid w:val="0"/>
              <w:jc w:val="left"/>
              <w:rPr>
                <w:rFonts w:hint="default" w:ascii="Times New Roman" w:hAnsi="Times New Roman" w:cs="Times New Roman"/>
                <w:b/>
                <w:color w:val="auto"/>
              </w:rPr>
            </w:pPr>
            <w:r>
              <w:rPr>
                <w:rFonts w:hint="default" w:ascii="Times New Roman" w:hAnsi="Times New Roman" w:cs="Times New Roman"/>
                <w:i/>
                <w:color w:val="auto"/>
              </w:rPr>
              <w:t>Nelumbo nucifera</w:t>
            </w:r>
          </w:p>
        </w:tc>
        <w:tc>
          <w:tcPr>
            <w:tcW w:w="788" w:type="pct"/>
            <w:tcBorders>
              <w:top w:val="single" w:color="000000" w:sz="4" w:space="0"/>
              <w:left w:val="single" w:color="000000" w:sz="4" w:space="0"/>
              <w:right w:val="single" w:color="000000" w:sz="12" w:space="0"/>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i/>
                <w:color w:val="auto"/>
              </w:rPr>
              <w:t>+</w:t>
            </w:r>
          </w:p>
        </w:tc>
      </w:tr>
    </w:tbl>
    <w:p>
      <w:pPr>
        <w:widowControl/>
        <w:adjustRightInd w:val="0"/>
        <w:snapToGrid w:val="0"/>
        <w:spacing w:line="360" w:lineRule="auto"/>
        <w:ind w:firstLine="480" w:firstLineChars="200"/>
        <w:rPr>
          <w:rFonts w:hint="default" w:ascii="Times New Roman" w:hAnsi="Times New Roman" w:cs="Times New Roman"/>
          <w:color w:val="auto"/>
          <w:sz w:val="24"/>
          <w:szCs w:val="18"/>
        </w:rPr>
      </w:pP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5、水生态环境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水环境现状</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水温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2019年5~7月调查岳阳江段水温范围为17.3~24.4℃，其中5月份水温平均值为19.7℃，6月份水温平均值为22.5℃，7月份水温平均值23.7℃。水温呈逐月上升趋势。调查期间水温随时间变化曲线见图5.8-13。</w:t>
      </w:r>
    </w:p>
    <w:p>
      <w:pPr>
        <w:widowControl/>
        <w:spacing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640705" cy="2559050"/>
            <wp:effectExtent l="0" t="0" r="17145" b="12700"/>
            <wp:docPr id="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pic:cNvPicPr>
                      <a:picLocks noChangeAspect="1"/>
                    </pic:cNvPicPr>
                  </pic:nvPicPr>
                  <pic:blipFill>
                    <a:blip r:embed="rId62"/>
                    <a:stretch>
                      <a:fillRect/>
                    </a:stretch>
                  </pic:blipFill>
                  <pic:spPr>
                    <a:xfrm>
                      <a:off x="0" y="0"/>
                      <a:ext cx="5640705" cy="2559050"/>
                    </a:xfrm>
                    <a:prstGeom prst="rect">
                      <a:avLst/>
                    </a:prstGeom>
                    <a:noFill/>
                    <a:ln>
                      <a:noFill/>
                    </a:ln>
                  </pic:spPr>
                </pic:pic>
              </a:graphicData>
            </a:graphic>
          </wp:inline>
        </w:drawing>
      </w:r>
    </w:p>
    <w:p>
      <w:pPr>
        <w:widowControl/>
        <w:adjustRightInd w:val="0"/>
        <w:snapToGrid w:val="0"/>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图5.8-13  调查期间岳阳江段水温日变化过程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透明度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2019年5~7月调查岳阳江段的透明范围25~150cm，其中5月份透明度平均值为121cm，6月份透明度平均值为77cm，7月份透明度平均值40cm。调查期间透明度总体呈下降趋势，波动范围较大，调查期间透明度随时间变化曲线见图5.8-14。</w:t>
      </w:r>
    </w:p>
    <w:p>
      <w:pPr>
        <w:widowControl/>
        <w:spacing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575935" cy="2794000"/>
            <wp:effectExtent l="0" t="0" r="5715" b="6350"/>
            <wp:docPr id="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pic:cNvPicPr>
                      <a:picLocks noChangeAspect="1"/>
                    </pic:cNvPicPr>
                  </pic:nvPicPr>
                  <pic:blipFill>
                    <a:blip r:embed="rId63"/>
                    <a:stretch>
                      <a:fillRect/>
                    </a:stretch>
                  </pic:blipFill>
                  <pic:spPr>
                    <a:xfrm>
                      <a:off x="0" y="0"/>
                      <a:ext cx="5575935" cy="2794000"/>
                    </a:xfrm>
                    <a:prstGeom prst="rect">
                      <a:avLst/>
                    </a:prstGeom>
                    <a:noFill/>
                    <a:ln>
                      <a:noFill/>
                    </a:ln>
                  </pic:spPr>
                </pic:pic>
              </a:graphicData>
            </a:graphic>
          </wp:inline>
        </w:drawing>
      </w:r>
    </w:p>
    <w:p>
      <w:pPr>
        <w:widowControl/>
        <w:adjustRightInd w:val="0"/>
        <w:snapToGrid w:val="0"/>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图5.8-14  调查期间岳阳江段透明度变化过程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③ 溶解氧</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2014年5~7月调查岳阳江段的溶解氧范围7.2~9.4mg/L，其中5月份溶解氧平均值9.0mg/L，6月份溶解氧平均值8.1mg/L，7月份溶解氧平均值8.2mg/L，调查期间溶解氧是波动的，总体呈先下降后上升的趋势。调查期间溶解氧随时间变化曲线见图5.8-15。</w:t>
      </w:r>
    </w:p>
    <w:p>
      <w:pPr>
        <w:widowControl/>
        <w:jc w:val="center"/>
        <w:rPr>
          <w:rFonts w:hint="default" w:ascii="Times New Roman" w:hAnsi="Times New Roman" w:cs="Times New Roman"/>
          <w:color w:val="auto"/>
          <w:sz w:val="24"/>
          <w:szCs w:val="18"/>
        </w:rPr>
      </w:pPr>
      <w:r>
        <w:rPr>
          <w:rFonts w:hint="default" w:ascii="Times New Roman" w:hAnsi="Times New Roman" w:cs="Times New Roman"/>
          <w:color w:val="auto"/>
        </w:rPr>
        <w:drawing>
          <wp:inline distT="0" distB="0" distL="114300" distR="114300">
            <wp:extent cx="5575935" cy="2772410"/>
            <wp:effectExtent l="0" t="0" r="5715" b="8890"/>
            <wp:docPr id="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pic:cNvPicPr>
                      <a:picLocks noChangeAspect="1"/>
                    </pic:cNvPicPr>
                  </pic:nvPicPr>
                  <pic:blipFill>
                    <a:blip r:embed="rId64"/>
                    <a:stretch>
                      <a:fillRect/>
                    </a:stretch>
                  </pic:blipFill>
                  <pic:spPr>
                    <a:xfrm>
                      <a:off x="0" y="0"/>
                      <a:ext cx="5575935" cy="2772410"/>
                    </a:xfrm>
                    <a:prstGeom prst="rect">
                      <a:avLst/>
                    </a:prstGeom>
                    <a:noFill/>
                    <a:ln>
                      <a:noFill/>
                    </a:ln>
                  </pic:spPr>
                </pic:pic>
              </a:graphicData>
            </a:graphic>
          </wp:inline>
        </w:drawing>
      </w:r>
    </w:p>
    <w:p>
      <w:pPr>
        <w:widowControl/>
        <w:adjustRightInd w:val="0"/>
        <w:snapToGrid w:val="0"/>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图5.8-15  调查期间岳阳江段溶解氧变化过程</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6、保护区生态功能区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产卵场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历史资料，长江中游是四大家鱼等漂流性鱼类的主要产卵场所。“四大家鱼”等产漂流性卵鱼类产卵的条件除需要具备一定的水温条件外，还需要河流的涨水刺激和特定的水文情势。江河涨水实际上包含流量加大、水位上升、流速加快、透明度减小以及流态紊乱等一系列水文因素的变化过程。“四大家鱼”等产漂流性卵鱼类产卵场的河道特点为河道多弯曲、复杂，或者有矶头伸入江中处，江心多沙洲。这些特点可导致区域水文情势复杂，流速发生变化，水流紊乱，形成泡漩水面，鱼类的精液和鱼卵可随水流上下翻腾，充分结合授精，是产漂流性卵鱼类最为适宜的繁殖条件。产卵季节，当水文条件适宜时，便能刺激亲鱼在产卵场水域产卵。据易伯鲁等调查（1986），葛洲坝坝下宜昌至城陵矶江段分布有11个四大家鱼产卵场，其中宜昌至枝江江段分布4个四大家鱼产卵场，分别为宜昌、虎牙滩、宜都和枝江产卵场。近年来，由于自然和人为因素，特别是长江三峡工程的兴建，长江鱼类资源持续衰退，四大家鱼资源量显著减少，幼鱼发生量规模下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段辛斌（2008）的调查：2003~2006年在长江干流宜都至反嘴各断面均采集到了漂流性鱼卵，其中在宜都、枝江、石首、调关和监利采集到了四大家鱼卵。按当时采集的发育期和江水平均流速推算，在坝下宜昌至城陵矶300多km江段分布10余个四大家鱼产卵场，卵苗主要来源于宜昌、宜都、江口、石首和调关等产卵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2019年监利和燕窝洪湖江段调查结果，四大家鱼产卵场在保护区内有2处产卵场，分别位于监利江段（工程建设位置上游约28km）与螺山镇江段（工程建设位置下游约50km）。因此，工程对监利江段四大家鱼产卵场有一定的影响。本项目评价区内四大家鱼产卵场分布见下图。</w:t>
      </w:r>
    </w:p>
    <w:p>
      <w:pPr>
        <w:widowControl/>
        <w:spacing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319395" cy="3832860"/>
            <wp:effectExtent l="0" t="0" r="14605" b="15240"/>
            <wp:docPr id="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5"/>
                    <pic:cNvPicPr>
                      <a:picLocks noChangeAspect="1"/>
                    </pic:cNvPicPr>
                  </pic:nvPicPr>
                  <pic:blipFill>
                    <a:blip r:embed="rId65"/>
                    <a:stretch>
                      <a:fillRect/>
                    </a:stretch>
                  </pic:blipFill>
                  <pic:spPr>
                    <a:xfrm>
                      <a:off x="0" y="0"/>
                      <a:ext cx="5319395" cy="3832860"/>
                    </a:xfrm>
                    <a:prstGeom prst="rect">
                      <a:avLst/>
                    </a:prstGeom>
                    <a:noFill/>
                    <a:ln>
                      <a:noFill/>
                    </a:ln>
                  </pic:spPr>
                </pic:pic>
              </a:graphicData>
            </a:graphic>
          </wp:inline>
        </w:drawing>
      </w:r>
    </w:p>
    <w:p>
      <w:pPr>
        <w:widowControl/>
        <w:adjustRightInd w:val="0"/>
        <w:snapToGrid w:val="0"/>
        <w:spacing w:line="360"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图5.8-16  本项目评价区内四大家鱼产卵场分布示意图</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此外保护区沿岸分布有鲤、鲫、黄颡鱼、鲶等产粘性卵鱼类的产卵场，这些产卵场区域主要集中在长江两岸及沙洲边缘水流平缓的浅水处，多以洲滩近岸草基、石基作介质，分布较为零散且规模不大。在各沙洲洲滩上存在大量芦苇沼泽、灌木沼泽和草本沼泽形成的湿地，在涨水季节部分被淹没，形成鱼类产卵场，但由于淹没面积不大，因此，产粘性卵鱼类产卵场规模也有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索饵场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工程江段的鱼类食谱主要分为植物（包括浮游藻类和水生植物）、鱼类、底栖动物、杂食四大类。以浮游藻类为食的鱼类主要有鲢、鳙等，其觅食区域主要在湖泊或河流靠近河岸缓流的水域，该区域浮游藻类密度相对较大；以水生植物为食的鱼类有草鱼（主食水生维管束植物）、鲴类（主食周丛植物），沿岸水生植物生长茂盛的区域可为其提供良好的觅食场所；以底栖动物为食的鱼类主要有青鱼、虾虎鱼属。青鱼喜好摄食螺类，河蚬、螺蛳、幼蚌等小型动物，这些小型动物也是杂食性鱼类如鲤的主要食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江段鱼类食性特征，鱼类索饵场主要分布于沿岸缓流区域、水草丛生的沿岸水域、底质为泥沙或沙砾的缓流水域。根据鱼类超声波监测结果，完成产卵活动的四大家鱼亲本一部分四大家鱼亲本停留在上游江段，一部分四大家鱼亲本降河洄游至保护区监利江段。根据渔民捕捞结果，长江监利段四大家鱼国家级水产种质资源保护区河段分布有一些幼鱼，估计这些区域为四大家鱼等经济鱼类主要的觅食区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越冬场</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国内外关于鱼类越冬场的研究较少。通常认为河流中鱼类越冬场主要分布于深水的河道深槽中，可能是因为该区域温度稍高，且受外界影响较少的缘故。根据四大家鱼的洄游行为，分布于宜都江段的产后亲鱼，一部分溯河洄游至宜昌江段，另一部分降河洄游至枝江以下江段。初步估计宜昌江段、枝江以下的江段和洞庭湖是鱼类主要越冬场所，在长江监利段四大家鱼国家级水产种质资源保护区河段白螺江段没有发现其越冬踪迹。</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洄游通道</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iCs/>
          <w:color w:val="auto"/>
          <w:sz w:val="24"/>
          <w:szCs w:val="24"/>
        </w:rPr>
      </w:pPr>
      <w:r>
        <w:rPr>
          <w:rFonts w:hint="default" w:ascii="Times New Roman" w:hAnsi="Times New Roman" w:cs="Times New Roman"/>
          <w:color w:val="auto"/>
          <w:sz w:val="24"/>
          <w:szCs w:val="18"/>
        </w:rPr>
        <w:t>四大家鱼属于典型的江河洄游型鱼类，其洄游周期均包含生殖洄游、索饵洄游和越冬洄游三个阶段。每年繁殖期，四大家鱼亲本开始溯河洄游，当迁移到一定的产卵区域后，遇上合适的生态条件，即完成产卵活动；每年的索饵期，完成产卵活动的四大家鱼亲本开始进入索饵洄游，进入饵料生物丰富的水域；冬天来临时由索饵场进入深水区域进行越冬。根据长江水产研究所对长江中游宜昌至岳阳江段开展四大家鱼亲本超声波遥测技术研究，繁殖期，大量四大家鱼亲本溯河洄游，经过保护区江段，直到宜都及宜昌江段完成产卵活动。完成产卵活动的四大家鱼亲本的洄游路径分为两个部分，一部分四大家鱼亲本停留在宜昌及宜都江段育肥，一部分四大家鱼亲本降河洄游至枝江以下江段育肥。冬季，分布于宜都江段的标志鱼的洄游路线又分为两个部分，一部分溯河洄游至宜昌江段越冬，另一部分降河洄游至枝江以下江段越冬。监利保护区江段是四大家鱼的洄游通道</w:t>
      </w:r>
      <w:r>
        <w:rPr>
          <w:rFonts w:hint="default" w:ascii="Times New Roman" w:hAnsi="Times New Roman" w:cs="Times New Roman" w:eastAsiaTheme="minorEastAsia"/>
          <w:iCs/>
          <w:color w:val="auto"/>
          <w:sz w:val="24"/>
          <w:szCs w:val="24"/>
        </w:rPr>
        <w:t>。</w:t>
      </w:r>
    </w:p>
    <w:p>
      <w:pPr>
        <w:pStyle w:val="325"/>
        <w:tabs>
          <w:tab w:val="right" w:leader="dot" w:pos="9070"/>
        </w:tabs>
        <w:adjustRightInd w:val="0"/>
        <w:snapToGrid w:val="0"/>
        <w:spacing w:line="360" w:lineRule="auto"/>
        <w:jc w:val="both"/>
        <w:rPr>
          <w:rFonts w:hint="default" w:ascii="Times New Roman" w:hAnsi="Times New Roman" w:cs="Times New Roman" w:eastAsiaTheme="minorEastAsia"/>
          <w:iCs/>
          <w:color w:val="auto"/>
          <w:sz w:val="24"/>
          <w:szCs w:val="24"/>
        </w:rPr>
      </w:pPr>
    </w:p>
    <w:p>
      <w:pPr>
        <w:adjustRightInd w:val="0"/>
        <w:snapToGrid w:val="0"/>
        <w:spacing w:line="360" w:lineRule="auto"/>
        <w:rPr>
          <w:rFonts w:hint="default" w:ascii="Times New Roman" w:hAnsi="Times New Roman" w:cs="Times New Roman" w:eastAsiaTheme="minorEastAsia"/>
          <w:iCs/>
          <w:color w:val="auto"/>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87" w:name="_Toc15014"/>
      <w:bookmarkStart w:id="88" w:name="_Toc4737"/>
      <w:r>
        <w:rPr>
          <w:rFonts w:hint="default" w:ascii="Times New Roman" w:hAnsi="Times New Roman" w:cs="Times New Roman" w:eastAsiaTheme="minorEastAsia"/>
          <w:b/>
          <w:color w:val="auto"/>
          <w:sz w:val="32"/>
          <w:szCs w:val="32"/>
        </w:rPr>
        <w:t>环境影响评价</w:t>
      </w:r>
      <w:bookmarkEnd w:id="87"/>
      <w:bookmarkEnd w:id="88"/>
    </w:p>
    <w:p>
      <w:pPr>
        <w:pStyle w:val="3"/>
        <w:ind w:left="578" w:hanging="578"/>
        <w:rPr>
          <w:rFonts w:hint="default" w:ascii="Times New Roman" w:hAnsi="Times New Roman" w:cs="Times New Roman" w:eastAsiaTheme="minorEastAsia"/>
          <w:b/>
          <w:bCs w:val="0"/>
          <w:color w:val="auto"/>
        </w:rPr>
      </w:pPr>
      <w:bookmarkStart w:id="89" w:name="_Toc1190"/>
      <w:bookmarkStart w:id="90" w:name="_Toc27611"/>
      <w:r>
        <w:rPr>
          <w:rFonts w:hint="default" w:ascii="Times New Roman" w:hAnsi="Times New Roman" w:cs="Times New Roman" w:eastAsiaTheme="minorEastAsia"/>
          <w:b/>
          <w:bCs w:val="0"/>
          <w:color w:val="auto"/>
        </w:rPr>
        <w:t>水环境影响评价</w:t>
      </w:r>
      <w:bookmarkEnd w:id="89"/>
      <w:bookmarkEnd w:id="90"/>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水文、泥沙基本特征</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水系及水文概况</w:t>
      </w:r>
    </w:p>
    <w:p>
      <w:pPr>
        <w:adjustRightInd w:val="0"/>
        <w:snapToGrid w:val="0"/>
        <w:spacing w:line="360" w:lineRule="auto"/>
        <w:ind w:firstLine="482" w:firstLineChars="200"/>
        <w:jc w:val="left"/>
        <w:rPr>
          <w:rFonts w:hint="default" w:ascii="Times New Roman" w:hAnsi="Times New Roman" w:eastAsia="CIDFont+F3" w:cs="Times New Roman"/>
          <w:b/>
          <w:bCs/>
          <w:color w:val="auto"/>
          <w:sz w:val="24"/>
        </w:rPr>
      </w:pPr>
      <w:r>
        <w:rPr>
          <w:rFonts w:hint="default" w:ascii="Times New Roman" w:hAnsi="Times New Roman" w:eastAsia="CIDFont+F3" w:cs="Times New Roman"/>
          <w:b/>
          <w:bCs/>
          <w:color w:val="auto"/>
          <w:sz w:val="24"/>
        </w:rPr>
        <w:t>1、基本水文特征</w:t>
      </w:r>
    </w:p>
    <w:p>
      <w:pPr>
        <w:adjustRightInd w:val="0"/>
        <w:snapToGrid w:val="0"/>
        <w:spacing w:line="360" w:lineRule="auto"/>
        <w:ind w:firstLine="480" w:firstLineChars="200"/>
        <w:jc w:val="left"/>
        <w:rPr>
          <w:rFonts w:hint="default" w:ascii="Times New Roman" w:hAnsi="Times New Roman" w:eastAsia="CIDFont+F3" w:cs="Times New Roman"/>
          <w:color w:val="auto"/>
          <w:sz w:val="24"/>
        </w:rPr>
      </w:pPr>
      <w:r>
        <w:rPr>
          <w:rFonts w:hint="default" w:ascii="Times New Roman" w:hAnsi="Times New Roman" w:eastAsia="CIDFont+F3" w:cs="Times New Roman"/>
          <w:color w:val="auto"/>
          <w:sz w:val="24"/>
        </w:rPr>
        <w:t>长江中游汛期一般出现在</w:t>
      </w:r>
      <w:r>
        <w:rPr>
          <w:rFonts w:hint="default" w:ascii="Times New Roman" w:hAnsi="Times New Roman" w:eastAsia="CIDFont+F1" w:cs="Times New Roman"/>
          <w:color w:val="auto"/>
          <w:sz w:val="24"/>
        </w:rPr>
        <w:t>5</w:t>
      </w:r>
      <w:r>
        <w:rPr>
          <w:rFonts w:hint="default" w:ascii="Times New Roman" w:hAnsi="Times New Roman" w:cs="Times New Roman"/>
          <w:color w:val="auto"/>
          <w:sz w:val="24"/>
        </w:rPr>
        <w:t>~</w:t>
      </w:r>
      <w:r>
        <w:rPr>
          <w:rFonts w:hint="default" w:ascii="Times New Roman" w:hAnsi="Times New Roman" w:eastAsia="CIDFont+F1" w:cs="Times New Roman"/>
          <w:color w:val="auto"/>
          <w:sz w:val="24"/>
        </w:rPr>
        <w:t>10</w:t>
      </w:r>
      <w:r>
        <w:rPr>
          <w:rFonts w:hint="default" w:ascii="Times New Roman" w:hAnsi="Times New Roman" w:eastAsia="CIDFont+F3" w:cs="Times New Roman"/>
          <w:color w:val="auto"/>
          <w:sz w:val="24"/>
        </w:rPr>
        <w:t>月，</w:t>
      </w:r>
      <w:r>
        <w:rPr>
          <w:rFonts w:hint="default" w:ascii="Times New Roman" w:hAnsi="Times New Roman" w:eastAsia="CIDFont+F1" w:cs="Times New Roman"/>
          <w:color w:val="auto"/>
          <w:sz w:val="24"/>
        </w:rPr>
        <w:t>4</w:t>
      </w:r>
      <w:r>
        <w:rPr>
          <w:rFonts w:hint="default" w:ascii="Times New Roman" w:hAnsi="Times New Roman" w:eastAsia="CIDFont+F3" w:cs="Times New Roman"/>
          <w:color w:val="auto"/>
          <w:sz w:val="24"/>
        </w:rPr>
        <w:t>月份为涨水过程，</w:t>
      </w:r>
      <w:r>
        <w:rPr>
          <w:rFonts w:hint="default" w:ascii="Times New Roman" w:hAnsi="Times New Roman" w:eastAsia="CIDFont+F1" w:cs="Times New Roman"/>
          <w:color w:val="auto"/>
          <w:sz w:val="24"/>
        </w:rPr>
        <w:t>11</w:t>
      </w:r>
      <w:r>
        <w:rPr>
          <w:rFonts w:hint="default" w:ascii="Times New Roman" w:hAnsi="Times New Roman" w:eastAsia="CIDFont+F3" w:cs="Times New Roman"/>
          <w:color w:val="auto"/>
          <w:sz w:val="24"/>
        </w:rPr>
        <w:t>月份为退水过程，</w:t>
      </w:r>
      <w:r>
        <w:rPr>
          <w:rFonts w:hint="default" w:ascii="Times New Roman" w:hAnsi="Times New Roman" w:eastAsia="CIDFont+F1" w:cs="Times New Roman"/>
          <w:color w:val="auto"/>
          <w:sz w:val="24"/>
        </w:rPr>
        <w:t>2</w:t>
      </w:r>
      <w:r>
        <w:rPr>
          <w:rFonts w:hint="default" w:ascii="Times New Roman" w:hAnsi="Times New Roman" w:cs="Times New Roman"/>
          <w:color w:val="auto"/>
          <w:sz w:val="24"/>
        </w:rPr>
        <w:t>~</w:t>
      </w:r>
      <w:r>
        <w:rPr>
          <w:rFonts w:hint="default" w:ascii="Times New Roman" w:hAnsi="Times New Roman" w:eastAsia="CIDFont+F1" w:cs="Times New Roman"/>
          <w:color w:val="auto"/>
          <w:sz w:val="24"/>
        </w:rPr>
        <w:t>3</w:t>
      </w:r>
      <w:r>
        <w:rPr>
          <w:rFonts w:hint="default" w:ascii="Times New Roman" w:hAnsi="Times New Roman" w:eastAsia="CIDFont+F3" w:cs="Times New Roman"/>
          <w:color w:val="auto"/>
          <w:sz w:val="24"/>
        </w:rPr>
        <w:t>月为枯水期。月平均最高水位一般发生在</w:t>
      </w:r>
      <w:r>
        <w:rPr>
          <w:rFonts w:hint="default" w:ascii="Times New Roman" w:hAnsi="Times New Roman" w:eastAsia="CIDFont+F1" w:cs="Times New Roman"/>
          <w:color w:val="auto"/>
          <w:sz w:val="24"/>
        </w:rPr>
        <w:t>7</w:t>
      </w:r>
      <w:r>
        <w:rPr>
          <w:rFonts w:hint="default" w:ascii="Times New Roman" w:hAnsi="Times New Roman" w:eastAsia="CIDFont+F3" w:cs="Times New Roman"/>
          <w:color w:val="auto"/>
          <w:sz w:val="24"/>
        </w:rPr>
        <w:t>月份，月平均最低水位一般出现在</w:t>
      </w:r>
      <w:r>
        <w:rPr>
          <w:rFonts w:hint="default" w:ascii="Times New Roman" w:hAnsi="Times New Roman" w:eastAsia="CIDFont+F1" w:cs="Times New Roman"/>
          <w:color w:val="auto"/>
          <w:sz w:val="24"/>
        </w:rPr>
        <w:t>2</w:t>
      </w:r>
      <w:r>
        <w:rPr>
          <w:rFonts w:hint="default" w:ascii="Times New Roman" w:hAnsi="Times New Roman" w:eastAsia="CIDFont+F3" w:cs="Times New Roman"/>
          <w:color w:val="auto"/>
          <w:sz w:val="24"/>
        </w:rPr>
        <w:t>月份。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eastAsia="CIDFont+F3" w:cs="Times New Roman"/>
          <w:color w:val="auto"/>
          <w:sz w:val="24"/>
        </w:rPr>
        <w:t>长江干线下游有城陵矶水文站，根据水文站多年统计资料分析，</w:t>
      </w:r>
      <w:r>
        <w:rPr>
          <w:rFonts w:hint="default" w:ascii="Times New Roman" w:hAnsi="Times New Roman" w:cs="Times New Roman"/>
          <w:color w:val="auto"/>
          <w:sz w:val="24"/>
        </w:rPr>
        <w:t>多年平均流量20300m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/s，历年最大流量78800m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/s，历年最小流量4060m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 。</w:t>
      </w:r>
    </w:p>
    <w:p>
      <w:pPr>
        <w:adjustRightInd w:val="0"/>
        <w:snapToGrid w:val="0"/>
        <w:spacing w:line="360" w:lineRule="auto"/>
        <w:ind w:firstLine="482" w:firstLineChars="200"/>
        <w:rPr>
          <w:rFonts w:hint="default" w:ascii="Times New Roman" w:hAnsi="Times New Roman" w:cs="Times New Roman"/>
          <w:color w:val="auto"/>
          <w:sz w:val="24"/>
        </w:rPr>
      </w:pPr>
      <w:r>
        <w:rPr>
          <w:rFonts w:hint="default" w:ascii="Times New Roman" w:hAnsi="Times New Roman" w:eastAsia="CIDFont+F3" w:cs="Times New Roman"/>
          <w:b/>
          <w:bCs/>
          <w:color w:val="auto"/>
          <w:sz w:val="24"/>
        </w:rPr>
        <w:t>2、君山港区设计水位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本项目设计水位系根据城陵矶水文站资料进行相关分析，推算出</w:t>
      </w:r>
      <w:r>
        <w:rPr>
          <w:rFonts w:hint="eastAsia" w:ascii="Times New Roman" w:hAnsi="Times New Roman" w:cs="Times New Roman"/>
          <w:color w:val="auto"/>
          <w:sz w:val="24"/>
          <w:lang w:eastAsia="zh-CN"/>
        </w:rPr>
        <w:t>本项目</w:t>
      </w:r>
      <w:r>
        <w:rPr>
          <w:rFonts w:hint="default" w:ascii="Times New Roman" w:hAnsi="Times New Roman" w:cs="Times New Roman"/>
          <w:color w:val="auto"/>
          <w:sz w:val="24"/>
        </w:rPr>
        <w:t>水域设计水位如下：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设计高水位：34.40m（重现期50年）</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设计低水位：20.40m（保证率98%）</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泥沙</w:t>
      </w:r>
    </w:p>
    <w:p>
      <w:pPr>
        <w:adjustRightInd w:val="0"/>
        <w:snapToGrid w:val="0"/>
        <w:spacing w:line="360" w:lineRule="auto"/>
        <w:ind w:firstLine="480" w:firstLineChars="200"/>
        <w:jc w:val="left"/>
        <w:rPr>
          <w:rFonts w:hint="default" w:ascii="Times New Roman" w:hAnsi="Times New Roman" w:eastAsia="CIDFont+F3" w:cs="Times New Roman"/>
          <w:color w:val="auto"/>
          <w:sz w:val="24"/>
        </w:rPr>
      </w:pPr>
      <w:r>
        <w:rPr>
          <w:rFonts w:hint="default" w:ascii="Times New Roman" w:hAnsi="Times New Roman" w:eastAsia="CIDFont+F3" w:cs="Times New Roman"/>
          <w:color w:val="auto"/>
          <w:sz w:val="24"/>
        </w:rPr>
        <w:t>长江水量丰沛，年径流量和输沙量较大，年际和年内分配不均匀。</w:t>
      </w:r>
      <w:r>
        <w:rPr>
          <w:rFonts w:hint="default" w:ascii="Times New Roman" w:hAnsi="Times New Roman" w:cs="Times New Roman"/>
          <w:color w:val="auto"/>
          <w:sz w:val="24"/>
        </w:rPr>
        <w:t>本河段来水来沙年内变化较大，汛期（5~10月）水量占全年的73~74%，输沙量占全年的85~87%。最大流量及最大沙量均发生在7~8月，最小流量、最小沙量则发生在1~2月。年径流量主要集中在主汛期7~9月，约占全年的43.2%，而枯水期12~3月则只占全年的13.6%；与径流量相比，输沙量更加集中，主汛期7~9月输沙量占全年的59.1%，而枯水期12~3月则仅占全年的6.5%</w:t>
      </w:r>
      <w:r>
        <w:rPr>
          <w:rFonts w:hint="default" w:ascii="Times New Roman" w:hAnsi="Times New Roman" w:eastAsia="CIDFont+F3" w:cs="Times New Roman"/>
          <w:color w:val="auto"/>
          <w:sz w:val="24"/>
        </w:rPr>
        <w:t>。三峡工程蓄水前水文站径流与泥沙特征值详见表6.1-</w:t>
      </w:r>
      <w:r>
        <w:rPr>
          <w:rFonts w:hint="eastAsia" w:ascii="Times New Roman" w:hAnsi="Times New Roman" w:eastAsia="CIDFont+F3" w:cs="Times New Roman"/>
          <w:color w:val="auto"/>
          <w:sz w:val="24"/>
          <w:lang w:val="en-US" w:eastAsia="zh-CN"/>
        </w:rPr>
        <w:t>1</w:t>
      </w:r>
      <w:r>
        <w:rPr>
          <w:rFonts w:hint="default" w:ascii="Times New Roman" w:hAnsi="Times New Roman" w:eastAsia="CIDFont+F3" w:cs="Times New Roman"/>
          <w:color w:val="auto"/>
          <w:sz w:val="24"/>
        </w:rPr>
        <w:t>。</w:t>
      </w:r>
    </w:p>
    <w:p>
      <w:pPr>
        <w:pStyle w:val="848"/>
        <w:adjustRightInd w:val="0"/>
        <w:snapToGrid w:val="0"/>
        <w:spacing w:line="276"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表6.1-1  螺山站水文泥沙特征值统计表</w:t>
      </w:r>
    </w:p>
    <w:tbl>
      <w:tblPr>
        <w:tblStyle w:val="71"/>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494"/>
        <w:gridCol w:w="1343"/>
        <w:gridCol w:w="768"/>
        <w:gridCol w:w="1349"/>
        <w:gridCol w:w="768"/>
        <w:gridCol w:w="1349"/>
        <w:gridCol w:w="102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371" w:type="pct"/>
            <w:vMerge w:val="restar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738" w:type="pct"/>
            <w:vMerge w:val="restart"/>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多年平均</w:t>
            </w:r>
          </w:p>
        </w:tc>
        <w:tc>
          <w:tcPr>
            <w:tcW w:w="1163" w:type="pct"/>
            <w:gridSpan w:val="2"/>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历年最大</w:t>
            </w:r>
          </w:p>
        </w:tc>
        <w:tc>
          <w:tcPr>
            <w:tcW w:w="1163" w:type="pct"/>
            <w:gridSpan w:val="2"/>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历年最小</w:t>
            </w:r>
          </w:p>
        </w:tc>
        <w:tc>
          <w:tcPr>
            <w:tcW w:w="563" w:type="pct"/>
            <w:vMerge w:val="restar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统计</w:t>
            </w:r>
          </w:p>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年份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1371"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c>
          <w:tcPr>
            <w:tcW w:w="738"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c>
          <w:tcPr>
            <w:tcW w:w="422"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数值</w:t>
            </w:r>
          </w:p>
        </w:tc>
        <w:tc>
          <w:tcPr>
            <w:tcW w:w="740"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日期</w:t>
            </w:r>
          </w:p>
        </w:tc>
        <w:tc>
          <w:tcPr>
            <w:tcW w:w="422"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数值</w:t>
            </w:r>
          </w:p>
        </w:tc>
        <w:tc>
          <w:tcPr>
            <w:tcW w:w="740" w:type="pct"/>
            <w:noWrap/>
            <w:vAlign w:val="center"/>
          </w:tcPr>
          <w:p>
            <w:pPr>
              <w:autoSpaceDE w:val="0"/>
              <w:autoSpaceDN w:val="0"/>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日期</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b/>
                <w:bCs/>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水位（黄海高程m）</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21.41</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32.74</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1998.8.20</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13.52</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1960.2.16</w:t>
            </w:r>
          </w:p>
        </w:tc>
        <w:tc>
          <w:tcPr>
            <w:tcW w:w="563" w:type="pct"/>
            <w:vMerge w:val="restar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1950~2002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流量（m</w:t>
            </w:r>
            <w:r>
              <w:rPr>
                <w:rFonts w:hint="default" w:ascii="Times New Roman" w:hAnsi="Times New Roman" w:cs="Times New Roman"/>
                <w:color w:val="auto"/>
                <w:vertAlign w:val="superscript"/>
              </w:rPr>
              <w:t>3</w:t>
            </w:r>
            <w:r>
              <w:rPr>
                <w:rFonts w:hint="default" w:ascii="Times New Roman" w:hAnsi="Times New Roman" w:cs="Times New Roman"/>
                <w:color w:val="auto"/>
              </w:rPr>
              <w:t>/s）</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20300</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78800</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1954.8.7</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4060</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1963.2.5</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输沙量（亿t）</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4.13</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6.15</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1981</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2.48</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1994</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371"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含沙量（kg/m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738" w:type="pct"/>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0.65</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5.66</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1975.8.12</w:t>
            </w:r>
          </w:p>
        </w:tc>
        <w:tc>
          <w:tcPr>
            <w:tcW w:w="422"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0.048</w:t>
            </w:r>
          </w:p>
        </w:tc>
        <w:tc>
          <w:tcPr>
            <w:tcW w:w="740" w:type="pct"/>
            <w:noWrap/>
            <w:vAlign w:val="center"/>
          </w:tcPr>
          <w:p>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1954.2.1</w:t>
            </w:r>
          </w:p>
        </w:tc>
        <w:tc>
          <w:tcPr>
            <w:tcW w:w="563" w:type="pct"/>
            <w:vMerge w:val="continue"/>
            <w:vAlign w:val="center"/>
          </w:tcPr>
          <w:p>
            <w:pPr>
              <w:autoSpaceDE w:val="0"/>
              <w:autoSpaceDN w:val="0"/>
              <w:adjustRightInd w:val="0"/>
              <w:snapToGrid w:val="0"/>
              <w:jc w:val="center"/>
              <w:rPr>
                <w:rFonts w:hint="default" w:ascii="Times New Roman" w:hAnsi="Times New Roman" w:cs="Times New Roman"/>
                <w:color w:val="auto"/>
              </w:rPr>
            </w:pPr>
          </w:p>
        </w:tc>
      </w:tr>
    </w:tbl>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三峡工程蓄水以后“清水下泄”对本河段的悬沙来量影响十分明显，蓄水初期悬沙来量减幅在7成左右，近期减幅超过8成，蓄水后年均悬沙来量减幅达76.5%。其中，小水年减沙幅度近9成。</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河势演变分析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三峡水库蓄水以后，铁铺水道的广兴洲边滩受冲缩小，过渡段航槽却有所淤积，但河道内深槽、边滩其位置均保持相对稳定即河床形态依旧未变；反咀弯道段凸岸边滩以冲刷为主，且冲刷自上而下发展，主流呈左摆之势，一些年份出现枯水双槽局面；熊家洲水道右边滩冲刷、下移，河道展宽的同时河心淤积，断面形态较宽浅。</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河演分析表明，三峡蓄水以来，铁铺水道河势整体格局未变，只是局部岸线仍有崩塌，如河道内的广兴洲边滩有冲刷的趋势，过渡段深泓下挫，其深槽有所拓宽发展。反咀弯道上段，凸岸边滩大幅冲退、凹岸侧边滩略有冲刷，深泓很不稳定，断面宽浅变化，加上深泓有左摆之势，一些年份出现过枯水双槽的局面。</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color w:val="auto"/>
          <w:sz w:val="24"/>
        </w:rPr>
        <w:t>拟建港址位于洪水港下游3km处，该段河道顺直，多年来河道总体河势保持稳定。从洪水港至下游3km处，近岸水深条件良好，3m等深线依附岸边，从总体上看，工程河段岸线大都平顺，已处于相对稳定之中；港前水域水流较平顺，适合船舶靠离码头。</w:t>
      </w:r>
      <w:r>
        <w:rPr>
          <w:rFonts w:hint="default" w:ascii="Times New Roman" w:hAnsi="Times New Roman" w:cs="Times New Roman" w:eastAsiaTheme="minorEastAsia"/>
          <w:color w:val="auto"/>
          <w:sz w:val="24"/>
        </w:rPr>
        <w:t>本项目采用直立墩式，码头水工建筑物对水流流速影响幅度甚小，因而本项目的兴建对该段河势及行洪的影响极为有限。</w:t>
      </w:r>
    </w:p>
    <w:p>
      <w:pPr>
        <w:pStyle w:val="5"/>
        <w:ind w:left="578" w:hanging="578"/>
        <w:rPr>
          <w:rFonts w:hint="eastAsia" w:ascii="Times New Roman" w:hAnsi="Times New Roman" w:cs="Times New Roman"/>
          <w:color w:val="auto"/>
        </w:rPr>
      </w:pPr>
      <w:r>
        <w:rPr>
          <w:rFonts w:hint="default" w:ascii="Times New Roman" w:hAnsi="Times New Roman" w:cs="Times New Roman"/>
          <w:color w:val="auto"/>
        </w:rPr>
        <w:t>对河势及行洪的影响</w:t>
      </w:r>
    </w:p>
    <w:p>
      <w:pPr>
        <w:adjustRightInd w:val="0"/>
        <w:snapToGrid w:val="0"/>
        <w:spacing w:line="360" w:lineRule="auto"/>
        <w:ind w:firstLine="480" w:firstLineChars="200"/>
        <w:jc w:val="both"/>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w:t>
      </w:r>
      <w:r>
        <w:rPr>
          <w:rFonts w:hint="eastAsia" w:ascii="Times New Roman" w:hAnsi="Times New Roman" w:eastAsia="宋体" w:cs="Times New Roman"/>
          <w:color w:val="auto"/>
          <w:sz w:val="24"/>
          <w:lang w:val="en-US" w:eastAsia="zh-CN"/>
        </w:rPr>
        <w:t>项目</w:t>
      </w:r>
      <w:r>
        <w:rPr>
          <w:rFonts w:hint="default" w:ascii="Times New Roman" w:hAnsi="Times New Roman" w:eastAsia="宋体" w:cs="Times New Roman"/>
          <w:color w:val="auto"/>
          <w:sz w:val="24"/>
          <w:lang w:val="zh-CN"/>
        </w:rPr>
        <w:t>本</w:t>
      </w:r>
      <w:r>
        <w:rPr>
          <w:rFonts w:hint="default" w:ascii="Times New Roman" w:hAnsi="Times New Roman" w:eastAsia="宋体" w:cs="Times New Roman"/>
          <w:color w:val="auto"/>
          <w:sz w:val="24"/>
        </w:rPr>
        <w:t>项目LNG加注方式采用LNG罐箱或槽车通过卸车撬直接对船舶进行加注</w:t>
      </w:r>
      <w:r>
        <w:rPr>
          <w:rFonts w:hint="eastAsia" w:ascii="Times New Roman" w:hAnsi="Times New Roman" w:eastAsia="宋体" w:cs="Times New Roman"/>
          <w:color w:val="auto"/>
          <w:sz w:val="24"/>
        </w:rPr>
        <w:t>，参照工程河段类似码头，在设计洪水条件下，拟建工程最大阻水面积约占河道行洪面积百分比较小，定性分析，拟建码头的修建对河道行洪断面影响不大。</w:t>
      </w:r>
    </w:p>
    <w:p>
      <w:pPr>
        <w:adjustRightInd w:val="0"/>
        <w:snapToGrid w:val="0"/>
        <w:spacing w:line="360" w:lineRule="auto"/>
        <w:ind w:firstLine="480" w:firstLineChars="200"/>
        <w:jc w:val="both"/>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工程兴建后所引起的水位及流速场的变化主要集中在工程局部区域，从类似码头建设经验来看，主要是码头上游和下游局部区域水位出现壅高和降低，码头外侧出现流速增大区，码头下游局部区域流速减小，总体来说工程建设引起的流速变化及影响范围不大。因此码头工程兴建后，不会对河道行洪及河势带来明显不利影响。</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施工期水环境影响分析</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桩基施工对水环境影响分析</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本项目加注码头平台基础采用Φ1000PHC</w:t>
      </w:r>
      <w:r>
        <w:rPr>
          <w:rFonts w:hint="eastAsia" w:ascii="Times New Roman" w:hAnsi="Times New Roman" w:cs="Times New Roman" w:eastAsiaTheme="minorEastAsia"/>
          <w:color w:val="auto"/>
          <w:sz w:val="24"/>
          <w:u w:val="single"/>
          <w:lang w:val="en-US" w:eastAsia="zh-CN"/>
        </w:rPr>
        <w:t>预制</w:t>
      </w:r>
      <w:r>
        <w:rPr>
          <w:rFonts w:hint="default" w:ascii="Times New Roman" w:hAnsi="Times New Roman" w:cs="Times New Roman" w:eastAsiaTheme="minorEastAsia"/>
          <w:color w:val="auto"/>
          <w:sz w:val="24"/>
          <w:u w:val="single"/>
        </w:rPr>
        <w:t>管桩，引桥根据地形和水位情况，排架基础采用Φ1000PHC管桩及Φ1000钻孔灌注桩。灌注桩桩基采用钻孔施工方式，在钻孔作业时，需要从泥浆池中抽出泥浆水注入钻孔内，对钻孔壁进行保护，泥浆水通过泥浆泵的抽压在泥浆池和钻孔内循环回用。钻孔作业完成时，泥浆池内的泥浆自然风干，这也是目前国内采用的最普遍方式。若在降雨时段，泥浆池污水会溢出，将对工程长江段水体产生污染影响。</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为此，评价提出了在泥浆池四周采用抛包围堰挡加高围护，并在泥浆池旁边设置截水沟和遮盖装置，防止地面径流雨污水或雨水进入泥浆池后造成的废水溢出。在泥浆池设置溢流口并在溢流口布设土工布，降低由于暴雨等因素造成泥浆废水溢出带来的SS污染。</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施工船舶废水</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default" w:ascii="Times New Roman" w:hAnsi="Times New Roman" w:cs="Times New Roman" w:eastAsiaTheme="minorEastAsia"/>
          <w:color w:val="auto"/>
          <w:sz w:val="24"/>
          <w:u w:val="single"/>
        </w:rPr>
        <w:t>根据有关规定，船舶舱底油污水需经自带的油水分离器处理，石油类的浓度不大于15mg/L后申请有资质的船舶接收处理。船舶应设置与生活污水发生量相当的储存容器，船舶生活污水应申请有资质的船舶接收处理。</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u w:val="single"/>
        </w:rPr>
        <w:t>工程施工期间禁止施工船舶在码头水域排放船舶舱底油污水，施工船舶如需排放舱底油污水，应向海事部门提出申请，由海事部门认定的船舶污染物接收船有偿接收处理，不会对周边水环境造成污染。</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施工废水</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hint="eastAsia" w:ascii="Times New Roman" w:hAnsi="Times New Roman" w:cs="Times New Roman" w:eastAsiaTheme="minorEastAsia"/>
          <w:color w:val="auto"/>
          <w:sz w:val="24"/>
          <w:u w:val="single"/>
          <w:lang w:val="en-US" w:eastAsia="zh-CN"/>
        </w:rPr>
        <w:t>小型预制构件浇筑、承台现浇</w:t>
      </w:r>
      <w:r>
        <w:rPr>
          <w:rFonts w:hint="default" w:ascii="Times New Roman" w:hAnsi="Times New Roman" w:cs="Times New Roman" w:eastAsiaTheme="minorEastAsia"/>
          <w:color w:val="auto"/>
          <w:sz w:val="24"/>
          <w:u w:val="single"/>
        </w:rPr>
        <w:t>施工将产生少量的生产废水，主要污染因子为SS，其中混凝土养护水偏弱碱性，施工现场应通过设置隔油沉淀池，废水经沉淀后用于施工现场洒水，不排放。</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尽量避免在施工现场对施工机械进行冲洗，避免含油冲洗废水带来的影响。施工机械若需进行现场冲洗，应通过设置隔油池和沉淀池等处理冲洗废水，经隔油池和沉淀池处理后浓度分别为60mg/L、4mg/L，然后用于施工机械冲洗和施工现场洒水，不排放。</w:t>
      </w:r>
    </w:p>
    <w:p>
      <w:pPr>
        <w:adjustRightInd w:val="0"/>
        <w:snapToGrid w:val="0"/>
        <w:spacing w:line="360" w:lineRule="auto"/>
        <w:ind w:firstLine="480" w:firstLineChars="200"/>
        <w:rPr>
          <w:rFonts w:hint="default" w:ascii="Times New Roman" w:hAnsi="Times New Roman" w:cs="Times New Roman" w:eastAsiaTheme="minorEastAsia"/>
          <w:color w:val="auto"/>
          <w:sz w:val="24"/>
          <w:u w:val="single"/>
        </w:rPr>
      </w:pPr>
      <w:r>
        <w:rPr>
          <w:rFonts w:ascii="Times New Roman" w:hAnsi="Times New Roman"/>
          <w:color w:val="auto"/>
          <w:sz w:val="24"/>
          <w:szCs w:val="24"/>
          <w:u w:val="single"/>
        </w:rPr>
        <w:t>钻孔灌注桩基础施工对水体影响最大的潜在污染物是钻渣。桩基施工产生的钻渣若排入</w:t>
      </w:r>
      <w:r>
        <w:rPr>
          <w:rFonts w:hint="eastAsia" w:ascii="Times New Roman" w:hAnsi="Times New Roman"/>
          <w:color w:val="auto"/>
          <w:sz w:val="24"/>
          <w:szCs w:val="24"/>
          <w:u w:val="single"/>
          <w:lang w:val="en-US" w:eastAsia="zh-CN"/>
        </w:rPr>
        <w:t>长江</w:t>
      </w:r>
      <w:r>
        <w:rPr>
          <w:rFonts w:ascii="Times New Roman" w:hAnsi="Times New Roman"/>
          <w:color w:val="auto"/>
          <w:sz w:val="24"/>
          <w:szCs w:val="24"/>
          <w:u w:val="single"/>
        </w:rPr>
        <w:t>，将会对水质产生影响，导致水漫流引起水土流失。工程在施工过程中在河岸设置</w:t>
      </w:r>
      <w:r>
        <w:rPr>
          <w:rFonts w:hint="eastAsia" w:ascii="Times New Roman" w:hAnsi="Times New Roman"/>
          <w:color w:val="auto"/>
          <w:sz w:val="24"/>
          <w:szCs w:val="24"/>
          <w:u w:val="single"/>
          <w:lang w:val="en-US" w:eastAsia="zh-CN"/>
        </w:rPr>
        <w:t>钢护筒</w:t>
      </w:r>
      <w:r>
        <w:rPr>
          <w:rFonts w:ascii="Times New Roman" w:hAnsi="Times New Roman"/>
          <w:color w:val="auto"/>
          <w:sz w:val="24"/>
          <w:szCs w:val="24"/>
          <w:u w:val="single"/>
        </w:rPr>
        <w:t>以防止钻渣的流失。桩基施工产生的钻渣</w:t>
      </w:r>
      <w:r>
        <w:rPr>
          <w:rFonts w:hint="eastAsia" w:ascii="Times New Roman" w:hAnsi="Times New Roman"/>
          <w:color w:val="auto"/>
          <w:sz w:val="24"/>
          <w:szCs w:val="24"/>
          <w:u w:val="single"/>
          <w:lang w:val="en-US" w:eastAsia="zh-CN"/>
        </w:rPr>
        <w:t>经泥浆池沉淀后，</w:t>
      </w:r>
      <w:r>
        <w:rPr>
          <w:rFonts w:hint="eastAsia" w:ascii="Times New Roman" w:hAnsi="Times New Roman" w:cs="Times New Roman"/>
          <w:color w:val="auto"/>
          <w:sz w:val="24"/>
          <w:szCs w:val="24"/>
          <w:u w:val="single"/>
          <w:lang w:val="en-US" w:eastAsia="zh-CN"/>
        </w:rPr>
        <w:t>沉渣托运至</w:t>
      </w:r>
      <w:r>
        <w:rPr>
          <w:rFonts w:hint="default" w:ascii="Times New Roman" w:hAnsi="Times New Roman" w:cs="Times New Roman" w:eastAsiaTheme="minorEastAsia"/>
          <w:color w:val="auto"/>
          <w:sz w:val="24"/>
          <w:u w:val="single"/>
        </w:rPr>
        <w:t>岳阳LNG接收站（储备中心）项目</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三期工程</w:t>
      </w:r>
      <w:r>
        <w:rPr>
          <w:rFonts w:hint="default" w:ascii="Times New Roman" w:hAnsi="Times New Roman" w:cs="Times New Roman" w:eastAsiaTheme="minorEastAsia"/>
          <w:color w:val="auto"/>
          <w:sz w:val="24"/>
          <w:u w:val="single"/>
          <w:lang w:eastAsia="zh-CN"/>
        </w:rPr>
        <w:t>）</w:t>
      </w:r>
      <w:r>
        <w:rPr>
          <w:rFonts w:hint="default" w:ascii="Times New Roman" w:hAnsi="Times New Roman" w:cs="Times New Roman" w:eastAsiaTheme="minorEastAsia"/>
          <w:color w:val="auto"/>
          <w:sz w:val="24"/>
          <w:u w:val="single"/>
          <w:lang w:val="en-US" w:eastAsia="zh-CN"/>
        </w:rPr>
        <w:t>永久占地范围内</w:t>
      </w:r>
      <w:r>
        <w:rPr>
          <w:rFonts w:hint="default" w:ascii="Times New Roman" w:hAnsi="Times New Roman" w:cs="Times New Roman"/>
          <w:color w:val="auto"/>
          <w:sz w:val="24"/>
          <w:szCs w:val="24"/>
          <w:u w:val="single"/>
          <w:lang w:val="en-US" w:eastAsia="zh-CN"/>
        </w:rPr>
        <w:t>干化后，用作三期工程</w:t>
      </w:r>
      <w:r>
        <w:rPr>
          <w:rFonts w:hint="default" w:ascii="Times New Roman" w:hAnsi="Times New Roman" w:cs="Times New Roman"/>
          <w:color w:val="auto"/>
          <w:sz w:val="24"/>
          <w:szCs w:val="24"/>
          <w:u w:val="single"/>
          <w:lang w:val="zh-CN" w:eastAsia="zh-CN"/>
        </w:rPr>
        <w:t>场区回填</w:t>
      </w:r>
      <w:r>
        <w:rPr>
          <w:rFonts w:hint="default" w:ascii="Times New Roman" w:hAnsi="Times New Roman" w:cs="Times New Roman"/>
          <w:color w:val="auto"/>
          <w:sz w:val="24"/>
          <w:szCs w:val="24"/>
          <w:u w:val="single"/>
          <w:lang w:val="zh-CN"/>
        </w:rPr>
        <w:t>处理</w:t>
      </w:r>
      <w:r>
        <w:rPr>
          <w:rFonts w:ascii="Times New Roman" w:hAnsi="Times New Roman"/>
          <w:color w:val="auto"/>
          <w:sz w:val="24"/>
          <w:szCs w:val="24"/>
          <w:u w:val="single"/>
        </w:rPr>
        <w:t>。</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施工人员生活污水</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施工期生活污水量较小，但若随意排放，会使长江岸边局部水域造成污染。</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本项目施工人员生活区可直接依托码头现有设施，施工人员生活污水处理后回用于绿化，不会对水环境造成污染。</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营运期水环境影响分析</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1、到港船舶污水</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根据及海事部门的要求，加强对到港船舶的环境管理，船舶上所有污水（包括船舶含油污水和生活污水）必须严格按当地海事部门规定，由海事部门认可的有资质单位污染物接收船接收处理，严禁船舶含油污水和生活污水在码头水域直接排放。</w:t>
      </w:r>
    </w:p>
    <w:p>
      <w:pPr>
        <w:adjustRightInd w:val="0"/>
        <w:snapToGrid w:val="0"/>
        <w:spacing w:line="360" w:lineRule="auto"/>
        <w:ind w:firstLine="482" w:firstLineChars="200"/>
        <w:rPr>
          <w:rFonts w:hint="default" w:ascii="Times New Roman" w:hAnsi="Times New Roman" w:cs="Times New Roman" w:eastAsiaTheme="minorEastAsia"/>
          <w:b/>
          <w:bCs/>
          <w:color w:val="auto"/>
          <w:sz w:val="24"/>
          <w:lang w:val="en-US" w:eastAsia="zh-CN"/>
        </w:rPr>
      </w:pPr>
      <w:r>
        <w:rPr>
          <w:rFonts w:hint="default" w:ascii="Times New Roman" w:hAnsi="Times New Roman" w:cs="Times New Roman" w:eastAsiaTheme="minorEastAsia"/>
          <w:b/>
          <w:bCs/>
          <w:color w:val="auto"/>
          <w:sz w:val="24"/>
        </w:rPr>
        <w:t>2、</w:t>
      </w:r>
      <w:r>
        <w:rPr>
          <w:rFonts w:hint="eastAsia" w:ascii="Times New Roman" w:hAnsi="Times New Roman" w:cs="Times New Roman" w:eastAsiaTheme="minorEastAsia"/>
          <w:b/>
          <w:bCs/>
          <w:color w:val="auto"/>
          <w:sz w:val="24"/>
          <w:lang w:val="en-US" w:eastAsia="zh-CN"/>
        </w:rPr>
        <w:t>码头</w:t>
      </w:r>
      <w:r>
        <w:rPr>
          <w:rFonts w:hint="default" w:ascii="Times New Roman" w:hAnsi="Times New Roman" w:cs="Times New Roman" w:eastAsiaTheme="minorEastAsia"/>
          <w:b/>
          <w:bCs/>
          <w:color w:val="auto"/>
          <w:sz w:val="24"/>
        </w:rPr>
        <w:t>生活污水</w:t>
      </w:r>
      <w:r>
        <w:rPr>
          <w:rFonts w:hint="eastAsia" w:ascii="Times New Roman" w:hAnsi="Times New Roman" w:cs="Times New Roman" w:eastAsiaTheme="minorEastAsia"/>
          <w:b/>
          <w:bCs/>
          <w:color w:val="auto"/>
          <w:sz w:val="24"/>
          <w:lang w:eastAsia="zh-CN"/>
        </w:rPr>
        <w:t>、</w:t>
      </w:r>
      <w:r>
        <w:rPr>
          <w:rFonts w:hint="eastAsia" w:ascii="Times New Roman" w:hAnsi="Times New Roman" w:cs="Times New Roman" w:eastAsiaTheme="minorEastAsia"/>
          <w:b/>
          <w:bCs/>
          <w:color w:val="auto"/>
          <w:sz w:val="24"/>
          <w:lang w:val="en-US" w:eastAsia="zh-CN"/>
        </w:rPr>
        <w:t>初期雨水和</w:t>
      </w:r>
      <w:r>
        <w:rPr>
          <w:rFonts w:hint="default" w:ascii="Times New Roman" w:hAnsi="Times New Roman" w:cs="Times New Roman" w:eastAsiaTheme="minorEastAsia"/>
          <w:b/>
          <w:bCs/>
          <w:color w:val="auto"/>
          <w:sz w:val="24"/>
        </w:rPr>
        <w:t>码头生产废水</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none"/>
        </w:rPr>
      </w:pPr>
      <w:r>
        <w:rPr>
          <w:rFonts w:hint="default" w:ascii="Times New Roman" w:hAnsi="Times New Roman" w:cs="Times New Roman" w:eastAsiaTheme="minorEastAsia"/>
          <w:color w:val="auto"/>
          <w:sz w:val="24"/>
          <w:szCs w:val="24"/>
          <w:u w:val="none"/>
        </w:rPr>
        <w:t>本项目生活污水、初期雨水经污水</w:t>
      </w:r>
      <w:r>
        <w:rPr>
          <w:rFonts w:hint="eastAsia" w:ascii="Times New Roman" w:hAnsi="Times New Roman" w:cs="Times New Roman" w:eastAsiaTheme="minorEastAsia"/>
          <w:color w:val="auto"/>
          <w:sz w:val="24"/>
          <w:szCs w:val="24"/>
          <w:u w:val="none"/>
          <w:lang w:val="en-US" w:eastAsia="zh-CN"/>
        </w:rPr>
        <w:t>收集</w:t>
      </w:r>
      <w:r>
        <w:rPr>
          <w:rFonts w:hint="default" w:ascii="Times New Roman" w:hAnsi="Times New Roman" w:cs="Times New Roman" w:eastAsiaTheme="minorEastAsia"/>
          <w:color w:val="auto"/>
          <w:sz w:val="24"/>
          <w:szCs w:val="24"/>
          <w:u w:val="none"/>
        </w:rPr>
        <w:t>箱</w:t>
      </w:r>
      <w:r>
        <w:rPr>
          <w:rFonts w:hint="eastAsia" w:ascii="Times New Roman" w:hAnsi="Times New Roman" w:cs="Times New Roman" w:eastAsiaTheme="minorEastAsia"/>
          <w:color w:val="auto"/>
          <w:sz w:val="24"/>
          <w:szCs w:val="24"/>
          <w:u w:val="none"/>
          <w:lang w:val="en-US" w:eastAsia="zh-CN"/>
        </w:rPr>
        <w:t>收集</w:t>
      </w:r>
      <w:r>
        <w:rPr>
          <w:rFonts w:hint="default" w:ascii="Times New Roman" w:hAnsi="Times New Roman" w:cs="Times New Roman" w:eastAsiaTheme="minorEastAsia"/>
          <w:color w:val="auto"/>
          <w:sz w:val="24"/>
          <w:szCs w:val="24"/>
          <w:u w:val="none"/>
        </w:rPr>
        <w:t>后，再泵送至</w:t>
      </w:r>
      <w:r>
        <w:rPr>
          <w:rFonts w:hint="default" w:ascii="Times New Roman" w:hAnsi="Times New Roman" w:cs="Times New Roman" w:eastAsiaTheme="minorEastAsia"/>
          <w:color w:val="auto"/>
          <w:sz w:val="24"/>
          <w:u w:val="none"/>
        </w:rPr>
        <w:t>岳阳LNG接收站（储备中心）项目</w:t>
      </w:r>
      <w:r>
        <w:rPr>
          <w:rFonts w:hint="eastAsia" w:ascii="Times New Roman" w:hAnsi="Times New Roman" w:cs="Times New Roman" w:eastAsiaTheme="minorEastAsia"/>
          <w:color w:val="auto"/>
          <w:sz w:val="24"/>
          <w:u w:val="none"/>
          <w:lang w:val="en-US" w:eastAsia="zh-CN"/>
        </w:rPr>
        <w:t>一期工程</w:t>
      </w:r>
      <w:r>
        <w:rPr>
          <w:rFonts w:hint="default" w:ascii="Times New Roman" w:hAnsi="Times New Roman" w:cs="Times New Roman" w:eastAsiaTheme="minorEastAsia"/>
          <w:color w:val="auto"/>
          <w:sz w:val="24"/>
          <w:szCs w:val="24"/>
          <w:u w:val="none"/>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u w:val="none"/>
          <w:lang w:val="en-US" w:eastAsia="zh-CN"/>
        </w:rPr>
        <w:t>不外排</w:t>
      </w:r>
      <w:r>
        <w:rPr>
          <w:rFonts w:hint="default" w:ascii="Times New Roman" w:hAnsi="Times New Roman" w:cs="Times New Roman" w:eastAsiaTheme="minorEastAsia"/>
          <w:color w:val="auto"/>
          <w:sz w:val="24"/>
          <w:szCs w:val="24"/>
          <w:u w:val="none"/>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u w:val="none"/>
        </w:rPr>
      </w:pPr>
      <w:r>
        <w:rPr>
          <w:rFonts w:hint="default" w:ascii="Times New Roman" w:hAnsi="Times New Roman" w:cs="Times New Roman" w:eastAsiaTheme="minorEastAsia"/>
          <w:color w:val="auto"/>
          <w:sz w:val="24"/>
          <w:szCs w:val="24"/>
          <w:u w:val="none"/>
        </w:rPr>
        <w:t>本项目产生的</w:t>
      </w:r>
      <w:r>
        <w:rPr>
          <w:rFonts w:hint="eastAsia" w:ascii="Times New Roman" w:hAnsi="Times New Roman" w:cs="Times New Roman" w:eastAsiaTheme="minorEastAsia"/>
          <w:color w:val="auto"/>
          <w:sz w:val="24"/>
          <w:szCs w:val="24"/>
          <w:u w:val="none"/>
          <w:lang w:val="en-US" w:eastAsia="zh-CN"/>
        </w:rPr>
        <w:t>机修</w:t>
      </w:r>
      <w:r>
        <w:rPr>
          <w:rFonts w:hint="default" w:ascii="Times New Roman" w:hAnsi="Times New Roman" w:cs="Times New Roman" w:eastAsiaTheme="minorEastAsia"/>
          <w:color w:val="auto"/>
          <w:sz w:val="24"/>
          <w:szCs w:val="24"/>
          <w:u w:val="none"/>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u w:val="none"/>
        </w:rPr>
        <w:t>经污水收集箱收集后，达到一定量后，通过</w:t>
      </w:r>
      <w:r>
        <w:rPr>
          <w:rFonts w:hint="eastAsia" w:ascii="Times New Roman" w:hAnsi="Times New Roman" w:cs="Times New Roman" w:eastAsiaTheme="minorEastAsia"/>
          <w:color w:val="auto"/>
          <w:sz w:val="24"/>
          <w:szCs w:val="24"/>
          <w:u w:val="none"/>
          <w:lang w:val="en-US" w:eastAsia="zh-CN"/>
        </w:rPr>
        <w:t>专业</w:t>
      </w:r>
      <w:r>
        <w:rPr>
          <w:rFonts w:hint="default" w:ascii="Times New Roman" w:hAnsi="Times New Roman" w:cs="Times New Roman" w:eastAsiaTheme="minorEastAsia"/>
          <w:color w:val="auto"/>
          <w:sz w:val="24"/>
          <w:szCs w:val="24"/>
          <w:u w:val="none"/>
        </w:rPr>
        <w:t>泵车外运至君山区第二污水处理厂处置，本项目采用泵车运输含油废水的次数约2~3次/年，尾水处理达到《城镇污水处理厂污染物排放标准》（GB18918-2002）中一级B标准后沿柳毅西路排入长江。</w:t>
      </w:r>
    </w:p>
    <w:p>
      <w:pPr>
        <w:pStyle w:val="3"/>
        <w:ind w:left="578" w:hanging="578"/>
        <w:rPr>
          <w:rFonts w:hint="default" w:ascii="Times New Roman" w:hAnsi="Times New Roman" w:cs="Times New Roman" w:eastAsiaTheme="minorEastAsia"/>
          <w:b/>
          <w:color w:val="auto"/>
        </w:rPr>
      </w:pPr>
      <w:bookmarkStart w:id="91" w:name="_Toc17529"/>
      <w:bookmarkStart w:id="92" w:name="_Toc31261"/>
      <w:r>
        <w:rPr>
          <w:rFonts w:hint="default" w:ascii="Times New Roman" w:hAnsi="Times New Roman" w:cs="Times New Roman" w:eastAsiaTheme="minorEastAsia"/>
          <w:b/>
          <w:color w:val="auto"/>
        </w:rPr>
        <w:t>环境空气影响评价</w:t>
      </w:r>
      <w:bookmarkEnd w:id="91"/>
      <w:bookmarkEnd w:id="92"/>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施工期环境空气影响分析</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本项目在其建设过程中，大气污染物主要有：</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sz w:val="24"/>
        </w:rPr>
      </w:pPr>
      <w:r>
        <w:rPr>
          <w:rFonts w:hint="default" w:ascii="Times New Roman" w:hAnsi="Times New Roman" w:cs="Times New Roman" w:eastAsiaTheme="minorEastAsia"/>
          <w:b/>
          <w:bCs/>
          <w:color w:val="auto"/>
          <w:sz w:val="24"/>
        </w:rPr>
        <w:t>1、粉尘和扬尘</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本项目在建设过程中，粉尘污染主要来源于：</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⑴ 建筑材料如水泥、砂子等在其装卸、运输、堆放等过程中，因风力作用而产生的扬尘污染；</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⑵ 码头栈桥桩基施工过程中会产生一定的扬尘污染；</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⑶ 运输车辆往来造成地面扬尘；</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⑷ 施工垃圾堆放及清运过程中产生扬尘。</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sz w:val="24"/>
          <w:u w:val="single"/>
        </w:rPr>
      </w:pPr>
      <w:r>
        <w:rPr>
          <w:rFonts w:hint="default" w:ascii="Times New Roman" w:hAnsi="Times New Roman" w:cs="Times New Roman" w:eastAsiaTheme="minorEastAsia"/>
          <w:b/>
          <w:bCs/>
          <w:color w:val="auto"/>
          <w:sz w:val="24"/>
          <w:u w:val="single"/>
        </w:rPr>
        <w:t>2、</w:t>
      </w:r>
      <w:r>
        <w:rPr>
          <w:rFonts w:hint="eastAsia" w:ascii="Times New Roman" w:hAnsi="Times New Roman" w:cs="Times New Roman" w:eastAsiaTheme="minorEastAsia"/>
          <w:b/>
          <w:bCs/>
          <w:color w:val="auto"/>
          <w:sz w:val="24"/>
          <w:u w:val="single"/>
          <w:lang w:val="en-US" w:eastAsia="zh-CN"/>
        </w:rPr>
        <w:t>施工</w:t>
      </w:r>
      <w:r>
        <w:rPr>
          <w:rFonts w:hint="default" w:ascii="Times New Roman" w:hAnsi="Times New Roman" w:cs="Times New Roman" w:eastAsiaTheme="minorEastAsia"/>
          <w:b/>
          <w:bCs/>
          <w:color w:val="auto"/>
          <w:sz w:val="24"/>
          <w:u w:val="single"/>
        </w:rPr>
        <w:t>废气</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施工过程中废气主要来源于施工机械、施工船舶、驱动设备（如柴油机等）和运输及施工车辆所排放的废气，主要污染物是NO</w:t>
      </w:r>
      <w:r>
        <w:rPr>
          <w:rFonts w:hint="default" w:ascii="Times New Roman" w:hAnsi="Times New Roman" w:cs="Times New Roman" w:eastAsiaTheme="minorEastAsia"/>
          <w:color w:val="auto"/>
          <w:sz w:val="24"/>
          <w:szCs w:val="24"/>
          <w:u w:val="single"/>
          <w:vertAlign w:val="subscript"/>
        </w:rPr>
        <w:t>2</w:t>
      </w:r>
      <w:r>
        <w:rPr>
          <w:rFonts w:hint="default" w:ascii="Times New Roman" w:hAnsi="Times New Roman" w:cs="Times New Roman" w:eastAsiaTheme="minorEastAsia"/>
          <w:color w:val="auto"/>
          <w:sz w:val="24"/>
          <w:szCs w:val="24"/>
          <w:u w:val="single"/>
        </w:rPr>
        <w:t>、CO，由于运输车辆为流动性的，施工机械较为分散，数量较少，废气产生量有限，对施工区域局部环境会产生一定的影响，但该类污染物对环境的影响是暂时的，施工结束后，施工机械废气影响随即消失。</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eastAsia" w:ascii="Times New Roman" w:hAnsi="Times New Roman" w:cs="Times New Roman" w:eastAsiaTheme="minorEastAsia"/>
          <w:color w:val="auto"/>
          <w:sz w:val="24"/>
          <w:szCs w:val="24"/>
          <w:u w:val="single"/>
          <w:lang w:val="en-US" w:eastAsia="zh-CN"/>
        </w:rPr>
        <w:t>本项目在</w:t>
      </w:r>
      <w:r>
        <w:rPr>
          <w:rFonts w:hint="default" w:ascii="Times New Roman" w:hAnsi="Times New Roman" w:cs="Times New Roman" w:eastAsiaTheme="minorEastAsia"/>
          <w:color w:val="auto"/>
          <w:sz w:val="24"/>
          <w:szCs w:val="24"/>
          <w:u w:val="single"/>
          <w:lang w:val="zh-CN" w:eastAsia="zh-CN"/>
        </w:rPr>
        <w:t>人行钢联桥制</w:t>
      </w:r>
      <w:r>
        <w:rPr>
          <w:rFonts w:hint="default" w:ascii="Times New Roman" w:hAnsi="Times New Roman" w:cs="Times New Roman" w:eastAsiaTheme="minorEastAsia"/>
          <w:color w:val="auto"/>
          <w:sz w:val="24"/>
          <w:szCs w:val="24"/>
          <w:u w:val="single"/>
          <w:lang w:val="en-US" w:eastAsia="zh-CN"/>
        </w:rPr>
        <w:t>作安装</w:t>
      </w:r>
      <w:r>
        <w:rPr>
          <w:rFonts w:hint="eastAsia" w:ascii="Times New Roman" w:hAnsi="Times New Roman" w:cs="Times New Roman" w:eastAsiaTheme="minorEastAsia"/>
          <w:color w:val="auto"/>
          <w:sz w:val="24"/>
          <w:szCs w:val="24"/>
          <w:u w:val="single"/>
          <w:lang w:val="en-US" w:eastAsia="zh-CN"/>
        </w:rPr>
        <w:t>过程中产生少量</w:t>
      </w:r>
      <w:r>
        <w:rPr>
          <w:rFonts w:hint="default" w:ascii="Times New Roman" w:hAnsi="Times New Roman" w:cs="Times New Roman" w:eastAsiaTheme="minorEastAsia"/>
          <w:color w:val="auto"/>
          <w:sz w:val="24"/>
          <w:szCs w:val="24"/>
          <w:u w:val="single"/>
          <w:lang w:val="en-US" w:eastAsia="zh-CN"/>
        </w:rPr>
        <w:t>焊接烟</w:t>
      </w:r>
      <w:r>
        <w:rPr>
          <w:rFonts w:hint="eastAsia" w:ascii="Times New Roman" w:hAnsi="Times New Roman" w:cs="Times New Roman" w:eastAsiaTheme="minorEastAsia"/>
          <w:color w:val="auto"/>
          <w:sz w:val="24"/>
          <w:szCs w:val="24"/>
          <w:u w:val="single"/>
          <w:lang w:val="en-US" w:eastAsia="zh-CN"/>
        </w:rPr>
        <w:t>尘，</w:t>
      </w:r>
      <w:r>
        <w:rPr>
          <w:rFonts w:hint="default" w:ascii="Times New Roman" w:hAnsi="Times New Roman" w:cs="Times New Roman" w:eastAsiaTheme="minorEastAsia"/>
          <w:color w:val="auto"/>
          <w:sz w:val="24"/>
          <w:szCs w:val="24"/>
          <w:u w:val="single"/>
          <w:lang w:val="en-US" w:eastAsia="zh-CN"/>
        </w:rPr>
        <w:t>电弧焊烟尘粒径通常在0.1~1.25μm之间</w:t>
      </w:r>
      <w:r>
        <w:rPr>
          <w:rFonts w:hint="eastAsia" w:ascii="Times New Roman" w:hAnsi="Times New Roman" w:cs="Times New Roman" w:eastAsiaTheme="minorEastAsia"/>
          <w:color w:val="auto"/>
          <w:sz w:val="24"/>
          <w:szCs w:val="24"/>
          <w:u w:val="single"/>
          <w:lang w:val="en-US" w:eastAsia="zh-CN"/>
        </w:rPr>
        <w:t>，</w:t>
      </w:r>
      <w:r>
        <w:rPr>
          <w:rFonts w:hint="default" w:ascii="Times New Roman" w:hAnsi="Times New Roman" w:cs="Times New Roman" w:eastAsiaTheme="minorEastAsia"/>
          <w:color w:val="auto"/>
          <w:sz w:val="24"/>
          <w:szCs w:val="24"/>
          <w:u w:val="single"/>
          <w:lang w:val="en-US" w:eastAsia="zh-CN"/>
        </w:rPr>
        <w:t>焊接烟尘的粘性大，随着温度和湿度的变化在空中漂浮，通常在焊接操作过程中，焊接烟尘漂浮在地面高3~5m的位置</w:t>
      </w:r>
      <w:r>
        <w:rPr>
          <w:rFonts w:hint="eastAsia" w:cs="Times New Roman" w:eastAsiaTheme="minorEastAsia"/>
          <w:color w:val="auto"/>
          <w:sz w:val="24"/>
          <w:szCs w:val="24"/>
          <w:u w:val="single"/>
          <w:lang w:val="en-US" w:eastAsia="zh-CN"/>
        </w:rPr>
        <w:t>。</w:t>
      </w:r>
      <w:r>
        <w:rPr>
          <w:rFonts w:hint="eastAsia" w:ascii="Times New Roman" w:hAnsi="Times New Roman" w:cs="Times New Roman" w:eastAsiaTheme="minorEastAsia"/>
          <w:color w:val="auto"/>
          <w:sz w:val="24"/>
          <w:szCs w:val="24"/>
          <w:u w:val="single"/>
          <w:lang w:val="en-US" w:eastAsia="zh-CN"/>
        </w:rPr>
        <w:t>由于焊接过程在户外进行，焊接工程量较小，</w:t>
      </w:r>
      <w:r>
        <w:rPr>
          <w:rFonts w:hint="default" w:ascii="Times New Roman" w:hAnsi="Times New Roman" w:cs="Times New Roman" w:eastAsiaTheme="minorEastAsia"/>
          <w:color w:val="auto"/>
          <w:sz w:val="24"/>
          <w:szCs w:val="24"/>
          <w:u w:val="single"/>
          <w:lang w:val="en-US" w:eastAsia="zh-CN"/>
        </w:rPr>
        <w:t>焊接烟尘</w:t>
      </w:r>
      <w:r>
        <w:rPr>
          <w:rFonts w:hint="eastAsia" w:ascii="Times New Roman" w:hAnsi="Times New Roman" w:cs="Times New Roman" w:eastAsiaTheme="minorEastAsia"/>
          <w:color w:val="auto"/>
          <w:sz w:val="24"/>
          <w:szCs w:val="24"/>
          <w:u w:val="single"/>
          <w:lang w:val="en-US" w:eastAsia="zh-CN"/>
        </w:rPr>
        <w:t>经在</w:t>
      </w:r>
      <w:r>
        <w:rPr>
          <w:rFonts w:hint="default" w:ascii="Times New Roman" w:hAnsi="Times New Roman" w:cs="Times New Roman" w:eastAsiaTheme="minorEastAsia"/>
          <w:color w:val="auto"/>
          <w:sz w:val="24"/>
          <w:szCs w:val="24"/>
          <w:u w:val="single"/>
          <w:lang w:val="en-US" w:eastAsia="zh-CN"/>
        </w:rPr>
        <w:t>自然通风</w:t>
      </w:r>
      <w:r>
        <w:rPr>
          <w:rFonts w:hint="eastAsia" w:ascii="Times New Roman" w:hAnsi="Times New Roman" w:cs="Times New Roman" w:eastAsiaTheme="minorEastAsia"/>
          <w:color w:val="auto"/>
          <w:sz w:val="24"/>
          <w:szCs w:val="24"/>
          <w:u w:val="single"/>
          <w:lang w:val="en-US" w:eastAsia="zh-CN"/>
        </w:rPr>
        <w:t>条件后，</w:t>
      </w:r>
      <w:r>
        <w:rPr>
          <w:rFonts w:hint="default" w:ascii="Times New Roman" w:hAnsi="Times New Roman" w:cs="Times New Roman" w:eastAsiaTheme="minorEastAsia"/>
          <w:color w:val="auto"/>
          <w:sz w:val="24"/>
          <w:szCs w:val="24"/>
          <w:u w:val="single"/>
          <w:lang w:val="en-US" w:eastAsia="zh-CN"/>
        </w:rPr>
        <w:t>焊接烟尘PM</w:t>
      </w:r>
      <w:r>
        <w:rPr>
          <w:rFonts w:hint="default" w:ascii="Times New Roman" w:hAnsi="Times New Roman" w:cs="Times New Roman" w:eastAsiaTheme="minorEastAsia"/>
          <w:color w:val="auto"/>
          <w:sz w:val="24"/>
          <w:szCs w:val="24"/>
          <w:u w:val="single"/>
          <w:vertAlign w:val="subscript"/>
          <w:lang w:val="en-US" w:eastAsia="zh-CN"/>
        </w:rPr>
        <w:t>10</w:t>
      </w:r>
      <w:r>
        <w:rPr>
          <w:rFonts w:hint="eastAsia" w:ascii="Times New Roman" w:hAnsi="Times New Roman" w:cs="Times New Roman" w:eastAsiaTheme="minorEastAsia"/>
          <w:color w:val="auto"/>
          <w:sz w:val="24"/>
          <w:szCs w:val="24"/>
          <w:u w:val="single"/>
          <w:lang w:val="en-US" w:eastAsia="zh-CN"/>
        </w:rPr>
        <w:t>可达到</w:t>
      </w:r>
      <w:r>
        <w:rPr>
          <w:rFonts w:hint="default" w:ascii="Times New Roman" w:hAnsi="Times New Roman" w:cs="Times New Roman" w:eastAsiaTheme="minorEastAsia"/>
          <w:color w:val="auto"/>
          <w:sz w:val="24"/>
          <w:szCs w:val="24"/>
          <w:u w:val="single"/>
        </w:rPr>
        <w:t>《大气污染物综合排放标准》（GB16297-1996）表2中无组织排放限值</w:t>
      </w:r>
      <w:r>
        <w:rPr>
          <w:rFonts w:hint="default" w:ascii="Times New Roman" w:hAnsi="Times New Roman" w:cs="Times New Roman" w:eastAsiaTheme="minorEastAsia"/>
          <w:color w:val="auto"/>
          <w:sz w:val="24"/>
          <w:szCs w:val="24"/>
          <w:u w:val="single"/>
          <w:lang w:val="en-US" w:eastAsia="zh-CN"/>
        </w:rPr>
        <w:t>，不影响周边大气环境质量。</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3、影响分析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w:t>
      </w:r>
      <w:r>
        <w:rPr>
          <w:rFonts w:hint="default" w:ascii="Times New Roman" w:hAnsi="Times New Roman" w:cs="Times New Roman" w:eastAsiaTheme="minorEastAsia"/>
          <w:color w:val="auto"/>
          <w:sz w:val="24"/>
        </w:rPr>
        <w:t>项目</w:t>
      </w:r>
      <w:r>
        <w:rPr>
          <w:rFonts w:hint="default" w:ascii="Times New Roman" w:hAnsi="Times New Roman" w:cs="Times New Roman" w:eastAsiaTheme="minorEastAsia"/>
          <w:color w:val="auto"/>
          <w:sz w:val="24"/>
          <w:szCs w:val="24"/>
        </w:rPr>
        <w:t>建设期间，伴随着装卸和运输等施工活动，其扬尘将给附近的大气环境带来些微不利的影响。根据有关资料，在一般气象条件下，风速为2.5m/s，若不采取抑尘措施，施工区近地面TSP浓度为上风向对照点的2.0~2.5倍以上，可达1.5~30.0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，其影响范围为下风向150m，影响范围内TSP 的平均浓度为0.49mg/m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sz w:val="24"/>
          <w:szCs w:val="24"/>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w:t>
      </w:r>
      <w:r>
        <w:rPr>
          <w:rFonts w:hint="default" w:ascii="Times New Roman" w:hAnsi="Times New Roman" w:cs="Times New Roman" w:eastAsiaTheme="minorEastAsia"/>
          <w:color w:val="auto"/>
          <w:sz w:val="24"/>
        </w:rPr>
        <w:t>项目</w:t>
      </w:r>
      <w:r>
        <w:rPr>
          <w:rFonts w:hint="default" w:ascii="Times New Roman" w:hAnsi="Times New Roman" w:cs="Times New Roman" w:eastAsiaTheme="minorEastAsia"/>
          <w:color w:val="auto"/>
          <w:sz w:val="24"/>
          <w:szCs w:val="24"/>
        </w:rPr>
        <w:t>400m内没有大气环境保护目标，施工对其不利影响很小，并且施工期较短，影响是暂时性的。</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为了最大限度地减轻施工期的大气污染，应在施工场地和进出道路采取定期洒水等抑尘措施。</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营运期环境空气影响预测与分析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装卸废气污染影响分析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由于项目LNG装卸及储存过程中产生的蒸发气通过蒸发气回收系统进行回收，因此项目蒸发气基本不外泄。本项目码头产生的无组织排放主要来自设备及管道、法兰接口处的挥发等处的LNG挥发。最大浓度落地距离82m，发生在港区范围内，本项目附近400m范围内无敏感目标，不会对周边环境空气保护目标产生污染影响。</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船舶废气污染影响分析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本加注站码头采用岸电，不产生靠泊码头船舶辅机燃油污染物。</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LNG 事故排放</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LNG事故排放将产生废气，LNG泄露事故发生后，甲烷在空气中是以泄露点为圆心的圆形范围内，根据类比，主要集中在码头前沿，码头发生火灾时，产生的伴生/次生污染将对周围大气环境产生影响。因此，建设单位应采取严密的防范措施，严防事故的发生，同时应制定详尽的事故应急预案，确保一旦发生事故可以采取有效的办法进行处理。</w:t>
      </w:r>
    </w:p>
    <w:p>
      <w:pPr>
        <w:pStyle w:val="3"/>
        <w:ind w:left="578" w:hanging="578"/>
        <w:rPr>
          <w:rFonts w:hint="default" w:ascii="Times New Roman" w:hAnsi="Times New Roman" w:cs="Times New Roman" w:eastAsiaTheme="minorEastAsia"/>
          <w:b/>
          <w:color w:val="auto"/>
        </w:rPr>
      </w:pPr>
      <w:bookmarkStart w:id="93" w:name="_Toc11844"/>
      <w:bookmarkStart w:id="94" w:name="_Toc10829"/>
      <w:r>
        <w:rPr>
          <w:rFonts w:hint="default" w:ascii="Times New Roman" w:hAnsi="Times New Roman" w:cs="Times New Roman" w:eastAsiaTheme="minorEastAsia"/>
          <w:b/>
          <w:color w:val="auto"/>
        </w:rPr>
        <w:t>声环境影响评价</w:t>
      </w:r>
      <w:bookmarkEnd w:id="93"/>
      <w:bookmarkEnd w:id="94"/>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施工期声环境影响分析</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1、施工声源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噪声是施工期主要的污染因子，施工过程中使用的运输车辆及各种施工机械，如打桩机、挖掘机、起重机等都是噪声源。根据有关资料将主要施工机械的噪声状况见表4.3-5。实际施工过程，往往是多种机械同时工作，各种噪声源辐射相互叠加，噪声级将更高，辐射范围更大。</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2、评价标准</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采用《建筑施工场界环境噪声排放标准》（GB12523-2011）为噪声评价标准，见表2.4-9。</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3、预测内容</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施工过程中使用的施工机械所产生的噪声主要属于中低频噪声，因此在预测其影响时可只考虑其扩散衰减，即预测模型可选用点声源衰减模式预测：</w:t>
      </w:r>
    </w:p>
    <w:p>
      <w:pPr>
        <w:pStyle w:val="325"/>
        <w:tabs>
          <w:tab w:val="right" w:leader="dot" w:pos="9070"/>
        </w:tabs>
        <w:adjustRightInd w:val="0"/>
        <w:snapToGrid w:val="0"/>
        <w:spacing w:line="360" w:lineRule="auto"/>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-20lgr</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&gt;r</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式中：L</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 xml:space="preserve"> ——分别为距声源r</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 xml:space="preserve"> 处的等效A 声级（dB(A)）；</w:t>
      </w:r>
    </w:p>
    <w:p>
      <w:pPr>
        <w:pStyle w:val="325"/>
        <w:tabs>
          <w:tab w:val="right" w:leader="dot" w:pos="9070"/>
        </w:tabs>
        <w:adjustRightInd w:val="0"/>
        <w:snapToGrid w:val="0"/>
        <w:spacing w:line="360" w:lineRule="auto"/>
        <w:ind w:firstLine="1200" w:firstLineChars="5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1</w:t>
      </w: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2</w:t>
      </w:r>
      <w:r>
        <w:rPr>
          <w:rFonts w:hint="default" w:ascii="Times New Roman" w:hAnsi="Times New Roman" w:cs="Times New Roman" w:eastAsiaTheme="minorEastAsia"/>
          <w:color w:val="auto"/>
          <w:sz w:val="24"/>
          <w:szCs w:val="24"/>
        </w:rPr>
        <w:t>——为接受点距声源的距离（m）。</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根据表4.3-5中所列设备噪声和预测公式，估算得到主要施工设备单机噪声在不同距离处的声级，具体见表6.3-1。</w:t>
      </w:r>
    </w:p>
    <w:p>
      <w:pPr>
        <w:pStyle w:val="325"/>
        <w:tabs>
          <w:tab w:val="right" w:leader="dot" w:pos="9070"/>
        </w:tabs>
        <w:adjustRightInd w:val="0"/>
        <w:snapToGrid w:val="0"/>
        <w:spacing w:line="276" w:lineRule="auto"/>
        <w:jc w:val="center"/>
        <w:rPr>
          <w:rFonts w:hint="default" w:ascii="Times New Roman" w:hAnsi="Times New Roman" w:eastAsia="CIDFont+F3" w:cs="Times New Roman"/>
          <w:b/>
          <w:bCs/>
          <w:color w:val="auto"/>
          <w:sz w:val="24"/>
          <w:szCs w:val="22"/>
        </w:rPr>
      </w:pPr>
      <w:r>
        <w:rPr>
          <w:rFonts w:hint="default" w:ascii="Times New Roman" w:hAnsi="Times New Roman" w:eastAsia="CIDFont+F3" w:cs="Times New Roman"/>
          <w:b/>
          <w:bCs/>
          <w:color w:val="auto"/>
          <w:sz w:val="24"/>
          <w:szCs w:val="22"/>
        </w:rPr>
        <w:t>表6.3-1  主要施工设备噪声值衰减预测结果</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31"/>
        <w:gridCol w:w="1030"/>
        <w:gridCol w:w="1500"/>
        <w:gridCol w:w="1496"/>
        <w:gridCol w:w="2263"/>
        <w:gridCol w:w="22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566"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机械名称</w:t>
            </w:r>
          </w:p>
        </w:tc>
        <w:tc>
          <w:tcPr>
            <w:tcW w:w="824"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噪声值dB(A)</w:t>
            </w:r>
          </w:p>
        </w:tc>
        <w:tc>
          <w:tcPr>
            <w:tcW w:w="82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测点距声源</w:t>
            </w:r>
          </w:p>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的距离（m）</w:t>
            </w:r>
          </w:p>
        </w:tc>
        <w:tc>
          <w:tcPr>
            <w:tcW w:w="2493" w:type="pct"/>
            <w:gridSpan w:val="2"/>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衰减距离（m）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p>
        </w:tc>
        <w:tc>
          <w:tcPr>
            <w:tcW w:w="566"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p>
        </w:tc>
        <w:tc>
          <w:tcPr>
            <w:tcW w:w="82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p>
        </w:tc>
        <w:tc>
          <w:tcPr>
            <w:tcW w:w="822"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p>
        </w:tc>
        <w:tc>
          <w:tcPr>
            <w:tcW w:w="1243"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昼间衰减至70dB(A)</w:t>
            </w:r>
          </w:p>
        </w:tc>
        <w:tc>
          <w:tcPr>
            <w:tcW w:w="125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夜间衰减至55dB(A)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5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载重车</w:t>
            </w:r>
          </w:p>
        </w:tc>
        <w:tc>
          <w:tcPr>
            <w:tcW w:w="82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w:t>
            </w:r>
          </w:p>
        </w:tc>
        <w:tc>
          <w:tcPr>
            <w:tcW w:w="82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4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125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5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起重机</w:t>
            </w:r>
          </w:p>
        </w:tc>
        <w:tc>
          <w:tcPr>
            <w:tcW w:w="82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76~80</w:t>
            </w:r>
          </w:p>
        </w:tc>
        <w:tc>
          <w:tcPr>
            <w:tcW w:w="82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4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w:t>
            </w:r>
          </w:p>
        </w:tc>
        <w:tc>
          <w:tcPr>
            <w:tcW w:w="125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5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搅拌机</w:t>
            </w:r>
          </w:p>
        </w:tc>
        <w:tc>
          <w:tcPr>
            <w:tcW w:w="82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105</w:t>
            </w:r>
          </w:p>
        </w:tc>
        <w:tc>
          <w:tcPr>
            <w:tcW w:w="82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4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125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5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砼振捣器</w:t>
            </w:r>
          </w:p>
        </w:tc>
        <w:tc>
          <w:tcPr>
            <w:tcW w:w="82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105</w:t>
            </w:r>
          </w:p>
        </w:tc>
        <w:tc>
          <w:tcPr>
            <w:tcW w:w="82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4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125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5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打桩船</w:t>
            </w:r>
          </w:p>
        </w:tc>
        <w:tc>
          <w:tcPr>
            <w:tcW w:w="82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w:t>
            </w:r>
          </w:p>
        </w:tc>
        <w:tc>
          <w:tcPr>
            <w:tcW w:w="82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24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316</w:t>
            </w:r>
          </w:p>
        </w:tc>
        <w:tc>
          <w:tcPr>
            <w:tcW w:w="125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禁止施工</w:t>
            </w:r>
          </w:p>
        </w:tc>
      </w:tr>
    </w:tbl>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4、评价结果</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由上表计算结果可知，施工期间单台机械作业时，除打桩船外，昼间施工在距离施工机械56m处噪声可满足《建筑施工场界环境噪声排放标准》（GB12523-2011）昼间70dB(A)的标准的要求，夜间施工在距离施工机械316m处可以满足夜间55dB(A)标准的要求。打桩船白天施工机械超标范围为316m以内，夜间打桩机禁止施工作业。</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本项目400m范围内无居民区等声环境敏感目标分布。因此，施工噪声不会带来扰民等环境影响。</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营运期声环境影响预测和分析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装卸机械噪声</w:t>
      </w:r>
    </w:p>
    <w:p>
      <w:pPr>
        <w:adjustRightInd w:val="0"/>
        <w:snapToGrid w:val="0"/>
        <w:spacing w:line="360" w:lineRule="auto"/>
        <w:ind w:firstLine="482" w:firstLineChars="200"/>
        <w:jc w:val="left"/>
        <w:rPr>
          <w:rFonts w:hint="default" w:ascii="Times New Roman" w:hAnsi="Times New Roman" w:eastAsia="CIDFont+F3" w:cs="Times New Roman"/>
          <w:b/>
          <w:bCs/>
          <w:color w:val="auto"/>
          <w:sz w:val="24"/>
        </w:rPr>
      </w:pPr>
      <w:r>
        <w:rPr>
          <w:rFonts w:hint="default" w:ascii="Times New Roman" w:hAnsi="Times New Roman" w:eastAsia="CIDFont+F3" w:cs="Times New Roman"/>
          <w:b/>
          <w:bCs/>
          <w:color w:val="auto"/>
          <w:sz w:val="24"/>
        </w:rPr>
        <w:t>1、预测模式</w:t>
      </w:r>
    </w:p>
    <w:p>
      <w:pPr>
        <w:adjustRightInd w:val="0"/>
        <w:snapToGrid w:val="0"/>
        <w:spacing w:line="360" w:lineRule="auto"/>
        <w:ind w:firstLine="480" w:firstLineChars="200"/>
        <w:jc w:val="left"/>
        <w:rPr>
          <w:rFonts w:hint="default" w:ascii="Times New Roman" w:hAnsi="Times New Roman" w:eastAsia="CIDFont+F3" w:cs="Times New Roman"/>
          <w:color w:val="auto"/>
          <w:sz w:val="24"/>
        </w:rPr>
      </w:pPr>
      <w:r>
        <w:rPr>
          <w:rFonts w:hint="default" w:ascii="Times New Roman" w:hAnsi="Times New Roman" w:eastAsia="CIDFont+F3" w:cs="Times New Roman"/>
          <w:color w:val="auto"/>
          <w:sz w:val="24"/>
        </w:rPr>
        <w:t>根据噪声源的特性采用以下噪声影响计算模式：</w:t>
      </w:r>
    </w:p>
    <w:p>
      <w:pPr>
        <w:adjustRightInd w:val="0"/>
        <w:snapToGrid w:val="0"/>
        <w:spacing w:line="360" w:lineRule="auto"/>
        <w:jc w:val="center"/>
        <w:rPr>
          <w:rFonts w:hint="default" w:ascii="Times New Roman" w:hAnsi="Times New Roman" w:eastAsia="CIDFont+F3" w:cs="Times New Roman"/>
          <w:color w:val="auto"/>
          <w:sz w:val="24"/>
        </w:rPr>
      </w:pPr>
      <w:r>
        <w:rPr>
          <w:rFonts w:hint="default" w:ascii="Times New Roman" w:hAnsi="Times New Roman" w:cs="Times New Roman"/>
          <w:color w:val="auto"/>
        </w:rPr>
        <w:drawing>
          <wp:inline distT="0" distB="0" distL="0" distR="0">
            <wp:extent cx="1543050" cy="433070"/>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6"/>
                    <a:stretch>
                      <a:fillRect/>
                    </a:stretch>
                  </pic:blipFill>
                  <pic:spPr>
                    <a:xfrm>
                      <a:off x="0" y="0"/>
                      <a:ext cx="1640763" cy="460832"/>
                    </a:xfrm>
                    <a:prstGeom prst="rect">
                      <a:avLst/>
                    </a:prstGeom>
                  </pic:spPr>
                </pic:pic>
              </a:graphicData>
            </a:graphic>
          </wp:inline>
        </w:drawing>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式中：L</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 xml:space="preserve"> ——距声源r</w:t>
      </w:r>
      <w:r>
        <w:rPr>
          <w:rFonts w:hint="default" w:ascii="Times New Roman" w:hAnsi="Times New Roman" w:cs="Times New Roman" w:eastAsiaTheme="minorEastAsia"/>
          <w:color w:val="auto"/>
          <w:sz w:val="24"/>
          <w:szCs w:val="24"/>
          <w:vertAlign w:val="subscript"/>
        </w:rPr>
        <w:t>i</w:t>
      </w:r>
      <w:r>
        <w:rPr>
          <w:rFonts w:hint="default" w:ascii="Times New Roman" w:hAnsi="Times New Roman" w:cs="Times New Roman" w:eastAsiaTheme="minorEastAsia"/>
          <w:color w:val="auto"/>
          <w:sz w:val="24"/>
          <w:szCs w:val="24"/>
        </w:rPr>
        <w:t>处的声级（dB(A)）。</w:t>
      </w:r>
    </w:p>
    <w:p>
      <w:pPr>
        <w:pStyle w:val="325"/>
        <w:tabs>
          <w:tab w:val="right" w:leader="dot" w:pos="9070"/>
        </w:tabs>
        <w:adjustRightInd w:val="0"/>
        <w:snapToGrid w:val="0"/>
        <w:spacing w:line="360" w:lineRule="auto"/>
        <w:ind w:firstLine="1200" w:firstLineChars="5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sz w:val="24"/>
          <w:szCs w:val="24"/>
          <w:vertAlign w:val="subscript"/>
        </w:rPr>
        <w:t>0</w:t>
      </w:r>
      <w:r>
        <w:rPr>
          <w:rFonts w:hint="default" w:ascii="Times New Roman" w:hAnsi="Times New Roman" w:cs="Times New Roman" w:eastAsiaTheme="minorEastAsia"/>
          <w:color w:val="auto"/>
          <w:sz w:val="24"/>
          <w:szCs w:val="24"/>
        </w:rPr>
        <w:t xml:space="preserve"> ——距声源r</w:t>
      </w:r>
      <w:r>
        <w:rPr>
          <w:rFonts w:hint="default" w:ascii="Times New Roman" w:hAnsi="Times New Roman" w:cs="Times New Roman" w:eastAsiaTheme="minorEastAsia"/>
          <w:color w:val="auto"/>
          <w:sz w:val="24"/>
          <w:szCs w:val="24"/>
          <w:vertAlign w:val="subscript"/>
        </w:rPr>
        <w:t>0</w:t>
      </w:r>
      <w:r>
        <w:rPr>
          <w:rFonts w:hint="default" w:ascii="Times New Roman" w:hAnsi="Times New Roman" w:cs="Times New Roman" w:eastAsiaTheme="minorEastAsia"/>
          <w:color w:val="auto"/>
          <w:sz w:val="24"/>
          <w:szCs w:val="24"/>
        </w:rPr>
        <w:t>处的声级（dB(A)）。</w:t>
      </w:r>
    </w:p>
    <w:p>
      <w:pPr>
        <w:pStyle w:val="325"/>
        <w:tabs>
          <w:tab w:val="right" w:leader="dot" w:pos="9070"/>
        </w:tabs>
        <w:adjustRightInd w:val="0"/>
        <w:snapToGrid w:val="0"/>
        <w:spacing w:line="360" w:lineRule="auto"/>
        <w:ind w:firstLine="1200" w:firstLineChars="5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ΔL——其它因素引起的噪声衰减量，取最不利条件0dB(A)。</w:t>
      </w:r>
    </w:p>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z w:val="24"/>
          <w:szCs w:val="24"/>
        </w:rPr>
        <w:t>2、预测结果及分析</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预测结果见表6.3-2。</w:t>
      </w:r>
    </w:p>
    <w:p>
      <w:pPr>
        <w:pStyle w:val="325"/>
        <w:tabs>
          <w:tab w:val="right" w:leader="dot" w:pos="9070"/>
        </w:tabs>
        <w:adjustRightInd w:val="0"/>
        <w:snapToGrid w:val="0"/>
        <w:spacing w:line="276" w:lineRule="auto"/>
        <w:jc w:val="center"/>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表6.3-2  噪声预测结果</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15"/>
        <w:gridCol w:w="999"/>
        <w:gridCol w:w="1948"/>
        <w:gridCol w:w="2810"/>
        <w:gridCol w:w="28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8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序号</w:t>
            </w:r>
          </w:p>
        </w:tc>
        <w:tc>
          <w:tcPr>
            <w:tcW w:w="549"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机械名称</w:t>
            </w:r>
          </w:p>
        </w:tc>
        <w:tc>
          <w:tcPr>
            <w:tcW w:w="107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eastAsia="CIDFont+F3" w:cs="Times New Roman"/>
                <w:b/>
                <w:bCs/>
                <w:color w:val="auto"/>
                <w:sz w:val="21"/>
                <w:szCs w:val="21"/>
              </w:rPr>
              <w:t>单机噪声值</w:t>
            </w:r>
            <w:r>
              <w:rPr>
                <w:rFonts w:hint="default" w:ascii="Times New Roman" w:hAnsi="Times New Roman" w:eastAsia="CIDFont+F1" w:cs="Times New Roman"/>
                <w:b/>
                <w:bCs/>
                <w:color w:val="auto"/>
                <w:sz w:val="21"/>
                <w:szCs w:val="21"/>
              </w:rPr>
              <w:t>dB(A)</w:t>
            </w:r>
          </w:p>
        </w:tc>
        <w:tc>
          <w:tcPr>
            <w:tcW w:w="154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b/>
                <w:bCs/>
                <w:color w:val="auto"/>
                <w:sz w:val="21"/>
                <w:szCs w:val="21"/>
              </w:rPr>
            </w:pPr>
            <w:r>
              <w:rPr>
                <w:rFonts w:hint="default" w:ascii="Times New Roman" w:hAnsi="Times New Roman" w:eastAsia="CIDFont+F3" w:cs="Times New Roman"/>
                <w:b/>
                <w:bCs/>
                <w:color w:val="auto"/>
                <w:sz w:val="21"/>
                <w:szCs w:val="21"/>
              </w:rPr>
              <w:t>衰减至</w:t>
            </w:r>
            <w:r>
              <w:rPr>
                <w:rFonts w:hint="default" w:ascii="Times New Roman" w:hAnsi="Times New Roman" w:eastAsia="CIDFont+F1" w:cs="Times New Roman"/>
                <w:b/>
                <w:bCs/>
                <w:color w:val="auto"/>
                <w:sz w:val="21"/>
                <w:szCs w:val="21"/>
              </w:rPr>
              <w:t>65dB(A)</w:t>
            </w:r>
            <w:r>
              <w:rPr>
                <w:rFonts w:hint="default" w:ascii="Times New Roman" w:hAnsi="Times New Roman" w:eastAsia="CIDFont+F3" w:cs="Times New Roman"/>
                <w:b/>
                <w:bCs/>
                <w:color w:val="auto"/>
                <w:sz w:val="21"/>
                <w:szCs w:val="21"/>
              </w:rPr>
              <w:t>的距离</w:t>
            </w:r>
            <w:r>
              <w:rPr>
                <w:rFonts w:hint="eastAsia" w:eastAsia="CIDFont+F3" w:cs="Times New Roman"/>
                <w:b/>
                <w:bCs/>
                <w:color w:val="auto"/>
                <w:sz w:val="21"/>
                <w:szCs w:val="21"/>
                <w:lang w:eastAsia="zh-CN"/>
              </w:rPr>
              <w:t>（</w:t>
            </w:r>
            <w:r>
              <w:rPr>
                <w:rFonts w:hint="default" w:ascii="Times New Roman" w:hAnsi="Times New Roman" w:eastAsia="CIDFont+F1" w:cs="Times New Roman"/>
                <w:b/>
                <w:bCs/>
                <w:color w:val="auto"/>
                <w:sz w:val="21"/>
                <w:szCs w:val="21"/>
              </w:rPr>
              <w:t>m</w:t>
            </w:r>
            <w:r>
              <w:rPr>
                <w:rFonts w:hint="eastAsia" w:eastAsia="宋体" w:cs="Times New Roman"/>
                <w:b/>
                <w:bCs/>
                <w:color w:val="auto"/>
                <w:sz w:val="21"/>
                <w:szCs w:val="21"/>
                <w:lang w:eastAsia="zh-CN"/>
              </w:rPr>
              <w:t>）</w:t>
            </w:r>
          </w:p>
        </w:tc>
        <w:tc>
          <w:tcPr>
            <w:tcW w:w="1551"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eastAsia="CIDFont+F3" w:cs="Times New Roman"/>
                <w:b/>
                <w:bCs/>
                <w:color w:val="auto"/>
                <w:sz w:val="21"/>
                <w:szCs w:val="21"/>
              </w:rPr>
            </w:pPr>
            <w:r>
              <w:rPr>
                <w:rFonts w:hint="default" w:ascii="Times New Roman" w:hAnsi="Times New Roman" w:eastAsia="CIDFont+F3" w:cs="Times New Roman"/>
                <w:b/>
                <w:bCs/>
                <w:color w:val="auto"/>
                <w:sz w:val="21"/>
                <w:szCs w:val="21"/>
              </w:rPr>
              <w:t>衰减至</w:t>
            </w:r>
            <w:r>
              <w:rPr>
                <w:rFonts w:hint="default" w:ascii="Times New Roman" w:hAnsi="Times New Roman" w:eastAsia="CIDFont+F1" w:cs="Times New Roman"/>
                <w:b/>
                <w:bCs/>
                <w:color w:val="auto"/>
                <w:sz w:val="21"/>
                <w:szCs w:val="21"/>
              </w:rPr>
              <w:t>55dB(A)</w:t>
            </w:r>
            <w:r>
              <w:rPr>
                <w:rFonts w:hint="default" w:ascii="Times New Roman" w:hAnsi="Times New Roman" w:eastAsia="CIDFont+F3" w:cs="Times New Roman"/>
                <w:b/>
                <w:bCs/>
                <w:color w:val="auto"/>
                <w:sz w:val="21"/>
                <w:szCs w:val="21"/>
              </w:rPr>
              <w:t>的距离</w:t>
            </w:r>
            <w:r>
              <w:rPr>
                <w:rFonts w:hint="eastAsia" w:eastAsia="CIDFont+F3" w:cs="Times New Roman"/>
                <w:b/>
                <w:bCs/>
                <w:color w:val="auto"/>
                <w:sz w:val="21"/>
                <w:szCs w:val="21"/>
                <w:lang w:eastAsia="zh-CN"/>
              </w:rPr>
              <w:t>（</w:t>
            </w:r>
            <w:r>
              <w:rPr>
                <w:rFonts w:hint="default" w:ascii="Times New Roman" w:hAnsi="Times New Roman" w:eastAsia="CIDFont+F1" w:cs="Times New Roman"/>
                <w:b/>
                <w:bCs/>
                <w:color w:val="auto"/>
                <w:sz w:val="21"/>
                <w:szCs w:val="21"/>
              </w:rPr>
              <w:t>m</w:t>
            </w:r>
            <w:r>
              <w:rPr>
                <w:rFonts w:hint="eastAsia" w:eastAsia="宋体" w:cs="Times New Roman"/>
                <w:b/>
                <w:bCs/>
                <w:color w:val="auto"/>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549"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传输泵</w:t>
            </w:r>
          </w:p>
        </w:tc>
        <w:tc>
          <w:tcPr>
            <w:tcW w:w="107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80~90</w:t>
            </w:r>
          </w:p>
        </w:tc>
        <w:tc>
          <w:tcPr>
            <w:tcW w:w="154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6~18</w:t>
            </w:r>
          </w:p>
        </w:tc>
        <w:tc>
          <w:tcPr>
            <w:tcW w:w="1551"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18~56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549"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其他机泵</w:t>
            </w:r>
          </w:p>
        </w:tc>
        <w:tc>
          <w:tcPr>
            <w:tcW w:w="1070"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80</w:t>
            </w:r>
          </w:p>
        </w:tc>
        <w:tc>
          <w:tcPr>
            <w:tcW w:w="154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1551"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18</w:t>
            </w:r>
          </w:p>
        </w:tc>
      </w:tr>
    </w:tbl>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工程建成投产后，装卸机械噪声满足《工业企业厂界环境噪声排放标准》3类标准的最大距离为：昼间约为18m，夜间约为56m，声叠加影响的范围约在80m左右。码头周围400m范围之内没有声环境保护目标，因此本项目的建设将使码头区域局部环境噪声值升高，但不产生噪声污染影响。</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到港船舶噪声</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根据同类码头实测资料，停靠码头的船舶，其轮机噪声在离船1m处的等效声级最大值为78dB(A)，离船38m处的等效声级为50dB(A)，故船舶噪声对本项目周边陆域环境基本没有噪声污染影响。</w:t>
      </w:r>
    </w:p>
    <w:p>
      <w:pPr>
        <w:pStyle w:val="3"/>
        <w:ind w:left="578" w:hanging="578"/>
        <w:rPr>
          <w:rFonts w:hint="default" w:ascii="Times New Roman" w:hAnsi="Times New Roman" w:cs="Times New Roman" w:eastAsiaTheme="minorEastAsia"/>
          <w:b/>
          <w:color w:val="auto"/>
        </w:rPr>
      </w:pPr>
      <w:bookmarkStart w:id="95" w:name="_Toc26462"/>
      <w:bookmarkStart w:id="96" w:name="_Toc4282"/>
      <w:r>
        <w:rPr>
          <w:rFonts w:hint="default" w:ascii="Times New Roman" w:hAnsi="Times New Roman" w:cs="Times New Roman" w:eastAsiaTheme="minorEastAsia"/>
          <w:b/>
          <w:color w:val="auto"/>
        </w:rPr>
        <w:t>生态环境影响分析</w:t>
      </w:r>
      <w:bookmarkEnd w:id="95"/>
      <w:bookmarkEnd w:id="96"/>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本项目位于东洞庭国家级自然保护区和长江监利段四大家鱼国家级水产种质资源保护区的实验区范围，项目施工期和营运期带来的生态环境影响分析，详见“第7章 生态敏感区环境影响评价及保护措施”。</w:t>
      </w:r>
    </w:p>
    <w:p>
      <w:pPr>
        <w:pStyle w:val="3"/>
        <w:ind w:left="578" w:hanging="578"/>
        <w:rPr>
          <w:rFonts w:hint="default" w:ascii="Times New Roman" w:hAnsi="Times New Roman" w:cs="Times New Roman" w:eastAsiaTheme="minorEastAsia"/>
          <w:b/>
          <w:color w:val="auto"/>
        </w:rPr>
      </w:pPr>
      <w:bookmarkStart w:id="97" w:name="_Toc16851"/>
      <w:bookmarkStart w:id="98" w:name="_Toc8423"/>
      <w:r>
        <w:rPr>
          <w:rFonts w:hint="default" w:ascii="Times New Roman" w:hAnsi="Times New Roman" w:cs="Times New Roman" w:eastAsiaTheme="minorEastAsia"/>
          <w:b/>
          <w:color w:val="auto"/>
        </w:rPr>
        <w:t>固体废物污染分析</w:t>
      </w:r>
      <w:bookmarkEnd w:id="97"/>
      <w:bookmarkEnd w:id="98"/>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施工固体废弃物环境影响分析</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施工垃圾主要来自施工所产生的建筑垃圾和施工队伍生活产生的生活垃圾。</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施工期间将涉及到材料运输、基础工程等工程，在此期间将有一定数量的废弃建筑材料如砂石、石灰、混凝土等。施工单位不得随意抛弃建筑材料、旧料和其它杂物。</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工程建设期间，施工现场应设置垃圾集中堆放场地，施工人员生活垃圾和施工船舶上的生活垃圾均集中收集到该地，经车辆定期运送至城市垃圾处理场处理。</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营运期固体废弃物环境影响分析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固体废物的性质和发生量</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营运期新增固体废物包括生活垃圾和生产垃圾，生活垃圾以有机污染物为主，生产垃圾主要为工程擦洗用的含油棉纱、抹布等，可混入生活垃圾一并处理。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生活垃圾的产生量为21.6kg/d，即7.</w:t>
      </w:r>
      <w:r>
        <w:rPr>
          <w:rFonts w:hint="default" w:ascii="Times New Roman" w:hAnsi="Times New Roman" w:cs="Times New Roman" w:eastAsiaTheme="minorEastAsia"/>
          <w:color w:val="auto"/>
          <w:kern w:val="0"/>
          <w:sz w:val="24"/>
          <w:szCs w:val="24"/>
          <w:lang w:val="en-US" w:eastAsia="zh-CN"/>
        </w:rPr>
        <w:t>128</w:t>
      </w:r>
      <w:r>
        <w:rPr>
          <w:rFonts w:hint="default" w:ascii="Times New Roman" w:hAnsi="Times New Roman" w:cs="Times New Roman" w:eastAsiaTheme="minorEastAsia"/>
          <w:color w:val="auto"/>
          <w:kern w:val="0"/>
          <w:sz w:val="24"/>
          <w:szCs w:val="24"/>
        </w:rPr>
        <w:t>t/a，擦洗用棉纱和抹布产生量约1t/a，由环卫部门接收处置。到港船舶生活垃圾由海事部门指定有资质的污染物接收船接收处置。</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固体废物的影响</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区固体废物若不妥善处理，垃圾聚集于岸边，将影响环境美观，垃圾进入水体还会恶化水质，对江段内的水生生物造成危害。生活垃圾发生在工作人员办公区，与人的生活密切相关，若不妥善处置，也会影响景观，污染空气，传播疾病，危害人体健康。</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垃圾处置</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陆域生活垃圾收集后送城市垃圾处理厂统一处理；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船舶生活垃圾禁止随意排放，应由有资质的污染物接收船收集后处理；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工程擦洗用的含油棉纱、抹布等，可混入生活垃圾一并处理；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疫区船舶生活垃圾如需岸上接收，需经卫生防疫主管部门检疫后并经海事部门批准，由污染物接收船接收送至指定的焚烧厂处理。</w:t>
      </w:r>
    </w:p>
    <w:p>
      <w:pPr>
        <w:pStyle w:val="3"/>
        <w:ind w:left="578" w:hanging="578"/>
        <w:rPr>
          <w:rFonts w:hint="default" w:ascii="Times New Roman" w:hAnsi="Times New Roman" w:cs="Times New Roman" w:eastAsiaTheme="minorEastAsia"/>
          <w:b/>
          <w:color w:val="auto"/>
        </w:rPr>
      </w:pPr>
      <w:bookmarkStart w:id="99" w:name="_Toc17521"/>
      <w:bookmarkStart w:id="100" w:name="_Toc19928"/>
      <w:r>
        <w:rPr>
          <w:rFonts w:hint="default" w:ascii="Times New Roman" w:hAnsi="Times New Roman" w:cs="Times New Roman" w:eastAsiaTheme="minorEastAsia"/>
          <w:b/>
          <w:color w:val="auto"/>
        </w:rPr>
        <w:t>相关专题影响分析</w:t>
      </w:r>
      <w:bookmarkEnd w:id="99"/>
      <w:bookmarkEnd w:id="100"/>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对区域河势及防洪的影响分析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引用《岳阳港君山港</w:t>
      </w:r>
      <w:r>
        <w:rPr>
          <w:rFonts w:hint="default" w:ascii="Times New Roman" w:hAnsi="Times New Roman" w:cs="Times New Roman" w:eastAsiaTheme="minorEastAsia"/>
          <w:color w:val="auto"/>
          <w:kern w:val="0"/>
          <w:sz w:val="24"/>
          <w:szCs w:val="24"/>
        </w:rPr>
        <w:drawing>
          <wp:inline distT="0" distB="0" distL="114300" distR="114300">
            <wp:extent cx="0" cy="0"/>
            <wp:effectExtent l="0" t="0" r="0" b="0"/>
            <wp:docPr id="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2"/>
                    <pic:cNvPicPr>
                      <a:picLocks noChangeAspect="1"/>
                    </pic:cNvPicPr>
                  </pic:nvPicPr>
                  <pic:blipFill>
                    <a:blip r:embed="rId41"/>
                    <a:stretch>
                      <a:fillRect/>
                    </a:stretch>
                  </pic:blipFill>
                  <pic:spPr>
                    <a:xfrm>
                      <a:off x="0" y="0"/>
                      <a:ext cx="0" cy="0"/>
                    </a:xfrm>
                    <a:prstGeom prst="rect">
                      <a:avLst/>
                    </a:prstGeom>
                    <a:noFill/>
                    <a:ln>
                      <a:noFill/>
                    </a:ln>
                  </pic:spPr>
                </pic:pic>
              </a:graphicData>
            </a:graphic>
          </wp:inline>
        </w:drawing>
      </w:r>
      <w:r>
        <w:rPr>
          <w:rFonts w:hint="default" w:ascii="Times New Roman" w:hAnsi="Times New Roman" w:cs="Times New Roman" w:eastAsiaTheme="minorEastAsia"/>
          <w:color w:val="auto"/>
          <w:kern w:val="0"/>
          <w:sz w:val="24"/>
          <w:szCs w:val="24"/>
        </w:rPr>
        <w:t>区LNG加注站建设项目防洪评价报告》中的相关结论。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河段河宽一般在1.0km左右。多年来，虽河势的总体格局变化不大，但由于该段为宽浅河道，江中分布有潜洲，将河道分成左右两槽。受上游主流摆动的影响，工程附近的河道仍有一定的冲淤变化。从近年的水域条件看，基本具备建设码头工程的条件。</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建成后，其主要阻水建筑物为码头及其引桥结构。根据码头工程河势影响分析数模计算结果，本项目对局部水流影响值不大，影响范围有限，水流结构的调整不足以引起工程附近河床冲淤性质发生大的改变。</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计算流场来看，码头平台前沿线与水流基本平顺；在平滩流量条件下，工程后工程附近各监测点水流流向变化一般均在±1°之内，码头工程对水流流向影响不大；工程后工程附近几个监测断面流速分布基本没有变化，工程对河段主流线影响较小，河道主流稳定。</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总之，由于该码头工程采用阻水作用较小的浮码头结构，码头结构占用河道行洪面积不大，工程修建后对河道阻水作用较小，因此，工程的修建对河道水位流场影响不大，对工程河段河道行洪影响较小。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综上所述，工程的建设与运行对长江行洪、河势稳定影响较小。</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对航道的影响分析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引用《岳阳港君山港</w:t>
      </w:r>
      <w:r>
        <w:rPr>
          <w:rFonts w:hint="default" w:ascii="Times New Roman" w:hAnsi="Times New Roman" w:cs="Times New Roman" w:eastAsiaTheme="minorEastAsia"/>
          <w:color w:val="auto"/>
          <w:kern w:val="0"/>
          <w:sz w:val="24"/>
          <w:szCs w:val="24"/>
        </w:rPr>
        <w:drawing>
          <wp:inline distT="0" distB="0" distL="114300" distR="114300">
            <wp:extent cx="0" cy="0"/>
            <wp:effectExtent l="0" t="0" r="0" b="0"/>
            <wp:docPr id="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pic:cNvPicPr>
                      <a:picLocks noChangeAspect="1"/>
                    </pic:cNvPicPr>
                  </pic:nvPicPr>
                  <pic:blipFill>
                    <a:blip r:embed="rId41"/>
                    <a:stretch>
                      <a:fillRect/>
                    </a:stretch>
                  </pic:blipFill>
                  <pic:spPr>
                    <a:xfrm>
                      <a:off x="0" y="0"/>
                      <a:ext cx="0" cy="0"/>
                    </a:xfrm>
                    <a:prstGeom prst="rect">
                      <a:avLst/>
                    </a:prstGeom>
                    <a:noFill/>
                    <a:ln>
                      <a:noFill/>
                    </a:ln>
                  </pic:spPr>
                </pic:pic>
              </a:graphicData>
            </a:graphic>
          </wp:inline>
        </w:drawing>
      </w:r>
      <w:r>
        <w:rPr>
          <w:rFonts w:hint="default" w:ascii="Times New Roman" w:hAnsi="Times New Roman" w:cs="Times New Roman" w:eastAsiaTheme="minorEastAsia"/>
          <w:color w:val="auto"/>
          <w:kern w:val="0"/>
          <w:sz w:val="24"/>
          <w:szCs w:val="24"/>
        </w:rPr>
        <w:t>区LNG加注站建设项目航道影响报告书》中的相关结论。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eastAsia="zh-CN"/>
        </w:rPr>
        <w:t>本项目</w:t>
      </w:r>
      <w:r>
        <w:rPr>
          <w:rFonts w:hint="default" w:ascii="Times New Roman" w:hAnsi="Times New Roman" w:cs="Times New Roman" w:eastAsiaTheme="minorEastAsia"/>
          <w:color w:val="auto"/>
          <w:kern w:val="0"/>
          <w:sz w:val="24"/>
          <w:szCs w:val="24"/>
        </w:rPr>
        <w:t>位于湖南省岳阳市君山区三洲乡，</w:t>
      </w:r>
      <w:r>
        <w:rPr>
          <w:rFonts w:hint="default" w:ascii="Times New Roman" w:hAnsi="Times New Roman" w:cs="Times New Roman"/>
          <w:color w:val="auto"/>
          <w:sz w:val="24"/>
        </w:rPr>
        <w:t>长江中游铁铺水道右岸上板岭一带，中游航道里程约为285.0km</w:t>
      </w:r>
      <w:r>
        <w:rPr>
          <w:rFonts w:hint="default" w:ascii="Times New Roman" w:hAnsi="Times New Roman" w:cs="Times New Roman" w:eastAsiaTheme="minorEastAsia"/>
          <w:color w:val="auto"/>
          <w:kern w:val="0"/>
          <w:sz w:val="24"/>
          <w:szCs w:val="24"/>
        </w:rPr>
        <w:t>。根据工程河段历史及近期河床演变分析，工程河段整治工程实施后，总体河势稳定，工程局部河段水域开阔，水深条件较好，具备工程建设的水域条件。</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报告的结论是在现行航道布置及航标配布条件下，</w:t>
      </w:r>
      <w:r>
        <w:rPr>
          <w:rFonts w:hint="eastAsia" w:ascii="Times New Roman" w:hAnsi="Times New Roman" w:cs="Times New Roman" w:eastAsiaTheme="minorEastAsia"/>
          <w:color w:val="auto"/>
          <w:kern w:val="0"/>
          <w:sz w:val="24"/>
          <w:szCs w:val="24"/>
          <w:lang w:eastAsia="zh-CN"/>
        </w:rPr>
        <w:t>本项目</w:t>
      </w:r>
      <w:r>
        <w:rPr>
          <w:rFonts w:hint="default" w:ascii="Times New Roman" w:hAnsi="Times New Roman" w:cs="Times New Roman" w:eastAsiaTheme="minorEastAsia"/>
          <w:color w:val="auto"/>
          <w:kern w:val="0"/>
          <w:sz w:val="24"/>
          <w:szCs w:val="24"/>
        </w:rPr>
        <w:t>水工构筑物和停泊水域均未占用主航道及推荐航路水域，对现行航道布置影响较小，码头前沿线布置满足航道维护管理的要求。码头建设期及建成营运后，建议加强码头前沿水域水下地形、水流条件的观测，掌握变化情况，以便及时采取相应措施，以保证工程建设和运行安全。</w:t>
      </w:r>
    </w:p>
    <w:p>
      <w:pPr>
        <w:adjustRightInd w:val="0"/>
        <w:snapToGrid w:val="0"/>
        <w:spacing w:line="360" w:lineRule="auto"/>
        <w:jc w:val="left"/>
        <w:rPr>
          <w:rFonts w:hint="default" w:ascii="Times New Roman" w:hAnsi="Times New Roman" w:cs="Times New Roman"/>
          <w:color w:val="auto"/>
        </w:rPr>
      </w:pPr>
    </w:p>
    <w:p>
      <w:pPr>
        <w:adjustRightInd w:val="0"/>
        <w:snapToGrid w:val="0"/>
        <w:spacing w:line="360" w:lineRule="auto"/>
        <w:rPr>
          <w:rFonts w:hint="default" w:ascii="Times New Roman" w:hAnsi="Times New Roman" w:cs="Times New Roman" w:eastAsiaTheme="minorEastAsia"/>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01" w:name="_Toc16975"/>
      <w:bookmarkStart w:id="102" w:name="_Toc4489"/>
      <w:r>
        <w:rPr>
          <w:rFonts w:hint="default" w:ascii="Times New Roman" w:hAnsi="Times New Roman" w:cs="Times New Roman" w:eastAsiaTheme="minorEastAsia"/>
          <w:b/>
          <w:color w:val="auto"/>
          <w:sz w:val="32"/>
          <w:szCs w:val="32"/>
        </w:rPr>
        <w:t>生态敏感区环境影响评价及保护措施</w:t>
      </w:r>
      <w:bookmarkEnd w:id="101"/>
      <w:bookmarkEnd w:id="102"/>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yellow"/>
        </w:rPr>
      </w:pPr>
      <w:r>
        <w:rPr>
          <w:rFonts w:hint="default" w:ascii="Times New Roman" w:hAnsi="Times New Roman" w:cs="Times New Roman"/>
          <w:color w:val="auto"/>
          <w:sz w:val="24"/>
          <w:szCs w:val="24"/>
        </w:rPr>
        <w:t>该章节的影响分析和保护措施内容摘录于</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lang w:eastAsia="zh-CN"/>
        </w:rPr>
        <w:t>岳阳LNG接收站（储备中心）项目工程对湖南东洞庭湖国家级自然保护区生物多样性影响评价报告</w:t>
      </w:r>
      <w:r>
        <w:rPr>
          <w:rFonts w:hint="default" w:ascii="Times New Roman" w:hAnsi="Times New Roman" w:cs="Times New Roman" w:eastAsiaTheme="minorEastAsia"/>
          <w:color w:val="auto"/>
          <w:sz w:val="24"/>
          <w:szCs w:val="24"/>
        </w:rPr>
        <w:t>》（白城市工程建设咨询有限责任公司）和</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eastAsiaTheme="minorEastAsia"/>
          <w:color w:val="auto"/>
          <w:sz w:val="24"/>
          <w:szCs w:val="24"/>
          <w:highlight w:val="none"/>
          <w:lang w:val="zh-CN"/>
        </w:rPr>
        <w:t>岳阳LNG接收站（储备中心）、加注站项目工程对“长江监利段四大家鱼国家级水产种质资源保护区”</w:t>
      </w:r>
      <w:r>
        <w:rPr>
          <w:rFonts w:hint="default" w:ascii="Times New Roman" w:hAnsi="Times New Roman" w:cs="Times New Roman" w:eastAsiaTheme="minorEastAsia"/>
          <w:color w:val="auto"/>
          <w:sz w:val="24"/>
          <w:szCs w:val="24"/>
          <w:highlight w:val="none"/>
        </w:rPr>
        <w:t>影响专题论证报告》</w:t>
      </w:r>
      <w:r>
        <w:rPr>
          <w:rFonts w:hint="default" w:ascii="Times New Roman" w:hAnsi="Times New Roman" w:cs="Times New Roman"/>
          <w:color w:val="auto"/>
          <w:sz w:val="24"/>
          <w:szCs w:val="24"/>
          <w:highlight w:val="none"/>
        </w:rPr>
        <w:t>（</w:t>
      </w:r>
      <w:r>
        <w:rPr>
          <w:rFonts w:hint="default" w:ascii="Times New Roman" w:hAnsi="Times New Roman" w:cs="Times New Roman" w:eastAsiaTheme="minorEastAsia"/>
          <w:color w:val="auto"/>
          <w:sz w:val="24"/>
          <w:szCs w:val="24"/>
          <w:highlight w:val="none"/>
        </w:rPr>
        <w:t>中国水产科学研究院长江水产研究所、湖南省水产科学研究所</w:t>
      </w:r>
      <w:r>
        <w:rPr>
          <w:rFonts w:hint="default" w:ascii="Times New Roman" w:hAnsi="Times New Roman" w:cs="Times New Roman"/>
          <w:color w:val="auto"/>
          <w:sz w:val="24"/>
          <w:szCs w:val="24"/>
          <w:highlight w:val="none"/>
        </w:rPr>
        <w:t>）的相关内容。</w:t>
      </w:r>
    </w:p>
    <w:p>
      <w:pPr>
        <w:pStyle w:val="3"/>
        <w:ind w:left="578" w:hanging="578"/>
        <w:rPr>
          <w:rFonts w:hint="default" w:ascii="Times New Roman" w:hAnsi="Times New Roman" w:cs="Times New Roman" w:eastAsiaTheme="minorEastAsia"/>
          <w:b/>
          <w:color w:val="auto"/>
        </w:rPr>
      </w:pPr>
      <w:bookmarkStart w:id="103" w:name="_Toc8499"/>
      <w:bookmarkStart w:id="104" w:name="_Toc8552"/>
      <w:r>
        <w:rPr>
          <w:rFonts w:hint="default" w:ascii="Times New Roman" w:hAnsi="Times New Roman" w:cs="Times New Roman" w:eastAsiaTheme="minorEastAsia"/>
          <w:b/>
          <w:color w:val="auto"/>
        </w:rPr>
        <w:t>湖南东洞庭湖国家级自然保护区</w:t>
      </w:r>
      <w:bookmarkEnd w:id="103"/>
      <w:bookmarkEnd w:id="104"/>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生态环境影响分析</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对生态系统的影响评价</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1、生态系统类型及特有程度</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生态系统类型主要包括农田生态系统和湿地（湖泊）生态系统。其中农田生态系统包括水田和旱地，主要种植水稻、棉花、蔬菜等作物，生态系统结构简单。农田中穿插着大量民房、高速公路与国道，人类活动频繁，无重点保护物种在此区域活动。湿地生态系统主要为长江河岸区。但与湖南东洞庭湖主湖区相比，由于河岸区大规模的行船使得周边湿地植物种类较少，水生动物种类也较为单一。因此，评价区范围内的生态系统属于人类活动强烈干扰下的生态系统，且结构较为简单，在长江中下游沿岸具有普遍性。</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2、生态系统类型面积</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LNG加注站在保护区不征地，但占用长江岸线315m，占用保护区总面积不到0.01%。周边人类活动频繁。该项目建设占用水域占评价区水域面积的0.8%，占保护区水域面积的0.005%。因此，工程占用保护区各类型生态系统面积比例很小，对其影响也较小。</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3、生态系统斑块数量</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该工程属于栈桥结构支撑的线性工程，离湖面常水位净高超过2m，工程并不直接切断评价区范围内的湿地生态系统连通性，也就是工程建设并不明显增加湿地生态系统斑块。再者虽然工程建设占用保护区部分耕地，但由于评价区内农田生态系统结构单一，斑块数量少、面积大，而且工程的建设使用了一定量的居民建筑用地，并没有使农田斑块进一步破碎化。因此，从工程建设前后农田与湖泊生态系统斑块数量变化来看，此项目建设对生态系统斑块数量变化影响很小。</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4、生态系统的美学、经济、文化价值影响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内无风景名胜区或文物保护地，也没有发现风景优美且具有观赏价值的自然景观。由于位于自然保护区实验区，破坏了湿地的空间连续性和自然性，造成工程与原有湿地生态系统景观的不协调。而且施工期保护区外的临时堆料场、来往的车辆及施工人员的生活垃圾也可能给自然景观带来不利影响。但是只要加强施工期的垃圾和临时堆料场的管理，并在码头及其周边通过营造攀缘植物景观林带等措施可以重新使项目与周围环境融为一体。而且通过整合现有居民住宅用地和其他生产生活设施，对未利用地进行绿化，还可改善周围环境。因此，工程对评价区生态系统的美学、经济、文化价值影响较小。</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5、土壤侵蚀的程度及发生地质灾害的可能性</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建设可能使局部区域产生水土流失，尤其是在坡度较大的边坡处产生水土流失可能性较大，但由于工程建设区域涉及保护区的范围较小，并且地势平坦，只要对建设部分做好承重评估，并采取相应的施工设计，工程建设造成土壤侵蚀和地质灾害的可能性较小。</w:t>
      </w:r>
    </w:p>
    <w:p>
      <w:pPr>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6、评价区内植被覆盖度减少的程度</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建设过程中，开挖、堆土将会破坏建设区的原有植被，同时也容易造成水土流失，土层瘠薄，肥力积集骤减。工程的建设使得评价区内人工种植的农田植被覆盖率减少了7.3%，相当于整个保护区农田生态系统面积的0.04%。因此，该工程建设对湖南东洞庭湖国家级自然保护区植被覆盖率的影响很小。</w:t>
      </w:r>
    </w:p>
    <w:p>
      <w:pPr>
        <w:pStyle w:val="5"/>
        <w:ind w:left="578" w:hanging="578"/>
        <w:rPr>
          <w:rFonts w:hint="eastAsia" w:ascii="Times New Roman" w:hAnsi="Times New Roman" w:cs="Times New Roman"/>
          <w:color w:val="auto"/>
          <w:lang w:eastAsia="zh-CN"/>
        </w:rPr>
      </w:pPr>
      <w:r>
        <w:rPr>
          <w:rFonts w:hint="default" w:ascii="Times New Roman" w:hAnsi="Times New Roman" w:cs="Times New Roman"/>
          <w:color w:val="auto"/>
          <w:lang w:eastAsia="zh-CN"/>
        </w:rPr>
        <w:t>对生态系统稳定性的影响</w:t>
      </w:r>
    </w:p>
    <w:p>
      <w:pPr>
        <w:adjustRightInd w:val="0"/>
        <w:snapToGrid w:val="0"/>
        <w:spacing w:line="360" w:lineRule="auto"/>
        <w:ind w:firstLine="482"/>
        <w:rPr>
          <w:rFonts w:ascii="Times New Roman" w:hAnsi="Times New Roman"/>
          <w:b/>
          <w:bCs/>
          <w:color w:val="auto"/>
          <w:sz w:val="24"/>
          <w:u w:val="single"/>
        </w:rPr>
      </w:pPr>
      <w:r>
        <w:rPr>
          <w:rFonts w:hint="eastAsia" w:ascii="Times New Roman" w:hAnsi="Times New Roman"/>
          <w:b/>
          <w:bCs/>
          <w:color w:val="auto"/>
          <w:sz w:val="24"/>
          <w:u w:val="single"/>
          <w:lang w:val="en-US" w:eastAsia="zh-CN"/>
        </w:rPr>
        <w:t>1、</w:t>
      </w:r>
      <w:r>
        <w:rPr>
          <w:rFonts w:ascii="Times New Roman" w:hAnsi="Times New Roman"/>
          <w:b/>
          <w:bCs/>
          <w:color w:val="auto"/>
          <w:sz w:val="24"/>
          <w:u w:val="single"/>
        </w:rPr>
        <w:t>恢复稳定性</w:t>
      </w:r>
    </w:p>
    <w:p>
      <w:pPr>
        <w:adjustRightInd w:val="0"/>
        <w:snapToGrid w:val="0"/>
        <w:spacing w:line="360" w:lineRule="auto"/>
        <w:ind w:firstLine="482"/>
        <w:rPr>
          <w:rFonts w:ascii="Times New Roman" w:hAnsi="Times New Roman"/>
          <w:color w:val="auto"/>
          <w:sz w:val="24"/>
          <w:u w:val="single"/>
        </w:rPr>
      </w:pPr>
      <w:r>
        <w:rPr>
          <w:rFonts w:ascii="Times New Roman" w:hAnsi="Times New Roman"/>
          <w:color w:val="auto"/>
          <w:sz w:val="24"/>
          <w:u w:val="single"/>
        </w:rPr>
        <w:t>自然生态系统的恢复稳定性，可根据植被净生产力的多少衡量，如果植被净生产力高，则其恢复稳定性强，反之则弱。工程建设过程中，不占用土地，不改变用地类型，因此工程对生态系统的恢复稳定性无明显的影响。</w:t>
      </w:r>
    </w:p>
    <w:p>
      <w:pPr>
        <w:adjustRightInd w:val="0"/>
        <w:snapToGrid w:val="0"/>
        <w:spacing w:line="360" w:lineRule="auto"/>
        <w:ind w:firstLine="482"/>
        <w:rPr>
          <w:rFonts w:ascii="Times New Roman" w:hAnsi="Times New Roman"/>
          <w:b/>
          <w:bCs/>
          <w:color w:val="auto"/>
          <w:sz w:val="24"/>
          <w:u w:val="single"/>
        </w:rPr>
      </w:pPr>
      <w:r>
        <w:rPr>
          <w:rFonts w:hint="eastAsia" w:ascii="Times New Roman" w:hAnsi="Times New Roman"/>
          <w:b/>
          <w:bCs/>
          <w:color w:val="auto"/>
          <w:sz w:val="24"/>
          <w:u w:val="single"/>
          <w:lang w:val="en-US" w:eastAsia="zh-CN"/>
        </w:rPr>
        <w:t>2、</w:t>
      </w:r>
      <w:r>
        <w:rPr>
          <w:rFonts w:ascii="Times New Roman" w:hAnsi="Times New Roman"/>
          <w:b/>
          <w:bCs/>
          <w:color w:val="auto"/>
          <w:sz w:val="24"/>
          <w:u w:val="single"/>
        </w:rPr>
        <w:t>阻抗稳定性</w:t>
      </w:r>
    </w:p>
    <w:p>
      <w:pPr>
        <w:adjustRightInd w:val="0"/>
        <w:snapToGrid w:val="0"/>
        <w:spacing w:line="360" w:lineRule="auto"/>
        <w:ind w:firstLine="482"/>
        <w:rPr>
          <w:rFonts w:ascii="Times New Roman" w:hAnsi="Times New Roman"/>
          <w:color w:val="auto"/>
          <w:sz w:val="24"/>
          <w:u w:val="single"/>
        </w:rPr>
      </w:pPr>
      <w:r>
        <w:rPr>
          <w:rFonts w:ascii="Times New Roman" w:hAnsi="Times New Roman"/>
          <w:color w:val="auto"/>
          <w:sz w:val="24"/>
          <w:u w:val="single"/>
        </w:rPr>
        <w:t>自然系统的阻抗稳定性是由系统中生物组分异质性的高低决定的。异质性是指一个区域里（景观或生态系统）对一个种或更高级的生物组织的存在起决定作用的资源（或某种性质）在空间或时间上的变异程度（或强度）。由于异质性的组分具有不同的生态位，给动物和植物的栖息、移动以及抵御内外干扰提供了复杂和微妙的相应利用关系。另一方面，异质化程度高的自然系统，当某一拼块形成干扰源时，相邻的异质性组分就成为了干扰的阻断，从而达到增强生态体系抗御内外干扰的作用，有利于体系生态稳定性的提高。</w:t>
      </w:r>
    </w:p>
    <w:p>
      <w:pPr>
        <w:adjustRightInd w:val="0"/>
        <w:snapToGrid w:val="0"/>
        <w:spacing w:line="360" w:lineRule="auto"/>
        <w:ind w:firstLine="482"/>
        <w:rPr>
          <w:rFonts w:hint="eastAsia" w:ascii="Times New Roman" w:hAnsi="Times New Roman"/>
          <w:color w:val="auto"/>
          <w:sz w:val="24"/>
          <w:u w:val="none"/>
        </w:rPr>
      </w:pPr>
      <w:r>
        <w:rPr>
          <w:rFonts w:ascii="Times New Roman" w:hAnsi="Times New Roman"/>
          <w:color w:val="auto"/>
          <w:sz w:val="24"/>
          <w:u w:val="single"/>
        </w:rPr>
        <w:t>评价区内用地类型为水域、林地、耕地地，工程建成和运营后，作为模地的水域未发生变化，因此，工程建设对区域自然体系的景观异质化程度和阻抗能力影响不大。</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对生物群落的影响评价</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LNG加注站工程在保护区内占用湖泊、农田与农田周边的民房，且区域紧邻交通用地。因此，该区域生物群落本身受人类活动影响强烈，在此生存的主要为常见种或者广布种。通过调查与分析，本项目影响到评价区的生物群落可分为农田生物群落和湿地生物群落。</w:t>
      </w:r>
    </w:p>
    <w:p>
      <w:pPr>
        <w:widowControl/>
        <w:adjustRightInd w:val="0"/>
        <w:snapToGrid w:val="0"/>
        <w:spacing w:line="360" w:lineRule="auto"/>
        <w:ind w:firstLine="482" w:firstLineChars="200"/>
        <w:rPr>
          <w:rFonts w:hint="default" w:ascii="Times New Roman" w:hAnsi="Times New Roman" w:cs="Times New Roman"/>
          <w:color w:val="auto"/>
          <w:sz w:val="24"/>
          <w:szCs w:val="24"/>
        </w:rPr>
      </w:pPr>
      <w:r>
        <w:rPr>
          <w:rFonts w:hint="default" w:ascii="Times New Roman" w:hAnsi="Times New Roman" w:cs="Times New Roman"/>
          <w:b/>
          <w:bCs/>
          <w:color w:val="auto"/>
          <w:sz w:val="24"/>
          <w:szCs w:val="24"/>
        </w:rPr>
        <w:t>1、农田植物群落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根据对评价区的植物样地调查，评价区陆地植物群落共计104.96hm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主要为水稻、棉花、茶树等陆生人工种植植物，且均为常见种。项目的建设不会占用土地，不对农田植物群落产生影响，且由于该植物群落在整个长江流域中下游具有普遍性。因此，工程建设对农田植物群落的影响较低。</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2、湿地生物群落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湿地主要为长江河岸，该区域有大量船只往来，生产经营活动频繁。由于长江通航的影响，整个湖区沉水植物、浮水植物和挺水植物群落均发育不良，只有一部分湿生植物分布在东边一些河岸滩涂，而且湿地植物种类少，分布面积有限。</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加注码头</w:t>
      </w:r>
      <w:r>
        <w:rPr>
          <w:rFonts w:hint="eastAsia" w:ascii="Times New Roman" w:hAnsi="Times New Roman" w:cs="Times New Roman"/>
          <w:color w:val="auto"/>
          <w:sz w:val="24"/>
          <w:szCs w:val="24"/>
          <w:lang w:val="en-US" w:eastAsia="zh-CN"/>
        </w:rPr>
        <w:t>平台</w:t>
      </w:r>
      <w:r>
        <w:rPr>
          <w:rFonts w:hint="default" w:ascii="Times New Roman" w:hAnsi="Times New Roman" w:cs="Times New Roman"/>
          <w:color w:val="auto"/>
          <w:sz w:val="24"/>
          <w:szCs w:val="24"/>
        </w:rPr>
        <w:t>的支撑结构需要在</w:t>
      </w:r>
      <w:r>
        <w:rPr>
          <w:rFonts w:hint="eastAsia" w:ascii="Times New Roman" w:hAnsi="Times New Roman" w:cs="Times New Roman"/>
          <w:color w:val="auto"/>
          <w:sz w:val="24"/>
          <w:szCs w:val="24"/>
          <w:lang w:val="en-US" w:eastAsia="zh-CN"/>
        </w:rPr>
        <w:t>长江水体</w:t>
      </w:r>
      <w:r>
        <w:rPr>
          <w:rFonts w:hint="default" w:ascii="Times New Roman" w:hAnsi="Times New Roman" w:cs="Times New Roman"/>
          <w:color w:val="auto"/>
          <w:sz w:val="24"/>
          <w:szCs w:val="24"/>
        </w:rPr>
        <w:t>范围建设，</w:t>
      </w:r>
      <w:r>
        <w:rPr>
          <w:rFonts w:hint="eastAsia" w:ascii="Times New Roman" w:hAnsi="Times New Roman" w:cs="Times New Roman"/>
          <w:color w:val="auto"/>
          <w:sz w:val="24"/>
          <w:szCs w:val="24"/>
          <w:lang w:val="en-US" w:eastAsia="zh-CN"/>
        </w:rPr>
        <w:t>加注平台</w:t>
      </w:r>
      <w:r>
        <w:rPr>
          <w:rFonts w:hint="default" w:ascii="Times New Roman" w:hAnsi="Times New Roman" w:cs="Times New Roman"/>
          <w:color w:val="auto"/>
          <w:sz w:val="24"/>
          <w:szCs w:val="24"/>
        </w:rPr>
        <w:t>施工造成的水体污染可能导致施工区藻类、浮游生物、底栖动物的减少，从而使得评价区湖泊生物群落结构发生改变。但是从工程设计上将采用大量的预设部件，减少了施工现场废物的产生，钢管桩的使用也大大降低了施工现场的浇筑量，这些工艺的使用即缩短了施工周期，又降低了对水环境的破坏。同时加强施工管理，严格按照施工程序操作，按照红线施工，避免故意污染水体的行为发生，施工对水质影响较小，对水中生物群落影响也是可控的。工程完工后，受施工影响区域生态环境逐步恢复，藻类、浮游生物、底栖动物将逐步恢复至干扰前水平，鱼类也恢复原有的活动范围。因此，工程建设对评价区湖泊生物群落结构影响是暂时的。湖面工程对水质的影响短期内可能导致生物群落比例发生改变，施工期结束后群落结构也将基本恢复其原有状态。由于施工期废水均通过管道输入污水处理系统。因此，施工期并不会导致长江水质下降。</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3、鸟类群落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范围及其周边的环境大致可分为湖泊、林地和农田-居民点3种生态类型，每一种生态类型具有不同的鸟类群落组成。从评价区本底资源调查来看，林地鸟类生物多样性较高，农田-居民点次之，湖泊湿地最低。但是该区域鸟类较少，且长江通航船只较多，人为影响大，所以水鸟很少，只有麻雀等常见种在此觅食。农田也由于靠近村庄、高速公路和海螺水泥厂，环境噪音比较大，人为活动较为频繁，也不适合大型的雁鸭类和鹤类觅食和停歇，只有麻雀等广布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的光照与噪声可能会使分布于周围的各种鸟类远离施工区，但是工程建成后噪音大大减少，光源消失，景观美化，结合对评价区的调查，绝大部分常见种或者广布种仍会在此停歇觅食。因此，工程建设对此区域由常见鸟类组成的群落影响较小。</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对种群的影响分析</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1、种群特有性</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湖南东洞庭湖自然保护区地处长江下游南岸，是北方水鸟重要的越冬地，也是候鸟亚太迁徙路线的重要组成部分。湖南东洞庭湖是中国主要的鹤类越冬地之一，是白鹤、白头鹤、白枕鹤和灰鹤重要的越冬地之一，有“中国鹤湖”之称。但是据评价区现场调查以及居民访谈并没有发现以上特有重点保护湿地鸟类。</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2、对保护物种的影响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目前评价区周边分布未发现有国家重点保护的猛禽，保护物种均分布于保护区1000m外的林地。那里人类活动干扰较少，生境多样性较高，且超出评价区范围，但考虑施工过程会产生的噪音与光污染，林地内的部分鸟类可能会暂时放弃该栖息地，躲避到更远的林地内停歇。而工程建设不占用林地，不会对上述保护鸟类的生境造成不可逆的破坏，待施工期结束，光污染消失，噪声污染也会减小到区域原有水平，一些鸟类仍可以回到原有栖息地活动。因此，工程建设会对评价区北侧保护区外围的重点保护鸟类产生影响，但施工期结束后影响较小。</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3、对重要物种食物网（链）结构的影响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湖南东洞庭湖国家级自然保护区有优良的环境和充足的食物，吸引了大量珍惜水禽来此觅食过冬。但珍稀濒危水禽的栖息地主要分布在保护区核心区与缓冲区，而影响评价区地处保护区东北部的实验区边缘，不涉及保护区核心区与</w:t>
      </w:r>
      <w:r>
        <w:rPr>
          <w:rFonts w:hint="default" w:ascii="Times New Roman" w:hAnsi="Times New Roman" w:cs="Times New Roman"/>
          <w:color w:val="auto"/>
          <w:sz w:val="24"/>
          <w:szCs w:val="24"/>
          <w:lang w:eastAsia="zh-CN"/>
        </w:rPr>
        <w:t>缓冲</w:t>
      </w:r>
      <w:r>
        <w:rPr>
          <w:rFonts w:hint="default" w:ascii="Times New Roman" w:hAnsi="Times New Roman" w:cs="Times New Roman"/>
          <w:color w:val="auto"/>
          <w:sz w:val="24"/>
          <w:szCs w:val="24"/>
        </w:rPr>
        <w:t>区，主要影响长江及其周边农田。</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长江通航和拖网捕鱼，使得该地区鱼类种数单一，湿地植物种类少，分布面积有限。再者由于濒危鸟类对于人类频繁活动的区域极其敏感，受湿地周边的居民点、公路产生噪声的共同影响，评价区生境无法为湖南东洞庭湖保护区特有鸟类与濒危鸟类营造良好的栖息环境。因此项目的建设不会对保护区的特有物种和濒危物种构成的食物网（链）产生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4、对重要物种的迁移、散布、繁衍的影响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工程建设过程中噪声较大，夜间灯光强度较高，若正赶上重要物种迁徙期可能会导致其改变迁徙路线或个体因光源刺激脱离迁移群体，从而影响重要物种的迁移。但通过施工期采取必要的降噪遮光措施，并选择避开候鸟迁徙期，可减少工程建设对候鸟迁徙的影响。工程建设完成后，项目运营的噪音降低，无外露的灯光设施，加上绿化，对候鸟迁徙的影响也相应的降低。</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再者，由于评价区湿地植物发育不良，同时受西南侧G56高速，海螺公司输气管道等设施与人类活动影响，噪音污染大，无法满足重点保护的越冬湿地鸟类对生境的要求。越冬鸟类将仍然直接飞入湿地植物多样性更丰富、分布有大面积滩涂与草滩的湖南东洞庭湖保护区核心区与缓冲区越冬。大多数越冬水鸟包含重点保护水鸟并不会在评价区停歇，而且掠过评价区的鸟类飞行高度均远远高于码头设计高度。加上岳阳LNG加注站工程距离重要物种的栖息地多在2000m之外。因此，工程正常的运行对重要物种的迁徙、散布、繁衍影响有限。</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此外，工程建设的开挖填埋、施工机械的噪声以及施工人员的活动都会对评价区内的物种带来一定影响。特别是施工期间各种机械噪声，会使生活在附近的常见鸟类受到干扰，迫使部分鸟类迁徙他处，远离施工范围，对在此生存的物种影响也会减少。</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w:t>
      </w:r>
      <w:r>
        <w:rPr>
          <w:rFonts w:hint="eastAsia" w:cs="Times New Roman"/>
          <w:color w:val="auto"/>
          <w:lang w:eastAsia="zh-CN"/>
        </w:rPr>
        <w:t>其他水生生物</w:t>
      </w:r>
      <w:r>
        <w:rPr>
          <w:rFonts w:hint="default" w:ascii="Times New Roman" w:hAnsi="Times New Roman" w:cs="Times New Roman"/>
          <w:color w:val="auto"/>
        </w:rPr>
        <w:t>的影响评价</w:t>
      </w:r>
    </w:p>
    <w:p>
      <w:pPr>
        <w:widowControl/>
        <w:adjustRightInd w:val="0"/>
        <w:snapToGrid w:val="0"/>
        <w:spacing w:line="360" w:lineRule="auto"/>
        <w:ind w:firstLine="482" w:firstLineChars="200"/>
        <w:rPr>
          <w:rFonts w:hint="default" w:ascii="Times New Roman" w:hAnsi="Times New Roman" w:cs="Times New Roman"/>
          <w:b/>
          <w:bCs/>
          <w:color w:val="auto"/>
          <w:sz w:val="24"/>
          <w:szCs w:val="24"/>
          <w:u w:val="single"/>
        </w:rPr>
      </w:pPr>
      <w:r>
        <w:rPr>
          <w:rFonts w:hint="eastAsia" w:ascii="Times New Roman" w:hAnsi="Times New Roman" w:cs="Times New Roman"/>
          <w:b/>
          <w:bCs/>
          <w:color w:val="auto"/>
          <w:sz w:val="24"/>
          <w:szCs w:val="24"/>
          <w:u w:val="single"/>
          <w:lang w:val="en-US" w:eastAsia="zh-CN"/>
        </w:rPr>
        <w:t>1、</w:t>
      </w:r>
      <w:r>
        <w:rPr>
          <w:rFonts w:hint="default" w:ascii="Times New Roman" w:hAnsi="Times New Roman" w:cs="Times New Roman"/>
          <w:b/>
          <w:bCs/>
          <w:color w:val="auto"/>
          <w:sz w:val="24"/>
          <w:szCs w:val="24"/>
          <w:u w:val="single"/>
        </w:rPr>
        <w:t>对浮游动</w:t>
      </w:r>
      <w:r>
        <w:rPr>
          <w:rFonts w:hint="eastAsia" w:ascii="Times New Roman" w:hAnsi="Times New Roman" w:cs="Times New Roman"/>
          <w:b/>
          <w:bCs/>
          <w:color w:val="auto"/>
          <w:sz w:val="24"/>
          <w:szCs w:val="24"/>
          <w:u w:val="single"/>
          <w:lang w:eastAsia="zh-CN"/>
        </w:rPr>
        <w:t>、植</w:t>
      </w:r>
      <w:r>
        <w:rPr>
          <w:rFonts w:hint="default" w:ascii="Times New Roman" w:hAnsi="Times New Roman" w:cs="Times New Roman"/>
          <w:b/>
          <w:bCs/>
          <w:color w:val="auto"/>
          <w:sz w:val="24"/>
          <w:szCs w:val="24"/>
          <w:u w:val="single"/>
        </w:rPr>
        <w:t>物的影响</w:t>
      </w:r>
    </w:p>
    <w:p>
      <w:pPr>
        <w:adjustRightInd w:val="0"/>
        <w:snapToGrid w:val="0"/>
        <w:spacing w:line="360" w:lineRule="auto"/>
        <w:ind w:firstLine="480" w:firstLineChars="200"/>
        <w:rPr>
          <w:rFonts w:hint="default" w:ascii="Times New Roman" w:hAnsi="Times New Roman"/>
          <w:color w:val="auto"/>
          <w:sz w:val="24"/>
          <w:u w:val="single"/>
          <w:lang w:val="en-US" w:eastAsia="zh-CN"/>
        </w:rPr>
      </w:pPr>
      <w:r>
        <w:rPr>
          <w:rFonts w:hint="eastAsia" w:ascii="Times New Roman" w:hAnsi="Times New Roman"/>
          <w:color w:val="auto"/>
          <w:sz w:val="24"/>
          <w:u w:val="single"/>
          <w:lang w:eastAsia="zh-CN"/>
        </w:rPr>
        <w:t>⑴</w:t>
      </w:r>
      <w:r>
        <w:rPr>
          <w:rFonts w:hint="eastAsia" w:ascii="Times New Roman" w:hAnsi="Times New Roman"/>
          <w:color w:val="auto"/>
          <w:sz w:val="24"/>
          <w:u w:val="single"/>
          <w:lang w:val="en-US" w:eastAsia="zh-CN"/>
        </w:rPr>
        <w:t xml:space="preserve"> 施工期</w:t>
      </w:r>
    </w:p>
    <w:p>
      <w:pPr>
        <w:adjustRightInd w:val="0"/>
        <w:snapToGrid w:val="0"/>
        <w:spacing w:line="360" w:lineRule="auto"/>
        <w:ind w:firstLine="480" w:firstLineChars="200"/>
        <w:rPr>
          <w:rFonts w:ascii="Times New Roman" w:hAnsi="Times New Roman"/>
          <w:color w:val="auto"/>
          <w:sz w:val="24"/>
          <w:u w:val="single"/>
        </w:rPr>
      </w:pPr>
      <w:r>
        <w:rPr>
          <w:rFonts w:hint="eastAsia" w:ascii="Times New Roman" w:hAnsi="Times New Roman"/>
          <w:color w:val="auto"/>
          <w:sz w:val="24"/>
          <w:u w:val="single"/>
          <w:lang w:eastAsia="zh-CN"/>
        </w:rPr>
        <w:t>港池</w:t>
      </w:r>
      <w:r>
        <w:rPr>
          <w:rFonts w:ascii="Times New Roman" w:hAnsi="Times New Roman"/>
          <w:color w:val="auto"/>
          <w:sz w:val="24"/>
          <w:u w:val="single"/>
        </w:rPr>
        <w:t>岸坡开挖过程中，会引起附近水域悬浮物质的增加，破坏浮游生物的生存环境，从而对附近水域浮游生物产生一些影响。一部分泥沙与湖水混合，形成悬沙含量很高的水团，从而大大增加水中悬浮物的含量。类比同类工程，挖方产生的悬浮物质的浓度在扩散5m后就小于4.0mg/L，影响较小。</w:t>
      </w:r>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施工作业引起施工水域内的局部河水的混蚀，这将使阳光的透射率下降，从而使得该水域内的游泳生物迁移别处，浮游生物将受到不同程度的影响，尤其是滤食性浮游动物受到的影响较大，这主要是由于施工作业引起的水中悬浮物增加，悬浮颗粒会粘附在动物体表，干扰其正常的生理功能，滤食性游游动物及鱼类会吞食适当粒径的悬浮颗粒，造成内部消化系统絮乱。</w:t>
      </w:r>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从水生生态学角度来看，因水域挖泥引起的泥沙掀起，使得水体中悬浮物质的增多，会对水生生物产生诸多的负面影响，最直接的影响是高浊度的水会导致水体的透明度降低，削弱水体的真光层厚度，从而影响浮游藻类的光合作用，降低施工水域的初级生产力，从而使浮游植物生物量下降。由于项目所在水域人类活动频繁，属已开发港区，水生植物极少，且工程占用水域面积不过</w:t>
      </w:r>
      <w:r>
        <w:rPr>
          <w:rFonts w:hint="eastAsia" w:ascii="Times New Roman" w:hAnsi="Times New Roman"/>
          <w:color w:val="auto"/>
          <w:sz w:val="24"/>
          <w:u w:val="single"/>
        </w:rPr>
        <w:t>90</w:t>
      </w:r>
      <w:r>
        <w:rPr>
          <w:rFonts w:ascii="Times New Roman" w:hAnsi="Times New Roman"/>
          <w:color w:val="auto"/>
          <w:sz w:val="24"/>
          <w:u w:val="single"/>
        </w:rPr>
        <w:t>亩左右，对保护区整体浮游植物生长的影响有限。因此，施工期对东洞庭湖浮游植物影响极小。</w:t>
      </w:r>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此外，据有关资料，水中悬浮物质含量的增加，对浮游桡足类动物的存活和繁殖有明显的抑制作用。过量的悬浮物质会堵塞浮游桡足类动物的食物过滤系统和消化器官，尤其在悬浮物含量大到300mg/L以上时，这种危害特别明显。在悬浮物质中，又以粘性淤泥的危害最大，泥土及细砂泥次之。</w:t>
      </w:r>
    </w:p>
    <w:p>
      <w:pPr>
        <w:adjustRightInd w:val="0"/>
        <w:snapToGrid w:val="0"/>
        <w:spacing w:line="360" w:lineRule="auto"/>
        <w:ind w:firstLine="480" w:firstLineChars="200"/>
        <w:rPr>
          <w:rFonts w:hint="eastAsia" w:ascii="Times New Roman" w:hAnsi="Times New Roman"/>
          <w:color w:val="auto"/>
          <w:sz w:val="24"/>
          <w:u w:val="single"/>
          <w:lang w:eastAsia="zh-CN"/>
        </w:rPr>
      </w:pPr>
      <w:r>
        <w:rPr>
          <w:rFonts w:ascii="Times New Roman" w:hAnsi="Times New Roman"/>
          <w:color w:val="auto"/>
          <w:sz w:val="24"/>
          <w:u w:val="single"/>
        </w:rPr>
        <w:t>工程所占水域面积较少，不会改变区域营养源的状况，对浮游动物的影响有限。同时，本</w:t>
      </w:r>
      <w:r>
        <w:rPr>
          <w:rFonts w:hint="eastAsia" w:ascii="Times New Roman" w:hAnsi="Times New Roman"/>
          <w:color w:val="auto"/>
          <w:sz w:val="24"/>
          <w:u w:val="single"/>
          <w:lang w:eastAsia="zh-CN"/>
        </w:rPr>
        <w:t>项目港池开挖</w:t>
      </w:r>
      <w:r>
        <w:rPr>
          <w:rFonts w:ascii="Times New Roman" w:hAnsi="Times New Roman"/>
          <w:color w:val="auto"/>
          <w:sz w:val="24"/>
          <w:u w:val="single"/>
        </w:rPr>
        <w:t>时间较短，施工对水体中浮游生物的影响是暂时性的，在施工结束后一段时间，随水体自净能力恢复而得到改善，浮游生物可基本恢复到施工前的水平</w:t>
      </w:r>
      <w:r>
        <w:rPr>
          <w:rFonts w:hint="eastAsia" w:ascii="Times New Roman" w:hAnsi="Times New Roman"/>
          <w:color w:val="auto"/>
          <w:sz w:val="24"/>
          <w:u w:val="single"/>
          <w:lang w:eastAsia="zh-CN"/>
        </w:rPr>
        <w:t>。</w:t>
      </w:r>
    </w:p>
    <w:p>
      <w:pPr>
        <w:adjustRightInd w:val="0"/>
        <w:snapToGrid w:val="0"/>
        <w:spacing w:line="360" w:lineRule="auto"/>
        <w:ind w:firstLine="480" w:firstLineChars="200"/>
        <w:rPr>
          <w:rFonts w:hint="default" w:ascii="Times New Roman" w:hAnsi="Times New Roman"/>
          <w:color w:val="auto"/>
          <w:sz w:val="24"/>
          <w:u w:val="single"/>
          <w:lang w:val="en-US" w:eastAsia="zh-CN"/>
        </w:rPr>
      </w:pPr>
      <w:r>
        <w:rPr>
          <w:rFonts w:hint="eastAsia" w:ascii="Times New Roman" w:hAnsi="Times New Roman"/>
          <w:color w:val="auto"/>
          <w:sz w:val="24"/>
          <w:u w:val="single"/>
          <w:lang w:eastAsia="zh-CN"/>
        </w:rPr>
        <w:t>⑵</w:t>
      </w:r>
      <w:r>
        <w:rPr>
          <w:rFonts w:hint="eastAsia" w:ascii="Times New Roman" w:hAnsi="Times New Roman"/>
          <w:color w:val="auto"/>
          <w:sz w:val="24"/>
          <w:u w:val="single"/>
          <w:lang w:val="en-US" w:eastAsia="zh-CN"/>
        </w:rPr>
        <w:t xml:space="preserve"> 运营期</w:t>
      </w:r>
    </w:p>
    <w:p>
      <w:pPr>
        <w:adjustRightInd w:val="0"/>
        <w:snapToGrid w:val="0"/>
        <w:spacing w:line="360" w:lineRule="auto"/>
        <w:ind w:firstLine="480" w:firstLineChars="200"/>
        <w:rPr>
          <w:rFonts w:hint="eastAsia" w:ascii="Times New Roman" w:hAnsi="Times New Roman"/>
          <w:color w:val="auto"/>
          <w:sz w:val="24"/>
          <w:u w:val="single"/>
        </w:rPr>
      </w:pPr>
      <w:r>
        <w:rPr>
          <w:rFonts w:ascii="Times New Roman" w:hAnsi="Times New Roman"/>
          <w:color w:val="auto"/>
          <w:sz w:val="24"/>
          <w:u w:val="single"/>
        </w:rPr>
        <w:t>工程运营后，</w:t>
      </w:r>
      <w:r>
        <w:rPr>
          <w:rFonts w:hint="eastAsia" w:ascii="Times New Roman" w:hAnsi="Times New Roman"/>
          <w:color w:val="auto"/>
          <w:sz w:val="24"/>
          <w:u w:val="single"/>
          <w:lang w:eastAsia="zh-CN"/>
        </w:rPr>
        <w:t>加注平台</w:t>
      </w:r>
      <w:r>
        <w:rPr>
          <w:rFonts w:ascii="Times New Roman" w:hAnsi="Times New Roman"/>
          <w:color w:val="auto"/>
          <w:sz w:val="24"/>
          <w:u w:val="single"/>
        </w:rPr>
        <w:t>永久性占用水域、进出港船舶数量增多，船舶舱底含油污水的排放在水体表明形成油膜，会影响浮游植物的光合作用，并对浮游动、植物产生一定的毒害作用，但由于</w:t>
      </w:r>
      <w:r>
        <w:rPr>
          <w:rFonts w:hint="eastAsia" w:ascii="Times New Roman" w:hAnsi="Times New Roman"/>
          <w:color w:val="auto"/>
          <w:sz w:val="24"/>
          <w:u w:val="single"/>
          <w:lang w:eastAsia="zh-CN"/>
        </w:rPr>
        <w:t>加注平台</w:t>
      </w:r>
      <w:r>
        <w:rPr>
          <w:rFonts w:ascii="Times New Roman" w:hAnsi="Times New Roman"/>
          <w:color w:val="auto"/>
          <w:sz w:val="24"/>
          <w:u w:val="single"/>
        </w:rPr>
        <w:t>占用水域面积较少，对浮游动、植物的影响非常有限，不会影响到水生生态系统食物链。运营期应严格控制船舶含油污水的排放，以降低对浮游动、植物的影响。</w:t>
      </w:r>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另外，由于进出港船舶增多，出现碰撞事故的概率提高，浮游动物石油急性中毒致死浓度范围一般为0.1</w:t>
      </w:r>
      <w:r>
        <w:rPr>
          <w:rFonts w:hint="eastAsia" w:ascii="Times New Roman" w:hAnsi="Times New Roman"/>
          <w:color w:val="auto"/>
          <w:sz w:val="24"/>
          <w:u w:val="single"/>
          <w:lang w:val="en-US" w:eastAsia="zh-CN"/>
        </w:rPr>
        <w:t>~</w:t>
      </w:r>
      <w:r>
        <w:rPr>
          <w:rFonts w:ascii="Times New Roman" w:hAnsi="Times New Roman"/>
          <w:color w:val="auto"/>
          <w:sz w:val="24"/>
          <w:u w:val="single"/>
        </w:rPr>
        <w:t>15mg/L，而且通过不同浓度的石油类环境对桡足类幼体的影响实验表明，永久性</w:t>
      </w:r>
      <w:r>
        <w:rPr>
          <w:rFonts w:hint="eastAsia" w:ascii="Times New Roman" w:hAnsi="Times New Roman"/>
          <w:color w:val="auto"/>
          <w:sz w:val="24"/>
          <w:u w:val="single"/>
          <w:lang w:eastAsia="zh-CN"/>
        </w:rPr>
        <w:t>（</w:t>
      </w:r>
      <w:r>
        <w:rPr>
          <w:rFonts w:ascii="Times New Roman" w:hAnsi="Times New Roman"/>
          <w:color w:val="auto"/>
          <w:sz w:val="24"/>
          <w:u w:val="single"/>
        </w:rPr>
        <w:t>终生性</w:t>
      </w:r>
      <w:r>
        <w:rPr>
          <w:rFonts w:hint="eastAsia" w:ascii="Times New Roman" w:hAnsi="Times New Roman"/>
          <w:color w:val="auto"/>
          <w:sz w:val="24"/>
          <w:u w:val="single"/>
          <w:lang w:eastAsia="zh-CN"/>
        </w:rPr>
        <w:t>）</w:t>
      </w:r>
      <w:r>
        <w:rPr>
          <w:rFonts w:ascii="Times New Roman" w:hAnsi="Times New Roman"/>
          <w:color w:val="auto"/>
          <w:sz w:val="24"/>
          <w:u w:val="single"/>
        </w:rPr>
        <w:t>浮游动物幼体的敏感性大于阶段性</w:t>
      </w:r>
      <w:r>
        <w:rPr>
          <w:rFonts w:hint="eastAsia" w:ascii="Times New Roman" w:hAnsi="Times New Roman"/>
          <w:color w:val="auto"/>
          <w:sz w:val="24"/>
          <w:u w:val="single"/>
          <w:lang w:eastAsia="zh-CN"/>
        </w:rPr>
        <w:t>（</w:t>
      </w:r>
      <w:r>
        <w:rPr>
          <w:rFonts w:ascii="Times New Roman" w:hAnsi="Times New Roman"/>
          <w:color w:val="auto"/>
          <w:sz w:val="24"/>
          <w:u w:val="single"/>
        </w:rPr>
        <w:t>临时性</w:t>
      </w:r>
      <w:r>
        <w:rPr>
          <w:rFonts w:hint="eastAsia" w:ascii="Times New Roman" w:hAnsi="Times New Roman"/>
          <w:color w:val="auto"/>
          <w:sz w:val="24"/>
          <w:u w:val="single"/>
          <w:lang w:eastAsia="zh-CN"/>
        </w:rPr>
        <w:t>）</w:t>
      </w:r>
      <w:r>
        <w:rPr>
          <w:rFonts w:ascii="Times New Roman" w:hAnsi="Times New Roman"/>
          <w:color w:val="auto"/>
          <w:sz w:val="24"/>
          <w:u w:val="single"/>
        </w:rPr>
        <w:t>的底栖生物幼体，而它们各自的幼体的敏感性又大于成体。因此，务必做好防护措施，减少风险事故的发生。</w:t>
      </w:r>
    </w:p>
    <w:p>
      <w:pPr>
        <w:widowControl/>
        <w:adjustRightInd w:val="0"/>
        <w:snapToGrid w:val="0"/>
        <w:spacing w:line="360" w:lineRule="auto"/>
        <w:ind w:firstLine="482" w:firstLineChars="200"/>
        <w:rPr>
          <w:rFonts w:hint="eastAsia" w:ascii="Times New Roman" w:hAnsi="Times New Roman" w:cs="Times New Roman"/>
          <w:b/>
          <w:bCs/>
          <w:color w:val="auto"/>
          <w:sz w:val="24"/>
          <w:szCs w:val="24"/>
          <w:u w:val="single"/>
          <w:lang w:val="en-US" w:eastAsia="zh-CN"/>
        </w:rPr>
      </w:pPr>
      <w:r>
        <w:rPr>
          <w:rFonts w:hint="eastAsia" w:ascii="Times New Roman" w:hAnsi="Times New Roman" w:cs="Times New Roman"/>
          <w:b/>
          <w:bCs/>
          <w:color w:val="auto"/>
          <w:sz w:val="24"/>
          <w:szCs w:val="24"/>
          <w:u w:val="single"/>
          <w:lang w:val="en-US" w:eastAsia="zh-CN"/>
        </w:rPr>
        <w:t>2、对底栖动物的影响</w:t>
      </w:r>
    </w:p>
    <w:p>
      <w:pPr>
        <w:adjustRightInd w:val="0"/>
        <w:snapToGrid w:val="0"/>
        <w:spacing w:line="360" w:lineRule="auto"/>
        <w:ind w:firstLine="480" w:firstLineChars="200"/>
        <w:rPr>
          <w:rFonts w:ascii="Times New Roman" w:hAnsi="Times New Roman"/>
          <w:color w:val="auto"/>
          <w:sz w:val="24"/>
          <w:u w:val="single"/>
        </w:rPr>
      </w:pPr>
      <w:r>
        <w:rPr>
          <w:rFonts w:hint="eastAsia" w:ascii="Times New Roman" w:hAnsi="Times New Roman"/>
          <w:color w:val="auto"/>
          <w:sz w:val="24"/>
          <w:u w:val="single"/>
        </w:rPr>
        <w:t>工程施工如港池</w:t>
      </w:r>
      <w:r>
        <w:rPr>
          <w:rFonts w:hint="eastAsia" w:ascii="Times New Roman" w:hAnsi="Times New Roman"/>
          <w:color w:val="auto"/>
          <w:sz w:val="24"/>
          <w:u w:val="single"/>
          <w:lang w:eastAsia="zh-CN"/>
        </w:rPr>
        <w:t>开挖</w:t>
      </w:r>
      <w:r>
        <w:rPr>
          <w:rFonts w:hint="eastAsia" w:ascii="Times New Roman" w:hAnsi="Times New Roman"/>
          <w:color w:val="auto"/>
          <w:sz w:val="24"/>
          <w:u w:val="single"/>
        </w:rPr>
        <w:t>、护岸等</w:t>
      </w:r>
      <w:r>
        <w:rPr>
          <w:rFonts w:ascii="Times New Roman" w:hAnsi="Times New Roman"/>
          <w:color w:val="auto"/>
          <w:sz w:val="24"/>
          <w:u w:val="single"/>
        </w:rPr>
        <w:t>破坏了底栖生物的栖息地，使底栖生物失去了部分栖息地，栖息环境受到了影响。施工结束后，底栖生物将逐渐恢复，但底栖群落与原来相比将有很大的差别。底栖种类多样性会有所减少，群落结构简单化，群落的稳定性会下降。在</w:t>
      </w:r>
      <w:r>
        <w:rPr>
          <w:rFonts w:hint="eastAsia" w:ascii="Times New Roman" w:hAnsi="Times New Roman"/>
          <w:color w:val="auto"/>
          <w:sz w:val="24"/>
          <w:u w:val="single"/>
          <w:lang w:eastAsia="zh-CN"/>
        </w:rPr>
        <w:t>港池开挖</w:t>
      </w:r>
      <w:r>
        <w:rPr>
          <w:rFonts w:ascii="Times New Roman" w:hAnsi="Times New Roman"/>
          <w:color w:val="auto"/>
          <w:sz w:val="24"/>
          <w:u w:val="single"/>
        </w:rPr>
        <w:t>时，挖掘区的局部水域悬浮物会增加，从而降低水体透明度，会使底栖生物的生理受到影响，一些敏感种会受损，甚至消失。由于施工量较小，施工期短暂，当施工停止后可恢复到原有水平。</w:t>
      </w:r>
    </w:p>
    <w:p>
      <w:pPr>
        <w:adjustRightInd w:val="0"/>
        <w:snapToGrid w:val="0"/>
        <w:spacing w:line="360" w:lineRule="auto"/>
        <w:ind w:firstLine="480" w:firstLineChars="200"/>
        <w:rPr>
          <w:rFonts w:ascii="Times New Roman" w:hAnsi="Times New Roman"/>
          <w:color w:val="auto"/>
          <w:sz w:val="24"/>
          <w:u w:val="single"/>
        </w:rPr>
      </w:pPr>
      <w:r>
        <w:rPr>
          <w:rFonts w:hint="eastAsia" w:ascii="Times New Roman" w:hAnsi="Times New Roman"/>
          <w:color w:val="auto"/>
          <w:sz w:val="24"/>
          <w:u w:val="single"/>
        </w:rPr>
        <w:t>工程</w:t>
      </w:r>
      <w:r>
        <w:rPr>
          <w:rFonts w:ascii="Times New Roman" w:hAnsi="Times New Roman"/>
          <w:color w:val="auto"/>
          <w:sz w:val="24"/>
          <w:u w:val="single"/>
        </w:rPr>
        <w:t>建设对底栖生物的影响主要是引起数量的减少，因为桩基施工和港池</w:t>
      </w:r>
      <w:r>
        <w:rPr>
          <w:rFonts w:hint="eastAsia" w:ascii="Times New Roman" w:hAnsi="Times New Roman"/>
          <w:color w:val="auto"/>
          <w:sz w:val="24"/>
          <w:u w:val="single"/>
          <w:lang w:eastAsia="zh-CN"/>
        </w:rPr>
        <w:t>开挖</w:t>
      </w:r>
      <w:r>
        <w:rPr>
          <w:rFonts w:ascii="Times New Roman" w:hAnsi="Times New Roman"/>
          <w:color w:val="auto"/>
          <w:sz w:val="24"/>
          <w:u w:val="single"/>
        </w:rPr>
        <w:t>，所占水域面积上底栖动物收到一定程度损害，这其中大多为软体动物。该工程无硬化，不新占用和硬化岸线，仅施工时将现有岸坡地开挖施工后恢复原状</w:t>
      </w:r>
      <w:r>
        <w:rPr>
          <w:rFonts w:hint="eastAsia" w:ascii="Times New Roman" w:hAnsi="Times New Roman"/>
          <w:color w:val="auto"/>
          <w:sz w:val="24"/>
          <w:u w:val="single"/>
          <w:lang w:eastAsia="zh-CN"/>
        </w:rPr>
        <w:t>。</w:t>
      </w:r>
      <w:r>
        <w:rPr>
          <w:rFonts w:ascii="Times New Roman" w:hAnsi="Times New Roman"/>
          <w:color w:val="auto"/>
          <w:sz w:val="24"/>
          <w:u w:val="single"/>
        </w:rPr>
        <w:t>因此，施工底栖动物影响很小，且随着施工结束，在桩基和码头附近又会附着新的生物种群，生物量也会随之恢复。</w:t>
      </w:r>
    </w:p>
    <w:p>
      <w:pPr>
        <w:widowControl/>
        <w:adjustRightInd w:val="0"/>
        <w:snapToGrid w:val="0"/>
        <w:spacing w:line="360" w:lineRule="auto"/>
        <w:ind w:firstLine="482" w:firstLineChars="200"/>
        <w:rPr>
          <w:rFonts w:hint="eastAsia" w:ascii="Times New Roman" w:hAnsi="Times New Roman" w:cs="Times New Roman"/>
          <w:b/>
          <w:bCs/>
          <w:color w:val="auto"/>
          <w:sz w:val="24"/>
          <w:szCs w:val="24"/>
          <w:u w:val="single"/>
          <w:lang w:val="en-US" w:eastAsia="zh-CN"/>
        </w:rPr>
      </w:pPr>
      <w:r>
        <w:rPr>
          <w:rFonts w:hint="eastAsia" w:ascii="Times New Roman" w:hAnsi="Times New Roman" w:cs="Times New Roman"/>
          <w:b/>
          <w:bCs/>
          <w:color w:val="auto"/>
          <w:sz w:val="24"/>
          <w:szCs w:val="24"/>
          <w:u w:val="single"/>
          <w:lang w:val="en-US" w:eastAsia="zh-CN"/>
        </w:rPr>
        <w:t>3、对水生维管束植物的影响</w:t>
      </w:r>
    </w:p>
    <w:p>
      <w:pPr>
        <w:adjustRightInd w:val="0"/>
        <w:snapToGrid w:val="0"/>
        <w:spacing w:line="360" w:lineRule="auto"/>
        <w:ind w:firstLine="482"/>
        <w:rPr>
          <w:rFonts w:ascii="Times New Roman" w:hAnsi="Times New Roman"/>
          <w:color w:val="auto"/>
          <w:sz w:val="24"/>
        </w:rPr>
      </w:pPr>
      <w:r>
        <w:rPr>
          <w:rFonts w:ascii="Times New Roman" w:hAnsi="Times New Roman"/>
          <w:color w:val="auto"/>
          <w:sz w:val="24"/>
          <w:u w:val="single"/>
        </w:rPr>
        <w:t>对水生维管束植物的影响：工程区为敞水区，深水区，无洲滩，水草较少，施工对水生维管束植物造成的影响有限。</w:t>
      </w:r>
    </w:p>
    <w:p>
      <w:pPr>
        <w:pStyle w:val="5"/>
        <w:ind w:left="578" w:hanging="578"/>
        <w:rPr>
          <w:rFonts w:hint="default" w:ascii="Times New Roman" w:hAnsi="Times New Roman" w:cs="Times New Roman"/>
          <w:color w:val="auto"/>
          <w:lang w:eastAsia="zh-CN"/>
        </w:rPr>
      </w:pPr>
      <w:r>
        <w:rPr>
          <w:rFonts w:hint="default" w:ascii="Times New Roman" w:hAnsi="Times New Roman" w:cs="Times New Roman"/>
          <w:color w:val="auto"/>
          <w:lang w:eastAsia="zh-CN"/>
        </w:rPr>
        <w:t>对保护区珍稀保护物种的影响</w:t>
      </w:r>
    </w:p>
    <w:p>
      <w:pPr>
        <w:adjustRightInd w:val="0"/>
        <w:snapToGrid w:val="0"/>
        <w:spacing w:line="360" w:lineRule="auto"/>
        <w:ind w:firstLine="482"/>
        <w:rPr>
          <w:rFonts w:ascii="Times New Roman" w:hAnsi="Times New Roman"/>
          <w:color w:val="auto"/>
          <w:sz w:val="24"/>
        </w:rPr>
      </w:pPr>
      <w:r>
        <w:rPr>
          <w:rFonts w:ascii="Times New Roman" w:hAnsi="Times New Roman"/>
          <w:color w:val="auto"/>
          <w:sz w:val="24"/>
        </w:rPr>
        <w:t>本</w:t>
      </w:r>
      <w:r>
        <w:rPr>
          <w:rFonts w:hint="eastAsia" w:ascii="Times New Roman" w:hAnsi="Times New Roman"/>
          <w:color w:val="auto"/>
          <w:sz w:val="24"/>
          <w:lang w:eastAsia="zh-CN"/>
        </w:rPr>
        <w:t>项目</w:t>
      </w:r>
      <w:r>
        <w:rPr>
          <w:rFonts w:ascii="Times New Roman" w:hAnsi="Times New Roman"/>
          <w:color w:val="auto"/>
          <w:sz w:val="24"/>
        </w:rPr>
        <w:t>位于洞庭湖自然保护区实验区，工程所在江段作为长江珍稀水生生物白鳍豚、江豚、中华鲟、白鲟及胭脂鱼等的洄游通道，项目施工中由于过往船只的增加、疏浚作业施工过程中带来的悬浮物、噪声等的干扰可能对通过本江段的珍稀水生生物通过等造成一定的干扰影响，尤其是白鲟主要活动在距岸边400m内的水域，但据调查，白鳍豚、鲥鱼和白鲟三种在近二十年内未发现。同时，由于本项目水中工程量小且施工时间短，水中作业对长江水质不会构成明显不利影响，从白鳍豚、江豚、中华鲟、白鲟和其他鱼类的自身生物本能而讲，它们都具有遇船只逃避的本能，施工时自然会逃避此处。施工过程中注意加强管理，把施工对珍稀水生野生保护动物的影响减少到最低限度。</w:t>
      </w:r>
    </w:p>
    <w:p>
      <w:pPr>
        <w:pStyle w:val="5"/>
        <w:ind w:left="578" w:hanging="578"/>
        <w:rPr>
          <w:rFonts w:hint="default" w:ascii="Times New Roman" w:hAnsi="Times New Roman" w:cs="Times New Roman"/>
          <w:color w:val="auto"/>
          <w:lang w:eastAsia="zh-CN"/>
        </w:rPr>
      </w:pPr>
      <w:r>
        <w:rPr>
          <w:rFonts w:hint="default" w:ascii="Times New Roman" w:hAnsi="Times New Roman" w:cs="Times New Roman"/>
          <w:color w:val="auto"/>
          <w:lang w:eastAsia="zh-CN"/>
        </w:rPr>
        <w:t>施工废水对保护区的影响</w:t>
      </w:r>
    </w:p>
    <w:p>
      <w:pPr>
        <w:adjustRightInd w:val="0"/>
        <w:snapToGrid w:val="0"/>
        <w:spacing w:line="360" w:lineRule="auto"/>
        <w:ind w:firstLine="482"/>
        <w:rPr>
          <w:rFonts w:hint="eastAsia" w:ascii="Times New Roman" w:hAnsi="Times New Roman"/>
          <w:color w:val="auto"/>
          <w:sz w:val="24"/>
          <w:u w:val="single"/>
        </w:rPr>
      </w:pPr>
      <w:r>
        <w:rPr>
          <w:rFonts w:ascii="Times New Roman" w:hAnsi="Times New Roman"/>
          <w:color w:val="auto"/>
          <w:sz w:val="24"/>
          <w:u w:val="single"/>
        </w:rPr>
        <w:t>施工废水主要包括施工生活污水和施工船舶产生的含油污水。施工生活污水经化粪池处理后用于农灌，施工船舶应装配有油水分离器，收集上岸集中处理达标后回用，不得排放入长江。</w:t>
      </w:r>
    </w:p>
    <w:p>
      <w:pPr>
        <w:pStyle w:val="5"/>
        <w:ind w:left="578" w:hanging="578"/>
        <w:rPr>
          <w:rFonts w:hint="eastAsia" w:ascii="Times New Roman" w:hAnsi="Times New Roman" w:cs="Times New Roman"/>
          <w:color w:val="auto"/>
          <w:lang w:eastAsia="zh-CN"/>
        </w:rPr>
      </w:pPr>
      <w:r>
        <w:rPr>
          <w:rFonts w:hint="eastAsia" w:ascii="Times New Roman" w:hAnsi="Times New Roman" w:cs="Times New Roman"/>
          <w:color w:val="auto"/>
          <w:lang w:eastAsia="zh-CN"/>
        </w:rPr>
        <w:t>对物种多样性的影响</w:t>
      </w:r>
    </w:p>
    <w:p>
      <w:pPr>
        <w:adjustRightInd w:val="0"/>
        <w:snapToGrid w:val="0"/>
        <w:spacing w:line="360" w:lineRule="auto"/>
        <w:ind w:firstLine="482"/>
        <w:rPr>
          <w:rFonts w:hint="eastAsia" w:ascii="Times New Roman" w:hAnsi="Times New Roman"/>
          <w:color w:val="auto"/>
          <w:sz w:val="24"/>
          <w:u w:val="single"/>
        </w:rPr>
      </w:pPr>
      <w:r>
        <w:rPr>
          <w:rFonts w:ascii="Times New Roman" w:hAnsi="Times New Roman"/>
          <w:color w:val="auto"/>
          <w:sz w:val="24"/>
          <w:u w:val="single"/>
        </w:rPr>
        <w:t>工程施工都会对植物产生直接或间接的影响，而本</w:t>
      </w:r>
      <w:r>
        <w:rPr>
          <w:rFonts w:hint="eastAsia" w:ascii="Times New Roman" w:hAnsi="Times New Roman"/>
          <w:color w:val="auto"/>
          <w:sz w:val="24"/>
          <w:u w:val="single"/>
          <w:lang w:eastAsia="zh-CN"/>
        </w:rPr>
        <w:t>项目</w:t>
      </w:r>
      <w:r>
        <w:rPr>
          <w:rFonts w:ascii="Times New Roman" w:hAnsi="Times New Roman"/>
          <w:color w:val="auto"/>
          <w:sz w:val="24"/>
          <w:u w:val="single"/>
        </w:rPr>
        <w:t>新建</w:t>
      </w:r>
      <w:r>
        <w:rPr>
          <w:rFonts w:hint="default" w:ascii="Times New Roman" w:hAnsi="Times New Roman"/>
          <w:color w:val="auto"/>
          <w:sz w:val="24"/>
          <w:u w:val="single"/>
        </w:rPr>
        <w:t>2座5000吨级LNG加注泊位（码头结构按停靠10000吨级船舶设计）</w:t>
      </w:r>
      <w:r>
        <w:rPr>
          <w:rFonts w:ascii="Times New Roman" w:hAnsi="Times New Roman"/>
          <w:color w:val="auto"/>
          <w:sz w:val="24"/>
          <w:u w:val="single"/>
        </w:rPr>
        <w:t>，采用浮式码头结构，不开挖土壤，没有大规模土建工程</w:t>
      </w:r>
      <w:r>
        <w:rPr>
          <w:rFonts w:hint="eastAsia" w:ascii="Times New Roman" w:hAnsi="Times New Roman"/>
          <w:color w:val="auto"/>
          <w:sz w:val="24"/>
          <w:u w:val="single"/>
          <w:lang w:eastAsia="zh-CN"/>
        </w:rPr>
        <w:t>。</w:t>
      </w:r>
      <w:r>
        <w:rPr>
          <w:rFonts w:ascii="Times New Roman" w:hAnsi="Times New Roman"/>
          <w:color w:val="auto"/>
          <w:sz w:val="24"/>
          <w:u w:val="single"/>
        </w:rPr>
        <w:t>因此</w:t>
      </w:r>
      <w:r>
        <w:rPr>
          <w:rFonts w:hint="eastAsia" w:ascii="Times New Roman" w:hAnsi="Times New Roman"/>
          <w:color w:val="auto"/>
          <w:sz w:val="24"/>
          <w:u w:val="single"/>
          <w:lang w:eastAsia="zh-CN"/>
        </w:rPr>
        <w:t>，</w:t>
      </w:r>
      <w:r>
        <w:rPr>
          <w:rFonts w:ascii="Times New Roman" w:hAnsi="Times New Roman"/>
          <w:color w:val="auto"/>
          <w:sz w:val="24"/>
          <w:u w:val="single"/>
        </w:rPr>
        <w:t>本</w:t>
      </w:r>
      <w:r>
        <w:rPr>
          <w:rFonts w:hint="eastAsia" w:ascii="Times New Roman" w:hAnsi="Times New Roman"/>
          <w:color w:val="auto"/>
          <w:sz w:val="24"/>
          <w:u w:val="single"/>
          <w:lang w:eastAsia="zh-CN"/>
        </w:rPr>
        <w:t>项目</w:t>
      </w:r>
      <w:r>
        <w:rPr>
          <w:rFonts w:ascii="Times New Roman" w:hAnsi="Times New Roman"/>
          <w:color w:val="auto"/>
          <w:sz w:val="24"/>
          <w:u w:val="single"/>
        </w:rPr>
        <w:t>对保护区动物多样性，包括鱼类的分布影响很小。</w:t>
      </w:r>
    </w:p>
    <w:p>
      <w:pPr>
        <w:adjustRightInd w:val="0"/>
        <w:snapToGrid w:val="0"/>
        <w:spacing w:line="360" w:lineRule="auto"/>
        <w:ind w:firstLine="482"/>
        <w:rPr>
          <w:rFonts w:hint="eastAsia" w:ascii="Times New Roman" w:hAnsi="Times New Roman"/>
          <w:color w:val="auto"/>
          <w:sz w:val="24"/>
          <w:u w:val="single"/>
        </w:rPr>
      </w:pPr>
      <w:r>
        <w:rPr>
          <w:rFonts w:ascii="Times New Roman" w:hAnsi="Times New Roman"/>
          <w:color w:val="auto"/>
          <w:sz w:val="24"/>
          <w:u w:val="single"/>
        </w:rPr>
        <w:t>工程运行后，来往码头的船只增加，将对码头附近鱼类密度造成影响，同时岸上来往车辆增加将对码头附近陆生动物密度产生短期影响，但该区域内鸟类多为常见物种，且适应生境无特殊选择要求</w:t>
      </w:r>
      <w:r>
        <w:rPr>
          <w:rFonts w:hint="eastAsia" w:ascii="Times New Roman" w:hAnsi="Times New Roman"/>
          <w:color w:val="auto"/>
          <w:sz w:val="24"/>
          <w:u w:val="single"/>
          <w:lang w:eastAsia="zh-CN"/>
        </w:rPr>
        <w:t>。</w:t>
      </w:r>
      <w:r>
        <w:rPr>
          <w:rFonts w:ascii="Times New Roman" w:hAnsi="Times New Roman"/>
          <w:color w:val="auto"/>
          <w:sz w:val="24"/>
          <w:u w:val="single"/>
        </w:rPr>
        <w:t>因此</w:t>
      </w:r>
      <w:r>
        <w:rPr>
          <w:rFonts w:hint="eastAsia" w:ascii="Times New Roman" w:hAnsi="Times New Roman"/>
          <w:color w:val="auto"/>
          <w:sz w:val="24"/>
          <w:u w:val="single"/>
          <w:lang w:eastAsia="zh-CN"/>
        </w:rPr>
        <w:t>，</w:t>
      </w:r>
      <w:r>
        <w:rPr>
          <w:rFonts w:ascii="Times New Roman" w:hAnsi="Times New Roman"/>
          <w:color w:val="auto"/>
          <w:sz w:val="24"/>
          <w:u w:val="single"/>
        </w:rPr>
        <w:t>工程运营对动物多样性无明显的影响。</w:t>
      </w:r>
    </w:p>
    <w:p>
      <w:pPr>
        <w:pStyle w:val="5"/>
        <w:ind w:left="578" w:hanging="578"/>
        <w:rPr>
          <w:rFonts w:hint="eastAsia" w:ascii="Times New Roman" w:hAnsi="Times New Roman" w:cs="Times New Roman"/>
          <w:color w:val="auto"/>
          <w:lang w:eastAsia="zh-CN"/>
        </w:rPr>
      </w:pPr>
      <w:r>
        <w:rPr>
          <w:rFonts w:hint="eastAsia" w:ascii="Times New Roman" w:hAnsi="Times New Roman" w:cs="Times New Roman"/>
          <w:color w:val="auto"/>
          <w:lang w:eastAsia="zh-CN"/>
        </w:rPr>
        <w:t>进出港船舶对鱼类和珍稀频危物种洄游的影响</w:t>
      </w:r>
    </w:p>
    <w:p>
      <w:pPr>
        <w:adjustRightInd w:val="0"/>
        <w:snapToGrid w:val="0"/>
        <w:spacing w:line="360" w:lineRule="auto"/>
        <w:ind w:firstLine="482"/>
        <w:rPr>
          <w:rFonts w:ascii="Times New Roman" w:hAnsi="Times New Roman"/>
          <w:color w:val="auto"/>
          <w:sz w:val="24"/>
          <w:u w:val="single"/>
        </w:rPr>
      </w:pPr>
      <w:r>
        <w:rPr>
          <w:rFonts w:hint="eastAsia" w:ascii="Times New Roman" w:hAnsi="Times New Roman"/>
          <w:color w:val="auto"/>
          <w:sz w:val="24"/>
          <w:u w:val="single"/>
          <w:lang w:val="zh-CN"/>
        </w:rPr>
        <w:t>⑴</w:t>
      </w:r>
      <w:r>
        <w:rPr>
          <w:rFonts w:hint="eastAsia" w:ascii="Times New Roman" w:hAnsi="Times New Roman"/>
          <w:color w:val="auto"/>
          <w:sz w:val="24"/>
          <w:u w:val="single"/>
          <w:lang w:val="en-US" w:eastAsia="zh-CN"/>
        </w:rPr>
        <w:t xml:space="preserve"> </w:t>
      </w:r>
      <w:r>
        <w:rPr>
          <w:rFonts w:hint="default" w:ascii="Times New Roman" w:hAnsi="Times New Roman"/>
          <w:color w:val="auto"/>
          <w:sz w:val="24"/>
          <w:u w:val="single"/>
          <w:lang w:val="zh-CN"/>
        </w:rPr>
        <w:t>本</w:t>
      </w:r>
      <w:r>
        <w:rPr>
          <w:rFonts w:hint="default" w:ascii="Times New Roman" w:hAnsi="Times New Roman"/>
          <w:color w:val="auto"/>
          <w:sz w:val="24"/>
          <w:u w:val="single"/>
        </w:rPr>
        <w:t>项目LNG加注方式采用LNG罐箱或槽车通过卸车撬直接对船舶进行加注，</w:t>
      </w:r>
      <w:r>
        <w:rPr>
          <w:rFonts w:ascii="Times New Roman" w:hAnsi="Times New Roman"/>
          <w:color w:val="auto"/>
          <w:sz w:val="24"/>
          <w:u w:val="single"/>
        </w:rPr>
        <w:t>鱼类仍可</w:t>
      </w:r>
      <w:r>
        <w:rPr>
          <w:rFonts w:hint="eastAsia" w:ascii="Times New Roman" w:hAnsi="Times New Roman"/>
          <w:color w:val="auto"/>
          <w:sz w:val="24"/>
          <w:u w:val="single"/>
          <w:lang w:eastAsia="zh-CN"/>
        </w:rPr>
        <w:t>加注</w:t>
      </w:r>
      <w:r>
        <w:rPr>
          <w:rFonts w:ascii="Times New Roman" w:hAnsi="Times New Roman"/>
          <w:color w:val="auto"/>
          <w:sz w:val="24"/>
          <w:u w:val="single"/>
        </w:rPr>
        <w:t>平台下面游动。随着到港船舶数量的大幅增加，压缩了鱼类的生存空间，强大的噪声污染干扰了它们的正常生活，将会对鱼类产生一定影响。</w:t>
      </w:r>
    </w:p>
    <w:p>
      <w:pPr>
        <w:adjustRightInd w:val="0"/>
        <w:snapToGrid w:val="0"/>
        <w:spacing w:line="360" w:lineRule="auto"/>
        <w:ind w:firstLine="482"/>
        <w:rPr>
          <w:rFonts w:ascii="Times New Roman" w:hAnsi="Times New Roman"/>
          <w:color w:val="auto"/>
          <w:sz w:val="24"/>
          <w:u w:val="single"/>
        </w:rPr>
      </w:pPr>
      <w:r>
        <w:rPr>
          <w:rFonts w:ascii="Times New Roman" w:hAnsi="Times New Roman"/>
          <w:color w:val="auto"/>
          <w:sz w:val="24"/>
          <w:u w:val="single"/>
        </w:rPr>
        <w:t>工程所在江段现状为航道，白鳍豚、中华鲟、白鲟和江豚等水生生物对船舶行驶有一定的躲避能力，工程运营后，所在江段船舶通航密度增加约1.23艘次/天，占现有通航密度的0.05%，对水生生物的分布区域和活动空间影响不大。在正常运营情况下，本工程不会对环境保护目标的生态功能产生显著影响。</w:t>
      </w:r>
    </w:p>
    <w:p>
      <w:pPr>
        <w:adjustRightInd w:val="0"/>
        <w:snapToGrid w:val="0"/>
        <w:spacing w:line="360" w:lineRule="auto"/>
        <w:ind w:firstLine="482"/>
        <w:rPr>
          <w:rFonts w:ascii="Times New Roman" w:hAnsi="Times New Roman"/>
          <w:color w:val="auto"/>
          <w:sz w:val="24"/>
          <w:u w:val="single"/>
        </w:rPr>
      </w:pPr>
      <w:r>
        <w:rPr>
          <w:rFonts w:hint="eastAsia" w:ascii="Times New Roman" w:hAnsi="Times New Roman"/>
          <w:color w:val="auto"/>
          <w:sz w:val="24"/>
          <w:u w:val="single"/>
          <w:lang w:eastAsia="zh-CN"/>
        </w:rPr>
        <w:t>⑵</w:t>
      </w:r>
      <w:r>
        <w:rPr>
          <w:rFonts w:hint="eastAsia" w:ascii="Times New Roman" w:hAnsi="Times New Roman"/>
          <w:color w:val="auto"/>
          <w:sz w:val="24"/>
          <w:u w:val="single"/>
          <w:lang w:val="en-US" w:eastAsia="zh-CN"/>
        </w:rPr>
        <w:t xml:space="preserve"> </w:t>
      </w:r>
      <w:r>
        <w:rPr>
          <w:rFonts w:ascii="Times New Roman" w:hAnsi="Times New Roman"/>
          <w:color w:val="auto"/>
          <w:sz w:val="24"/>
          <w:u w:val="single"/>
        </w:rPr>
        <w:t>船舶废水排放的影响。码头营运期由于会产生进港船舶舱底含油污水，船舶工人生活污水和船舶洗舱污水等，若这些废污水直接排入长江，则会污染该江段；同时船上工作人员生活污水、冲洗废水若直接排放，也会对该江段产生影响。</w:t>
      </w:r>
    </w:p>
    <w:p>
      <w:pPr>
        <w:adjustRightInd w:val="0"/>
        <w:snapToGrid w:val="0"/>
        <w:spacing w:line="360" w:lineRule="auto"/>
        <w:ind w:firstLine="482"/>
        <w:rPr>
          <w:rFonts w:ascii="Times New Roman" w:hAnsi="Times New Roman"/>
          <w:color w:val="auto"/>
          <w:sz w:val="24"/>
          <w:u w:val="single"/>
        </w:rPr>
      </w:pPr>
      <w:r>
        <w:rPr>
          <w:rFonts w:hint="eastAsia" w:ascii="Times New Roman" w:hAnsi="Times New Roman"/>
          <w:color w:val="auto"/>
          <w:sz w:val="24"/>
          <w:u w:val="single"/>
          <w:lang w:eastAsia="zh-CN"/>
        </w:rPr>
        <w:t>⑶</w:t>
      </w:r>
      <w:r>
        <w:rPr>
          <w:rFonts w:hint="eastAsia" w:ascii="Times New Roman" w:hAnsi="Times New Roman"/>
          <w:color w:val="auto"/>
          <w:sz w:val="24"/>
          <w:u w:val="single"/>
          <w:lang w:val="en-US" w:eastAsia="zh-CN"/>
        </w:rPr>
        <w:t xml:space="preserve"> </w:t>
      </w:r>
      <w:r>
        <w:rPr>
          <w:rFonts w:ascii="Times New Roman" w:hAnsi="Times New Roman"/>
          <w:color w:val="auto"/>
          <w:sz w:val="24"/>
          <w:u w:val="single"/>
        </w:rPr>
        <w:t>本项目为</w:t>
      </w:r>
      <w:r>
        <w:rPr>
          <w:rFonts w:hint="eastAsia" w:ascii="Times New Roman" w:hAnsi="Times New Roman"/>
          <w:color w:val="auto"/>
          <w:sz w:val="24"/>
          <w:u w:val="single"/>
          <w:lang w:val="en-US" w:eastAsia="zh-CN"/>
        </w:rPr>
        <w:t>LNG加注</w:t>
      </w:r>
      <w:r>
        <w:rPr>
          <w:rFonts w:ascii="Times New Roman" w:hAnsi="Times New Roman"/>
          <w:color w:val="auto"/>
          <w:sz w:val="24"/>
          <w:u w:val="single"/>
        </w:rPr>
        <w:t>码头，油品、液体化学品泄漏事故等风险对保护区鱼类的危害将会增加。工程在营运期加强环境风险防范措施，避免油品和危险化学品泄漏于水体，从而造成对保护区水生生物的伤害。</w:t>
      </w:r>
    </w:p>
    <w:p>
      <w:pPr>
        <w:pStyle w:val="5"/>
        <w:ind w:left="578" w:hanging="578"/>
        <w:rPr>
          <w:rFonts w:hint="eastAsia" w:ascii="Times New Roman" w:hAnsi="Times New Roman" w:cs="Times New Roman"/>
          <w:color w:val="auto"/>
          <w:lang w:eastAsia="zh-CN"/>
        </w:rPr>
      </w:pPr>
      <w:r>
        <w:rPr>
          <w:rFonts w:hint="eastAsia" w:ascii="Times New Roman" w:hAnsi="Times New Roman" w:cs="Times New Roman"/>
          <w:color w:val="auto"/>
          <w:lang w:eastAsia="zh-CN"/>
        </w:rPr>
        <w:t>工程占用水域对鱼类和珍稀频危物种的洄游影响</w:t>
      </w:r>
    </w:p>
    <w:p>
      <w:pPr>
        <w:adjustRightInd w:val="0"/>
        <w:snapToGrid w:val="0"/>
        <w:spacing w:line="360" w:lineRule="auto"/>
        <w:ind w:firstLine="480" w:firstLineChars="200"/>
        <w:rPr>
          <w:rFonts w:hint="eastAsia" w:ascii="Times New Roman" w:hAnsi="Times New Roman"/>
          <w:color w:val="auto"/>
          <w:sz w:val="24"/>
          <w:u w:val="single"/>
        </w:rPr>
      </w:pPr>
      <w:r>
        <w:rPr>
          <w:rFonts w:ascii="Times New Roman" w:hAnsi="Times New Roman"/>
          <w:color w:val="auto"/>
          <w:sz w:val="24"/>
          <w:u w:val="single"/>
        </w:rPr>
        <w:t>长江既是鱼类洄游通道，也是珍稀濒危物种重要的洄游通道。工程江段江面最大宽度在2000m左右，而码头所占右岸前沿水域宽度（包括停泊水域和回旋水域）约180m，且该码头水下基础结构很少，工程建设将对鱼类和珍稀濒危物种洄游阻隔影响很小。</w:t>
      </w:r>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总体来说，由于工程规模不大，且为浮码头结构，不改变工程区域水文情势和江段营养状况，工程营运对保护区影响较小。</w:t>
      </w:r>
    </w:p>
    <w:p>
      <w:pPr>
        <w:pStyle w:val="5"/>
        <w:ind w:left="578" w:hanging="578"/>
        <w:rPr>
          <w:rFonts w:hint="eastAsia" w:ascii="Times New Roman" w:hAnsi="Times New Roman" w:cs="Times New Roman"/>
          <w:color w:val="auto"/>
          <w:lang w:eastAsia="zh-CN"/>
        </w:rPr>
      </w:pPr>
      <w:r>
        <w:rPr>
          <w:rFonts w:hint="eastAsia" w:ascii="Times New Roman" w:hAnsi="Times New Roman" w:cs="Times New Roman"/>
          <w:color w:val="auto"/>
          <w:lang w:eastAsia="zh-CN"/>
        </w:rPr>
        <w:t>对保护区核心区、缓冲区的影响</w:t>
      </w:r>
    </w:p>
    <w:p>
      <w:pPr>
        <w:adjustRightInd w:val="0"/>
        <w:snapToGrid w:val="0"/>
        <w:spacing w:line="360" w:lineRule="auto"/>
        <w:ind w:firstLine="480" w:firstLineChars="200"/>
        <w:rPr>
          <w:rFonts w:hint="eastAsia" w:ascii="Times New Roman" w:hAnsi="Times New Roman"/>
          <w:color w:val="auto"/>
          <w:sz w:val="24"/>
          <w:u w:val="single"/>
        </w:rPr>
      </w:pPr>
      <w:r>
        <w:rPr>
          <w:rFonts w:ascii="Times New Roman" w:hAnsi="Times New Roman"/>
          <w:color w:val="auto"/>
          <w:sz w:val="24"/>
          <w:u w:val="single"/>
        </w:rPr>
        <w:t>本项目位于东洞庭湖实验区，</w:t>
      </w:r>
      <w:r>
        <w:rPr>
          <w:rFonts w:hint="eastAsia" w:ascii="Times New Roman" w:hAnsi="Times New Roman"/>
          <w:color w:val="auto"/>
          <w:sz w:val="24"/>
          <w:u w:val="single"/>
          <w:lang w:eastAsia="zh-CN"/>
        </w:rPr>
        <w:t>与核心区、缓冲区无直接联系，</w:t>
      </w:r>
      <w:r>
        <w:rPr>
          <w:rFonts w:ascii="Times New Roman" w:hAnsi="Times New Roman"/>
          <w:color w:val="auto"/>
          <w:sz w:val="24"/>
          <w:u w:val="single"/>
        </w:rPr>
        <w:t>距离自然保护区核心区</w:t>
      </w:r>
      <w:r>
        <w:rPr>
          <w:rFonts w:hint="eastAsia" w:ascii="Times New Roman" w:hAnsi="Times New Roman"/>
          <w:color w:val="auto"/>
          <w:sz w:val="24"/>
          <w:u w:val="single"/>
          <w:lang w:eastAsia="zh-CN"/>
        </w:rPr>
        <w:t>及缓冲区</w:t>
      </w:r>
      <w:r>
        <w:rPr>
          <w:rFonts w:ascii="Times New Roman" w:hAnsi="Times New Roman"/>
          <w:color w:val="auto"/>
          <w:sz w:val="24"/>
          <w:u w:val="single"/>
        </w:rPr>
        <w:t>最近距离约为</w:t>
      </w:r>
      <w:r>
        <w:rPr>
          <w:rFonts w:hint="eastAsia" w:ascii="Times New Roman" w:hAnsi="Times New Roman"/>
          <w:color w:val="auto"/>
          <w:sz w:val="24"/>
          <w:u w:val="single"/>
          <w:lang w:val="en-US" w:eastAsia="zh-CN"/>
        </w:rPr>
        <w:t>11</w:t>
      </w:r>
      <w:r>
        <w:rPr>
          <w:rFonts w:ascii="Times New Roman" w:hAnsi="Times New Roman"/>
          <w:color w:val="auto"/>
          <w:sz w:val="24"/>
          <w:u w:val="single"/>
        </w:rPr>
        <w:t>km，对上游核心区的浮游生物、底栖生物群落结构，鱼类产卵，繁殖等基本无影响。</w:t>
      </w:r>
    </w:p>
    <w:p>
      <w:pPr>
        <w:pStyle w:val="5"/>
        <w:ind w:left="578" w:hanging="578"/>
        <w:rPr>
          <w:rFonts w:hint="eastAsia" w:ascii="Times New Roman" w:hAnsi="Times New Roman" w:cs="Times New Roman"/>
          <w:color w:val="auto"/>
          <w:lang w:eastAsia="zh-CN"/>
        </w:rPr>
      </w:pPr>
      <w:r>
        <w:rPr>
          <w:rFonts w:hint="eastAsia" w:ascii="Times New Roman" w:hAnsi="Times New Roman" w:cs="Times New Roman"/>
          <w:color w:val="auto"/>
          <w:lang w:eastAsia="zh-CN"/>
        </w:rPr>
        <w:t>环境风险</w:t>
      </w:r>
    </w:p>
    <w:p>
      <w:pPr>
        <w:adjustRightInd w:val="0"/>
        <w:snapToGrid w:val="0"/>
        <w:spacing w:line="360" w:lineRule="auto"/>
        <w:ind w:firstLine="482"/>
        <w:rPr>
          <w:rFonts w:hint="eastAsia" w:ascii="Times New Roman" w:hAnsi="Times New Roman"/>
          <w:color w:val="auto"/>
          <w:sz w:val="24"/>
          <w:u w:val="single"/>
        </w:rPr>
      </w:pPr>
      <w:r>
        <w:rPr>
          <w:rFonts w:hint="eastAsia" w:ascii="Times New Roman" w:hAnsi="Times New Roman"/>
          <w:color w:val="auto"/>
          <w:sz w:val="24"/>
          <w:u w:val="single"/>
        </w:rPr>
        <w:t>码头营运期间，危险化学品泄漏对水环境和环境空气产生一定的潜在影响，</w:t>
      </w:r>
      <w:r>
        <w:rPr>
          <w:rFonts w:ascii="Times New Roman" w:hAnsi="Times New Roman"/>
          <w:color w:val="auto"/>
          <w:sz w:val="24"/>
          <w:u w:val="single"/>
        </w:rPr>
        <w:t>营运期的</w:t>
      </w:r>
      <w:r>
        <w:rPr>
          <w:rFonts w:hint="eastAsia" w:ascii="Times New Roman" w:hAnsi="Times New Roman"/>
          <w:color w:val="auto"/>
          <w:sz w:val="24"/>
          <w:u w:val="single"/>
          <w:lang w:eastAsia="zh-CN"/>
        </w:rPr>
        <w:t>货品的</w:t>
      </w:r>
      <w:r>
        <w:rPr>
          <w:rFonts w:ascii="Times New Roman" w:hAnsi="Times New Roman"/>
          <w:color w:val="auto"/>
          <w:sz w:val="24"/>
          <w:u w:val="single"/>
        </w:rPr>
        <w:t>装卸工艺与罐区配套，采用国内外先进的储运、自控技术和设备，使</w:t>
      </w:r>
      <w:r>
        <w:rPr>
          <w:rFonts w:hint="eastAsia" w:ascii="Times New Roman" w:hAnsi="Times New Roman"/>
          <w:color w:val="auto"/>
          <w:sz w:val="24"/>
          <w:u w:val="single"/>
          <w:lang w:eastAsia="zh-CN"/>
        </w:rPr>
        <w:t>加注平台</w:t>
      </w:r>
      <w:r>
        <w:rPr>
          <w:rFonts w:ascii="Times New Roman" w:hAnsi="Times New Roman"/>
          <w:color w:val="auto"/>
          <w:sz w:val="24"/>
          <w:u w:val="single"/>
        </w:rPr>
        <w:t>与</w:t>
      </w:r>
      <w:r>
        <w:rPr>
          <w:rFonts w:hint="eastAsia" w:ascii="Times New Roman" w:hAnsi="Times New Roman"/>
          <w:color w:val="auto"/>
          <w:sz w:val="24"/>
          <w:u w:val="single"/>
          <w:lang w:eastAsia="zh-CN"/>
        </w:rPr>
        <w:t>加注</w:t>
      </w:r>
      <w:r>
        <w:rPr>
          <w:rFonts w:ascii="Times New Roman" w:hAnsi="Times New Roman"/>
          <w:color w:val="auto"/>
          <w:sz w:val="24"/>
          <w:u w:val="single"/>
        </w:rPr>
        <w:t>船采用不锈钢金属软管连接，钢引桥两端的管道均采用不锈钢金属软管连接，在阀室平台处设紧急切断阀，使油品装卸安全、快速、方便</w:t>
      </w:r>
      <w:r>
        <w:rPr>
          <w:rFonts w:hint="eastAsia" w:ascii="Times New Roman" w:hAnsi="Times New Roman"/>
          <w:color w:val="auto"/>
          <w:sz w:val="24"/>
          <w:u w:val="single"/>
        </w:rPr>
        <w:t>，油品泄漏的风险概率较小。</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对主要保护对象的影响评价</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1、工程建设对保护区主要保护对象种群数量的影响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湖南东洞庭湖国家级自然保护区的主要保护对象为白鹤、白头鹤、东方白鹳、灰鹤等珍稀濒危鸟类，以及这些保护对象赖以生存的以湖南东洞庭湖为主体的湖泊湿地生态系统。</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建设位于自然保护区的东北侧实验区边缘地带，人类活动频繁，建设区域在保护区主要保护对象的活动区域2000m以外，虽然评价区属于湖南东洞庭湖保护区一部分，但是由于长期受强人为活动干扰影响，使得评价区在植物组成、结构、类型、区系、生态价值上与湖南东洞庭湖保护区有较大差距，不能代表整个湖南东洞庭湖保护区植物群落特点。植物多样性的差别也导致了以此为生的野生动物（主要是鸟类）种类组成、区系、重点保护对象差异明显，评价区区域无重点保护野生湿地鸟类。</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建设期间会产生噪音与光污染，但只要按照相关施工要求，加强噪声监测，将施工产生的噪声控制在标准范围内，加之有足够长的缓冲距离，也不会对保护区主要保护对象的正常活动产生很大影响。工程建成后，因密闭的建设工艺与降噪措施，避免了扬尘，大大减少了噪音。此外，项目的建设区域被G56高速、306省道、居民区与码头区包围，工程影响范围多与其他已建设施影响范围重叠，增加影响保护区区域较少。</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虽在湖南东洞庭湖自然保护区范围内，但评价区与湖南东洞庭湖之间有大面积的农田相隔，且评价区废水均通过排污管道收集至市政管网中，施工对评价区水质产生影响，不会对以湖南东洞庭湖为主体的湖泊湿地生态系统产生明显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2、工程建设对保护区主要保护对象生境面积的影响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建设使用水域面积占评价区水域面积0.8%。而保护区主要保护对象活动主要区域为湿地生态系统，从工程建设使保护区面积减少的类型、数量和比例上看，工程建设对保护区主要保护对象生境面积的影响很小。但工程建设过程中产生的噪声与光污染会压缩主要保护对象的活动范围，从而对保护对象生境面积产生一些的影响。</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对生物安全的影响评价</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1、工程导致外来物种（或有害生物）入侵的可能性及危害程度</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外来物种（或有害生物）入侵主要是工程建设时建筑材料及其包装的无意引入以及建设完成后对施工区域的绿化美化时的有意引入。工程建设期不会持续很长时间，只要在施工过程中做好外来物种的检查和防控，工程建设导致外来物种（或有害生物）入侵的可能性较小。</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随着工程建设完毕，评价区内的人员与物品将逐渐撤出评价区，评价区内的人类活动也将重新趋于稳定水平，相关区域采用乡土树种进行绿化，也将降低外来物种（或有害生物）入侵的可能性。总之，工程导致外来物种（或有害生物）入侵的可能性及危害是可控的。</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2、工程建设导致病虫害爆发的可能性评价</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24"/>
        </w:rPr>
        <w:t>建设过程中，施工设备、建筑材料及其木质包装的运输、人员的出入等均可能带来病虫害。但只要在施工过程及运营阶段加强病虫害检疫的工作，因该工程引起病虫害爆发的可能性是可以控制的。另一方面评价区本身处于交通便利的G56高速和306省道附近，人类活动频繁，区域环境对线性传播渠道已有较强的耐受力，并且人类活动距离保护水鸟栖息的核心区距离较远。因此，工程建设导致病虫害的可能性较小。</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3、工程导致保护区遗传资源流失的可能性</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评价区的农田和湖泊生态系统均处于强人为活动干扰下，适宜生存物种大部分为常见种或者广布种，在整个长江中下游流域具有普遍性。因此，工程建设对保护区的植物资源、动物资源等遗传资源的直接破坏是局部的、有限的，由工程导致评价区或者保护区内遗传资源流失的可能性较小。</w:t>
      </w:r>
    </w:p>
    <w:p>
      <w:pPr>
        <w:widowControl/>
        <w:adjustRightInd w:val="0"/>
        <w:snapToGrid w:val="0"/>
        <w:spacing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4、工程导致火灾、化学品泄露等事件的可能性</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施工期主要涉及码头的建设，采用的材料主要为钢筋混凝土、钢架结构等，非易爆易燃材料。工程运营期主要用于对天然气的运输，输送过程中需加强防泄漏措施。只要加强监控，导致火灾等突发实际的可能性较小。</w:t>
      </w:r>
    </w:p>
    <w:p>
      <w:pPr>
        <w:pStyle w:val="4"/>
        <w:keepLines w:val="0"/>
        <w:widowControl/>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减缓影响的措施和建议</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生态补偿</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项目占用保护区内的长江岸线315m，主要为湿地，影响保护区面积940.02hm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根据《国家湿地保护管理规定》和《湖南省湿地保护条例》规定，按照“占补平衡、适度增加”的原则，采取退田还湖、退耕还湿、水域管理权限转让等形式，增加湿地面积。目前经君山区批准，已经征收了钱粮湖镇古月湖村野猪湾区域内临湖土地2.0h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进行开挖改造，使新形成水面与评价区水系相接继而融为一体。下一步将继续与当地政府协调，通过生态补偿进一步扩大退耕还湿的面积。</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由于本建设工程穿越湖南东洞庭湖国家自然保护区，</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24"/>
        </w:rPr>
        <w:t>建设将因破坏保护区植被，短期影响评价区，从而对保护区的动植物产生一定的负面影响。因此，按照规定建设单位应当给予湖南东洞庭湖自然保护区管理局一定的生态补偿（详见表7.1-1），用于保护区生物多样性恢复和突发环境事件的应急管理，提高工程征地范围以外的生态环境质量和生物多样性指数，改善因工程建设及工程运营对周围环境的持续影响所造成的保护区生物多样性承载能力下降的问题。</w:t>
      </w:r>
    </w:p>
    <w:p>
      <w:pPr>
        <w:widowControl/>
        <w:spacing w:line="276" w:lineRule="auto"/>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表7.1-1  生态补偿费用建议标准</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23"/>
        <w:gridCol w:w="4379"/>
        <w:gridCol w:w="2204"/>
        <w:gridCol w:w="13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建设阶段</w:t>
            </w:r>
          </w:p>
        </w:tc>
        <w:tc>
          <w:tcPr>
            <w:tcW w:w="240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生态保护工程</w:t>
            </w:r>
          </w:p>
        </w:tc>
        <w:tc>
          <w:tcPr>
            <w:tcW w:w="1211"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投</w:t>
            </w:r>
            <w:r>
              <w:rPr>
                <w:rFonts w:hint="default" w:ascii="Times New Roman" w:hAnsi="Times New Roman" w:cs="Times New Roman"/>
                <w:b/>
                <w:bCs/>
                <w:color w:val="auto"/>
                <w:lang w:eastAsia="zh-CN"/>
              </w:rPr>
              <w:t>资</w:t>
            </w:r>
            <w:r>
              <w:rPr>
                <w:rFonts w:hint="default" w:ascii="Times New Roman" w:hAnsi="Times New Roman" w:cs="Times New Roman"/>
                <w:b/>
                <w:bCs/>
                <w:color w:val="auto"/>
              </w:rPr>
              <w:t>概算（万元）</w:t>
            </w:r>
          </w:p>
        </w:tc>
        <w:tc>
          <w:tcPr>
            <w:tcW w:w="76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施工期</w:t>
            </w:r>
          </w:p>
        </w:tc>
        <w:tc>
          <w:tcPr>
            <w:tcW w:w="24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12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200</w:t>
            </w:r>
          </w:p>
        </w:tc>
        <w:tc>
          <w:tcPr>
            <w:tcW w:w="764"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一次性支付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24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营造特种用途林</w:t>
            </w:r>
          </w:p>
        </w:tc>
        <w:tc>
          <w:tcPr>
            <w:tcW w:w="12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40</w:t>
            </w:r>
          </w:p>
        </w:tc>
        <w:tc>
          <w:tcPr>
            <w:tcW w:w="764"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24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种植野生水草并建设保护鸟类栖息地</w:t>
            </w:r>
          </w:p>
        </w:tc>
        <w:tc>
          <w:tcPr>
            <w:tcW w:w="12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w:t>
            </w:r>
          </w:p>
        </w:tc>
        <w:tc>
          <w:tcPr>
            <w:tcW w:w="764"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24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建设环境监测设施</w:t>
            </w:r>
          </w:p>
        </w:tc>
        <w:tc>
          <w:tcPr>
            <w:tcW w:w="12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50</w:t>
            </w:r>
          </w:p>
        </w:tc>
        <w:tc>
          <w:tcPr>
            <w:tcW w:w="764"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7"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240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动植物保护设施建设</w:t>
            </w:r>
          </w:p>
        </w:tc>
        <w:tc>
          <w:tcPr>
            <w:tcW w:w="1211"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764"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bl>
    <w:p>
      <w:pPr>
        <w:widowControl/>
        <w:adjustRightInd w:val="0"/>
        <w:snapToGrid w:val="0"/>
        <w:spacing w:line="360" w:lineRule="auto"/>
        <w:ind w:firstLine="480" w:firstLineChars="200"/>
        <w:rPr>
          <w:rFonts w:hint="default" w:ascii="Times New Roman" w:hAnsi="Times New Roman" w:cs="Times New Roman"/>
          <w:color w:val="auto"/>
          <w:sz w:val="24"/>
          <w:szCs w:val="24"/>
        </w:rPr>
      </w:pP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工程建设期保护措施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项目工程施工场地的选择与布置，应尽量少占用水域及绿地面积，减少对生态环境的破坏，另外施工开挖、填方，应严格按照批准的施工方案进行，避免任意取土和弃土。</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工程位置近保护区边缘，设计及施工过程中，应将临时设施设置在保护区外，严格禁止在保护区设计堆放建筑材料、设置取弃土（渣）场、施工营地等临时工程，严格控制施工范围，最大程度保持自然保护区的原貌。</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水面施工应聘请有经验的专家及施工团队，优化施工方案，拟定可操作的施工方案，加强监管落到每一个细节，尽可能少对水质产生影响。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保护区路段施工时，必须严格按照国家及自然保护区管理部门有关保护和污染防治办法的要求制定施工工艺方案，进行施工管理和施工环境监理；严格控制路基开挖施工作业面，避免超挖破坏周围植被；施工单位和人员要严格遵守国家法令，禁止施工人员追赶捕杀野生动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防止各种有害生物入侵是生态环境保护的重要工作，在工程建设过程中，科学制定并严格执行有害生物防控措施。一旦发现有害生物入侵，要立即向当地林业主管部门报告，并发动公众参与，把危害和损失降低到最低程度。</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水处理措施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生活污水</w:t>
      </w:r>
      <w:r>
        <w:rPr>
          <w:rFonts w:hint="eastAsia" w:ascii="Times New Roman" w:hAnsi="Times New Roman" w:cs="Times New Roman"/>
          <w:color w:val="auto"/>
          <w:sz w:val="24"/>
          <w:szCs w:val="24"/>
          <w:lang w:val="en-US" w:eastAsia="zh-CN"/>
        </w:rPr>
        <w:t>泵送至后方陆域，</w:t>
      </w:r>
      <w:r>
        <w:rPr>
          <w:rFonts w:hint="default" w:ascii="Times New Roman" w:hAnsi="Times New Roman" w:cs="Times New Roman"/>
          <w:color w:val="auto"/>
          <w:sz w:val="24"/>
          <w:szCs w:val="24"/>
        </w:rPr>
        <w:t>经化粪池处理后，送至生活污水处理装置的调节池，再由生活污水提升泵提升至生活污水一体化装置处理，处理后的净化水达到《城市污水再生利用城市杂用水水质》（GB/T18920-2002）城市绿化用水要求，用作厂内绿化用水，不外排</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因此</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对周边水环境影响很小</w:t>
      </w:r>
      <w:r>
        <w:rPr>
          <w:rFonts w:hint="eastAsia" w:ascii="Times New Roman" w:hAnsi="Times New Roman" w:cs="Times New Roman"/>
          <w:color w:val="auto"/>
          <w:sz w:val="24"/>
          <w:szCs w:val="24"/>
          <w:lang w:eastAsia="zh-CN"/>
        </w:rPr>
        <w:t>。</w:t>
      </w:r>
      <w:r>
        <w:rPr>
          <w:rFonts w:hint="default" w:ascii="Times New Roman" w:hAnsi="Times New Roman" w:cs="Times New Roman" w:eastAsiaTheme="minorEastAsia"/>
          <w:color w:val="auto"/>
          <w:sz w:val="24"/>
          <w:szCs w:val="24"/>
        </w:rPr>
        <w:t>本项目产生的</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w:t>
      </w:r>
      <w:r>
        <w:rPr>
          <w:rFonts w:hint="eastAsia" w:ascii="Times New Roman" w:hAnsi="Times New Roman" w:cs="Times New Roman" w:eastAsiaTheme="minorEastAsia"/>
          <w:color w:val="auto"/>
          <w:sz w:val="24"/>
          <w:szCs w:val="24"/>
          <w:lang w:eastAsia="zh-CN"/>
        </w:rPr>
        <w:t>污水收集箱</w:t>
      </w:r>
      <w:r>
        <w:rPr>
          <w:rFonts w:hint="default" w:ascii="Times New Roman" w:hAnsi="Times New Roman" w:cs="Times New Roman" w:eastAsiaTheme="minorEastAsia"/>
          <w:color w:val="auto"/>
          <w:sz w:val="24"/>
          <w:szCs w:val="24"/>
        </w:rPr>
        <w:t>收集后，达到一定量后，通过</w:t>
      </w:r>
      <w:r>
        <w:rPr>
          <w:rFonts w:hint="eastAsia" w:ascii="Times New Roman" w:hAnsi="Times New Roman" w:cs="Times New Roman" w:eastAsiaTheme="minorEastAsia"/>
          <w:color w:val="auto"/>
          <w:sz w:val="24"/>
          <w:szCs w:val="24"/>
          <w:lang w:val="en-US" w:eastAsia="zh-CN"/>
        </w:rPr>
        <w:t>专业</w:t>
      </w:r>
      <w:r>
        <w:rPr>
          <w:rFonts w:hint="default" w:ascii="Times New Roman" w:hAnsi="Times New Roman" w:cs="Times New Roman" w:eastAsiaTheme="minorEastAsia"/>
          <w:color w:val="auto"/>
          <w:sz w:val="24"/>
          <w:szCs w:val="24"/>
        </w:rPr>
        <w:t>泵车外运至君山区第二污水处理厂处置，本项目采用泵车运输含油废水的次数约2~3次/年，尾水处理达到《城镇污水处理厂污染物排放标准》（GB18918-2002）中一级B标准后沿柳毅西路排入长江</w:t>
      </w:r>
      <w:r>
        <w:rPr>
          <w:rFonts w:hint="default" w:ascii="Times New Roman" w:hAnsi="Times New Roman" w:cs="Times New Roman"/>
          <w:color w:val="auto"/>
          <w:sz w:val="24"/>
          <w:szCs w:val="24"/>
        </w:rPr>
        <w:t>。通过采取以上的污水治理措施，本项目基本不会对周围水域环境产生影响。</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对鸟类的保护措施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为减缓工程建设对鸟类资源的影响，建议在设计期、施工期和运营期采取防护措施。</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由于部分水禽类对噪声和振动具有一定的敏感性，建议设计阶段对通过自然保护区实验区的段落全程采取隔音措施。同时应做好遮光措施，避免夜间通过车辆的灯光对湖南东洞庭湖主要保护物种产生的影响。</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加强对施工人员爱鸟护鸟的宣传教育工作，制定相关规定和监管制度，禁止施工人员随意破坏植被、捕杀鸟类和对鸟类造成伤害的一切活动。候鸟迁徙期，尤其是4月和12月候鸟过境高峰期间，避免夜间施工。</w:t>
      </w:r>
    </w:p>
    <w:p>
      <w:pPr>
        <w:widowControl/>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在穿越鸟类栖息地与迁徙必经路段设置预告、提醒等标志牌，上写“进入鸟类栖息地，请谨慎驾驶”、“减速慢行、禁止鸣笛”等字样，提醒司机在这些路段减速慢行，夜间避免使用远距灯光。</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工程运营单位与保护区主管部门加强合作，对候鸟迁徙过程中，受伤、迷途、掉队的类实施及时救助。</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此外还应制定生物多样性跟踪监测计划，如有发现生物多样性发生较大变化的事件，要及时报告给自然保护区主管部门，并按照相关部门的要求采取相应的措施。</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其他措施</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完善执法队伍和野生动植物保护制度，严厉打击盗猎、贩卖、非法经营、走私野生动物和破坏野生动物栖息地的行为。加大野生动物保护的宣传力度，提高保护区及周边社区居民的保护意识，为保护自然保护区内的野生动植物奠定社会基础。</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方政府应尽量缓解人类开发用地与野生动物栖息地用地的需求矛盾，使保护点相对集中。结合新农村建设，迁移部分社区居民，以减轻人为活动对保护区的影响。野生动物的保护需要周边居民积极参与自然保护区的管理和建设，只有获得保护区周边居民对保护区制度的认可和支持，保护区才能真正长久生存和发展。保护区应把社区发展纳入重要议事日程，在加强沟通。融洽社会关系的同时，积极引进合作项目，积极探索在高人口密度环境中建设保护区的途径。</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为保证生物多样性保护措施的落实，自然保护区管理部门和相关主管部门都要全程参与监督，施工单位和建设单位要接受和配合自然保护区管理部门、自然保护区主管部门、环保部门的检查和监督</w:t>
      </w:r>
    </w:p>
    <w:p>
      <w:pPr>
        <w:pStyle w:val="4"/>
        <w:keepLines w:val="0"/>
        <w:widowControl/>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综合影响结论</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受本项目工程影响的湖南东洞庭湖自然保护区评价区生态系统并非特有，工程建设对这些生态系统的面积和斑块数量影响的程度较少，工程建设对评价区生态系统的美学、经济、文化价值带来的负面影响较小，工程建设造成土壤侵蚀和地质灾害的可能性也较小，植被覆盖度减少的程度较低。</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评价区生态系统内生物群落的特有性不高，但项目工程对保护区生物群落重要种类会产生一定影响，同时，工程建设不会使评价区内生物群落产生分割现象，群落结构也将基本恢复原有状态，不会被简化。</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工程建设期会给评价区内生存的动植物带来一定的影响。工程建成后，随着施工设施与施工人员的撤离此类影响将得到一些缓解。注意施工时间的选择，那么工程的建设对重要物种的迁移、散布、繁衍以及食物网（链）的影响将会更低。</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本项目工程建设及运营对保护区内的湖南东洞庭湖主要保护对象种群数量与生境面积会产生的影响较小。</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本项目工程的建设期及运营期导致外来物种（或有害生物）入侵的可能性及其危害程度可能性加大，该工程导致保护区遗传资源流失以及导致火灾、化学品泄露等事件的可能性较小。</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虽然本项目工程对附近居民生产生活环境会造成一定的影响，但是工程建设得到当地政府与社区群众的广泛支持，而且对改善保护区周边社区社会经济状况的贡献较大。</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所述，本项目工程对湖南东洞庭湖自然保护区生物多样性的总体影响较低，但工程建设仍将对保护区的生物多样性产生一些不利影响。特别是施工期间应避开候鸟迁徙期，否则工程施工产生的噪声和光污染可能影响迁徙途中部分敏感的保护鸟类，同时湖面工程也会对评价区的水质产生一定的负面影响。</w:t>
      </w:r>
    </w:p>
    <w:p>
      <w:pPr>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为了减少施工期对保护区的影响和干扰，建设方已采取多种方式降低对保护区生物多样性的影响。因此，工程建成后对评价区以及保护区的生物多样性影响也较小。</w:t>
      </w:r>
    </w:p>
    <w:p>
      <w:pPr>
        <w:pStyle w:val="3"/>
        <w:ind w:left="578" w:hanging="578"/>
        <w:rPr>
          <w:rFonts w:hint="default" w:ascii="Times New Roman" w:hAnsi="Times New Roman" w:cs="Times New Roman" w:eastAsiaTheme="minorEastAsia"/>
          <w:b/>
          <w:color w:val="auto"/>
        </w:rPr>
      </w:pPr>
      <w:bookmarkStart w:id="105" w:name="_Toc1344"/>
      <w:bookmarkStart w:id="106" w:name="_Toc27233"/>
      <w:r>
        <w:rPr>
          <w:rFonts w:hint="default" w:ascii="Times New Roman" w:hAnsi="Times New Roman" w:cs="Times New Roman" w:eastAsiaTheme="minorEastAsia"/>
          <w:b/>
          <w:color w:val="auto"/>
        </w:rPr>
        <w:t>长江监利段四大家鱼国家级水产种质资源保护区</w:t>
      </w:r>
      <w:bookmarkEnd w:id="105"/>
      <w:bookmarkEnd w:id="106"/>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生态环境影响分析</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对鱼类的影响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1、鱼类区系组成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工程施工过程中，挖泥削坡、桩基建筑等将会增加岸边一定范围水域悬浮物浓度的增加，导致水体透明度降低，溶氧和pH发生变化，饵料生物会受到一定的影响，同时施工机械和人员活动产生的噪声和震动，引起鱼类避险行为。因此，码头附近鱼类数量将会减少，较敏感的鱼类，如中华鲟等将远离工场。噪声一般只在50m的范围内有影响，悬浮物的影响范围预计为离岸宽50m、下游长500m的范围。所以在此范围内鱼类数量和种类将会减少，但对保护区其他区域的鱼类没有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运行期生产污水和生活污染经处理达标，对长江水环境影响不大。对鱼类等水生生物区系产生影响的主要是运输的船舶、车辆和人员产生的噪声。车辆、机械和人员噪声，影响范围有限，一般在码头离岸50m内。由于码头建成后，经码头的船舶增加，船舶来往频繁，影响范围较大。因此运行期码头附近大型鱼类会减少，但范围有限，对整个保护区内的鱼类区系没有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因此，码头施工期和运行期对保护区内的鱼类区系影响较小。</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2、鱼类群结构</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期在码头附近会产生的悬浮物污染带，以及施工噪声和震动，引起鱼类避险行为。不同鱼类对悬浮物和噪声的敏感性不同，对同一种鱼而言，大龄鱼比低龄鱼更敏感。石油类污染对成鱼具有伤害作用，而对鱼类早期资源（鱼苗和鱼卵）则具有杀伤作用。预计施工期码头附近鱼类数量将会减少，较敏感的鱼类和大龄鱼类，数量较少或没有，年龄结构以低龄鱼为主。鱼类繁殖期鱼卵和幼鱼将受一定程度的损失，受影响范围限于码头附近，对保护区其他区域的鱼类群落结构没有太大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运行期产生影响的主要是运输的船舶、车辆和人员产生的噪声。码头上车辆、机械和人员噪声，影响范围在码头离岸50m内。由于码头建成后，运输量的增加带来保护区内船舶的增加，船舶来往频繁，增加石油类污染的可能性，对鱼类造成一定伤害，同时运转的船舶螺旋桨会误伤部分鱼类，特别是鱼类早期资源。但由于码头及船舶所占水域面积小，且工程位于保护区实验区，运行期保护区的鱼类群落结构不会明显改变。</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总之，本项目工程施工期和运行期会对码头附近鱼类生一定影响，但对于保护区其它区域的鱼类等水生生物种群结构没有太大的影响。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3、鱼类资源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工程施工期对鱼类资源产生一定的影响。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因污染和占用水域导致饵料下降，影响鱼类摄食，从影响鱼类的生长发育。施工产生的悬浮物降低水体透明度和溶氧，pH也发生一定变化，影响浮游生物的生长，而浮游生物是鱼类的重要饵料，浮游生物量减少进一步会影响摄食浮游生物的鱼类的生长；码头桩基占用水体底质，破坏底栖生物的息栖地，导致底栖生物减少，从而影响摄食底栖生物鱼类的生长。</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污染物直接影响鱼类的生长发育。在鱼类繁殖季节，施工产生的悬浮物附着在游经此处的幼鱼和受精卵，导致其窒息，影响其发育甚至死亡，而悬浮物附着在成鱼鳃上影响鱼类生长；生产废水中的石油类物质鱼类生长具有抑制或毒害作用。由于施工期较短，影响水域范围有限，保护区受影响鱼类生物资源量不大，施工结束后影响也消失。</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运行期悬浮物发生量低，主要影响因子是噪声和石油类污染。噪声对码头及船舶附近的鱼类资源有一定影响，但鱼类具有躲避危险环境的行为，可以离开码头生活，并不会受到伤害或死亡。运行期船舶密度增加，船舶螺旋桨对部分鱼类和早期资源造成损伤，导致一定量的渔业资源的损失。石油类污染对对鱼类的发育具有毒害作用，影响鱼类的正常生长，也会导致一定量的渔业损失。</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长江监利段四大家鱼国家级种质资源保护区重要经济鱼类包括“四大家鱼”、鳊、黄颡鱼等，以下重点分析工程施工和运行期对“四大家鱼”及其他经济鱼类资源的影响。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对“四大家鱼”生物资源的影响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位于长江监利段四大家鱼国家级种质资源保护区的试验区，四大家鱼是该保护区最主要鱼类。保护区是四大家鱼重要产卵场、栖息地及索饵场。1981年长江干流四大家鱼产卵量下降至173亿尾，其中宜昌至城陵矶江段产卵规模为103亿尾，占产卵总规模59%。长期以来，由于自然和人为因素，特别是长江三峡工程的兴建，长江鱼类资源持续衰退，四大家鱼资源量显著减少，幼鱼发生量规模下降。“四大家鱼”在捕获物中比例已从上世纪60年代中期的20%至30%下降到5%左右，监利江段四大家鱼幼鱼发量在1</w:t>
      </w:r>
      <w:r>
        <w:rPr>
          <w:rFonts w:hint="eastAsia" w:ascii="Times New Roman" w:hAnsi="Times New Roman" w:cs="Times New Roman"/>
          <w:color w:val="auto"/>
          <w:sz w:val="24"/>
          <w:szCs w:val="18"/>
          <w:lang w:val="en-US" w:eastAsia="zh-CN"/>
        </w:rPr>
        <w:t>~</w:t>
      </w:r>
      <w:r>
        <w:rPr>
          <w:rFonts w:hint="default" w:ascii="Times New Roman" w:hAnsi="Times New Roman" w:cs="Times New Roman"/>
          <w:color w:val="auto"/>
          <w:sz w:val="24"/>
          <w:szCs w:val="18"/>
        </w:rPr>
        <w:t>13亿尾波动。另外受过度捕捞、水污染、航运、桥梁以及洄游通道等因素影响，加剧了“四大家鱼”资源的衰退。</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四大家鱼受到噪声容易产生较强的应急反应，</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在施工期产生的噪声使工程附近活动的“四大家鱼”受到惊吓，但不会受到伤害。因此施工期的噪声对“四大家鱼”的影响比较小。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四大家鱼”中，鲢和鳙为滤食性鱼类，滤食浮游生物，草鱼为草食性，青鱼掠食底栖动物。施工期，码头附近浮游生物，岸线的植物以及底栖动物都受到一定的损失，这对四大家鱼的摄食产生一定的影响。但由于施工范围小，影响不大，施工结束后这种影响也随之消失。</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四大家鱼为产漂流行卵，受精卵随流水在漂浮过程中发育，需要几百</w:t>
      </w:r>
      <w:r>
        <w:rPr>
          <w:rFonts w:hint="eastAsia" w:ascii="Times New Roman" w:hAnsi="Times New Roman" w:cs="Times New Roman"/>
          <w:color w:val="auto"/>
          <w:sz w:val="24"/>
          <w:szCs w:val="18"/>
          <w:lang w:val="en-US" w:eastAsia="zh-CN"/>
        </w:rPr>
        <w:t>公里</w:t>
      </w:r>
      <w:r>
        <w:rPr>
          <w:rFonts w:hint="default" w:ascii="Times New Roman" w:hAnsi="Times New Roman" w:cs="Times New Roman"/>
          <w:color w:val="auto"/>
          <w:sz w:val="24"/>
          <w:szCs w:val="18"/>
        </w:rPr>
        <w:t>才能发育成有主动游泳能力的幼鱼。</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有四大家鱼产卵场分布，上游最近的产卵场监利江段，距离约28km，更远的产卵场位于宜都市红花套江段，距离约260km。在鱼类产卵季节，鱼卵和幼鱼流经施工码头是，污染物对其发育产生直接伤害，预计损失在10~50%之间。因此在鱼类繁殖季节应降低施工强度，减少对四大家鱼早期资源的伤害。</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运行期生活废水废水经污水处理厂处理后，合格后排放入长江，因排放水的水温和溶氧鱼江水存在一定差异，但范围和程度不大，对成鱼和鱼卵发育影响小。运行期因运输船舶增加，油污和螺旋桨会对“四大家鱼”部分成鱼和早期资源造成一定的伤害，致其生长受限或死亡，对保护区渔业资源造成一定量的损失。</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对其他经济鱼类资源的影响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长江监利段除了四大家鱼外，其他重要经济鱼类还有鳊、黄颡鱼、鳡、鲤、鲫、短颌鲚、鳜等。这些鱼中，产漂流性卵的鱼类，如鳊、鳡等，与四大家鱼类似，具有较集中的产卵时间和产卵场，因而工程施工和运行对其影响与“四大家鱼”的相似，工程也回造成其资源一定量的损失。其他产粘性卵的鱼类，如鲤、鲫等，产卵时间较长，每年4至9月份都可进行产卵，产卵时间也不特别集中，产卵场所也比较分散，但由于其产卵后鱼卵粘附在水草或卵石上，工程施工和运行产生的污染物对下游受精卵持续作用，因此受到的损伤程度比漂流性卵的更大。同样，船舶螺旋也会误伤到这些的鱼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总体上看，工程施工期和运行期给鱼类早期资源带来一定的损伤，对成鱼的生长和发育也产生一定负面作用，但由于工程占据水域面积不大，所对鱼类资源影响有限。同时因机修出现的漏油事故及水上交通事故也会产生一定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4、鱼类繁殖</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码头位于保护区实验区，上游和下游均有鱼类产卵场分布，其中包括四大家鱼产卵场。项目施工期噪声会对鱼类行为和生理产生作用，悬浮物和油性物质也会对鱼类的生理有影响，进而影响鱼类性腺发育，妨碍鱼类正常的繁殖行为。船舶往来也会影响鱼类的正常繁殖活动。由于噪声影响范围有限，宽度不足江面宽度的10%，且附近均有适合的鱼类产卵场所。预期工程施工期噪声和污染物会对影响工程附近的鱼类产卵活动，建议在鱼类繁殖季节不安排水中作业。</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对于产粘性卵鱼类，由于工程占用一定的岸线，破坏了岸线水草等鱼类产卵条件，会对鲶形目鱼类，如黄颡鱼、鲇等以及部分鲤形目，如鲤、鲫等鱼类的产卵造成一定的负面影响。同时，施工期产生的悬浮物污染带，由于光照降低、溶氧下降以及粘附到鱼卵等因素，工程下游产出的粘性卵的发育将会受到较大影响。依据国内类似工程提供的资料，工程影响扩散范围可依据下式估算：</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横向范围=工程涉及水域宽度+悬浮物外侧扩散距离50m；纵向范围=工程涉及水域宽度+悬浮物纵向扩散距离600m。</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本项目中河岸滩地长度约为引桥平均长度的一半，即（第一引桥218.89 m+第二引桥169.03m）/2=193.96m。由此可以计算本项目横向范围为194m+50m=244m。纵向范围为800.3 m（岸线长度）+ 600m≈</w:t>
      </w:r>
      <w:r>
        <w:rPr>
          <w:rFonts w:hint="default" w:ascii="Times New Roman" w:hAnsi="Times New Roman" w:cs="Times New Roman"/>
          <w:color w:val="auto"/>
          <w:sz w:val="24"/>
          <w:szCs w:val="18"/>
          <w:lang w:val="en-US" w:eastAsia="zh-CN"/>
        </w:rPr>
        <w:t>1</w:t>
      </w:r>
      <w:r>
        <w:rPr>
          <w:rFonts w:hint="default" w:ascii="Times New Roman" w:hAnsi="Times New Roman" w:cs="Times New Roman"/>
          <w:color w:val="auto"/>
          <w:sz w:val="24"/>
          <w:szCs w:val="18"/>
        </w:rPr>
        <w:t>400m，即影响面积为244m×1400m=341600m</w:t>
      </w:r>
      <w:r>
        <w:rPr>
          <w:rFonts w:hint="default" w:ascii="Times New Roman" w:hAnsi="Times New Roman" w:cs="Times New Roman"/>
          <w:color w:val="auto"/>
          <w:sz w:val="24"/>
          <w:szCs w:val="18"/>
          <w:vertAlign w:val="superscript"/>
        </w:rPr>
        <w:t>2</w:t>
      </w:r>
      <w:r>
        <w:rPr>
          <w:rFonts w:hint="default" w:ascii="Times New Roman" w:hAnsi="Times New Roman" w:cs="Times New Roman"/>
          <w:color w:val="auto"/>
          <w:sz w:val="24"/>
          <w:szCs w:val="18"/>
        </w:rPr>
        <w:t>。在此范围内的黏性卵产卵场将会受到明显的影响。但由于工程占据的水域面积比较小，加上噪声驱赶以及鱼类主动避害，工程建设与运行对鱼类繁殖影响有限。</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5、鱼类洄游</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长江监利段是中华鲟洄游通道，也是“四大家鱼”等为半洄游鱼类重要的产卵和索饵洄游通道。</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产生的噪声和污染物会对鱼类洄游产生一定的阻碍性。但是由于噪声和污染物所造成的影响范围小，鱼类具有避险行为，而江段宽度较大，鱼类的具有足够的空间绕过工地，所以该项目对鱼类的洄游影响比较小。</w:t>
      </w:r>
    </w:p>
    <w:p>
      <w:pPr>
        <w:pStyle w:val="5"/>
        <w:keepLines w:val="0"/>
        <w:ind w:left="578" w:hanging="578"/>
        <w:rPr>
          <w:rFonts w:hint="default" w:ascii="Times New Roman" w:hAnsi="Times New Roman" w:cs="Times New Roman"/>
          <w:color w:val="auto"/>
        </w:rPr>
      </w:pPr>
      <w:r>
        <w:rPr>
          <w:rFonts w:hint="default" w:ascii="Times New Roman" w:hAnsi="Times New Roman" w:cs="Times New Roman"/>
          <w:color w:val="auto"/>
        </w:rPr>
        <w:t>对珍稀濒危水生动物的影响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所在的保护区是中华鲟、胭脂鱼、江豚等珍稀濒危水生动物的洄游通道，工程施工和运行可能造成一定影响，但由于这些物种在评价区数量较少，所以只做简单评价。</w:t>
      </w:r>
    </w:p>
    <w:p>
      <w:pPr>
        <w:widowControl/>
        <w:adjustRightInd w:val="0"/>
        <w:snapToGrid w:val="0"/>
        <w:spacing w:line="360" w:lineRule="auto"/>
        <w:ind w:firstLine="482" w:firstLineChars="200"/>
        <w:rPr>
          <w:rFonts w:hint="default" w:ascii="Times New Roman" w:hAnsi="Times New Roman" w:cs="Times New Roman"/>
          <w:color w:val="auto"/>
          <w:sz w:val="24"/>
          <w:szCs w:val="18"/>
        </w:rPr>
      </w:pPr>
      <w:r>
        <w:rPr>
          <w:rFonts w:hint="default" w:ascii="Times New Roman" w:hAnsi="Times New Roman" w:cs="Times New Roman"/>
          <w:b/>
          <w:bCs/>
          <w:color w:val="auto"/>
          <w:sz w:val="24"/>
          <w:szCs w:val="18"/>
        </w:rPr>
        <w:t>1、中华鲟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中华鲟是典型的大型溯河生殖洄游型鱼类，幼鱼在海区生长，性成熟进入长江进行繁殖。葛洲坝水利工程截流后的第2年发现中华鲟在葛洲坝下至古老背约30km的江段有产卵活动，后期逐渐在葛洲坝至庙咀约3.85km的江段形成较稳定的产卵场，但在监利江段并无产卵场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据相关研究，中华鲟亲鱼每年4~6月有东海及附近海域进入长江口，10~11月达到葛洲坝下产卵场产卵，三峡工程建设后，下泻水温作用，近年来中华鲟产卵时间有所推迟。中华鲟繁殖后受精卵一旦孵出幼鱼，即开始降河，次年1~5月在监利至洪湖江段出现较多大量中华鲟幼鱼，并在此摄食，停留一段时间，5~9月中华鲟幼鱼达到长江口。</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中华鲟对噪声敏感，施工期噪声和污染物会对中华鲟迁移有一定的影响。施工区位于岸边，距离主河道保持一定距离，而中华鲟亲鱼喜走深槽沙坝，且中华鲟对噪音和水质变化等胁迫因素有一定的适应性和回避能力。因此工程施工和运行对成年中华鲟上溯产卵洄游的影响有限。幼鲟降河洄游喜走河道浅水区域，施工期和运行期，船舶存在伤害经过作业区的幼鲟的风险，幼鲟受伤或死亡概率较大。</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2、胭脂鱼</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胭脂鱼的主要栖息地和产卵场都分布在长江上游江段。数据资料显示，胭脂鱼已经在葛洲坝坝下形成了新的产卵场并能自然繁殖，而且每年都有繁殖活动发生。虽然与长江上游相比，胭脂鱼在葛洲坝下产卵场的规模较小，但是对于维持长江中、下游胭脂鱼种群和长江胭脂鱼种群的遗传多样性起着重要的作用。文献表明，在葛洲坝下宜昌段的中华鲟保护区中有胭脂鱼的产卵场分布，但在监利段的工程影响评价区内并无产卵场分布。</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胭脂鱼受精卵一般粘附在产卵场江底的卵石、砾石上或沉入其缝隙中孵化。鱼卵受精后，吸水膨胀，受精卵的粘性相对较小，部分受精卵可能受水流冲击脱落向下漂流。文献研究表明，胭脂鱼从卵受精到初次开口摄食的时间为20天，孵出5天左右的胭脂鱼仔鱼开始作短距离的移动，并能利用身体的摇摆作垂直运动；孵出约10天的仔鱼鳔充气，开始作水平游动，逐渐分布到水体的中、上层。</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现场与走访的调查，评价区内胭脂鱼为偶见种，根据对胭脂鱼早期生活史行为的观察，结合该江段河槽走向特点，由上游漂流而至的鱼苗不会在评价区停留。只需保证施工期与胭脂鱼的繁殖期错开，项目建设就不会对其造成明显的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3、长江江豚</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根据现场与走访的调查，评价区内长江江豚为常见种，且在</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下游约88km外有长江新螺段白暨豚自然保护区。因本专题是论证工程建设对种质资源保护区的影响，在此只对进入种质资源保护区内江豚可能产生的影响做预测。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长江作为交通运输的黄金水道，船舶噪声和振动会干扰江豚的声纳系统，大量船舶不仅挤占江豚空间，也常常伤害江豚本身。根据近几年江豚死亡事件数据统计，船舶螺旋桨伤害是江豚死亡的主要因素之一。此外，也出现部分江豚被船舶撞伤、撞死的事件。因此，工程施工和运行来带更多的船舶，增加途径工程区域的江豚受到伤害的风险。施工期间，应严密监测江面，发现江豚，需采取相应措施驱赶江豚，使其远离工地和船舶，一旦江豚接近施工区域，应暂时停工，并采取措施驱赶江豚，避免误伤江豚。</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对其它水生生物的影响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1、浮游生物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施工期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浮游植物是水体的初级生产力。本项目在进行挖泥削坡、建筑桩基时，因施工活动对水体的扰动，将使得施工区域水中悬浮物浓度短时间内急剧升高，短时间内会造成部分浮游生物因水体理化性质恶化而出现减少；同时，水中悬浮物浓度升高降低了水体的透光率，光强的减少阻碍了部分藻类等浮游植物的光合作用，降低了浮游植物等初级生产者的生产力，使得浮游植物等初级生产者生物总量出现下降。而在水生食物链中，除了浮游植物等初级生产者可以通过光和作用、化能合成作用生成有机物外，其它营养级上的水生生物既是消费者也是其上一营养级生物的食物；而浮游植物等初级生产者生物总量的减少，会使以浮游植物为食的浮游动物在单位水体所拥有的生物量相应出现减少，同理，也会造成单位水体所拥有的鱼类及以其为食的上一级水生生物生物量出现下降，从而造成影响区域水生生物总量减少。</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浮游动物作为长江水域重要的次级生产力，其大部分种类是长江鱼类的天然优质饵料、鱼苗和幼体。码头建设工程施工活动引起水体中悬浮物浓度的增加对浮游动物也产生间接或直接的影响。首先，施工作业特别是水下施工作业对河床的扰动会引起水中悬浮物的增加，降低了水质透光率，因而影响浮游植物的光合作用，降低局部水域内的初级生产力水平，同时也会打乱一些靠光线强度变化而进行上下垂直回游的动物的生活规律；悬浮物还会粘附在浮游生物体表，因而使其运动、摄食等活动受到影响，严重时会造成死亡，从而使局部水域内浮游生物的数量减少；其次，悬浮物中一些碎屑和无机固体物质可以妨碍浮游动物对食物的摄取、或者稀释肠中的内容物从而减少对食物的吸收，如可以减少多种溞属和其它枝角类的摄食率、生长率和竞争能力，尤其对大型枝角类影响较大。枝角类主要靠胸肢滤食，对食物无选择性，颗粒较大的碎屑和悬浮物质容易堵塞其滤食器官，减少食物摄取与吸收，进而影响枝角类的生长与摄食率。而桡足类则能够通过选择性取食，减少再悬浮的干扰，轮虫的摄食也比溞属有更多的选择性。因此，水中悬浮物质的增加有利于有选择性觅食能力的浮游动物（如桡足类和轮虫）的生存和发育，从而引起浮游动物群落结构的改变。此外，由于工程采挖导致沉积在江底的有害物质释放，这些淤泥悬浮物对浮游动物有一定的致毒作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浮游生物是河流生态系统食物网的结构和功能的基础环节。浮游植物作为河流生态系统的生产者，浮游植物的产量决定着植食性浮游动物的产量，而两者又共同决定着浮游动植物为食的鱼类产量。因此，工程施工对浮游生物的影响，也会间接的影响到该区域的鱼类种类组成和数量。</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悬浮物对水环境影响分析和码头建设的施工特点可知，码头建设过程对周围水体中浮游植物产生影响范围主要在港区附近。工程施工会使浮游生物的生物量有一定的减少，但由于浮游动植物个体小，繁殖速度快，随着施工作业停止后悬浮物的沉淀，水质恢复后，浮游生物的数量将会逐步恢复，同时工程影响的监利江段的浮游生物均为长江中下游江段内常见物种，同时且适应环境能力强。因此工程施工对该江段的浮游生物的影响只是局部的、暂时性的。经过生态恢复措施和一段时间的自然恢复，可以逐渐恢复。所以工程施工不会对工程江段浮游生物物类群有较大的改变。</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运行期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本项目所在长江河段港口发达，码头修建后，江段船舶通航密度会随之增大，将会提高撞船事故的概率，造成部分运输油品的船舶溢油，从而对影响区的浮游植物造成影响。根据有关实验结论，油类会破坏浮游植物的细胞，从而影响其光合作用，对浮游植物影响的程度与油类的类型、浓度和浮游植物的种类有关，一般浮游植物石油急性中毒致死浓度范围为0.1~10.0mg/L，对于作为鱼、虾类饵料基础的浮游植物则为1.0~3.6mg/L，部分浮游植物种类甚至低于0.1mg/L。同时，运行期由于船体增大、吃水加深，通行船只对底泥的搅动会加大，使得水域透明度出现下降，从而降低影响区浮游植物生产力，进而对影响区水生食物链造成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运行期对浮游动物的影响与浮游植物类似，由于船体增大、吃水加深，通行船只对底泥的搅动会加大，使得水域透明度出现下降，从而降低影响区浮游植物生产力，进而降低了以浮游植物为食的浮游动物生产力，最终对影响区水生食物链造成影响。</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2、底栖生物</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施工期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河流生态系统中的底栖动物，或长期生活在底泥中，或依附在石砾或水生植物上，具有区域性强，迁移能力弱等特点，对于环境污染或环境的突然变化通常少有回避能力，而且其群落的破坏和重建需要相对较长的时间。监利江段的底栖动物主要分布于沿岸边滩及水流相对缓慢的浅水湾、支汊等水域，工程挖泥削坡以及筑桩基施工过程中将直接挖取或压载河床底泥中的底栖生物。由于这些底栖动物移动缓慢，多营定居生活，因此，工程水下施工对底栖动物的影响较大。</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通过分析可以看出，码头建设对底栖生物的影响主要是引起了数量上的变化，但是由于项目建设施工分步进行，每个施工阶段与本水域的总体情况相比影响面积不大，对底栖生物影响不大。从分析当中还可以看出，在个别的地区，在极小的范围之内，底栖生物的群落结构因为受人为活动的干扰而发生变化，会与建设前和建设后其它未受影响地区的群落有较大差别，但这种变化只是局部的，不会对整个水域的底栖生物群落产生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由于挖掘、搅动和其他施工作业造成动物底栖地的消失和改变，将损失一些部分底栖动物。由于码头采用高桩梁板结构，占用面积有限，待码头建成后码头附近水域的底栖动物又会逐步恢复。码头建设过程中，由于泥沙的沉积覆盖，底栖生物可能被掩埋。根据已有资料显示，被泥沙覆盖并消失的底栖生物的地方，其恢复也是迅速的，底栖生物恢复的能力取决于生物的种类和泥沙沉积的程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底栖动物是鱼类等经济水生生物的重要天然食料，通常底栖动物资源破坏后恢复较困难，并会导致以底栖动物为食的鱼类数量减少。</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运行期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抛石形成的水工设施，在河道内营造出局部繁杂的河床地貌及生态护坡，工程附近区域的部分底栖动物可以附着在上述场所，一定程度上弥补施工期对底栖动物的影响。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抛石形成的护滩带，将影响局部的底栖动物的数量和种类。但江段内底栖动物在附近其它地区相似的环境中亦有分布，并非是本地区的特有种，因此从物种保护的角度看，工程的建设不会导致这些物种的消亡。</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3、水生维管束植物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工程江段水生维管束植物的生物量较小，水生植物主要是分布零散的挺水植物和依附于浅滩石砾的少量沉水植物。虽然工程的建设会占用大量的水生植物生长基质，并且在施工工程中，抛石使近岸水域水质变差，透明度下降，对水生维管束植物特别是沉水植物具有破坏作用。但由于长江下游水位消落的影响，尤其是挺水植物并不能全年生长，这类植物的生长与分布早已受到限制。施工区域江段的河漫滩上，水生维管束植物特别沉水植物是在江段季节性变动大，类群数量也不多。因此，工程建设对水生植物影响有限。而工程建设区面积有限，施工区以外的其它区域并不受工程建设的任何影响，故而工程建设对影响区内水生维管束植物的影响不大。且这些水生植物种类为长江中下游广泛分布种类，工程施工不会导致这些物质的消亡。施工结束后，将无后续影响。</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对保护区结构和功能的影响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保护区的功能是通过保护监利江段四大家鱼及其他经济鱼类的产卵场、索饵场、越冬场等主要生长繁育区域，改善鱼类生存环境，使长江监利江段水域生态系统得到有效保护，使四大家鱼和其它水产种质资源得到有效恢复。主要保护对象为青、草、鲢、鳙，以及南方大口鲇、长吻鮠、鳜、黄颡鱼、短颌鲚、翘嘴鲌等重要经济鱼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工程所在江段上游有四大家鱼的产卵场（监利江段产卵场规模0.1亿，产卵场江段长约23km）及一些产粘性卵鱼类（如鲤、鲫、黄颡鱼、鲇、银鲴等）小规模的产卵场；也是四大家鱼及一些产粘性卵鱼类的索饵场和越冬场，同时也承担四大家鱼和一些珍惜水生动物洄游通道的功能。</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color w:val="auto"/>
          <w:sz w:val="24"/>
          <w:szCs w:val="18"/>
        </w:rPr>
        <w:t>正施工期悬浮物和油性物会抑制浮游生物生长，码头建设也会破坏河床底质，底栖动物减少，因此会损失一定的饵料生物，对索饵场有一定损害。噪声和污染物会影响鱼类的正常繁殖，工程占用一定水域，并对岸边作一定的削坡和固化处理，对产卵场产生一定的破坏。工程施工和运行后，船舶密度增加，船舶噪声和振动对鱼类正常洄游行为产生干扰。由于工程占用水域面积小，污染物和噪声影响范围不大，所以工程保护区的结构和功能的影响比较微弱。但水上交通事故对四大家鱼等保护对象、保护区水质及水生态的影响，进而影响局部保护区的功能结构。</w:t>
      </w:r>
    </w:p>
    <w:p>
      <w:pPr>
        <w:pStyle w:val="4"/>
        <w:keepLines w:val="0"/>
        <w:widowControl/>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减缓影响的措施和建议</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优化工程施工措施</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针对码头建设保护区对“四大家鱼”以及珍稀、濒危水生生物的生长、栖息、洄游繁殖等产生不同程度的影响，根据</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的特点和属性，提出了以下几方面的避免与消减措施：</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合理安排施工进度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合理安排施工进度，尽量缩短作业时间。施工期应尽量避开鱼类繁殖季节，减小对鱼类繁殖的影响，选择低噪音机械，降低施工噪声对鱼类行为的干扰。</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保护区鱼类繁殖期多在4月~7月，因此工程施工宜选择在11</w:t>
      </w:r>
      <w:r>
        <w:rPr>
          <w:rFonts w:hint="eastAsia" w:ascii="Times New Roman" w:hAnsi="Times New Roman" w:cs="Times New Roman"/>
          <w:color w:val="auto"/>
          <w:sz w:val="24"/>
          <w:szCs w:val="18"/>
          <w:lang w:val="en-US" w:eastAsia="zh-CN"/>
        </w:rPr>
        <w:t>月</w:t>
      </w:r>
      <w:r>
        <w:rPr>
          <w:rFonts w:hint="default" w:ascii="Times New Roman" w:hAnsi="Times New Roman" w:cs="Times New Roman"/>
          <w:color w:val="auto"/>
          <w:sz w:val="24"/>
          <w:szCs w:val="18"/>
        </w:rPr>
        <w:t>~</w:t>
      </w:r>
      <w:r>
        <w:rPr>
          <w:rFonts w:hint="eastAsia" w:ascii="Times New Roman" w:hAnsi="Times New Roman" w:cs="Times New Roman"/>
          <w:color w:val="auto"/>
          <w:sz w:val="24"/>
          <w:szCs w:val="18"/>
          <w:lang w:val="en-US" w:eastAsia="zh-CN"/>
        </w:rPr>
        <w:t>次年</w:t>
      </w:r>
      <w:r>
        <w:rPr>
          <w:rFonts w:hint="default" w:ascii="Times New Roman" w:hAnsi="Times New Roman" w:cs="Times New Roman"/>
          <w:color w:val="auto"/>
          <w:sz w:val="24"/>
          <w:szCs w:val="18"/>
        </w:rPr>
        <w:t>3月的枯水季节进行，至少在9月份后，避开四大家鱼及其他珍稀保护动物繁殖期。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选择低噪音机械降低施工噪声。同时控制施工时间，可减小对鱼类尤其是珍稀特有鱼类和保护鱼类繁殖活动的影响，同时也可降低对珍稀特有鱼类和保护鱼类群体的伤害概率。</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减少水域污染</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采取有效的环境保护措施，控制生活垃圾、生活污水、生产废水和噪声等的排放。</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废弃物应按岳阳市城镇总体规划安排，纳入统一规划调配，不得随意外弃；施工废料尽量用于道路、建筑回填，不能回填的废弃物，统一保管，运输至公共处理场所。含量害物质的固体废弃物，依有害物质性质不同，分别保存后交给专业部门处理。</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当水域受到局部污染时，应该首先查清污染源，再采取相应会的对策。不同的污染源有不同的处理方法。施工期的污染物主要是悬浮物和石油类。</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对于悬浮物引起的水质局部污染，应暂时停止施工，等待悬浮物扩散或沉淀，必要时可通过人工调水稀释和人工增氧途径解决。</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石油类引起的水质局部污染，首先应立即查清污染源，并切断污染源。同时采用围油栏、浮筒等设备隔离油污，防止扩散，再利用吸油毡、收油机等清理油污。</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期的噪声主要来自施工机械、船舶、运输车辆和人员活动等，在可供选择的施工方案中尽可能选用噪音小的施工工艺和施工机械。合理布局施工场地，将噪音较大的机械设备布置在远离河岸的位置，减少噪音对河岸的影响。合理安排施工时间。对噪音较大的机械，在中午（12时至14时）及夜间（20时至次日7时）休息时间内停机，以免影响附近居民休息。降低人为噪声，按规定操作机械设备，模板、支架拆卸过程中，遵守作业规定，减少碰撞噪声。减少无关人员和车辆进入工地。</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加强栖息地保护</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开工之前，开展重要鱼类的监测工作，包括鱼类产卵场和洄游监测等。管理单位应根据有关部门提供的监测结果和提出的保护方案，在保护区监督下，实施相应的保护措施。</w:t>
      </w:r>
    </w:p>
    <w:p>
      <w:pPr>
        <w:widowControl/>
        <w:adjustRightInd w:val="0"/>
        <w:snapToGrid w:val="0"/>
        <w:spacing w:line="360" w:lineRule="auto"/>
        <w:ind w:firstLine="480" w:firstLineChars="200"/>
        <w:rPr>
          <w:rFonts w:hint="default" w:ascii="Times New Roman" w:hAnsi="Times New Roman" w:cs="Times New Roman"/>
          <w:color w:val="auto"/>
          <w:sz w:val="28"/>
        </w:rPr>
      </w:pPr>
      <w:r>
        <w:rPr>
          <w:rFonts w:hint="default" w:ascii="Times New Roman" w:hAnsi="Times New Roman" w:cs="Times New Roman"/>
          <w:color w:val="auto"/>
          <w:sz w:val="24"/>
          <w:szCs w:val="18"/>
        </w:rPr>
        <w:t>施工期间，保护区管理部门应组织专业机构，在业主的协助下开展保护区水域日常巡查工作，重点观察保护区及下游各1km范围内“四大家鱼”及其他珍稀保护动物的活动和集群情况，并根据观察结果，在必要时，要求工程方修改工程施工计划和施工方法，降低对“四大家鱼”以及珍稀、濒危水生生物栖息地的影响。</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开展水域生态修复</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护坡等工程的实施会对保护区江段河岸水域环境产生影响，包括河岸植被破坏和底栖生物的损失，因此在施工前应规划和设计对工程区域湿地进行恢复，施工期应采用科学的工艺以减少对附近区域湿地的影响，施工完成后应尽快对水域生态环境开展修复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施工期临时占用和破坏的岸边及洲滩湿地的植被要进行有计划地剥离、储存、临时堆放，为随后的植被恢复创造条件。施工完成后及时清理施工现场，恢复植被，防止水土流失。</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开展增殖放流活动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根据运行期间</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的特点和属性，提出了增殖放流进行渔业资源修复。人工增殖放流是恢复天然渔业资源的重要手段，通过有计划的开展人工放流经济鱼类亲本，以增加保护区有效繁殖群体，增强产卵场规模。</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会对保护区的鱼类资源产生一定的影响，根据《中华人民共和国渔业法》和《中华人民共和国自然保护区条例》等法律、法规等的规定，</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业主需采取鱼类人工增殖放流来补偿工程对鱼类资源造成的影响。增殖放流是补充鱼类资源的有效途径之一。</w:t>
      </w:r>
    </w:p>
    <w:p>
      <w:pPr>
        <w:widowControl/>
        <w:adjustRightInd w:val="0"/>
        <w:snapToGrid w:val="0"/>
        <w:spacing w:line="360" w:lineRule="auto"/>
        <w:ind w:firstLine="482" w:firstLineChars="200"/>
        <w:rPr>
          <w:rFonts w:hint="default" w:ascii="Times New Roman" w:hAnsi="Times New Roman" w:cs="Times New Roman"/>
          <w:color w:val="auto"/>
          <w:sz w:val="24"/>
          <w:szCs w:val="18"/>
        </w:rPr>
      </w:pPr>
      <w:r>
        <w:rPr>
          <w:rFonts w:hint="default" w:ascii="Times New Roman" w:hAnsi="Times New Roman" w:cs="Times New Roman"/>
          <w:b/>
          <w:bCs/>
          <w:color w:val="auto"/>
          <w:sz w:val="24"/>
          <w:szCs w:val="18"/>
        </w:rPr>
        <w:t>1、放流实施标准</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增殖放流工作营根据《中国水生生物资源养护行动纲要》和《水生生增殖放流管理规定》等规范性文件执行。放流苗种供应单位应选择信誉良好、管理规范、具备相应的技术力量的国家级或升级水产原良种场和良种繁育场、渔业资源增殖站、野生水生生物驯养繁殖基地或救护中心以及其他具有相关资质的生产单位，必要时可通过招标形式确定。</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放流苗种必须是无伤残和病害、体格健壮，符合渔业行政主管部门制定放流苗种种质技术规范。鱼类放流活动应与保护区管理机构协调，并在该机构的监督与指导下进行。</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2、放流鱼类苗种及亲本种类、数量、规格及经费预算</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根据保护区的保护对象，主要选择受工程影响较大的种类。主要放流对象为：“四大家鱼”。因运行长期存在，而增放流数量的确定要考虑的因素较为复杂，不确定因素较多，为保证放流存活率，应选择较大规格苗种。针对产卵场功能受到一定影响，放流需补充繁殖群体的数量，增加保护区早期资源量。针对开放性的天然水体合理放流数量的确定很困难，结合工程给保护区造成的损失，初步确定的增殖放流总数量数量及经费预算34万元、98万元。期间可根据鱼类资源监测结果，调整放流品种和数量。此外，人工增殖放流组织实施费包括放流苗种的监理费、苗种检验检疫费、放流现场组织管理费等，该项费用预计20万元，即开展人工增殖放流共需经费152万元。</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对水生生物进行跟踪监测</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实施渔业生态环境和生物资源跟踪监测，提出项目所在水域渔业生态环境和生物资源跟踪监测计划。</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1、监测内容</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对保护区范围内进行浮游生物、底栖动物、水生维管束植物、鱼类资源、鱼类产卵场等进行监测，通过连续监测，统计分析该江段水生生物和鱼类种类组成、资源量变化趋势，分析其变化原因，对工程建设及运行的影响进行评价。</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水生态环境监测内容：水文、水体理化性质（石油类、氨氮、固体悬浮物）、浮游植物、浮游动物、底栖动物、水生维管束植物的种类、分布密度、生物量等的。</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鱼类资源监测内容：鱼类的种类组成、种群结构、资源量的时空分布及累积变化效应，监测河段为保护区干流整个江段。</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鱼类产卵场监测内容：早期资源种类组成与比例、时空分布、早期资源量、水文要素（温度、流速、水位）、产卵场分布变化、产卵规模等参数。</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监测断面：设置监利江段、工程所在地下游三洲镇附近2个监测断面。</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2、监测时段和周期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施工期和运行期对鱼类及其他水生生物资源、水生态环境状况进行监测。施工期</w:t>
      </w:r>
      <w:r>
        <w:rPr>
          <w:rFonts w:hint="eastAsia" w:ascii="Times New Roman" w:hAnsi="Times New Roman" w:cs="Times New Roman"/>
          <w:color w:val="auto"/>
          <w:sz w:val="24"/>
          <w:szCs w:val="18"/>
          <w:lang w:val="en-US" w:eastAsia="zh-CN"/>
        </w:rPr>
        <w:t>1</w:t>
      </w:r>
      <w:r>
        <w:rPr>
          <w:rFonts w:hint="default" w:ascii="Times New Roman" w:hAnsi="Times New Roman" w:cs="Times New Roman"/>
          <w:color w:val="auto"/>
          <w:sz w:val="24"/>
          <w:szCs w:val="18"/>
        </w:rPr>
        <w:t>年，每年7~9月1次，10~12月1次，运行期初步按1年计算，7~9月调查1次，每次费用10万元。共需要监测费用（</w:t>
      </w:r>
      <w:r>
        <w:rPr>
          <w:rFonts w:hint="eastAsia" w:ascii="Times New Roman" w:hAnsi="Times New Roman" w:cs="Times New Roman"/>
          <w:color w:val="auto"/>
          <w:sz w:val="24"/>
          <w:szCs w:val="18"/>
          <w:lang w:val="en-US" w:eastAsia="zh-CN"/>
        </w:rPr>
        <w:t>1</w:t>
      </w:r>
      <w:r>
        <w:rPr>
          <w:rFonts w:hint="default" w:ascii="Times New Roman" w:hAnsi="Times New Roman" w:cs="Times New Roman"/>
          <w:color w:val="auto"/>
          <w:sz w:val="24"/>
          <w:szCs w:val="18"/>
        </w:rPr>
        <w:t xml:space="preserve">年×2次/年+1年×1次/年）×10万元/次= </w:t>
      </w:r>
      <w:r>
        <w:rPr>
          <w:rFonts w:hint="eastAsia" w:ascii="Times New Roman" w:hAnsi="Times New Roman" w:cs="Times New Roman"/>
          <w:color w:val="auto"/>
          <w:sz w:val="24"/>
          <w:szCs w:val="18"/>
          <w:lang w:val="en-US" w:eastAsia="zh-CN"/>
        </w:rPr>
        <w:t>3</w:t>
      </w:r>
      <w:r>
        <w:rPr>
          <w:rFonts w:hint="default" w:ascii="Times New Roman" w:hAnsi="Times New Roman" w:cs="Times New Roman"/>
          <w:color w:val="auto"/>
          <w:sz w:val="24"/>
          <w:szCs w:val="18"/>
        </w:rPr>
        <w:t>0万。</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对保护区水生生物及水质监测共布设2个监测断面，</w:t>
      </w:r>
      <w:r>
        <w:rPr>
          <w:rFonts w:hint="default" w:ascii="Times New Roman" w:hAnsi="Times New Roman" w:cs="Times New Roman" w:eastAsiaTheme="minorEastAsia"/>
          <w:color w:val="auto"/>
          <w:kern w:val="0"/>
          <w:sz w:val="24"/>
          <w:szCs w:val="24"/>
        </w:rPr>
        <w:t>本项目</w:t>
      </w:r>
      <w:r>
        <w:rPr>
          <w:rFonts w:hint="default" w:ascii="Times New Roman" w:hAnsi="Times New Roman" w:cs="Times New Roman"/>
          <w:color w:val="auto"/>
          <w:sz w:val="24"/>
          <w:szCs w:val="18"/>
        </w:rPr>
        <w:t>场所在江段监利江段、工程所在地下游三洲镇附近监测断面。</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应急生态保护措施</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工程建设及运行过程中出现的意外事故可能会对原栖息于该水域的珍稀水生动物包括江豚、中华鲟等的生长生理等造成一定影响，必须建立珍稀水生动物意外伤害救护机制，加强对遭受伤害的江豚、中华鲟等珍稀动物的救护，做到及时发现、报告和实施救护。主要涉及：鱼类临时救护站；救护人员组织与培训；工程整治期间水生生物保护宣传教育措施，以满足工程建设过程中对鱼类及水生生物保护需求。</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1、修建四大家鱼等鱼类临时救护站</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临时救护站可以收集断流河段因污染或其他原因而得病或受伤的鱼类，并对鱼类进行临时行的救护，如：消毒，治疗等。并可集中转运至其它地方，此外，临时性的救护站，也可为鱼类临时增殖放流工作提供中转等，因此，该方法适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鱼类临时救护站设在监利老江河长江四大家鱼原种场，距离工程所在河段较近，并配置活鱼运输车，利用其设施对受伤鱼类进行暂养。对受伤或得病的鱼类，暂养救护后根据其种类、性别、成熟度等情况，决定鱼类去向。通常幼鱼、成鱼通过活鱼运输车将其送至下游河段放流，成熟的亲鱼送至监利老江河养殖场委托代养，为蓄备繁殖亲本用。</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临时救护站对因工程受影响而得病或受伤的豚类，进行临时行的救护，如：消毒，治疗等。之后可集中转运至天鹅洲故道。救护时需要配备必要的救护设备。临时救护设备包括：运输设备、增氧设备、药品等医疗卫生设备、各种网具等。</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救护过程应在省水产局监督下，建立应急监测系统，建议由中科院水生生物研究所和长江水产研究所单位专家组成技术组，制定应急预案，对鱼类进行救护。保护水生动物事故应急预案见下图。</w:t>
      </w:r>
    </w:p>
    <w:p>
      <w:pPr>
        <w:widowControl/>
        <w:ind w:firstLine="420" w:firstLineChars="20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483100" cy="3274695"/>
            <wp:effectExtent l="0" t="0" r="12700" b="1905"/>
            <wp:docPr id="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4"/>
                    <pic:cNvPicPr>
                      <a:picLocks noChangeAspect="1"/>
                    </pic:cNvPicPr>
                  </pic:nvPicPr>
                  <pic:blipFill>
                    <a:blip r:embed="rId67"/>
                    <a:stretch>
                      <a:fillRect/>
                    </a:stretch>
                  </pic:blipFill>
                  <pic:spPr>
                    <a:xfrm>
                      <a:off x="0" y="0"/>
                      <a:ext cx="4483100" cy="3274695"/>
                    </a:xfrm>
                    <a:prstGeom prst="rect">
                      <a:avLst/>
                    </a:prstGeom>
                    <a:noFill/>
                    <a:ln>
                      <a:noFill/>
                    </a:ln>
                  </pic:spPr>
                </pic:pic>
              </a:graphicData>
            </a:graphic>
          </wp:inline>
        </w:drawing>
      </w:r>
    </w:p>
    <w:p>
      <w:pPr>
        <w:widowControl/>
        <w:adjustRightInd w:val="0"/>
        <w:snapToGrid w:val="0"/>
        <w:spacing w:line="360" w:lineRule="auto"/>
        <w:ind w:firstLine="482" w:firstLineChars="20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图7.2</w:t>
      </w:r>
      <w:r>
        <w:rPr>
          <w:rFonts w:hint="default" w:ascii="Times New Roman" w:hAnsi="Times New Roman" w:eastAsia="Times New Roman" w:cs="Times New Roman"/>
          <w:b/>
          <w:bCs/>
          <w:color w:val="auto"/>
          <w:sz w:val="24"/>
          <w:szCs w:val="24"/>
        </w:rPr>
        <w:t>-1</w:t>
      </w:r>
      <w:r>
        <w:rPr>
          <w:rFonts w:hint="default" w:ascii="Times New Roman" w:hAnsi="Times New Roman" w:cs="Times New Roman"/>
          <w:b/>
          <w:bCs/>
          <w:color w:val="auto"/>
          <w:sz w:val="24"/>
          <w:szCs w:val="24"/>
        </w:rPr>
        <w:t xml:space="preserve"> </w:t>
      </w:r>
      <w:r>
        <w:rPr>
          <w:rFonts w:hint="default" w:ascii="Times New Roman" w:hAnsi="Times New Roman" w:eastAsia="Times New Roman" w:cs="Times New Roman"/>
          <w:b/>
          <w:bCs/>
          <w:color w:val="auto"/>
          <w:sz w:val="24"/>
          <w:szCs w:val="24"/>
        </w:rPr>
        <w:t xml:space="preserve"> </w:t>
      </w:r>
      <w:r>
        <w:rPr>
          <w:rFonts w:hint="default" w:ascii="Times New Roman" w:hAnsi="Times New Roman" w:cs="Times New Roman"/>
          <w:b/>
          <w:bCs/>
          <w:color w:val="auto"/>
          <w:sz w:val="24"/>
          <w:szCs w:val="24"/>
        </w:rPr>
        <w:t>保护水生动物事故应急预案图</w:t>
      </w:r>
    </w:p>
    <w:p>
      <w:pPr>
        <w:widowControl/>
        <w:adjustRightInd w:val="0"/>
        <w:snapToGrid w:val="0"/>
        <w:spacing w:line="360" w:lineRule="auto"/>
        <w:ind w:firstLine="482" w:firstLineChars="200"/>
        <w:jc w:val="left"/>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2、救护人员组织与培训</w:t>
      </w:r>
    </w:p>
    <w:p>
      <w:pPr>
        <w:widowControl/>
        <w:adjustRightInd w:val="0"/>
        <w:snapToGrid w:val="0"/>
        <w:spacing w:line="360" w:lineRule="auto"/>
        <w:ind w:firstLine="480" w:firstLineChars="200"/>
        <w:jc w:val="both"/>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由于鱼类的救护工作专业较强，因此必须组织足够的人员，同时对参与救护的人员进行专业基础知识培训。鱼类的专业知识主要包括：鱼类的转运、暂养，鱼体消毒。</w:t>
      </w:r>
    </w:p>
    <w:p>
      <w:pPr>
        <w:widowControl/>
        <w:adjustRightInd w:val="0"/>
        <w:snapToGrid w:val="0"/>
        <w:spacing w:line="360" w:lineRule="auto"/>
        <w:ind w:firstLine="480" w:firstLineChars="200"/>
        <w:jc w:val="both"/>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鱼类的转运、暂养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采用无毒塑料桶或鱼篓等不易破损的容器在河流中捕获鱼类。按每立方米水体可装鱼10kg左右计算，2小时成活率90%以上。此后转至活鱼车运送至暂养池或直接运至下游河流。运输时要充分注意其氧气是否满足需要，通过观察鱼类活动情况，如鱼类呼吸困难应及时加注新水。操作过程要轻柔、快捷，尽量减少刺激，不要损伤鱼体。运输过程中可在水中加少量的青霉素片，用以防治鱼类感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鱼体消毒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在鱼类暂养过程中，应用用3%的食盐溶液浸洗病鱼3~5分钟。或用10~30ppm高锰酸钾浸洗20~30分钟。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⑶ 豚类救护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捕捞豚类过程中，必须保证豚不能被捕渔网缠住，一定要保证豚能进行出水呼吸。如果受伤豚在浅水区，在人员安全有保障的前提下，救护人员应在水中护豚，双手托住豚的腹面，保证豚的呼吸孔能露出水面。在陆地上，应将豚平放在海绵上或用湿毛巾盖住江豚的身体，每隔2分钟淋一次水，保持豚的皮肤处于湿润状态，由于江豚属于哺乳类动物，用肺呼吸，所以不能使水或杂物进入其呼吸孔，以免发生呛水。在豚类体表出血部位可配撒云南白药等消炎药，其他治疗措施待专业人员到来后，在专业人员指导下进行。全部救护过程必须有文字和照片记录，并留存渔政部门和保护区管理处。</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⑷ 死亡豚类或大型鱼类</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发现死亡豚类或大型鱼类应组织人员立即捞起，并记录发现现场的环境和动物体表特征，同时通知渔政部门，项目施工及管理单位相关部门应配合渔政部门、保护区管理部门和研究机构，开展动物死亡原因调查。</w:t>
      </w:r>
    </w:p>
    <w:p>
      <w:pPr>
        <w:widowControl/>
        <w:adjustRightInd w:val="0"/>
        <w:snapToGrid w:val="0"/>
        <w:spacing w:line="360" w:lineRule="auto"/>
        <w:ind w:firstLine="482" w:firstLineChars="200"/>
        <w:jc w:val="left"/>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3、宣传与管理</w:t>
      </w:r>
    </w:p>
    <w:p>
      <w:pPr>
        <w:widowControl/>
        <w:adjustRightInd w:val="0"/>
        <w:snapToGrid w:val="0"/>
        <w:spacing w:line="360" w:lineRule="auto"/>
        <w:ind w:firstLine="480" w:firstLineChars="200"/>
        <w:jc w:val="left"/>
        <w:rPr>
          <w:rFonts w:hint="default" w:ascii="Times New Roman" w:hAnsi="Times New Roman" w:cs="Times New Roman"/>
          <w:color w:val="auto"/>
          <w:sz w:val="28"/>
        </w:rPr>
      </w:pPr>
      <w:r>
        <w:rPr>
          <w:rFonts w:hint="default" w:ascii="Times New Roman" w:hAnsi="Times New Roman" w:cs="Times New Roman"/>
          <w:color w:val="auto"/>
          <w:sz w:val="24"/>
          <w:szCs w:val="18"/>
        </w:rPr>
        <w:t>与渔业主管部门沟通，出台水生生物保护规定，通过设置警示和宣传标牌，印制和发放宣传手册，广播电台、电视台报纸等媒体开展环境和动物保护教育宣传，让周边居民认识鱼类保护的重要性，增加对鱼类保护的意识，提高保护鱼类资源的自觉性。对项目实施和工作人员发送宣传手册，使施工人员和厂里职工能自觉水生动物，并遵守相关的生态保护规定。严禁施工人员和厂里职工在长江保护区江段进行捕鱼或从事其它有碍生态环境及鱼类保护的活动。</w:t>
      </w:r>
    </w:p>
    <w:p>
      <w:pPr>
        <w:pStyle w:val="5"/>
        <w:keepLines w:val="0"/>
        <w:widowControl/>
        <w:ind w:left="578" w:hanging="578"/>
        <w:rPr>
          <w:rFonts w:hint="default" w:ascii="Times New Roman" w:hAnsi="Times New Roman" w:cs="Times New Roman"/>
          <w:color w:val="auto"/>
        </w:rPr>
      </w:pPr>
      <w:r>
        <w:rPr>
          <w:rFonts w:hint="default" w:ascii="Times New Roman" w:hAnsi="Times New Roman" w:cs="Times New Roman"/>
          <w:color w:val="auto"/>
        </w:rPr>
        <w:t>建立协调及环境管理机构</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1、建立协调机构</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项目建设单位应与管理机构以及渔政部门组建协调小组，加强施工期和运行期对施工区域的管理。工程施工期和运行期的保护措施由管理部门及渔政部门设立专门工作小组负责开展。工程建设单位应遵照执行《水产种质资源保护区的管理暂行办法》，在施工人员中开展该办法的宣传教育工作，尽量减少工程施工对水产种质资源的影响。同时，在本项目建设前，工程建设单位应配合施工江段区域鱼类行政主管部门的工作，切实做好水产种质资源保护工作。针对本项目施工会施工区域附近水域的鱼类资源带来的影响，设置专项补偿费用于鱼类资源保护，根据保护的实际需要进行使用，经费使用接受相关主管单位监管。</w:t>
      </w:r>
    </w:p>
    <w:p>
      <w:pPr>
        <w:widowControl/>
        <w:adjustRightInd w:val="0"/>
        <w:snapToGrid w:val="0"/>
        <w:spacing w:line="360" w:lineRule="auto"/>
        <w:ind w:firstLine="482" w:firstLineChars="200"/>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2、设立环境管理机构</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本项目在设计、施工、运行中，应根据国家的环境保护政策，将水环境的监测作为重要内容。为保护水资源，一是要在工程建设中，确实把环境保护的硬件设施建设好；二是加强水资源保护的宣传，加强水法规定的宣贯，提高企业全员水资源保护的意识，保证工程建成后，环境保护工作能按设计方案运行。</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在项目建设和运行期，设置环境管理机构，协调施工期各项环境管理制度和缓减措施的落实。项目建成运行后，</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⑴ 保部主要职责</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制订和完善单位环境管理制度；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组织、制定实施单位环保工作计划；</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③ 组织实施单位环境监测计划；</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④ 组织检查、修理、改进环保设施；</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⑤ 管理固体废弃物处理、单位绿化工作；</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⑥ 定期与地方环保执法部门进行协调、沟通；</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⑺ 处理环境问题纠纷；</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⑻ 组织实施单位的环境教育和培训；</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⑨ 实施事故状态下防止污染发生和扩散的应急反应措施；</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⑩ 建立和运行单位环境文件、数据和资料管理系统；</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⑾ 制订和完善原料林基地生态防护计划和规划。</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⑵ 建立环境监测制度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环境监测的主要职责是：</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① 制定环境监测年度计划和规划，建立健全各项规章制度；</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② 完成项目环境监测计划规定的各项监测任务，按有关规定编制各种报告与报表，并负责呈报工作；</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③ 参与项目污染事故的调查分析；</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④ 参加项目的环境质量评价工作；</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⑤ 搞好监测仪器调试维修保养和保险工作，确保监测工作的正常进行；</w:t>
      </w:r>
    </w:p>
    <w:p>
      <w:pPr>
        <w:widowControl/>
        <w:adjustRightInd w:val="0"/>
        <w:snapToGrid w:val="0"/>
        <w:spacing w:line="360" w:lineRule="auto"/>
        <w:ind w:firstLine="480" w:firstLineChars="200"/>
        <w:rPr>
          <w:rFonts w:hint="default" w:ascii="Times New Roman" w:hAnsi="Times New Roman" w:cs="Times New Roman"/>
          <w:color w:val="auto"/>
          <w:sz w:val="24"/>
          <w:szCs w:val="18"/>
        </w:rPr>
      </w:pPr>
      <w:r>
        <w:rPr>
          <w:rFonts w:hint="default" w:ascii="Times New Roman" w:hAnsi="Times New Roman" w:cs="Times New Roman"/>
          <w:color w:val="auto"/>
          <w:sz w:val="24"/>
          <w:szCs w:val="18"/>
        </w:rPr>
        <w:t>⑥ 通过技术改造，不断提高污染防治对策的水平和操作性。</w:t>
      </w:r>
    </w:p>
    <w:p>
      <w:pPr>
        <w:pStyle w:val="4"/>
        <w:keepLines w:val="0"/>
        <w:widowControl/>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渔业资源补偿经费</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18"/>
        </w:rPr>
      </w:pPr>
      <w:r>
        <w:rPr>
          <w:rFonts w:hint="default" w:ascii="Times New Roman" w:hAnsi="Times New Roman" w:cs="Times New Roman"/>
          <w:color w:val="auto"/>
          <w:sz w:val="24"/>
          <w:szCs w:val="18"/>
        </w:rPr>
        <w:t>为尽量弥补工程建设及建成后对珍稀濒危物种和渔业资源的影响，不论是工程施工期或运行期间必须加强管理，监测珍稀濒危水生野生动物和经济鱼类状况，水生态修复，按时实施人工放流，实施以上工作需要总经费</w:t>
      </w:r>
      <w:r>
        <w:rPr>
          <w:rFonts w:hint="eastAsia" w:ascii="Times New Roman" w:hAnsi="Times New Roman" w:cs="Times New Roman"/>
          <w:color w:val="auto"/>
          <w:sz w:val="24"/>
          <w:szCs w:val="18"/>
          <w:lang w:val="en-US" w:eastAsia="zh-CN"/>
        </w:rPr>
        <w:t>284.5</w:t>
      </w:r>
      <w:r>
        <w:rPr>
          <w:rFonts w:hint="default" w:ascii="Times New Roman" w:hAnsi="Times New Roman" w:cs="Times New Roman"/>
          <w:color w:val="auto"/>
          <w:sz w:val="24"/>
          <w:szCs w:val="18"/>
        </w:rPr>
        <w:t>万元，见表7.2-1。</w:t>
      </w:r>
    </w:p>
    <w:p>
      <w:pPr>
        <w:widowControl/>
        <w:adjustRightInd w:val="0"/>
        <w:snapToGrid w:val="0"/>
        <w:spacing w:line="276" w:lineRule="auto"/>
        <w:jc w:val="center"/>
        <w:rPr>
          <w:rFonts w:hint="default" w:ascii="Times New Roman" w:hAnsi="Times New Roman" w:cs="Times New Roman"/>
          <w:b/>
          <w:bCs/>
          <w:color w:val="auto"/>
          <w:sz w:val="24"/>
          <w:szCs w:val="18"/>
        </w:rPr>
      </w:pPr>
      <w:r>
        <w:rPr>
          <w:rFonts w:hint="default" w:ascii="Times New Roman" w:hAnsi="Times New Roman" w:cs="Times New Roman"/>
          <w:b/>
          <w:bCs/>
          <w:color w:val="auto"/>
          <w:sz w:val="24"/>
          <w:szCs w:val="18"/>
        </w:rPr>
        <w:t>表7.2</w:t>
      </w:r>
      <w:r>
        <w:rPr>
          <w:rFonts w:hint="default" w:ascii="Times New Roman" w:hAnsi="Times New Roman" w:eastAsia="Times New Roman" w:cs="Times New Roman"/>
          <w:b/>
          <w:bCs/>
          <w:color w:val="auto"/>
          <w:sz w:val="24"/>
          <w:szCs w:val="18"/>
        </w:rPr>
        <w:t>-</w:t>
      </w:r>
      <w:r>
        <w:rPr>
          <w:rFonts w:hint="default" w:ascii="Times New Roman" w:hAnsi="Times New Roman" w:cs="Times New Roman"/>
          <w:b/>
          <w:bCs/>
          <w:color w:val="auto"/>
          <w:sz w:val="24"/>
          <w:szCs w:val="18"/>
        </w:rPr>
        <w:t>1  本项目鱼类保护及补偿经费汇总表</w:t>
      </w:r>
    </w:p>
    <w:tbl>
      <w:tblPr>
        <w:tblStyle w:val="72"/>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90"/>
        <w:gridCol w:w="979"/>
        <w:gridCol w:w="5061"/>
        <w:gridCol w:w="20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trPr>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预算经费（万元）</w:t>
            </w:r>
          </w:p>
        </w:tc>
        <w:tc>
          <w:tcPr>
            <w:tcW w:w="2781" w:type="pct"/>
            <w:tcBorders>
              <w:tl2br w:val="nil"/>
              <w:tr2bl w:val="nil"/>
            </w:tcBorders>
            <w:vAlign w:val="center"/>
          </w:tcPr>
          <w:p>
            <w:pPr>
              <w:tabs>
                <w:tab w:val="left" w:pos="900"/>
              </w:tabs>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c>
          <w:tcPr>
            <w:tcW w:w="1136" w:type="pct"/>
            <w:tcBorders>
              <w:tl2br w:val="nil"/>
              <w:tr2bl w:val="nil"/>
            </w:tcBorders>
            <w:vAlign w:val="center"/>
          </w:tcPr>
          <w:p>
            <w:pPr>
              <w:tabs>
                <w:tab w:val="left" w:pos="900"/>
              </w:tabs>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实施主体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一、水生态修复</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42.5</w:t>
            </w:r>
          </w:p>
        </w:tc>
        <w:tc>
          <w:tcPr>
            <w:tcW w:w="2781" w:type="pct"/>
            <w:tcBorders>
              <w:tl2br w:val="nil"/>
              <w:tr2bl w:val="nil"/>
            </w:tcBorders>
            <w:vAlign w:val="center"/>
          </w:tcPr>
          <w:p>
            <w:pPr>
              <w:tabs>
                <w:tab w:val="left" w:pos="900"/>
              </w:tabs>
              <w:adjustRightInd w:val="0"/>
              <w:snapToGrid w:val="0"/>
              <w:rPr>
                <w:rFonts w:hint="default" w:ascii="Times New Roman" w:hAnsi="Times New Roman" w:cs="Times New Roman"/>
                <w:color w:val="auto"/>
              </w:rPr>
            </w:pPr>
            <w:r>
              <w:rPr>
                <w:rFonts w:hint="default" w:ascii="Times New Roman" w:hAnsi="Times New Roman" w:cs="Times New Roman"/>
                <w:color w:val="auto"/>
              </w:rPr>
              <w:t>水生植被恢复，每年20万元，实施2年，管理费用2.5万元。</w:t>
            </w:r>
          </w:p>
        </w:tc>
        <w:tc>
          <w:tcPr>
            <w:tcW w:w="1136" w:type="pct"/>
            <w:vMerge w:val="restart"/>
            <w:tcBorders>
              <w:tl2br w:val="nil"/>
              <w:tr2bl w:val="nil"/>
            </w:tcBorders>
            <w:vAlign w:val="center"/>
          </w:tcPr>
          <w:p>
            <w:pPr>
              <w:tabs>
                <w:tab w:val="left" w:pos="900"/>
              </w:tabs>
              <w:adjustRightInd w:val="0"/>
              <w:snapToGrid w:val="0"/>
              <w:rPr>
                <w:rFonts w:hint="default" w:ascii="Times New Roman" w:hAnsi="Times New Roman" w:cs="Times New Roman"/>
                <w:color w:val="auto"/>
              </w:rPr>
            </w:pPr>
            <w:r>
              <w:rPr>
                <w:rFonts w:hint="default" w:ascii="Times New Roman" w:hAnsi="Times New Roman" w:cs="Times New Roman"/>
                <w:color w:val="auto"/>
              </w:rPr>
              <w:t>建议由保护区管理部门统筹安排，或委托专业科研单位实施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二、鱼类增殖放流</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152</w:t>
            </w:r>
          </w:p>
        </w:tc>
        <w:tc>
          <w:tcPr>
            <w:tcW w:w="2781" w:type="pct"/>
            <w:tcBorders>
              <w:tl2br w:val="nil"/>
              <w:tr2bl w:val="nil"/>
            </w:tcBorders>
            <w:vAlign w:val="center"/>
          </w:tcPr>
          <w:p>
            <w:pPr>
              <w:tabs>
                <w:tab w:val="left" w:pos="900"/>
              </w:tabs>
              <w:adjustRightInd w:val="0"/>
              <w:snapToGrid w:val="0"/>
              <w:rPr>
                <w:rFonts w:hint="default" w:ascii="Times New Roman" w:hAnsi="Times New Roman" w:cs="Times New Roman"/>
                <w:color w:val="auto"/>
              </w:rPr>
            </w:pPr>
            <w:r>
              <w:rPr>
                <w:rFonts w:hint="default" w:ascii="Times New Roman" w:hAnsi="Times New Roman" w:cs="Times New Roman"/>
                <w:color w:val="auto"/>
              </w:rPr>
              <w:t>苗种购买费34万，亲本费98万元，组织管理等费用20万元。</w:t>
            </w:r>
          </w:p>
        </w:tc>
        <w:tc>
          <w:tcPr>
            <w:tcW w:w="1136" w:type="pct"/>
            <w:vMerge w:val="continue"/>
            <w:tcBorders>
              <w:tl2br w:val="nil"/>
              <w:tr2bl w:val="nil"/>
            </w:tcBorders>
            <w:vAlign w:val="center"/>
          </w:tcPr>
          <w:p>
            <w:pPr>
              <w:tabs>
                <w:tab w:val="left" w:pos="900"/>
              </w:tabs>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三、水生生物监测</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30</w:t>
            </w:r>
          </w:p>
        </w:tc>
        <w:tc>
          <w:tcPr>
            <w:tcW w:w="2781" w:type="pct"/>
            <w:tcBorders>
              <w:tl2br w:val="nil"/>
              <w:tr2bl w:val="nil"/>
            </w:tcBorders>
            <w:vAlign w:val="center"/>
          </w:tcPr>
          <w:p>
            <w:pPr>
              <w:tabs>
                <w:tab w:val="left" w:pos="900"/>
              </w:tabs>
              <w:adjustRightInd w:val="0"/>
              <w:snapToGrid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施工期2年，每年监测2次，运行期初步按1年计算，监测1次，每次费用10万元。</w:t>
            </w:r>
          </w:p>
        </w:tc>
        <w:tc>
          <w:tcPr>
            <w:tcW w:w="1136" w:type="pct"/>
            <w:vMerge w:val="continue"/>
            <w:tcBorders>
              <w:tl2br w:val="nil"/>
              <w:tr2bl w:val="nil"/>
            </w:tcBorders>
            <w:vAlign w:val="center"/>
          </w:tcPr>
          <w:p>
            <w:pPr>
              <w:tabs>
                <w:tab w:val="left" w:pos="900"/>
              </w:tabs>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四、渔政监督管理</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60</w:t>
            </w:r>
          </w:p>
        </w:tc>
        <w:tc>
          <w:tcPr>
            <w:tcW w:w="2781" w:type="pct"/>
            <w:tcBorders>
              <w:tl2br w:val="nil"/>
              <w:tr2bl w:val="nil"/>
            </w:tcBorders>
            <w:vAlign w:val="center"/>
          </w:tcPr>
          <w:p>
            <w:pPr>
              <w:tabs>
                <w:tab w:val="left" w:pos="900"/>
              </w:tabs>
              <w:adjustRightInd w:val="0"/>
              <w:snapToGrid w:val="0"/>
              <w:rPr>
                <w:rFonts w:hint="eastAsia" w:ascii="Times New Roman" w:hAnsi="Times New Roman" w:eastAsia="宋体" w:cs="Times New Roman"/>
                <w:color w:val="auto"/>
                <w:lang w:val="en-US" w:eastAsia="zh-CN"/>
              </w:rPr>
            </w:pPr>
            <w:r>
              <w:rPr>
                <w:rFonts w:hint="default" w:ascii="Times New Roman" w:hAnsi="Times New Roman" w:cs="Times New Roman"/>
                <w:color w:val="auto"/>
              </w:rPr>
              <w:t>管理费用2.5万元主要用于渔政管理、宣传及施工区巡视，应急预案经费，每年15万元。初步按4年计算</w:t>
            </w:r>
            <w:r>
              <w:rPr>
                <w:rFonts w:hint="eastAsia" w:ascii="Times New Roman" w:hAnsi="Times New Roman" w:cs="Times New Roman"/>
                <w:color w:val="auto"/>
                <w:lang w:eastAsia="zh-CN"/>
              </w:rPr>
              <w:t>。</w:t>
            </w:r>
          </w:p>
        </w:tc>
        <w:tc>
          <w:tcPr>
            <w:tcW w:w="1136" w:type="pct"/>
            <w:vMerge w:val="continue"/>
            <w:tcBorders>
              <w:tl2br w:val="nil"/>
              <w:tr2bl w:val="nil"/>
            </w:tcBorders>
            <w:vAlign w:val="center"/>
          </w:tcPr>
          <w:p>
            <w:pPr>
              <w:tabs>
                <w:tab w:val="left" w:pos="900"/>
              </w:tabs>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44" w:type="pct"/>
            <w:tcBorders>
              <w:tl2br w:val="nil"/>
              <w:tr2bl w:val="nil"/>
            </w:tcBorders>
            <w:vAlign w:val="center"/>
          </w:tcPr>
          <w:p>
            <w:pPr>
              <w:tabs>
                <w:tab w:val="left" w:pos="90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合计</w:t>
            </w:r>
          </w:p>
        </w:tc>
        <w:tc>
          <w:tcPr>
            <w:tcW w:w="538" w:type="pct"/>
            <w:tcBorders>
              <w:tl2br w:val="nil"/>
              <w:tr2bl w:val="nil"/>
            </w:tcBorders>
            <w:vAlign w:val="center"/>
          </w:tcPr>
          <w:p>
            <w:pPr>
              <w:tabs>
                <w:tab w:val="left" w:pos="900"/>
              </w:tabs>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284.5</w:t>
            </w:r>
          </w:p>
        </w:tc>
        <w:tc>
          <w:tcPr>
            <w:tcW w:w="2781" w:type="pct"/>
            <w:tcBorders>
              <w:tl2br w:val="nil"/>
              <w:tr2bl w:val="nil"/>
            </w:tcBorders>
            <w:vAlign w:val="center"/>
          </w:tcPr>
          <w:p>
            <w:pPr>
              <w:tabs>
                <w:tab w:val="left" w:pos="900"/>
              </w:tabs>
              <w:adjustRightInd w:val="0"/>
              <w:snapToGrid w:val="0"/>
              <w:rPr>
                <w:rFonts w:hint="default" w:ascii="Times New Roman" w:hAnsi="Times New Roman" w:cs="Times New Roman"/>
                <w:color w:val="auto"/>
              </w:rPr>
            </w:pPr>
          </w:p>
        </w:tc>
        <w:tc>
          <w:tcPr>
            <w:tcW w:w="1136" w:type="pct"/>
            <w:tcBorders>
              <w:tl2br w:val="nil"/>
              <w:tr2bl w:val="nil"/>
            </w:tcBorders>
            <w:vAlign w:val="center"/>
          </w:tcPr>
          <w:p>
            <w:pPr>
              <w:tabs>
                <w:tab w:val="left" w:pos="900"/>
              </w:tabs>
              <w:adjustRightInd w:val="0"/>
              <w:snapToGrid w:val="0"/>
              <w:rPr>
                <w:rFonts w:hint="default" w:ascii="Times New Roman" w:hAnsi="Times New Roman" w:cs="Times New Roman"/>
                <w:color w:val="auto"/>
              </w:rPr>
            </w:pPr>
          </w:p>
        </w:tc>
      </w:tr>
    </w:tbl>
    <w:p>
      <w:pPr>
        <w:widowControl/>
        <w:adjustRightInd w:val="0"/>
        <w:snapToGrid w:val="0"/>
        <w:spacing w:line="360" w:lineRule="auto"/>
        <w:ind w:firstLine="480" w:firstLineChars="200"/>
        <w:jc w:val="left"/>
        <w:rPr>
          <w:rFonts w:hint="default" w:ascii="Times New Roman" w:hAnsi="Times New Roman" w:cs="Times New Roman"/>
          <w:color w:val="auto"/>
          <w:kern w:val="0"/>
          <w:sz w:val="24"/>
          <w:szCs w:val="24"/>
          <w:lang w:bidi="ar"/>
        </w:rPr>
      </w:pPr>
    </w:p>
    <w:p>
      <w:pPr>
        <w:widowControl/>
        <w:adjustRightInd w:val="0"/>
        <w:snapToGrid w:val="0"/>
        <w:spacing w:line="360" w:lineRule="auto"/>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为统一协调和有效实施本项工作，建议工程业主单位在工程实施前与湖南省农业农村局签订保护及补偿协议。</w:t>
      </w:r>
    </w:p>
    <w:p>
      <w:pPr>
        <w:pStyle w:val="4"/>
        <w:keepLines w:val="0"/>
        <w:widowControl/>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综合影响结论</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本项目施工期的主要影响因子是施工噪声和振动、悬浮物、废弃物及石油类油污等，损害一定量的浮游生物和底栖动物，对鱼类的栖息、洄游、索饵和繁殖等有一定的影响。由于施工范围小，施工期短，对保护区水生生物、生态环境和结构功能的影响小。</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运行期的主要影响因子是船舶和运输车辆噪声及振动，生产和生活废水（包括悬浮物及石油类油污）等。噪声及振动的影响范围小，对鱼类行为影响不大。废水经港区污水处理站处理达标后排放，对水体环境影响小。但因机修可能出现的漏油事故及水上交通事故会对四大家鱼等保护对象、保护区水生态产生明显影响。尽管存在事故风险，但通过科学的管理和施工，同时建立事故应急处置机制，可以将风险降到很低。</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总体上，本项目码头的施工和运行对长江监利段四大家鱼国家级水产种质资源保护区的水质、水生生物、生态环境、主要保护对象和保护区结构和功能的影响较小。</w:t>
      </w:r>
    </w:p>
    <w:p>
      <w:pPr>
        <w:widowControl/>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专题认为各项工程技术要求、管理措施与渔业生态补偿措施可减缓工程建设运行对长江监利段四大家鱼国家级水产种质资源保护区的影响，工程建设方案原则上可行。</w:t>
      </w:r>
    </w:p>
    <w:p>
      <w:pPr>
        <w:rPr>
          <w:rFonts w:hint="default" w:ascii="Times New Roman" w:hAnsi="Times New Roman" w:cs="Times New Roman"/>
          <w:color w:val="auto"/>
        </w:rPr>
      </w:pPr>
    </w:p>
    <w:p>
      <w:pPr>
        <w:pStyle w:val="2"/>
        <w:rPr>
          <w:rFonts w:hint="default" w:ascii="Times New Roman" w:hAnsi="Times New Roman"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07" w:name="_Toc7404"/>
      <w:bookmarkStart w:id="108" w:name="_Toc21361"/>
      <w:r>
        <w:rPr>
          <w:rFonts w:hint="default" w:ascii="Times New Roman" w:hAnsi="Times New Roman" w:cs="Times New Roman" w:eastAsiaTheme="minorEastAsia"/>
          <w:b/>
          <w:color w:val="auto"/>
          <w:sz w:val="32"/>
          <w:szCs w:val="32"/>
        </w:rPr>
        <w:t>环境风险评价</w:t>
      </w:r>
      <w:bookmarkEnd w:id="107"/>
      <w:bookmarkEnd w:id="108"/>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按照《建设项目环境风险评价技术导则》（HJ/T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pPr>
        <w:pStyle w:val="3"/>
        <w:ind w:left="578" w:hanging="578"/>
        <w:rPr>
          <w:rFonts w:hint="default" w:ascii="Times New Roman" w:hAnsi="Times New Roman" w:cs="Times New Roman" w:eastAsiaTheme="minorEastAsia"/>
          <w:b/>
          <w:color w:val="auto"/>
        </w:rPr>
      </w:pPr>
      <w:bookmarkStart w:id="109" w:name="_Toc25210"/>
      <w:bookmarkStart w:id="110" w:name="_Toc299"/>
      <w:r>
        <w:rPr>
          <w:rFonts w:hint="default" w:ascii="Times New Roman" w:hAnsi="Times New Roman" w:cs="Times New Roman" w:eastAsiaTheme="minorEastAsia"/>
          <w:b/>
          <w:color w:val="auto"/>
        </w:rPr>
        <w:t>环境风险分析</w:t>
      </w:r>
      <w:bookmarkEnd w:id="109"/>
      <w:bookmarkEnd w:id="110"/>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物质危险性识别</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根据《建设项目环境风险评价技术导则》（HJ/T169-2018）附录B，本项目存在危险性的主要物质有存储和输送的液化天然气（LNG，主要成分为甲烷）、船舶所使用的燃料油。</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1、天然气危险特性</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本项目主要存储的LNG天然气特性详见表4.2-1。</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LNG属于液化烃，天然气经过低温液化后即得到液化天然气，其组成绝大部分为甲烷，液化天然气具有低温、易挥发、易燃易爆，并且具有热膨胀性、汽化性、易扩散性以及静电荷集聚性。泄露的天然气容易挥发，单位体积的液化天然气气化后，体积将扩大625倍，当天然气的体积浓度为5~14%时就可以被引燃或引爆。液化天然气属于低毒性物质，但空气中甲烷含量过高可使人因缺氧引发窒息。天然气具体特性如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易燃性：天然气中主要组份闪点低、最小点火能小、燃烧速率快，是燃烧危险性很大的货种。根据《石油化工企业设计防火标准》，天然气火灾危险等级为甲类。</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爆性：天然气能与空气形成爆炸性混合物，且爆炸极限范围宽，爆炸下限较低，由于本项目后期建设的管线设计压力高，为9.0MPa，一旦发生泄漏，短时间内会有大量天然气泄漏到空气中，在特定条件下，在泄漏源周围有可能形成爆炸性天然气团，遇火源将发生爆炸甚至“爆轰”。</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易扩散性：天然气中主要组份甲烷气体密度比空气小，泄漏后不易留在低凹处，有较好的扩散性。加之本项目后期建设的管线设计压力高、输送温度较低，一旦发生泄漏，泄漏的天然气将迅速扩散，并随空气流动，扩散距离远，扩散面宽，一处点燃波及一片，并向泄漏点扩散燃烧。</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2、燃料油风险性识别</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本项目运输LNG船舶所用燃料油特性详见表8.1-1。</w:t>
      </w:r>
    </w:p>
    <w:p>
      <w:pPr>
        <w:adjustRightInd w:val="0"/>
        <w:snapToGrid w:val="0"/>
        <w:spacing w:line="276" w:lineRule="auto"/>
        <w:ind w:firstLine="482" w:firstLineChars="200"/>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表8.1-1  燃料油危险特性及防范措施一览</w:t>
      </w:r>
    </w:p>
    <w:tbl>
      <w:tblPr>
        <w:tblStyle w:val="7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984"/>
        <w:gridCol w:w="2335"/>
        <w:gridCol w:w="224"/>
        <w:gridCol w:w="2266"/>
        <w:gridCol w:w="173"/>
        <w:gridCol w:w="21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blHeader/>
        </w:trPr>
        <w:tc>
          <w:tcPr>
            <w:tcW w:w="5000" w:type="pct"/>
            <w:gridSpan w:val="6"/>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b/>
                <w:bCs/>
                <w:color w:val="auto"/>
                <w:kern w:val="0"/>
              </w:rPr>
              <w:t>理化性质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外观</w:t>
            </w:r>
          </w:p>
        </w:tc>
        <w:tc>
          <w:tcPr>
            <w:tcW w:w="3909" w:type="pct"/>
            <w:gridSpan w:val="5"/>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黑色油状物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闪点</w:t>
            </w:r>
          </w:p>
        </w:tc>
        <w:tc>
          <w:tcPr>
            <w:tcW w:w="1406" w:type="pct"/>
            <w:gridSpan w:val="2"/>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120℃</w:t>
            </w:r>
          </w:p>
        </w:tc>
        <w:tc>
          <w:tcPr>
            <w:tcW w:w="124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引燃温度</w:t>
            </w:r>
          </w:p>
        </w:tc>
        <w:tc>
          <w:tcPr>
            <w:tcW w:w="1256" w:type="pct"/>
            <w:gridSpan w:val="2"/>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520℃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000" w:type="pct"/>
            <w:gridSpan w:val="6"/>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b/>
                <w:bCs/>
                <w:color w:val="auto"/>
                <w:kern w:val="0"/>
              </w:rPr>
              <w:t>健康危害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侵入途径</w:t>
            </w:r>
          </w:p>
        </w:tc>
        <w:tc>
          <w:tcPr>
            <w:tcW w:w="3909" w:type="pct"/>
            <w:gridSpan w:val="5"/>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吸入、食入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健康危害</w:t>
            </w:r>
          </w:p>
        </w:tc>
        <w:tc>
          <w:tcPr>
            <w:tcW w:w="3909" w:type="pct"/>
            <w:gridSpan w:val="5"/>
            <w:tcBorders>
              <w:tl2br w:val="nil"/>
              <w:tr2bl w:val="nil"/>
            </w:tcBorders>
            <w:vAlign w:val="center"/>
          </w:tcPr>
          <w:p>
            <w:pPr>
              <w:adjustRightInd w:val="0"/>
              <w:snapToGrid w:val="0"/>
              <w:jc w:val="left"/>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rPr>
              <w:t>对皮肤有一定的损害，可致接触性皮炎、毛囊性损害等。接触后，尚可有咳嗽、胸闷、头痛、乏力、食欲不振等全身症状和眼、鼻、咽部的刺激症状。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000" w:type="pct"/>
            <w:gridSpan w:val="6"/>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b/>
                <w:bCs/>
                <w:color w:val="auto"/>
                <w:kern w:val="0"/>
              </w:rPr>
              <w:t>急救措施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皮肤接触</w:t>
            </w:r>
          </w:p>
        </w:tc>
        <w:tc>
          <w:tcPr>
            <w:tcW w:w="3909" w:type="pct"/>
            <w:gridSpan w:val="5"/>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rPr>
              <w:t>脱去污染的衣着，用大量流动清水冲洗。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眼睛接触</w:t>
            </w: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提起眼睑，用流动清水或生理盐水冲洗，就医。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吸入</w:t>
            </w: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脱离现场至空气新鲜处。如呼吸困难，给输氧，就医。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食入</w:t>
            </w: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饮足量温水，催吐，就医。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b/>
                <w:bCs/>
                <w:color w:val="auto"/>
              </w:rPr>
              <w:t>燃爆特性和消防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eastAsia="CIDFont+F3" w:cs="Times New Roman"/>
                <w:b/>
                <w:bCs/>
                <w:color w:val="auto"/>
              </w:rPr>
              <w:t>燃烧性</w:t>
            </w:r>
          </w:p>
        </w:tc>
        <w:tc>
          <w:tcPr>
            <w:tcW w:w="1283"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本品可燃，具刺激性</w:t>
            </w:r>
          </w:p>
        </w:tc>
        <w:tc>
          <w:tcPr>
            <w:tcW w:w="1463" w:type="pct"/>
            <w:gridSpan w:val="3"/>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有害燃烧产物</w:t>
            </w:r>
          </w:p>
        </w:tc>
        <w:tc>
          <w:tcPr>
            <w:tcW w:w="1162" w:type="pct"/>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一氧化碳、二氧化碳、成分未知的黑色烟雾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危险特性</w:t>
            </w: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受高热分解，放出腐蚀性、刺激性的烟雾。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灭火方法</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消防人员须佩戴防毒面具、穿全身消防服，在上风向灭火。尽可能将容器从火场移至空旷处。喷水保持火场容器冷却，直至灭火结束。处在火场中的容器若已变色或从安全泄压装置中产生声音，必须马上撤离。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b/>
                <w:bCs/>
                <w:color w:val="auto"/>
              </w:rPr>
              <w:t>灭火剂</w:t>
            </w:r>
          </w:p>
        </w:tc>
        <w:tc>
          <w:tcPr>
            <w:tcW w:w="3909" w:type="pct"/>
            <w:gridSpan w:val="5"/>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color w:val="auto"/>
              </w:rPr>
              <w:t>雾状水、泡沫、干粉、二氧化碳、砂土。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5000" w:type="pct"/>
            <w:gridSpan w:val="6"/>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b/>
                <w:bCs/>
                <w:color w:val="auto"/>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泄漏应急处理</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迅速撤离泄漏污染区人员至安全区，并进行隔离，严格限制出入。切断火源，建议应急处理人员戴自给正压式呼吸器，穿防毒服，尽可能切断泄漏源，防止流入下水道、排洪沟等限制性空间。小量泄漏：用砂土或其他不燃材料吸附或吸收。大量泄漏：构筑围堤或挖坑收容，用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储存注意事项</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储存于阴凉、通风的库房，远离火种、热源，应与氧化剂、酸类分开存放，切忌混储。配备相应品种和数量的消防器材。储区应备有泄漏应急处理设备和合适的收容材料。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运输注意事项</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运输前应先检查包装容器是否完整、密封，运输过程中要确保容器不泄漏、不倒塌、不坠落、不损坏。严禁与氧化剂、酸类、食用化学品等混装混运。运输车船必须彻底清洗、消毒，否则不得装运其他物品。船运时，配装位置应远离卧室、厨房，并与机舱、电源、火源等部位隔离。公路运输时要按规定路线行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操作处置注意事项</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密闭操作，提供良好的自然通风条件。操作人员必须经过专门培训，严格遵守操作规程。建议操作人员佩戴自吸过滤式防毒面具</w:t>
            </w:r>
            <w:r>
              <w:rPr>
                <w:rFonts w:hint="default" w:ascii="Times New Roman" w:hAnsi="Times New Roman" w:cs="Times New Roman"/>
                <w:color w:val="auto"/>
              </w:rPr>
              <w:t>（</w:t>
            </w:r>
            <w:r>
              <w:rPr>
                <w:rFonts w:hint="default" w:ascii="Times New Roman" w:hAnsi="Times New Roman" w:eastAsia="CIDFont+F3" w:cs="Times New Roman"/>
                <w:color w:val="auto"/>
              </w:rPr>
              <w:t>半面罩</w:t>
            </w:r>
            <w:r>
              <w:rPr>
                <w:rFonts w:hint="default" w:ascii="Times New Roman" w:hAnsi="Times New Roman" w:cs="Times New Roman"/>
                <w:color w:val="auto"/>
              </w:rPr>
              <w:t>）</w:t>
            </w:r>
            <w:r>
              <w:rPr>
                <w:rFonts w:hint="default" w:ascii="Times New Roman" w:hAnsi="Times New Roman" w:eastAsia="CIDFont+F3" w:cs="Times New Roman"/>
                <w:color w:val="auto"/>
              </w:rPr>
              <w:t>，戴化学安全防护眼镜，穿防毒物渗透工作服，戴橡胶耐油手套。远离火种、热源，工作场所严禁吸烟。使用防爆型的通风系统和设备。防止蒸气泄漏到工作场所空气中，避免与氧化剂、酸类接触。搬运时要轻装轻卸，防止包装及容器损坏。配备相应品种和数量的消防器材及泄漏应急处理设备。倒空的容器可能残留有害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b/>
                <w:bCs/>
                <w:color w:val="auto"/>
              </w:rPr>
            </w:pPr>
            <w:r>
              <w:rPr>
                <w:rFonts w:hint="default" w:ascii="Times New Roman" w:hAnsi="Times New Roman" w:eastAsia="CIDFont+F3" w:cs="Times New Roman"/>
                <w:b/>
                <w:bCs/>
                <w:color w:val="auto"/>
              </w:rPr>
              <w:t>个体防护</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工程控制：提供良好的自然通风条件。</w:t>
            </w:r>
          </w:p>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呼吸系统防护：空气中浓度超标时，必须佩戴自吸过滤式防毒面具</w:t>
            </w:r>
            <w:r>
              <w:rPr>
                <w:rFonts w:hint="default" w:ascii="Times New Roman" w:hAnsi="Times New Roman" w:cs="Times New Roman"/>
                <w:color w:val="auto"/>
              </w:rPr>
              <w:t>（</w:t>
            </w:r>
            <w:r>
              <w:rPr>
                <w:rFonts w:hint="default" w:ascii="Times New Roman" w:hAnsi="Times New Roman" w:eastAsia="CIDFont+F3" w:cs="Times New Roman"/>
                <w:color w:val="auto"/>
              </w:rPr>
              <w:t>半面罩</w:t>
            </w:r>
            <w:r>
              <w:rPr>
                <w:rFonts w:hint="default" w:ascii="Times New Roman" w:hAnsi="Times New Roman" w:cs="Times New Roman"/>
                <w:color w:val="auto"/>
              </w:rPr>
              <w:t>）</w:t>
            </w:r>
            <w:r>
              <w:rPr>
                <w:rFonts w:hint="default" w:ascii="Times New Roman" w:hAnsi="Times New Roman" w:eastAsia="CIDFont+F3" w:cs="Times New Roman"/>
                <w:color w:val="auto"/>
              </w:rPr>
              <w:t>。 紧急事态抢救或撤离时，应该佩戴空气呼吸器。眼睛防护：戴化学安全防护眼镜。</w:t>
            </w:r>
          </w:p>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身体防护：穿防毒物渗透工作服。手防护：戴橡胶耐油手套。其他：工作完毕，淋浴更衣，工作完毕，彻底清洗。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7" w:hRule="atLeast"/>
        </w:trPr>
        <w:tc>
          <w:tcPr>
            <w:tcW w:w="1090" w:type="pct"/>
            <w:tcBorders>
              <w:tl2br w:val="nil"/>
              <w:tr2bl w:val="nil"/>
            </w:tcBorders>
            <w:vAlign w:val="center"/>
          </w:tcPr>
          <w:p>
            <w:pPr>
              <w:adjustRightInd w:val="0"/>
              <w:snapToGrid w:val="0"/>
              <w:jc w:val="center"/>
              <w:rPr>
                <w:rFonts w:hint="default" w:ascii="Times New Roman" w:hAnsi="Times New Roman" w:eastAsia="CIDFont+F3" w:cs="Times New Roman"/>
                <w:color w:val="auto"/>
              </w:rPr>
            </w:pPr>
            <w:r>
              <w:rPr>
                <w:rFonts w:hint="default" w:ascii="Times New Roman" w:hAnsi="Times New Roman" w:eastAsia="CIDFont+F3" w:cs="Times New Roman"/>
                <w:b/>
                <w:bCs/>
                <w:color w:val="auto"/>
              </w:rPr>
              <w:t>稳定性和反应活性</w:t>
            </w:r>
          </w:p>
        </w:tc>
        <w:tc>
          <w:tcPr>
            <w:tcW w:w="3909" w:type="pct"/>
            <w:gridSpan w:val="5"/>
            <w:tcBorders>
              <w:tl2br w:val="nil"/>
              <w:tr2bl w:val="nil"/>
            </w:tcBorders>
            <w:vAlign w:val="center"/>
          </w:tcPr>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稳定性：稳定  聚合危害：不聚合</w:t>
            </w:r>
          </w:p>
          <w:p>
            <w:pPr>
              <w:adjustRightInd w:val="0"/>
              <w:snapToGrid w:val="0"/>
              <w:jc w:val="left"/>
              <w:rPr>
                <w:rFonts w:hint="default" w:ascii="Times New Roman" w:hAnsi="Times New Roman" w:eastAsia="CIDFont+F3" w:cs="Times New Roman"/>
                <w:color w:val="auto"/>
              </w:rPr>
            </w:pPr>
            <w:r>
              <w:rPr>
                <w:rFonts w:hint="default" w:ascii="Times New Roman" w:hAnsi="Times New Roman" w:eastAsia="CIDFont+F3" w:cs="Times New Roman"/>
                <w:color w:val="auto"/>
              </w:rPr>
              <w:t>禁忌物：强氧化剂、强酸。</w:t>
            </w:r>
          </w:p>
        </w:tc>
      </w:tr>
    </w:tbl>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燃油组成性质为：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化学性质：主要为碳氢化合物，其组成结构以烷属（族）、环烷属（族）、芳香属（族）这三大系列的结构为主，其性质依据燃油的组成成分呈现差异。</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物理性质：燃油的物理性质随其化学组成的不同而有差异，颜色从深棕、墨绿到黑色；含有硫化物较高的燃油散发着强烈刺鼻的臭味；燃油的密度均比水小；燃油不溶于水，但可溶于有机溶剂，如苯、香精、醚、三氯甲烷、硫化碳、四氯化碳等，也能局部溶解于酒精之中。</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码头生产环节中危险性识别</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本项目的工艺过程包括LNG运输、卸船、气化等。LNG 储运过程不同于高温、高压操作条件下的石油化工装置生产过程，其操作条件较为温和，但由于其储量较大，物料易于挥发等特点，项目仍然存在较多的风险因素。</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根据事故的类比调查和统计，结合对项目各工艺过程的分析，本项目码头发生天然气泄漏导致火灾、爆炸以及燃料油、天然气泄漏是主要风险。</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通过对工程资料的分析及对类比工程的调研，本项目码头</w:t>
      </w:r>
      <w:r>
        <w:rPr>
          <w:rFonts w:hint="eastAsia" w:ascii="Times New Roman" w:hAnsi="Times New Roman" w:cs="Times New Roman" w:eastAsiaTheme="minorEastAsia"/>
          <w:color w:val="auto"/>
          <w:kern w:val="0"/>
          <w:sz w:val="24"/>
          <w:szCs w:val="24"/>
          <w:lang w:val="en-US" w:eastAsia="zh-CN"/>
        </w:rPr>
        <w:t>加注</w:t>
      </w:r>
      <w:r>
        <w:rPr>
          <w:rFonts w:hint="default" w:ascii="Times New Roman" w:hAnsi="Times New Roman" w:cs="Times New Roman" w:eastAsiaTheme="minorEastAsia"/>
          <w:color w:val="auto"/>
          <w:kern w:val="0"/>
          <w:sz w:val="24"/>
          <w:szCs w:val="24"/>
        </w:rPr>
        <w:t>及船舶运输、作业可能发生的环境风险事故类型主要有：</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u w:val="single"/>
        </w:rPr>
      </w:pPr>
      <w:r>
        <w:rPr>
          <w:rFonts w:hint="default" w:ascii="Times New Roman" w:hAnsi="Times New Roman" w:cs="Times New Roman" w:eastAsiaTheme="minorEastAsia"/>
          <w:b/>
          <w:bCs/>
          <w:color w:val="auto"/>
          <w:kern w:val="0"/>
          <w:sz w:val="24"/>
          <w:szCs w:val="24"/>
          <w:u w:val="single"/>
        </w:rPr>
        <w:t>1、天然气泄露事故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船舶在靠、离码头过程中，由于操作不当，造成船体与码头相撞，进而导致船舶的天然气泄漏；在码头前沿水域或者在航道上航行过程中，项目船舶与其它船舶（如工作船、拖轮、杂货船、渔船或项目附近企业的运输船等）发生碰撞，造成天然气泄漏；地震等自然灾害引起对船舶碰撞码头或者船舶和其它船舶碰撞，造成船体破坏而导致天然气的泄漏；装卸管道阀门、法兰、接口等发生破损，引发泄露事故等。</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u w:val="single"/>
        </w:rPr>
      </w:pPr>
      <w:r>
        <w:rPr>
          <w:rFonts w:hint="default" w:ascii="Times New Roman" w:hAnsi="Times New Roman" w:cs="Times New Roman" w:eastAsiaTheme="minorEastAsia"/>
          <w:b/>
          <w:bCs/>
          <w:color w:val="auto"/>
          <w:kern w:val="0"/>
          <w:sz w:val="24"/>
          <w:szCs w:val="24"/>
          <w:u w:val="single"/>
        </w:rPr>
        <w:t>2、燃料油泄露事故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有关资料表明，导致船舶突发性泄漏风险事件污染水域的环境风险因素主要有：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⑴ 操作系统、辅助设施等自身的原因，如设计失误、包装破损等；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⑵ 操作技术不熟练，责任心不强；</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u w:val="single"/>
        </w:rPr>
        <w:t>⑶ 发生自然灾害，如地震等。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水上重大污染事故主要是由于船只在码头泊位或锚地、航道上发生碰撞、搁浅或船身、设备、管线等破损而引起的。船舶在靠、离码头过程中，由于操作不当，造成船体与码头相撞，进而导致船舶的燃料油泄漏；在码头前沿水域或者在航道上航行过程中，项目船舶与其它船舶（如工作船、拖轮、杂货船、渔船或项目附近企业的运输船等）发生碰撞，造成燃料油泄漏；地震等自然灾害引起对船舶碰撞码头或者船舶和其它船舶碰撞，造成船体破坏而导致燃料油的泄漏。</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u w:val="single"/>
        </w:rPr>
      </w:pPr>
      <w:r>
        <w:rPr>
          <w:rFonts w:hint="default" w:ascii="Times New Roman" w:hAnsi="Times New Roman" w:cs="Times New Roman" w:eastAsiaTheme="minorEastAsia"/>
          <w:b/>
          <w:bCs/>
          <w:color w:val="auto"/>
          <w:kern w:val="0"/>
          <w:sz w:val="24"/>
          <w:szCs w:val="24"/>
          <w:u w:val="single"/>
        </w:rPr>
        <w:t>3、天然气火灾爆炸事故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u w:val="single"/>
        </w:rPr>
        <w:t>泄漏后的天然气在遇到明火源时会发生火灾爆炸事故，主要类型包括：天然气泄漏到地面或水面上形成液池后，被点燃产生的池火；天然气管道和压缩、冷凝、气化、计量及外输工艺设备等因介质泄漏而被点燃产生的喷射火；天然气泄漏后经蒸发、扩散，在开阔地带形成可燃性蒸气云，然后遇到点火源而引发的闪火；障碍/密闭空间内LNG蒸气云被点燃产生的蒸气云爆炸事故；LNG容器和高压天然气管线等由于外部火灾烘烤或其他原因，猛然破裂时可能引发的火球（BLEVE）事故等。</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环境敏感目标</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大气环境敏感目标详见表2.6-3和附图2。</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评价等级及范围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建设项目环境风险评价技术导则》（HJ169-2018）中规定的方法判断评价等级，本项目大气环境风险评价等级均为二级，地表水环境风险评价工作等级为简单分析，其工程内容参照《水上溢油环境风险评估技术导则》（JT/T 1143-2017）执行。</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风险评价范围中，大气环境风险评价范围为距离源点5km内的范围，地表水域风险评价范围根据计算水文条件调整扩大，为码头上游1km至下游10km的长江江段。</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事故资料统计</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1、事故类型</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生产阶段的主要天然气泄漏事故来自管道破裂、储罐事故。不同的事故带来的环境风险程度不同。进行环境风险分析的目的就在于确定那些环境风险程度较大的事故，以便有针对性地采取相应防范措施。</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国际海事组织公布（IMO，1983）的国际液货船舶事故统计资料中可以看出（表8.1-2），油轮与气体运载船存在一定的火灾、爆炸事故的事故率，该类事故多发生在机舱，如果事故控制得当则不会造成油气泄漏事故。引起船舶在码头水域发生泄漏事故的原因主要包括船舶发生搁浅、碰撞、触礁、火灾与爆炸等事故因素。</w:t>
      </w:r>
    </w:p>
    <w:p>
      <w:pPr>
        <w:adjustRightInd w:val="0"/>
        <w:snapToGrid w:val="0"/>
        <w:spacing w:line="276" w:lineRule="auto"/>
        <w:ind w:firstLine="482" w:firstLineChars="200"/>
        <w:jc w:val="right"/>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表8.1-2  1968年至1983年国际液货船舶事故率统计</w:t>
      </w:r>
      <w:r>
        <w:rPr>
          <w:rFonts w:hint="eastAsia" w:ascii="Times New Roman" w:hAnsi="Times New Roman" w:cs="Times New Roman" w:eastAsiaTheme="minorEastAsia"/>
          <w:b/>
          <w:bCs/>
          <w:color w:val="auto"/>
          <w:kern w:val="0"/>
          <w:sz w:val="24"/>
          <w:szCs w:val="24"/>
          <w:lang w:val="en-US" w:eastAsia="zh-CN"/>
        </w:rPr>
        <w:t xml:space="preserve">    </w:t>
      </w:r>
      <w:r>
        <w:rPr>
          <w:rFonts w:hint="eastAsia" w:ascii="Times New Roman" w:hAnsi="Times New Roman" w:cs="Times New Roman" w:eastAsiaTheme="minorEastAsia"/>
          <w:b w:val="0"/>
          <w:bCs w:val="0"/>
          <w:color w:val="auto"/>
          <w:kern w:val="0"/>
          <w:sz w:val="24"/>
          <w:szCs w:val="24"/>
          <w:lang w:val="en-US" w:eastAsia="zh-CN"/>
        </w:rPr>
        <w:t>单位：</w:t>
      </w:r>
      <w:r>
        <w:rPr>
          <w:rFonts w:hint="default" w:ascii="Times New Roman" w:hAnsi="Times New Roman" w:cs="Times New Roman" w:eastAsiaTheme="minorEastAsia"/>
          <w:b w:val="0"/>
          <w:bCs w:val="0"/>
          <w:color w:val="auto"/>
          <w:kern w:val="0"/>
          <w:sz w:val="24"/>
          <w:szCs w:val="24"/>
        </w:rPr>
        <w:t>%</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59"/>
        <w:gridCol w:w="438"/>
        <w:gridCol w:w="641"/>
        <w:gridCol w:w="714"/>
        <w:gridCol w:w="646"/>
        <w:gridCol w:w="918"/>
        <w:gridCol w:w="852"/>
        <w:gridCol w:w="960"/>
        <w:gridCol w:w="583"/>
        <w:gridCol w:w="745"/>
        <w:gridCol w:w="960"/>
        <w:gridCol w:w="6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船只类型</w:t>
            </w:r>
          </w:p>
        </w:tc>
        <w:tc>
          <w:tcPr>
            <w:tcW w:w="241"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沉没</w:t>
            </w:r>
          </w:p>
        </w:tc>
        <w:tc>
          <w:tcPr>
            <w:tcW w:w="35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搁浅</w:t>
            </w:r>
          </w:p>
        </w:tc>
        <w:tc>
          <w:tcPr>
            <w:tcW w:w="39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触碰</w:t>
            </w:r>
          </w:p>
        </w:tc>
        <w:tc>
          <w:tcPr>
            <w:tcW w:w="355"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碰撞</w:t>
            </w:r>
          </w:p>
        </w:tc>
        <w:tc>
          <w:tcPr>
            <w:tcW w:w="50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货物火灾爆炸</w:t>
            </w:r>
          </w:p>
        </w:tc>
        <w:tc>
          <w:tcPr>
            <w:tcW w:w="46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机舱火灾爆炸</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其他火灾爆炸</w:t>
            </w:r>
          </w:p>
        </w:tc>
        <w:tc>
          <w:tcPr>
            <w:tcW w:w="32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失踪</w:t>
            </w:r>
          </w:p>
        </w:tc>
        <w:tc>
          <w:tcPr>
            <w:tcW w:w="409"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船体损坏</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机器损坏</w:t>
            </w:r>
          </w:p>
        </w:tc>
        <w:tc>
          <w:tcPr>
            <w:tcW w:w="37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rPr>
              <w:t>油轮</w:t>
            </w:r>
            <w:r>
              <w:rPr>
                <w:rFonts w:hint="default" w:ascii="Times New Roman" w:hAnsi="Times New Roman" w:eastAsia="CIDFont+F1" w:cs="Times New Roman"/>
                <w:color w:val="auto"/>
              </w:rPr>
              <w:t>/</w:t>
            </w:r>
            <w:r>
              <w:rPr>
                <w:rFonts w:hint="default" w:ascii="Times New Roman" w:hAnsi="Times New Roman" w:eastAsia="CIDFont+F3" w:cs="Times New Roman"/>
                <w:color w:val="auto"/>
              </w:rPr>
              <w:t>化学品船</w:t>
            </w:r>
          </w:p>
        </w:tc>
        <w:tc>
          <w:tcPr>
            <w:tcW w:w="2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35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0.47</w:t>
            </w:r>
          </w:p>
        </w:tc>
        <w:tc>
          <w:tcPr>
            <w:tcW w:w="39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0.16</w:t>
            </w:r>
          </w:p>
        </w:tc>
        <w:tc>
          <w:tcPr>
            <w:tcW w:w="35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0.35</w:t>
            </w:r>
          </w:p>
        </w:tc>
        <w:tc>
          <w:tcPr>
            <w:tcW w:w="5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0.24</w:t>
            </w:r>
          </w:p>
        </w:tc>
        <w:tc>
          <w:tcPr>
            <w:tcW w:w="4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0.28</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0.13</w:t>
            </w:r>
          </w:p>
        </w:tc>
        <w:tc>
          <w:tcPr>
            <w:tcW w:w="32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0.01</w:t>
            </w:r>
          </w:p>
        </w:tc>
        <w:tc>
          <w:tcPr>
            <w:tcW w:w="40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0.17</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0.43</w:t>
            </w:r>
          </w:p>
        </w:tc>
        <w:tc>
          <w:tcPr>
            <w:tcW w:w="37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rPr>
              <w:t>气体运载船</w:t>
            </w:r>
          </w:p>
        </w:tc>
        <w:tc>
          <w:tcPr>
            <w:tcW w:w="24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w:t>
            </w:r>
          </w:p>
        </w:tc>
        <w:tc>
          <w:tcPr>
            <w:tcW w:w="35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0.36</w:t>
            </w:r>
          </w:p>
        </w:tc>
        <w:tc>
          <w:tcPr>
            <w:tcW w:w="39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35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0.24</w:t>
            </w:r>
          </w:p>
        </w:tc>
        <w:tc>
          <w:tcPr>
            <w:tcW w:w="5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4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0.24</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32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w:t>
            </w:r>
          </w:p>
        </w:tc>
        <w:tc>
          <w:tcPr>
            <w:tcW w:w="409"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52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c>
          <w:tcPr>
            <w:tcW w:w="37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0.06</w:t>
            </w:r>
          </w:p>
        </w:tc>
      </w:tr>
    </w:tbl>
    <w:p>
      <w:pPr>
        <w:adjustRightInd w:val="0"/>
        <w:snapToGrid w:val="0"/>
        <w:spacing w:line="360" w:lineRule="auto"/>
        <w:ind w:firstLine="482" w:firstLineChars="200"/>
        <w:jc w:val="left"/>
        <w:rPr>
          <w:rFonts w:hint="default" w:ascii="Times New Roman" w:hAnsi="Times New Roman" w:cs="Times New Roman" w:eastAsiaTheme="minorEastAsia"/>
          <w:b/>
          <w:color w:val="auto"/>
          <w:sz w:val="24"/>
          <w:szCs w:val="24"/>
        </w:rPr>
      </w:pPr>
    </w:p>
    <w:p>
      <w:pPr>
        <w:adjustRightInd w:val="0"/>
        <w:snapToGrid w:val="0"/>
        <w:spacing w:line="360" w:lineRule="auto"/>
        <w:ind w:firstLine="482" w:firstLineChars="200"/>
        <w:jc w:val="left"/>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2、船、码头区域的事故概率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英国运输危险研究、健康和安全委员会（ACDS）在HSE出版的《英国危险管线风险》中有关记录，利用类似项目可能会导致危险出现的故障信息的经验数据，估算一般石油化工罐区、码头各区域成套设备泄漏事故发生的概率见表8.1-3。</w:t>
      </w:r>
    </w:p>
    <w:p>
      <w:pPr>
        <w:adjustRightInd w:val="0"/>
        <w:snapToGrid w:val="0"/>
        <w:spacing w:line="276" w:lineRule="auto"/>
        <w:ind w:firstLine="482" w:firstLineChars="200"/>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表8.1-3  一般化工罐区、码头区域发生泄漏事故概率</w:t>
      </w:r>
    </w:p>
    <w:tbl>
      <w:tblPr>
        <w:tblStyle w:val="7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96"/>
        <w:gridCol w:w="1576"/>
        <w:gridCol w:w="1303"/>
        <w:gridCol w:w="1290"/>
        <w:gridCol w:w="872"/>
        <w:gridCol w:w="1269"/>
        <w:gridCol w:w="1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vMerge w:val="restar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区域</w:t>
            </w:r>
          </w:p>
        </w:tc>
        <w:tc>
          <w:tcPr>
            <w:tcW w:w="4177" w:type="pct"/>
            <w:gridSpan w:val="6"/>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概率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vMerge w:val="continue"/>
            <w:tcBorders>
              <w:tl2br w:val="nil"/>
              <w:tr2bl w:val="nil"/>
            </w:tcBorders>
            <w:vAlign w:val="center"/>
          </w:tcPr>
          <w:p>
            <w:pPr>
              <w:adjustRightInd w:val="0"/>
              <w:snapToGrid w:val="0"/>
              <w:jc w:val="center"/>
              <w:rPr>
                <w:rFonts w:hint="default" w:ascii="Times New Roman" w:hAnsi="Times New Roman" w:cs="Times New Roman"/>
                <w:b/>
                <w:bCs/>
                <w:color w:val="auto"/>
                <w:kern w:val="0"/>
              </w:rPr>
            </w:pPr>
          </w:p>
        </w:tc>
        <w:tc>
          <w:tcPr>
            <w:tcW w:w="86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泄漏/a</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爆炸/a</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闪火/a</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喷射火/a</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池火/a</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rPr>
              <w:t>火球/a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码头船舶</w:t>
            </w:r>
          </w:p>
        </w:tc>
        <w:tc>
          <w:tcPr>
            <w:tcW w:w="86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8.81×10</w:t>
            </w:r>
            <w:r>
              <w:rPr>
                <w:rFonts w:hint="default" w:ascii="Times New Roman" w:hAnsi="Times New Roman" w:cs="Times New Roman"/>
                <w:color w:val="auto"/>
                <w:vertAlign w:val="superscript"/>
              </w:rPr>
              <w:t>-2</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3.86×10</w:t>
            </w:r>
            <w:r>
              <w:rPr>
                <w:rFonts w:hint="default" w:ascii="Times New Roman" w:hAnsi="Times New Roman" w:cs="Times New Roman"/>
                <w:color w:val="auto"/>
                <w:vertAlign w:val="superscript"/>
              </w:rPr>
              <w:t>-6</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4.83×10</w:t>
            </w:r>
            <w:r>
              <w:rPr>
                <w:rFonts w:hint="default" w:ascii="Times New Roman" w:hAnsi="Times New Roman" w:cs="Times New Roman"/>
                <w:color w:val="auto"/>
                <w:vertAlign w:val="superscript"/>
              </w:rPr>
              <w:t>-6</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2.50×10</w:t>
            </w:r>
            <w:r>
              <w:rPr>
                <w:rFonts w:hint="default" w:ascii="Times New Roman" w:hAnsi="Times New Roman" w:cs="Times New Roman"/>
                <w:color w:val="auto"/>
                <w:vertAlign w:val="superscript"/>
              </w:rPr>
              <w:t>-5</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码头装卸</w:t>
            </w:r>
          </w:p>
        </w:tc>
        <w:tc>
          <w:tcPr>
            <w:tcW w:w="86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2.18×10</w:t>
            </w:r>
            <w:r>
              <w:rPr>
                <w:rFonts w:hint="default" w:ascii="Times New Roman" w:hAnsi="Times New Roman" w:cs="Times New Roman"/>
                <w:color w:val="auto"/>
                <w:vertAlign w:val="superscript"/>
              </w:rPr>
              <w:t>-2</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1.76×10</w:t>
            </w:r>
            <w:r>
              <w:rPr>
                <w:rFonts w:hint="default" w:ascii="Times New Roman" w:hAnsi="Times New Roman" w:cs="Times New Roman"/>
                <w:color w:val="auto"/>
                <w:vertAlign w:val="superscript"/>
              </w:rPr>
              <w:t>-5</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2.15×10</w:t>
            </w:r>
            <w:r>
              <w:rPr>
                <w:rFonts w:hint="default" w:ascii="Times New Roman" w:hAnsi="Times New Roman" w:cs="Times New Roman"/>
                <w:color w:val="auto"/>
                <w:vertAlign w:val="superscript"/>
              </w:rPr>
              <w:t>-5</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1.27×10</w:t>
            </w:r>
            <w:r>
              <w:rPr>
                <w:rFonts w:hint="default" w:ascii="Times New Roman" w:hAnsi="Times New Roman" w:cs="Times New Roman"/>
                <w:color w:val="auto"/>
                <w:vertAlign w:val="superscript"/>
              </w:rPr>
              <w:t>-3</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储罐系统</w:t>
            </w:r>
          </w:p>
        </w:tc>
        <w:tc>
          <w:tcPr>
            <w:tcW w:w="86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2.00×10</w:t>
            </w:r>
            <w:r>
              <w:rPr>
                <w:rFonts w:hint="default" w:ascii="Times New Roman" w:hAnsi="Times New Roman" w:cs="Times New Roman"/>
                <w:color w:val="auto"/>
                <w:vertAlign w:val="superscript"/>
              </w:rPr>
              <w:t>-5</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6.32×10</w:t>
            </w:r>
            <w:r>
              <w:rPr>
                <w:rFonts w:hint="default" w:ascii="Times New Roman" w:hAnsi="Times New Roman" w:cs="Times New Roman"/>
                <w:color w:val="auto"/>
                <w:vertAlign w:val="superscript"/>
              </w:rPr>
              <w:t>-6</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7.02×10</w:t>
            </w:r>
            <w:r>
              <w:rPr>
                <w:rFonts w:hint="default" w:ascii="Times New Roman" w:hAnsi="Times New Roman" w:cs="Times New Roman"/>
                <w:color w:val="auto"/>
                <w:vertAlign w:val="superscript"/>
              </w:rPr>
              <w:t>-6</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1.97×10</w:t>
            </w:r>
            <w:r>
              <w:rPr>
                <w:rFonts w:hint="default" w:ascii="Times New Roman" w:hAnsi="Times New Roman" w:cs="Times New Roman"/>
                <w:color w:val="auto"/>
                <w:vertAlign w:val="superscript"/>
              </w:rPr>
              <w:t>-5</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处理装置</w:t>
            </w:r>
          </w:p>
        </w:tc>
        <w:tc>
          <w:tcPr>
            <w:tcW w:w="86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5.65×10</w:t>
            </w:r>
            <w:r>
              <w:rPr>
                <w:rFonts w:hint="default" w:ascii="Times New Roman" w:hAnsi="Times New Roman" w:cs="Times New Roman"/>
                <w:color w:val="auto"/>
                <w:vertAlign w:val="superscript"/>
              </w:rPr>
              <w:t>-2</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7.22×10</w:t>
            </w:r>
            <w:r>
              <w:rPr>
                <w:rFonts w:hint="default" w:ascii="Times New Roman" w:hAnsi="Times New Roman" w:cs="Times New Roman"/>
                <w:color w:val="auto"/>
                <w:vertAlign w:val="superscript"/>
              </w:rPr>
              <w:t>-6</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1.70×10</w:t>
            </w:r>
            <w:r>
              <w:rPr>
                <w:rFonts w:hint="default" w:ascii="Times New Roman" w:hAnsi="Times New Roman" w:cs="Times New Roman"/>
                <w:color w:val="auto"/>
                <w:vertAlign w:val="superscript"/>
              </w:rPr>
              <w:t>-5</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1.99×10</w:t>
            </w:r>
            <w:r>
              <w:rPr>
                <w:rFonts w:hint="default" w:ascii="Times New Roman" w:hAnsi="Times New Roman" w:cs="Times New Roman"/>
                <w:color w:val="auto"/>
                <w:vertAlign w:val="superscript"/>
              </w:rPr>
              <w:t>-4</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2"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管线</w:t>
            </w:r>
          </w:p>
        </w:tc>
        <w:tc>
          <w:tcPr>
            <w:tcW w:w="86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2.36×10</w:t>
            </w:r>
            <w:r>
              <w:rPr>
                <w:rFonts w:hint="default" w:ascii="Times New Roman" w:hAnsi="Times New Roman" w:cs="Times New Roman"/>
                <w:color w:val="auto"/>
                <w:vertAlign w:val="superscript"/>
              </w:rPr>
              <w:t>-1</w:t>
            </w:r>
          </w:p>
        </w:tc>
        <w:tc>
          <w:tcPr>
            <w:tcW w:w="716"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1.08×10</w:t>
            </w:r>
            <w:r>
              <w:rPr>
                <w:rFonts w:hint="default" w:ascii="Times New Roman" w:hAnsi="Times New Roman" w:cs="Times New Roman"/>
                <w:color w:val="auto"/>
                <w:vertAlign w:val="superscript"/>
              </w:rPr>
              <w:t>-4</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5.25×10</w:t>
            </w:r>
            <w:r>
              <w:rPr>
                <w:rFonts w:hint="default" w:ascii="Times New Roman" w:hAnsi="Times New Roman" w:cs="Times New Roman"/>
                <w:color w:val="auto"/>
                <w:vertAlign w:val="superscript"/>
              </w:rPr>
              <w:t>-4</w:t>
            </w:r>
          </w:p>
        </w:tc>
        <w:tc>
          <w:tcPr>
            <w:tcW w:w="47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c>
          <w:tcPr>
            <w:tcW w:w="697"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9.97×10</w:t>
            </w:r>
            <w:r>
              <w:rPr>
                <w:rFonts w:hint="default" w:ascii="Times New Roman" w:hAnsi="Times New Roman" w:cs="Times New Roman"/>
                <w:color w:val="auto"/>
                <w:vertAlign w:val="superscript"/>
              </w:rPr>
              <w:t>-4</w:t>
            </w:r>
          </w:p>
        </w:tc>
        <w:tc>
          <w:tcPr>
            <w:tcW w:w="70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color w:val="auto"/>
              </w:rPr>
              <w:t>－</w:t>
            </w:r>
          </w:p>
        </w:tc>
      </w:tr>
    </w:tbl>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从上表看出，船舶、一般化工品码头的站内事故风险概率在10</w:t>
      </w:r>
      <w:r>
        <w:rPr>
          <w:rFonts w:hint="default" w:ascii="Times New Roman" w:hAnsi="Times New Roman" w:cs="Times New Roman" w:eastAsiaTheme="minorEastAsia"/>
          <w:color w:val="auto"/>
          <w:kern w:val="0"/>
          <w:sz w:val="24"/>
          <w:szCs w:val="24"/>
          <w:vertAlign w:val="superscript"/>
        </w:rPr>
        <w:t>-2</w:t>
      </w:r>
      <w:r>
        <w:rPr>
          <w:rFonts w:hint="default" w:ascii="Times New Roman" w:hAnsi="Times New Roman" w:cs="Times New Roman" w:eastAsiaTheme="minorEastAsia"/>
          <w:color w:val="auto"/>
          <w:kern w:val="0"/>
          <w:sz w:val="24"/>
          <w:szCs w:val="24"/>
        </w:rPr>
        <w:t>级，均以泄漏事故发生概率最大。</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3、LNG 船舶运输的事故统计</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整个LNG运行情况分析，LNG至今已有五十年的商业化历史，是当今世界能源供应中成长速度最快的产业。世界上开采出来天然气有20%以国际贸易的形式被销售。这20%的国际贸易天然气中的75%系用管道进行输送，以LNG形式的25%是用船只进行运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LNG船采用双层船体设计，保证在发生撞船、触礁等事故时，不发生泄漏。尽管LNG的装船作业，水上运输，卸船作业具有令人满意的安全记录，但仍有事故发生。根据报道，自1965年至2005年间发生LNG航运事故共24起，记录见表8.1-4。</w:t>
      </w:r>
    </w:p>
    <w:p>
      <w:pPr>
        <w:adjustRightInd w:val="0"/>
        <w:snapToGrid w:val="0"/>
        <w:spacing w:line="276" w:lineRule="auto"/>
        <w:ind w:firstLine="482" w:firstLineChars="200"/>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表8.1-4  LNG 航运事故记录</w:t>
      </w:r>
    </w:p>
    <w:tbl>
      <w:tblPr>
        <w:tblStyle w:val="7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27"/>
        <w:gridCol w:w="1813"/>
        <w:gridCol w:w="1815"/>
        <w:gridCol w:w="1820"/>
        <w:gridCol w:w="18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事故发生年</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事故发生地</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事件描述</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LNG</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损坏情况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2005</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发动机失效</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小修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2004</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触底</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船壳和保冷层损坏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2003</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齿轮箱问题</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大修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2003</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船厂</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气化器爆炸</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一死，一伤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2003</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锚地</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气化器爆炸</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气化器损坏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2002</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装船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溢漏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甲板裂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2002</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与潜艇碰撞</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轻度船壳损坏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2001</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与散货船相撞</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轻度船壳损坏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2001</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卸船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溢漏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船舱顶部裂缝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1990</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船壳疲劳</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结构裂缝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1989</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装船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断缆</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船壳损坏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1985</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卸船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阀门连结失败</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甲板裂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1985</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港内</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舵齿轮失灵</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1980</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港内</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搁浅</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船壳损坏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1980</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脱轴顶舵</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艉轴裂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1979</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搁浅</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船体严重受损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1979</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卸船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阀漏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船甲板和舱盖裂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1979</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卸船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阀漏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船甲板裂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1977</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装船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溢漏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1977</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水上</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阀失效</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1974</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港内</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触底</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1971</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卸船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压力增加</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货船损坏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1965</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解阀</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阀漏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甲板裂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04"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1965</w:t>
            </w:r>
          </w:p>
        </w:tc>
        <w:tc>
          <w:tcPr>
            <w:tcW w:w="99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装船</w:t>
            </w:r>
          </w:p>
        </w:tc>
        <w:tc>
          <w:tcPr>
            <w:tcW w:w="99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溢漏</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有</w:t>
            </w:r>
          </w:p>
        </w:tc>
        <w:tc>
          <w:tcPr>
            <w:tcW w:w="100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eastAsia="CIDFont+F3" w:cs="Times New Roman"/>
                <w:color w:val="auto"/>
                <w:szCs w:val="18"/>
              </w:rPr>
              <w:t>甲板，舱盖裂</w:t>
            </w:r>
          </w:p>
        </w:tc>
      </w:tr>
    </w:tbl>
    <w:p>
      <w:pPr>
        <w:pStyle w:val="325"/>
        <w:tabs>
          <w:tab w:val="right" w:leader="dot" w:pos="9070"/>
        </w:tabs>
        <w:adjustRightInd w:val="0"/>
        <w:snapToGrid w:val="0"/>
        <w:spacing w:line="360" w:lineRule="auto"/>
        <w:ind w:firstLine="482" w:firstLineChars="200"/>
        <w:jc w:val="both"/>
        <w:rPr>
          <w:rFonts w:hint="default" w:ascii="Times New Roman" w:hAnsi="Times New Roman" w:cs="Times New Roman" w:eastAsiaTheme="minorEastAsia"/>
          <w:b/>
          <w:color w:val="auto"/>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根据该记录，24起LNG的航运事故中有11起发生了LNG泄漏，其中2000年以后的有2次，其中1次是装船，1次是卸船。</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1995年世界LNG的贸易量为7500万吨，截止到该年，LNG总运送超过23000船次，交运货物77000万吨。按照统计规律，从1996年至2005年每年的船次大约为700次推算，至2005年，总船次为30000次，船只的事故概率为8×10</w:t>
      </w:r>
      <w:r>
        <w:rPr>
          <w:rFonts w:hint="default" w:ascii="Times New Roman" w:hAnsi="Times New Roman" w:cs="Times New Roman" w:eastAsiaTheme="minorEastAsia"/>
          <w:color w:val="auto"/>
          <w:kern w:val="0"/>
          <w:sz w:val="24"/>
          <w:szCs w:val="24"/>
          <w:vertAlign w:val="superscript"/>
        </w:rPr>
        <w:t>-4</w:t>
      </w:r>
      <w:r>
        <w:rPr>
          <w:rFonts w:hint="default" w:ascii="Times New Roman" w:hAnsi="Times New Roman" w:cs="Times New Roman" w:eastAsiaTheme="minorEastAsia"/>
          <w:color w:val="auto"/>
          <w:kern w:val="0"/>
          <w:sz w:val="24"/>
          <w:szCs w:val="24"/>
        </w:rPr>
        <w:t>/a，发生泄漏的概率4×10</w:t>
      </w:r>
      <w:r>
        <w:rPr>
          <w:rFonts w:hint="default" w:ascii="Times New Roman" w:hAnsi="Times New Roman" w:cs="Times New Roman" w:eastAsiaTheme="minorEastAsia"/>
          <w:color w:val="auto"/>
          <w:kern w:val="0"/>
          <w:sz w:val="24"/>
          <w:szCs w:val="24"/>
          <w:vertAlign w:val="superscript"/>
        </w:rPr>
        <w:t>-4</w:t>
      </w:r>
      <w:r>
        <w:rPr>
          <w:rFonts w:hint="default" w:ascii="Times New Roman" w:hAnsi="Times New Roman" w:cs="Times New Roman" w:eastAsiaTheme="minorEastAsia"/>
          <w:color w:val="auto"/>
          <w:kern w:val="0"/>
          <w:sz w:val="24"/>
          <w:szCs w:val="24"/>
        </w:rPr>
        <w:t>/a。证明在充分重视和严格管理的情况下，LNG 项目具有很高的安全性，较一般的化工船只的事故概率低0.9×10</w:t>
      </w:r>
      <w:r>
        <w:rPr>
          <w:rFonts w:hint="default" w:ascii="Times New Roman" w:hAnsi="Times New Roman" w:cs="Times New Roman" w:eastAsiaTheme="minorEastAsia"/>
          <w:color w:val="auto"/>
          <w:kern w:val="0"/>
          <w:sz w:val="24"/>
          <w:szCs w:val="24"/>
          <w:vertAlign w:val="superscript"/>
        </w:rPr>
        <w:t>-2</w:t>
      </w:r>
      <w:r>
        <w:rPr>
          <w:rFonts w:hint="default" w:ascii="Times New Roman" w:hAnsi="Times New Roman" w:cs="Times New Roman" w:eastAsiaTheme="minorEastAsia"/>
          <w:color w:val="auto"/>
          <w:kern w:val="0"/>
          <w:sz w:val="24"/>
          <w:szCs w:val="24"/>
        </w:rPr>
        <w:t>。</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4、船舶溢油事故风险概率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本项目的溢油风险主要来源于船舶碰撞溢油。</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项目附近水域船舶来往有一定的密度，存在船舶操作不当或者碰撞而导致溢油事故的可能性。</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我国近14年码头水域发生船舶溢油事故的统计，共发生452起，以工作船只的工作性质，其最大可能的事故类型为碰撞造成的溢油。假设按照事故后全部发生溢油，其溢油事故概率类比为0.16次/a（在不考虑事故造成其他影响，全部纳入溢油事故的概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根据ITOPF统计资料，全球溢油事故中因碰撞引起约占24%，根据本项目性质，码头工作船事故溢油的概率为0.038次/a。</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评价参照LNG船舶事故概率与一般化工品船的概率的比值，得到本项目接收站的各个主要事故类型的概率，见表8.1-5。如果以气体船只火灾/爆炸占整个事故百分比即6%推算，得到各类LNG船只码头区和各类装置、管道的火灾爆炸概率。</w:t>
      </w:r>
    </w:p>
    <w:p>
      <w:pPr>
        <w:adjustRightInd w:val="0"/>
        <w:snapToGrid w:val="0"/>
        <w:spacing w:line="276" w:lineRule="auto"/>
        <w:ind w:firstLine="482" w:firstLineChars="200"/>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表8.1-5  LNG码头各区域发生泄漏事故概率汇总表</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74"/>
        <w:gridCol w:w="2274"/>
        <w:gridCol w:w="2274"/>
        <w:gridCol w:w="22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事故类型</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最低事故风险概率</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事故排序</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火灾/爆炸概率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eastAsia="CIDFont+F1" w:cs="Times New Roman"/>
                <w:color w:val="auto"/>
              </w:rPr>
              <w:t>LNG</w:t>
            </w:r>
            <w:r>
              <w:rPr>
                <w:rFonts w:hint="default" w:ascii="Times New Roman" w:hAnsi="Times New Roman" w:eastAsia="CIDFont+F3" w:cs="Times New Roman"/>
                <w:color w:val="auto"/>
              </w:rPr>
              <w:t>船只</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color w:val="auto"/>
                <w:kern w:val="0"/>
              </w:rPr>
              <w:t>8.0×10</w:t>
            </w:r>
            <w:r>
              <w:rPr>
                <w:rFonts w:hint="default" w:ascii="Times New Roman" w:hAnsi="Times New Roman" w:cs="Times New Roman" w:eastAsiaTheme="minorEastAsia"/>
                <w:color w:val="auto"/>
                <w:kern w:val="0"/>
                <w:vertAlign w:val="superscript"/>
              </w:rPr>
              <w:t>-4</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color w:val="auto"/>
                <w:kern w:val="0"/>
              </w:rPr>
              <w:t>4.8×10</w:t>
            </w:r>
            <w:r>
              <w:rPr>
                <w:rFonts w:hint="default" w:ascii="Times New Roman" w:hAnsi="Times New Roman" w:cs="Times New Roman" w:eastAsiaTheme="minorEastAsia"/>
                <w:color w:val="auto"/>
                <w:kern w:val="0"/>
                <w:vertAlign w:val="superscript"/>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eastAsia="CIDFont+F3" w:cs="Times New Roman"/>
                <w:color w:val="auto"/>
              </w:rPr>
              <w:t>码头装卸船作业</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color w:val="auto"/>
                <w:kern w:val="0"/>
              </w:rPr>
              <w:t>2.07×10</w:t>
            </w:r>
            <w:r>
              <w:rPr>
                <w:rFonts w:hint="default" w:ascii="Times New Roman" w:hAnsi="Times New Roman" w:cs="Times New Roman" w:eastAsiaTheme="minorEastAsia"/>
                <w:color w:val="auto"/>
                <w:kern w:val="0"/>
                <w:vertAlign w:val="superscript"/>
              </w:rPr>
              <w:t>-4</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color w:val="auto"/>
                <w:kern w:val="0"/>
              </w:rPr>
              <w:t>1.242×10</w:t>
            </w:r>
            <w:r>
              <w:rPr>
                <w:rFonts w:hint="default" w:ascii="Times New Roman" w:hAnsi="Times New Roman" w:cs="Times New Roman" w:eastAsiaTheme="minorEastAsia"/>
                <w:color w:val="auto"/>
                <w:kern w:val="0"/>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eastAsia="CIDFont+F3" w:cs="Times New Roman"/>
                <w:color w:val="auto"/>
              </w:rPr>
              <w:t>工作船舶碰撞</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color w:val="auto"/>
                <w:kern w:val="0"/>
              </w:rPr>
              <w:t>3.8×10</w:t>
            </w:r>
            <w:r>
              <w:rPr>
                <w:rFonts w:hint="default" w:ascii="Times New Roman" w:hAnsi="Times New Roman" w:cs="Times New Roman" w:eastAsiaTheme="minorEastAsia"/>
                <w:color w:val="auto"/>
                <w:kern w:val="0"/>
                <w:vertAlign w:val="superscript"/>
              </w:rPr>
              <w:t>-2</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w:t>
            </w:r>
          </w:p>
        </w:tc>
        <w:tc>
          <w:tcPr>
            <w:tcW w:w="1250"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p>
        </w:tc>
      </w:tr>
    </w:tbl>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最大可信事故分析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LNG码头在设计、施工和营运方面，其装卸、存储和外输过程较一般的化工品采取了更为严格的措施，从理论上本项目的事故概率将大大低于一般化工罐区的事故概率。接收站内灌装过程中的事故风险与码头卸船等级稍微低。</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从前概率统计分析可以看出，码头接收站事故概率依次为：工作船舶碰撞&gt;LNG船只&gt;码头装卸船作业。</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其中码头和接收站合计事故率为3.048×10</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，出现火灾爆炸事故的概率为3.048×10</w:t>
      </w:r>
      <w:r>
        <w:rPr>
          <w:rFonts w:hint="default" w:ascii="Times New Roman" w:hAnsi="Times New Roman" w:cs="Times New Roman" w:eastAsiaTheme="minorEastAsia"/>
          <w:color w:val="auto"/>
          <w:kern w:val="0"/>
          <w:sz w:val="24"/>
          <w:szCs w:val="24"/>
          <w:vertAlign w:val="superscript"/>
        </w:rPr>
        <w:t>-4</w:t>
      </w:r>
      <w:r>
        <w:rPr>
          <w:rFonts w:hint="default" w:ascii="Times New Roman" w:hAnsi="Times New Roman" w:cs="Times New Roman" w:eastAsiaTheme="minorEastAsia"/>
          <w:color w:val="auto"/>
          <w:kern w:val="0"/>
          <w:sz w:val="24"/>
          <w:szCs w:val="24"/>
        </w:rPr>
        <w:t>。工作船舶碰撞引起的溢油事故率为3.8×10</w:t>
      </w:r>
      <w:r>
        <w:rPr>
          <w:rFonts w:hint="default" w:ascii="Times New Roman" w:hAnsi="Times New Roman" w:cs="Times New Roman" w:eastAsiaTheme="minorEastAsia"/>
          <w:color w:val="auto"/>
          <w:kern w:val="0"/>
          <w:sz w:val="24"/>
          <w:szCs w:val="24"/>
          <w:vertAlign w:val="superscript"/>
        </w:rPr>
        <w:t>-2</w:t>
      </w:r>
      <w:r>
        <w:rPr>
          <w:rFonts w:hint="default" w:ascii="Times New Roman" w:hAnsi="Times New Roman" w:cs="Times New Roman" w:eastAsiaTheme="minorEastAsia"/>
          <w:color w:val="auto"/>
          <w:kern w:val="0"/>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需要在吸收世界LNG项目成功经验的基础上，多元化选择LNG资源，结合天然气潜在供应确保资源供应的安全可靠；加强工程设计、材料设备、施工建造和质量监督等承包商的选择，严格执行有关技术标准；认真制定和严格执行人员培训、操作维护和运行管理规程，确保运行安全可靠。</w:t>
      </w:r>
    </w:p>
    <w:p>
      <w:pPr>
        <w:pStyle w:val="3"/>
        <w:ind w:left="578" w:hanging="578"/>
        <w:rPr>
          <w:rFonts w:hint="default" w:ascii="Times New Roman" w:hAnsi="Times New Roman" w:cs="Times New Roman" w:eastAsiaTheme="minorEastAsia"/>
          <w:b/>
          <w:color w:val="auto"/>
        </w:rPr>
      </w:pPr>
      <w:bookmarkStart w:id="111" w:name="_Toc12620"/>
      <w:bookmarkStart w:id="112" w:name="_Toc4336"/>
      <w:r>
        <w:rPr>
          <w:rFonts w:hint="default" w:ascii="Times New Roman" w:hAnsi="Times New Roman" w:cs="Times New Roman" w:eastAsiaTheme="minorEastAsia"/>
          <w:b/>
          <w:color w:val="auto"/>
        </w:rPr>
        <w:t>源项分析</w:t>
      </w:r>
      <w:bookmarkEnd w:id="111"/>
      <w:bookmarkEnd w:id="112"/>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大气环境风险事故源强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在LNG运输过程中以及装卸、气化过程中可能发生LNG泄漏事故，其中发生LNG泄露事故的环节主要包括：运输过程中发生交通事故导致LNG运输槽车上储罐泄露；接收站可能发生LNG泄漏事故的环节主要包括：卸料臂、储罐输入输出管线、气化器入口管线以及计量器输入管线等。本项目主要考虑的大气环境风险事故为装卸臂装卸作业时软管发生脱落或损坏时产生的LNG泄露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根据以上分析，结合项目实际情况，确定项目大气环境风险事故情形为：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装卸作业时LNG装卸臂脱落或管线断裂时造成LNG泄露；</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LNG泄露后遇明火发生闪火，火灾事故产生NO</w:t>
      </w:r>
      <w:r>
        <w:rPr>
          <w:rFonts w:hint="default" w:ascii="Times New Roman" w:hAnsi="Times New Roman" w:cs="Times New Roman" w:eastAsiaTheme="minorEastAsia"/>
          <w:color w:val="auto"/>
          <w:kern w:val="0"/>
          <w:sz w:val="24"/>
          <w:szCs w:val="24"/>
          <w:vertAlign w:val="subscript"/>
        </w:rPr>
        <w:t>2</w:t>
      </w:r>
      <w:r>
        <w:rPr>
          <w:rFonts w:hint="default" w:ascii="Times New Roman" w:hAnsi="Times New Roman" w:cs="Times New Roman" w:eastAsiaTheme="minorEastAsia"/>
          <w:color w:val="auto"/>
          <w:kern w:val="0"/>
          <w:sz w:val="24"/>
          <w:szCs w:val="24"/>
        </w:rPr>
        <w:t>等伴生/次生污染物。</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码头前沿及码头引桥根部均设置有快速切断阀，事故泄漏后，可确保事故后30s内自动切断阀门，LNG泄漏量按最不利的过程中发生装卸臂脱落或管线断裂事故，按照最大装卸效率考虑为300m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/h，LNG密度为430kg/m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，最大装卸效率为129t/h。按30s考虑，泄漏总量约为1.075t，考虑包括气动阀门到装卸臂之间LNG的热量蒸发和质量蒸发过程，持续时间约15min。</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地表水环境风险事故源强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通过风险识别和污染事故案例分析，本项目存在由于操作不当或航行碰撞等发生LNG以及燃料油入水的可能性，存在潜在的事故风险；同时，发生火灾后伴生/次生的消防废水如不妥善处置，也存在一定的环境风险。</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在由于操作不当或航行碰撞等事故情形下，本次评价主要考虑到港船舶携带的燃料油发生泄露的情况。</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由于本项目水域发生风险事故的主要类型为船舶溢油事故，参考《水上溢油环境风险评估技术导则》（JT/T 1143-2017），船舶最大可信水上溢油事故溢油量按照设计代表船型所载货油或船用燃料油全部泄漏的数量确定，船舶可能最大水上溢油事故溢油量按照设计代表船型的1个货油边舱或燃料油边舱的容积确定。LNG船舶燃料油总量和单舱燃油量根据导则附录C来确定。</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本项目的设计代表船型为5000DWT内河干散货船，5000DWT内河干散货船燃油总量为423m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，燃油舱单舱燃油量为71m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。LNG密度为0.43</w:t>
      </w:r>
      <w:r>
        <w:rPr>
          <w:rFonts w:hint="default" w:ascii="Times New Roman" w:hAnsi="Times New Roman" w:cs="Times New Roman" w:eastAsiaTheme="minorEastAsia"/>
          <w:color w:val="auto"/>
          <w:sz w:val="24"/>
          <w:szCs w:val="24"/>
        </w:rPr>
        <w:t>g/cm</w:t>
      </w:r>
      <w:r>
        <w:rPr>
          <w:rFonts w:hint="default" w:ascii="Times New Roman" w:hAnsi="Times New Roman" w:cs="Times New Roman" w:eastAsiaTheme="minorEastAsia"/>
          <w:color w:val="auto"/>
          <w:sz w:val="24"/>
          <w:szCs w:val="24"/>
          <w:vertAlign w:val="superscript"/>
        </w:rPr>
        <w:t>3</w:t>
      </w:r>
      <w:r>
        <w:rPr>
          <w:rFonts w:hint="default" w:ascii="Times New Roman" w:hAnsi="Times New Roman" w:cs="Times New Roman" w:eastAsiaTheme="minorEastAsia"/>
          <w:color w:val="auto"/>
          <w:kern w:val="0"/>
          <w:sz w:val="24"/>
          <w:szCs w:val="24"/>
        </w:rPr>
        <w:t>，折算成LNG船载重吨位为1350t，液化气船舶载重吨位按小于5000t计算，燃油总量为＜384m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，燃油舱单舱燃油量为＜64m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。通过以上计算可知，取单舱最大燃油量，本项目可能最大水上溢油事故溢油量为71m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w:t>
      </w:r>
    </w:p>
    <w:p>
      <w:pPr>
        <w:pStyle w:val="3"/>
        <w:ind w:left="578" w:hanging="578"/>
        <w:rPr>
          <w:rFonts w:hint="default" w:ascii="Times New Roman" w:hAnsi="Times New Roman" w:cs="Times New Roman" w:eastAsiaTheme="minorEastAsia"/>
          <w:b/>
          <w:color w:val="auto"/>
        </w:rPr>
      </w:pPr>
      <w:bookmarkStart w:id="113" w:name="_Toc31447"/>
      <w:bookmarkStart w:id="114" w:name="_Toc24952"/>
      <w:r>
        <w:rPr>
          <w:rFonts w:hint="default" w:ascii="Times New Roman" w:hAnsi="Times New Roman" w:cs="Times New Roman" w:eastAsiaTheme="minorEastAsia"/>
          <w:b/>
          <w:color w:val="auto"/>
        </w:rPr>
        <w:t>风险预测与评价</w:t>
      </w:r>
      <w:bookmarkEnd w:id="113"/>
      <w:bookmarkEnd w:id="114"/>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大气环境风险评价</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LNG泄露导致甲烷扩散评价</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泄漏液体的蒸发分为闪蒸蒸发、热量蒸发和质量蒸发三种，其蒸发总量为这三种蒸发之和。</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由于本项目的LNG采用低温方式储存，储存温度低于LNG的沸点，因此泄漏之后不存在闪蒸的过程，直接进入热量蒸发和质量蒸发过程。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LNG泄露事故发生后，甲烷在空气中是以泄露点为圆心的圆形范围内，根据类比，主要集中在码头前沿，基本不会对外环境产生污染影响。</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LNG泄露后发生闪火产生的伴生/次生污染物预测与评价</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rPr>
      </w:pPr>
      <w:r>
        <w:rPr>
          <w:rFonts w:hint="default" w:ascii="Times New Roman" w:hAnsi="Times New Roman" w:cs="Times New Roman" w:eastAsiaTheme="minorEastAsia"/>
          <w:color w:val="auto"/>
          <w:kern w:val="0"/>
          <w:sz w:val="24"/>
          <w:szCs w:val="24"/>
          <w:highlight w:val="none"/>
          <w:u w:val="single"/>
        </w:rPr>
        <w:t>LNG泄露后会挥发为天然气，天然气被点燃引发闪火，产生的伴生/次生污染物主要为NO</w:t>
      </w:r>
      <w:r>
        <w:rPr>
          <w:rFonts w:hint="default" w:ascii="Times New Roman" w:hAnsi="Times New Roman" w:cs="Times New Roman" w:eastAsiaTheme="minorEastAsia"/>
          <w:color w:val="auto"/>
          <w:kern w:val="0"/>
          <w:sz w:val="24"/>
          <w:szCs w:val="24"/>
          <w:highlight w:val="none"/>
          <w:u w:val="single"/>
          <w:vertAlign w:val="subscript"/>
        </w:rPr>
        <w:t>2</w:t>
      </w:r>
      <w:r>
        <w:rPr>
          <w:rFonts w:hint="default" w:ascii="Times New Roman" w:hAnsi="Times New Roman" w:cs="Times New Roman" w:eastAsiaTheme="minorEastAsia"/>
          <w:color w:val="auto"/>
          <w:kern w:val="0"/>
          <w:sz w:val="24"/>
          <w:szCs w:val="24"/>
          <w:highlight w:val="none"/>
          <w:u w:val="single"/>
        </w:rPr>
        <w:t>和CO。</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rPr>
      </w:pPr>
      <w:r>
        <w:rPr>
          <w:rFonts w:hint="default" w:ascii="Times New Roman" w:hAnsi="Times New Roman" w:cs="Times New Roman" w:eastAsiaTheme="minorEastAsia"/>
          <w:color w:val="auto"/>
          <w:kern w:val="0"/>
          <w:sz w:val="24"/>
          <w:szCs w:val="24"/>
          <w:highlight w:val="none"/>
          <w:u w:val="single"/>
        </w:rPr>
        <w:t>闪火事故伴生/次生的NO</w:t>
      </w:r>
      <w:r>
        <w:rPr>
          <w:rFonts w:hint="default" w:ascii="Times New Roman" w:hAnsi="Times New Roman" w:cs="Times New Roman" w:eastAsiaTheme="minorEastAsia"/>
          <w:color w:val="auto"/>
          <w:kern w:val="0"/>
          <w:sz w:val="24"/>
          <w:szCs w:val="24"/>
          <w:highlight w:val="none"/>
          <w:u w:val="single"/>
          <w:vertAlign w:val="subscript"/>
        </w:rPr>
        <w:t>2</w:t>
      </w:r>
      <w:r>
        <w:rPr>
          <w:rFonts w:hint="default" w:ascii="Times New Roman" w:hAnsi="Times New Roman" w:cs="Times New Roman" w:eastAsiaTheme="minorEastAsia"/>
          <w:color w:val="auto"/>
          <w:kern w:val="0"/>
          <w:sz w:val="24"/>
          <w:szCs w:val="24"/>
          <w:highlight w:val="none"/>
          <w:u w:val="single"/>
        </w:rPr>
        <w:t>对敏感点产生的影响不明显，但对泄漏点区域的大气环境产生较重的污染影响。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rPr>
      </w:pPr>
      <w:r>
        <w:rPr>
          <w:rFonts w:hint="default" w:ascii="Times New Roman" w:hAnsi="Times New Roman" w:cs="Times New Roman" w:eastAsiaTheme="minorEastAsia"/>
          <w:color w:val="auto"/>
          <w:kern w:val="0"/>
          <w:sz w:val="24"/>
          <w:szCs w:val="24"/>
          <w:highlight w:val="none"/>
          <w:u w:val="single"/>
        </w:rPr>
        <w:t>码头发生火灾时，产生的伴生/次生污染将对周围大气环境产生影响。因此，建设单位应采取严密的防范措施，严防事故的发生，同时应制定详尽的事故应急预案，确旦发生事故可以采取有效的办法进行处理。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highlight w:val="none"/>
          <w:u w:val="single"/>
        </w:rPr>
      </w:pPr>
      <w:r>
        <w:rPr>
          <w:rFonts w:hint="default" w:ascii="Times New Roman" w:hAnsi="Times New Roman" w:cs="Times New Roman" w:eastAsiaTheme="minorEastAsia"/>
          <w:color w:val="auto"/>
          <w:kern w:val="0"/>
          <w:sz w:val="24"/>
          <w:szCs w:val="24"/>
          <w:highlight w:val="none"/>
          <w:u w:val="single"/>
        </w:rPr>
        <w:t>总之，码头建设期和营运期，建设单位必须认真贯彻“安全第一，预防为主”的方针，在指导思想上，工作安排上和资金使用上要把防雷、防爆、防火工作放在头等重要位置，要建立健全针对性强、防范措施可行、确实解决问题的规则制定。强化职工安全意识，克服麻痹思想。对随时可能发生的重大爆炸事故，增强应变能力，制定必要的消防、抢救、疏散、撤离的安全预案，提高事故应急能力。</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溢油（液）事故风险对水环境影响分析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溢油事故风险对水环境影响分析</w:t>
      </w:r>
    </w:p>
    <w:p>
      <w:pPr>
        <w:adjustRightInd w:val="0"/>
        <w:snapToGrid w:val="0"/>
        <w:spacing w:line="360" w:lineRule="auto"/>
        <w:ind w:firstLine="482"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b/>
          <w:bCs/>
          <w:color w:val="auto"/>
          <w:kern w:val="0"/>
          <w:sz w:val="24"/>
          <w:szCs w:val="24"/>
        </w:rPr>
        <w:t>1、预测源强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根据风险源强分析，确定燃料油泄漏量71m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为本项目溢油事故风险评价的事故源强。</w:t>
      </w:r>
    </w:p>
    <w:p>
      <w:pPr>
        <w:adjustRightInd w:val="0"/>
        <w:snapToGrid w:val="0"/>
        <w:spacing w:line="360" w:lineRule="auto"/>
        <w:ind w:firstLine="482"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b/>
          <w:bCs/>
          <w:color w:val="auto"/>
          <w:kern w:val="0"/>
          <w:sz w:val="24"/>
          <w:szCs w:val="24"/>
        </w:rPr>
        <w:t>2、溢油预测模型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溢油进入水体后发生扩展、漂移、扩散等油膜组分保持恒定的输移过程和蒸发、溶解、乳化等油膜组分发生变化的风化过程。本评价溢油模型采用“油粒子”模型，该模型可以很好地模拟上述物理化学过程，另外，“油粒子”模型是基于拉格朗日体系具有稳定性和高效率性特点。“油粒子”模型就是把溢油离散为大量的油粒子，每个油粒子代表一定的油量，油膜就是有这些大量的油粒子所组成的“云团”。</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输移过程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油粒子的输移包括了扩展、漂移、扩散等过程，这些过程的是油粒子位置发生变化的主要原因，而油粒子的组分在这些过程中不发生变化。</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① 扩展运动</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溢油自身扩展过程是指溢油在扩展系油膜在重力、黏性力和表面张力综合作用下的运动。现场观测资料表明，在溢油的初期（数10h内）扩展过程起到支配的作用。随着油膜逐渐变薄，油膜开始破碎，扩展作用也随之减弱。</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本文仅采用惯性力-重力公式计算初始油膜的面积，并在该尺度内分配“油粒子”的初始位置。其计算公式可以表示为：</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34"/>
          <w:sz w:val="24"/>
          <w:szCs w:val="24"/>
        </w:rPr>
        <w:object>
          <v:shape id="_x0000_i1035" o:spt="75" type="#_x0000_t75" style="height:47.05pt;width:96.25pt;" o:ole="t" filled="f" o:preferrelative="t" stroked="f" coordsize="21600,21600">
            <v:path/>
            <v:fill on="f" focussize="0,0"/>
            <v:stroke on="f" joinstyle="miter"/>
            <v:imagedata r:id="rId69" o:title=""/>
            <o:lock v:ext="edit" aspectratio="t"/>
            <w10:wrap type="none"/>
            <w10:anchorlock/>
          </v:shape>
          <o:OLEObject Type="Embed" ProgID="Equation.KSEE3" ShapeID="_x0000_i1035" DrawAspect="Content" ObjectID="_1468075735" r:id="rId68">
            <o:LockedField>false</o:LockedField>
          </o:OLEObject>
        </w:objec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其中，A</w:t>
      </w:r>
      <w:r>
        <w:rPr>
          <w:rFonts w:hint="default" w:ascii="Times New Roman" w:hAnsi="Times New Roman" w:cs="Times New Roman" w:eastAsiaTheme="minorEastAsia"/>
          <w:color w:val="auto"/>
          <w:kern w:val="0"/>
          <w:sz w:val="24"/>
          <w:szCs w:val="24"/>
          <w:vertAlign w:val="subscript"/>
        </w:rPr>
        <w:t>0</w:t>
      </w:r>
      <w:r>
        <w:rPr>
          <w:rFonts w:hint="default" w:ascii="Times New Roman" w:hAnsi="Times New Roman" w:cs="Times New Roman" w:eastAsiaTheme="minorEastAsia"/>
          <w:color w:val="auto"/>
          <w:kern w:val="0"/>
          <w:sz w:val="24"/>
          <w:szCs w:val="24"/>
        </w:rPr>
        <w:t>为初始面积；V=（ρ</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-ρ</w:t>
      </w:r>
      <w:r>
        <w:rPr>
          <w:rFonts w:hint="default" w:ascii="Times New Roman" w:hAnsi="Times New Roman" w:cs="Times New Roman" w:eastAsiaTheme="minorEastAsia"/>
          <w:color w:val="auto"/>
          <w:kern w:val="0"/>
          <w:sz w:val="24"/>
          <w:szCs w:val="24"/>
          <w:vertAlign w:val="subscript"/>
        </w:rPr>
        <w:t>0</w:t>
      </w:r>
      <w:r>
        <w:rPr>
          <w:rFonts w:hint="default" w:ascii="Times New Roman" w:hAnsi="Times New Roman" w:cs="Times New Roman" w:eastAsiaTheme="minorEastAsia"/>
          <w:color w:val="auto"/>
          <w:kern w:val="0"/>
          <w:sz w:val="24"/>
          <w:szCs w:val="24"/>
        </w:rPr>
        <w:t>）/ρ</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，ρ</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为水的密度，ρ</w:t>
      </w:r>
      <w:r>
        <w:rPr>
          <w:rFonts w:hint="default" w:ascii="Times New Roman" w:hAnsi="Times New Roman" w:cs="Times New Roman" w:eastAsiaTheme="minorEastAsia"/>
          <w:color w:val="auto"/>
          <w:kern w:val="0"/>
          <w:sz w:val="24"/>
          <w:szCs w:val="24"/>
          <w:vertAlign w:val="subscript"/>
        </w:rPr>
        <w:t>0</w:t>
      </w:r>
      <w:r>
        <w:rPr>
          <w:rFonts w:hint="default" w:ascii="Times New Roman" w:hAnsi="Times New Roman" w:cs="Times New Roman" w:eastAsiaTheme="minorEastAsia"/>
          <w:color w:val="auto"/>
          <w:kern w:val="0"/>
          <w:sz w:val="24"/>
          <w:szCs w:val="24"/>
        </w:rPr>
        <w:t>为油的密度；g为重力加速度；V</w:t>
      </w:r>
      <w:r>
        <w:rPr>
          <w:rFonts w:hint="default" w:ascii="Times New Roman" w:hAnsi="Times New Roman" w:cs="Times New Roman" w:eastAsiaTheme="minorEastAsia"/>
          <w:color w:val="auto"/>
          <w:kern w:val="0"/>
          <w:sz w:val="24"/>
          <w:szCs w:val="24"/>
          <w:vertAlign w:val="subscript"/>
        </w:rPr>
        <w:t>0</w:t>
      </w:r>
      <w:r>
        <w:rPr>
          <w:rFonts w:hint="default" w:ascii="Times New Roman" w:hAnsi="Times New Roman" w:cs="Times New Roman" w:eastAsiaTheme="minorEastAsia"/>
          <w:color w:val="auto"/>
          <w:kern w:val="0"/>
          <w:sz w:val="24"/>
          <w:szCs w:val="24"/>
        </w:rPr>
        <w:t>为溢油的初始体积，V</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eastAsia="CIDFont" w:cs="Times New Roman"/>
          <w:color w:val="auto"/>
          <w:kern w:val="0"/>
          <w:sz w:val="24"/>
          <w:szCs w:val="24"/>
          <w:lang w:bidi="ar"/>
        </w:rPr>
        <w:t>为水的运动粘度；</w:t>
      </w:r>
      <w:r>
        <w:rPr>
          <w:rFonts w:hint="default" w:ascii="Times New Roman" w:hAnsi="Times New Roman" w:cs="Times New Roman" w:eastAsiaTheme="minorEastAsia"/>
          <w:color w:val="auto"/>
          <w:kern w:val="0"/>
          <w:sz w:val="24"/>
          <w:szCs w:val="24"/>
        </w:rPr>
        <w:t>K</w:t>
      </w:r>
      <w:r>
        <w:rPr>
          <w:rFonts w:hint="default" w:ascii="Times New Roman" w:hAnsi="Times New Roman" w:cs="Times New Roman" w:eastAsiaTheme="minorEastAsia"/>
          <w:color w:val="auto"/>
          <w:kern w:val="0"/>
          <w:sz w:val="24"/>
          <w:szCs w:val="24"/>
          <w:vertAlign w:val="subscript"/>
        </w:rPr>
        <w:t>1</w:t>
      </w:r>
      <w:r>
        <w:rPr>
          <w:rFonts w:hint="default" w:ascii="Times New Roman" w:hAnsi="Times New Roman" w:cs="Times New Roman" w:eastAsiaTheme="minorEastAsia"/>
          <w:color w:val="auto"/>
          <w:kern w:val="0"/>
          <w:sz w:val="24"/>
          <w:szCs w:val="24"/>
        </w:rPr>
        <w:t>，K</w:t>
      </w:r>
      <w:r>
        <w:rPr>
          <w:rFonts w:hint="default" w:ascii="Times New Roman" w:hAnsi="Times New Roman" w:cs="Times New Roman" w:eastAsiaTheme="minorEastAsia"/>
          <w:color w:val="auto"/>
          <w:kern w:val="0"/>
          <w:sz w:val="24"/>
          <w:szCs w:val="24"/>
          <w:vertAlign w:val="subscript"/>
        </w:rPr>
        <w:t>2</w:t>
      </w:r>
      <w:r>
        <w:rPr>
          <w:rFonts w:hint="default" w:ascii="Times New Roman" w:hAnsi="Times New Roman" w:cs="Times New Roman" w:eastAsiaTheme="minorEastAsia"/>
          <w:color w:val="auto"/>
          <w:kern w:val="0"/>
          <w:sz w:val="24"/>
          <w:szCs w:val="24"/>
        </w:rPr>
        <w:t>为经验系数，在计算中分别取为0.57和0.725。</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② 漂移运动</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油粒子漂移的作用力是水流和风拽力，油粒子总漂移速度为：</w:t>
      </w:r>
      <w:r>
        <w:rPr>
          <w:rFonts w:hint="default" w:ascii="Times New Roman" w:hAnsi="Times New Roman" w:cs="Times New Roman" w:eastAsiaTheme="minorEastAsia"/>
          <w:color w:val="auto"/>
          <w:kern w:val="0"/>
          <w:sz w:val="24"/>
          <w:szCs w:val="24"/>
        </w:rPr>
        <w:object>
          <v:shape id="_x0000_i1036" o:spt="75" type="#_x0000_t75" style="height:17.8pt;width:82.7pt;" o:ole="t" filled="f" o:preferrelative="t" stroked="f" coordsize="21600,21600">
            <v:path/>
            <v:fill on="f" focussize="0,0"/>
            <v:stroke on="f" joinstyle="miter"/>
            <v:imagedata r:id="rId71" o:title=""/>
            <o:lock v:ext="edit" aspectratio="t"/>
            <w10:wrap type="none"/>
            <w10:anchorlock/>
          </v:shape>
          <o:OLEObject Type="Embed" ProgID="Equation.KSEE3" ShapeID="_x0000_i1036" DrawAspect="Content" ObjectID="_1468075736" r:id="rId70">
            <o:LockedField>false</o:LockedField>
          </o:OLEObject>
        </w:object>
      </w:r>
      <w:r>
        <w:rPr>
          <w:rFonts w:hint="default" w:ascii="Times New Roman" w:hAnsi="Times New Roman" w:cs="Times New Roman" w:eastAsiaTheme="minorEastAsia"/>
          <w:color w:val="auto"/>
          <w:kern w:val="0"/>
          <w:sz w:val="24"/>
          <w:szCs w:val="24"/>
        </w:rPr>
        <w:t>式中：U</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为江面以上10m处的风速；Us为表面流速；α为风漂移系数，一般在0.03~0.05之间。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二维水动力模型计算的流速是沿水深方向平均值，而油粒子所计算流速是表面流速，因此本评价假设表面流速为平均流速值1.1~1.5倍。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二维水动力计算结果中的流速计算点位于各离散的网格点，而“油粒子”模型中绝大部分时间里粒子不是正好处于这些点上，因此需要对流速值内插。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③ 紊动扩散</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假定水平扩散各向同性，一个时间步长内α方向上的可能扩散距离S可表示为：</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12"/>
          <w:sz w:val="24"/>
          <w:szCs w:val="24"/>
        </w:rPr>
        <w:object>
          <v:shape id="_x0000_i1037" o:spt="75" type="#_x0000_t75" style="height:19.95pt;width:92.65pt;" o:ole="t" filled="f" o:preferrelative="t" stroked="f" coordsize="21600,21600">
            <v:path/>
            <v:fill on="f" focussize="0,0"/>
            <v:stroke on="f" joinstyle="miter"/>
            <v:imagedata r:id="rId73" o:title=""/>
            <o:lock v:ext="edit" aspectratio="t"/>
            <w10:wrap type="none"/>
            <w10:anchorlock/>
          </v:shape>
          <o:OLEObject Type="Embed" ProgID="Equation.KSEE3" ShapeID="_x0000_i1037" DrawAspect="Content" ObjectID="_1468075737" r:id="rId72">
            <o:LockedField>false</o:LockedField>
          </o:OLEObject>
        </w:objec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w:t>
      </w:r>
      <w:r>
        <w:rPr>
          <w:rFonts w:hint="default" w:ascii="Times New Roman" w:hAnsi="Times New Roman" w:cs="Times New Roman" w:eastAsiaTheme="minorEastAsia"/>
          <w:color w:val="auto"/>
          <w:kern w:val="0"/>
          <w:sz w:val="24"/>
          <w:szCs w:val="24"/>
        </w:rPr>
        <w:drawing>
          <wp:inline distT="0" distB="0" distL="114300" distR="114300">
            <wp:extent cx="314325" cy="238125"/>
            <wp:effectExtent l="0" t="0" r="9525" b="8255"/>
            <wp:docPr id="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
                    <pic:cNvPicPr>
                      <a:picLocks noChangeAspect="1"/>
                    </pic:cNvPicPr>
                  </pic:nvPicPr>
                  <pic:blipFill>
                    <a:blip r:embed="rId74"/>
                    <a:stretch>
                      <a:fillRect/>
                    </a:stretch>
                  </pic:blipFill>
                  <pic:spPr>
                    <a:xfrm>
                      <a:off x="0" y="0"/>
                      <a:ext cx="314325" cy="238125"/>
                    </a:xfrm>
                    <a:prstGeom prst="rect">
                      <a:avLst/>
                    </a:prstGeom>
                    <a:noFill/>
                    <a:ln>
                      <a:noFill/>
                    </a:ln>
                  </pic:spPr>
                </pic:pic>
              </a:graphicData>
            </a:graphic>
          </wp:inline>
        </w:drawing>
      </w:r>
      <w:r>
        <w:rPr>
          <w:rFonts w:hint="default" w:ascii="Times New Roman" w:hAnsi="Times New Roman" w:cs="Times New Roman" w:eastAsiaTheme="minorEastAsia"/>
          <w:color w:val="auto"/>
          <w:kern w:val="0"/>
          <w:sz w:val="24"/>
          <w:szCs w:val="24"/>
        </w:rPr>
        <w:t>为-1~1之间的随机数，D</w:t>
      </w:r>
      <w:r>
        <w:rPr>
          <w:rFonts w:hint="default" w:ascii="Times New Roman" w:hAnsi="Times New Roman" w:cs="Times New Roman" w:eastAsiaTheme="minorEastAsia"/>
          <w:color w:val="auto"/>
          <w:kern w:val="0"/>
          <w:sz w:val="24"/>
          <w:szCs w:val="24"/>
          <w:vertAlign w:val="subscript"/>
        </w:rPr>
        <w:t>α</w:t>
      </w:r>
      <w:r>
        <w:rPr>
          <w:rFonts w:hint="default" w:ascii="Times New Roman" w:hAnsi="Times New Roman" w:cs="Times New Roman" w:eastAsiaTheme="minorEastAsia"/>
          <w:color w:val="auto"/>
          <w:kern w:val="0"/>
          <w:sz w:val="24"/>
          <w:szCs w:val="24"/>
        </w:rPr>
        <w:t>为α方向上的扩散系数。</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风化过程</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油粒子的风化包括蒸发、溶解和乳化等各项风化过程，在这些过程中油粒子的组成发生变化，但油粒子水平位置没有变化。</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① 蒸发</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蒸发将使溢油量减小，同时改变溢油的密度和粘性等物理性质。依据Reed（1989）提供的蒸发分数公式：</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32"/>
          <w:sz w:val="24"/>
          <w:szCs w:val="24"/>
        </w:rPr>
        <w:object>
          <v:shape id="_x0000_i1038" o:spt="75" type="#_x0000_t75" style="height:37.8pt;width:109.8pt;" o:ole="t" filled="f" o:preferrelative="t" stroked="f" coordsize="21600,21600">
            <v:path/>
            <v:fill on="f" focussize="0,0"/>
            <v:stroke on="f" joinstyle="miter"/>
            <v:imagedata r:id="rId76" o:title=""/>
            <o:lock v:ext="edit" aspectratio="t"/>
            <w10:wrap type="none"/>
            <w10:anchorlock/>
          </v:shape>
          <o:OLEObject Type="Embed" ProgID="Equation.KSEE3" ShapeID="_x0000_i1038" DrawAspect="Content" ObjectID="_1468075738" r:id="rId75">
            <o:LockedField>false</o:LockedField>
          </o:OLEObject>
        </w:objec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其中F</w:t>
      </w:r>
      <w:r>
        <w:rPr>
          <w:rFonts w:hint="default" w:ascii="Times New Roman" w:hAnsi="Times New Roman" w:cs="Times New Roman" w:eastAsiaTheme="minorEastAsia"/>
          <w:color w:val="auto"/>
          <w:kern w:val="0"/>
          <w:sz w:val="24"/>
          <w:szCs w:val="24"/>
          <w:vertAlign w:val="subscript"/>
        </w:rPr>
        <w:t>v</w:t>
      </w:r>
      <w:r>
        <w:rPr>
          <w:rFonts w:hint="default" w:ascii="Times New Roman" w:hAnsi="Times New Roman" w:cs="Times New Roman" w:eastAsiaTheme="minorEastAsia"/>
          <w:color w:val="auto"/>
          <w:kern w:val="0"/>
          <w:sz w:val="24"/>
          <w:szCs w:val="24"/>
        </w:rPr>
        <w:t>为蒸发量占液体总量的分数，F</w:t>
      </w:r>
      <w:r>
        <w:rPr>
          <w:rFonts w:hint="default" w:ascii="Times New Roman" w:hAnsi="Times New Roman" w:cs="Times New Roman" w:eastAsiaTheme="minorEastAsia"/>
          <w:color w:val="auto"/>
          <w:kern w:val="0"/>
          <w:sz w:val="24"/>
          <w:szCs w:val="24"/>
          <w:vertAlign w:val="subscript"/>
        </w:rPr>
        <w:t>vmax</w:t>
      </w:r>
      <w:r>
        <w:rPr>
          <w:rFonts w:hint="default" w:ascii="Times New Roman" w:hAnsi="Times New Roman" w:cs="Times New Roman" w:eastAsiaTheme="minorEastAsia"/>
          <w:color w:val="auto"/>
          <w:kern w:val="0"/>
          <w:sz w:val="24"/>
          <w:szCs w:val="24"/>
        </w:rPr>
        <w:t>为最大蒸发分数，如果F</w:t>
      </w:r>
      <w:r>
        <w:rPr>
          <w:rFonts w:hint="default" w:ascii="Times New Roman" w:hAnsi="Times New Roman" w:cs="Times New Roman" w:eastAsiaTheme="minorEastAsia"/>
          <w:color w:val="auto"/>
          <w:kern w:val="0"/>
          <w:sz w:val="24"/>
          <w:szCs w:val="24"/>
          <w:vertAlign w:val="subscript"/>
        </w:rPr>
        <w:t>vmax</w:t>
      </w:r>
      <w:r>
        <w:rPr>
          <w:rFonts w:hint="default" w:ascii="Times New Roman" w:hAnsi="Times New Roman" w:cs="Times New Roman" w:eastAsiaTheme="minorEastAsia"/>
          <w:color w:val="auto"/>
          <w:kern w:val="0"/>
          <w:sz w:val="24"/>
          <w:szCs w:val="24"/>
        </w:rPr>
        <w:t>-F</w:t>
      </w:r>
      <w:r>
        <w:rPr>
          <w:rFonts w:hint="default" w:ascii="Times New Roman" w:hAnsi="Times New Roman" w:cs="Times New Roman" w:eastAsiaTheme="minorEastAsia"/>
          <w:color w:val="auto"/>
          <w:kern w:val="0"/>
          <w:sz w:val="24"/>
          <w:szCs w:val="24"/>
          <w:vertAlign w:val="subscript"/>
        </w:rPr>
        <w:t>v</w:t>
      </w:r>
      <w:r>
        <w:rPr>
          <w:rFonts w:hint="default" w:ascii="Times New Roman" w:hAnsi="Times New Roman" w:cs="Times New Roman" w:eastAsiaTheme="minorEastAsia"/>
          <w:color w:val="auto"/>
          <w:kern w:val="0"/>
          <w:sz w:val="24"/>
          <w:szCs w:val="24"/>
        </w:rPr>
        <w:t>≤0时取值0，T为时间，蒸发系数</w:t>
      </w:r>
      <w:r>
        <w:rPr>
          <w:rFonts w:hint="default" w:ascii="Times New Roman" w:hAnsi="Times New Roman" w:cs="Times New Roman" w:eastAsiaTheme="minorEastAsia"/>
          <w:i/>
          <w:iCs/>
          <w:color w:val="auto"/>
          <w:kern w:val="0"/>
          <w:sz w:val="24"/>
          <w:szCs w:val="24"/>
        </w:rPr>
        <w:t>θ</w:t>
      </w:r>
      <w:r>
        <w:rPr>
          <w:rFonts w:hint="default" w:ascii="Times New Roman" w:hAnsi="Times New Roman" w:cs="Times New Roman" w:eastAsiaTheme="minorEastAsia"/>
          <w:color w:val="auto"/>
          <w:kern w:val="0"/>
          <w:sz w:val="24"/>
          <w:szCs w:val="24"/>
        </w:rPr>
        <w:t>依据stiver和Mackay（1985）的参数化公式：</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rPr>
        <w:drawing>
          <wp:inline distT="0" distB="0" distL="114300" distR="114300">
            <wp:extent cx="1046480" cy="441325"/>
            <wp:effectExtent l="0" t="0" r="1270" b="15875"/>
            <wp:docPr id="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pic:cNvPicPr>
                      <a:picLocks noChangeAspect="1"/>
                    </pic:cNvPicPr>
                  </pic:nvPicPr>
                  <pic:blipFill>
                    <a:blip r:embed="rId77"/>
                    <a:stretch>
                      <a:fillRect/>
                    </a:stretch>
                  </pic:blipFill>
                  <pic:spPr>
                    <a:xfrm>
                      <a:off x="0" y="0"/>
                      <a:ext cx="1046480" cy="441325"/>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w:t>
      </w:r>
      <w:r>
        <w:rPr>
          <w:rFonts w:hint="default" w:ascii="Times New Roman" w:hAnsi="Times New Roman" w:cs="Times New Roman"/>
          <w:color w:val="auto"/>
        </w:rPr>
        <w:drawing>
          <wp:inline distT="0" distB="0" distL="114300" distR="114300">
            <wp:extent cx="1240155" cy="226695"/>
            <wp:effectExtent l="0" t="0" r="17145" b="1905"/>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pic:cNvPicPr>
                      <a:picLocks noChangeAspect="1"/>
                    </pic:cNvPicPr>
                  </pic:nvPicPr>
                  <pic:blipFill>
                    <a:blip r:embed="rId78"/>
                    <a:stretch>
                      <a:fillRect/>
                    </a:stretch>
                  </pic:blipFill>
                  <pic:spPr>
                    <a:xfrm>
                      <a:off x="0" y="0"/>
                      <a:ext cx="1240155" cy="226695"/>
                    </a:xfrm>
                    <a:prstGeom prst="rect">
                      <a:avLst/>
                    </a:prstGeom>
                    <a:noFill/>
                    <a:ln>
                      <a:noFill/>
                    </a:ln>
                  </pic:spPr>
                </pic:pic>
              </a:graphicData>
            </a:graphic>
          </wp:inline>
        </w:drawing>
      </w:r>
      <w:r>
        <w:rPr>
          <w:rFonts w:hint="default" w:ascii="Times New Roman" w:hAnsi="Times New Roman" w:cs="Times New Roman" w:eastAsiaTheme="minorEastAsia"/>
          <w:color w:val="auto"/>
          <w:kern w:val="0"/>
          <w:sz w:val="24"/>
          <w:szCs w:val="24"/>
        </w:rPr>
        <w:t>，U</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为江面以上10m处的风速，A为油膜面积，V</w:t>
      </w:r>
      <w:r>
        <w:rPr>
          <w:rFonts w:hint="default" w:ascii="Times New Roman" w:hAnsi="Times New Roman" w:cs="Times New Roman" w:eastAsiaTheme="minorEastAsia"/>
          <w:color w:val="auto"/>
          <w:kern w:val="0"/>
          <w:sz w:val="24"/>
          <w:szCs w:val="24"/>
          <w:vertAlign w:val="subscript"/>
        </w:rPr>
        <w:t>0</w:t>
      </w:r>
      <w:r>
        <w:rPr>
          <w:rFonts w:hint="default" w:ascii="Times New Roman" w:hAnsi="Times New Roman" w:cs="Times New Roman" w:eastAsiaTheme="minorEastAsia"/>
          <w:color w:val="auto"/>
          <w:kern w:val="0"/>
          <w:sz w:val="24"/>
          <w:szCs w:val="24"/>
        </w:rPr>
        <w:t>为溢油初始体积，</w:t>
      </w:r>
      <w:r>
        <w:rPr>
          <w:rFonts w:hint="default" w:ascii="Times New Roman" w:hAnsi="Times New Roman" w:cs="Times New Roman" w:eastAsiaTheme="minorEastAsia"/>
          <w:i/>
          <w:iCs/>
          <w:color w:val="auto"/>
          <w:kern w:val="0"/>
          <w:sz w:val="24"/>
          <w:szCs w:val="24"/>
        </w:rPr>
        <w:t>δ</w:t>
      </w:r>
      <w:r>
        <w:rPr>
          <w:rFonts w:hint="default" w:ascii="Times New Roman" w:hAnsi="Times New Roman" w:cs="Times New Roman" w:eastAsiaTheme="minorEastAsia"/>
          <w:color w:val="auto"/>
          <w:kern w:val="0"/>
          <w:sz w:val="24"/>
          <w:szCs w:val="24"/>
        </w:rPr>
        <w:t>为油膜厚度，T为时间。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② 乳化</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溢油的乳化过程受风速、油的厚道、环境温度、油风化程度等因素的影响，一般用含水率表示乳化程度。依据Mackay（1980）和Zagorski（1982）提供的含水率公式：</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32"/>
          <w:sz w:val="24"/>
          <w:szCs w:val="24"/>
        </w:rPr>
        <w:object>
          <v:shape id="_x0000_i1039" o:spt="75" type="#_x0000_t75" style="height:37.8pt;width:131.9pt;" o:ole="t" filled="f" o:preferrelative="t" stroked="f" coordsize="21600,21600">
            <v:path/>
            <v:fill on="f" focussize="0,0"/>
            <v:stroke on="f" joinstyle="miter"/>
            <v:imagedata r:id="rId80" o:title=""/>
            <o:lock v:ext="edit" aspectratio="t"/>
            <w10:wrap type="none"/>
            <w10:anchorlock/>
          </v:shape>
          <o:OLEObject Type="Embed" ProgID="Equation.KSEE3" ShapeID="_x0000_i1039" DrawAspect="Content" ObjectID="_1468075739" r:id="rId79">
            <o:LockedField>false</o:LockedField>
          </o:OLEObject>
        </w:objec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其中，F</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为乳化物的含水率，C1＝2.1×10</w:t>
      </w:r>
      <w:r>
        <w:rPr>
          <w:rFonts w:hint="default" w:ascii="Times New Roman" w:hAnsi="Times New Roman" w:cs="Times New Roman" w:eastAsiaTheme="minorEastAsia"/>
          <w:color w:val="auto"/>
          <w:kern w:val="0"/>
          <w:sz w:val="24"/>
          <w:szCs w:val="24"/>
          <w:vertAlign w:val="superscript"/>
        </w:rPr>
        <w:t>-6</w:t>
      </w:r>
      <w:r>
        <w:rPr>
          <w:rFonts w:hint="default" w:ascii="Times New Roman" w:hAnsi="Times New Roman" w:cs="Times New Roman" w:eastAsiaTheme="minorEastAsia"/>
          <w:color w:val="auto"/>
          <w:kern w:val="0"/>
          <w:sz w:val="24"/>
          <w:szCs w:val="24"/>
        </w:rPr>
        <w:t>，U</w:t>
      </w:r>
      <w:r>
        <w:rPr>
          <w:rFonts w:hint="default" w:ascii="Times New Roman" w:hAnsi="Times New Roman" w:cs="Times New Roman" w:eastAsiaTheme="minorEastAsia"/>
          <w:color w:val="auto"/>
          <w:kern w:val="0"/>
          <w:sz w:val="24"/>
          <w:szCs w:val="24"/>
          <w:vertAlign w:val="subscript"/>
        </w:rPr>
        <w:t>w</w:t>
      </w:r>
      <w:r>
        <w:rPr>
          <w:rFonts w:hint="default" w:ascii="Times New Roman" w:hAnsi="Times New Roman" w:cs="Times New Roman" w:eastAsiaTheme="minorEastAsia"/>
          <w:color w:val="auto"/>
          <w:kern w:val="0"/>
          <w:sz w:val="24"/>
          <w:szCs w:val="24"/>
        </w:rPr>
        <w:t>为风速，家用燃料油C</w:t>
      </w:r>
      <w:r>
        <w:rPr>
          <w:rFonts w:hint="default" w:ascii="Times New Roman" w:hAnsi="Times New Roman" w:cs="Times New Roman" w:eastAsiaTheme="minorEastAsia"/>
          <w:color w:val="auto"/>
          <w:kern w:val="0"/>
          <w:sz w:val="24"/>
          <w:szCs w:val="24"/>
          <w:vertAlign w:val="subscript"/>
        </w:rPr>
        <w:t>2</w:t>
      </w:r>
      <w:r>
        <w:rPr>
          <w:rFonts w:hint="default" w:ascii="Times New Roman" w:hAnsi="Times New Roman" w:cs="Times New Roman" w:eastAsiaTheme="minorEastAsia"/>
          <w:color w:val="auto"/>
          <w:kern w:val="0"/>
          <w:sz w:val="24"/>
          <w:szCs w:val="24"/>
        </w:rPr>
        <w:t>＝0.25、原油和重油C</w:t>
      </w:r>
      <w:r>
        <w:rPr>
          <w:rFonts w:hint="default" w:ascii="Times New Roman" w:hAnsi="Times New Roman" w:cs="Times New Roman" w:eastAsiaTheme="minorEastAsia"/>
          <w:color w:val="auto"/>
          <w:kern w:val="0"/>
          <w:sz w:val="24"/>
          <w:szCs w:val="24"/>
          <w:vertAlign w:val="subscript"/>
        </w:rPr>
        <w:t>2</w:t>
      </w:r>
      <w:r>
        <w:rPr>
          <w:rFonts w:hint="default" w:ascii="Times New Roman" w:hAnsi="Times New Roman" w:cs="Times New Roman" w:eastAsiaTheme="minorEastAsia"/>
          <w:color w:val="auto"/>
          <w:kern w:val="0"/>
          <w:sz w:val="24"/>
          <w:szCs w:val="24"/>
        </w:rPr>
        <w:t>＝0.7（Reed，1989），T为时间。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③ 溢油性质变化</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随着蒸发和乳化等变化过程的进行，残留在水体中的溢油性质也不断发生变化，主要表现为：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溢油体积的变化：</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position w:val="-12"/>
          <w:sz w:val="24"/>
          <w:szCs w:val="24"/>
        </w:rPr>
        <w:object>
          <v:shape id="_x0000_i1040" o:spt="75" type="#_x0000_t75" style="height:17.8pt;width:128.3pt;" o:ole="t" filled="f" o:preferrelative="t" stroked="f" coordsize="21600,21600">
            <v:path/>
            <v:fill on="f" focussize="0,0"/>
            <v:stroke on="f" joinstyle="miter"/>
            <v:imagedata r:id="rId82" o:title=""/>
            <o:lock v:ext="edit" aspectratio="t"/>
            <w10:wrap type="none"/>
            <w10:anchorlock/>
          </v:shape>
          <o:OLEObject Type="Embed" ProgID="Equation.KSEE3" ShapeID="_x0000_i1040" DrawAspect="Content" ObjectID="_1468075740" r:id="rId81">
            <o:LockedField>false</o:LockedField>
          </o:OLEObject>
        </w:object>
      </w:r>
    </w:p>
    <w:p>
      <w:pPr>
        <w:adjustRightInd w:val="0"/>
        <w:snapToGrid w:val="0"/>
        <w:spacing w:line="360" w:lineRule="auto"/>
        <w:ind w:firstLine="480" w:firstLineChars="200"/>
        <w:jc w:val="left"/>
        <w:rPr>
          <w:rFonts w:hint="default" w:ascii="Times New Roman" w:hAnsi="Times New Roman" w:eastAsia="CIDFont+F3" w:cs="Times New Roman"/>
          <w:color w:val="auto"/>
          <w:sz w:val="24"/>
        </w:rPr>
      </w:pPr>
      <w:r>
        <w:rPr>
          <w:rFonts w:hint="default" w:ascii="Times New Roman" w:hAnsi="Times New Roman" w:eastAsia="CIDFont+F3" w:cs="Times New Roman"/>
          <w:color w:val="auto"/>
          <w:sz w:val="24"/>
        </w:rPr>
        <w:t>溢油密度变化：</w:t>
      </w:r>
    </w:p>
    <w:p>
      <w:pPr>
        <w:adjustRightInd w:val="0"/>
        <w:snapToGrid w:val="0"/>
        <w:spacing w:line="360" w:lineRule="auto"/>
        <w:jc w:val="center"/>
        <w:rPr>
          <w:rFonts w:hint="default" w:ascii="Times New Roman" w:hAnsi="Times New Roman" w:eastAsia="CIDFont+F3" w:cs="Times New Roman"/>
          <w:color w:val="auto"/>
          <w:sz w:val="24"/>
        </w:rPr>
      </w:pPr>
      <w:r>
        <w:rPr>
          <w:rFonts w:hint="default" w:ascii="Times New Roman" w:hAnsi="Times New Roman" w:eastAsia="CIDFont+F3" w:cs="Times New Roman"/>
          <w:color w:val="auto"/>
          <w:position w:val="-12"/>
          <w:sz w:val="24"/>
        </w:rPr>
        <w:object>
          <v:shape id="_x0000_i1041" o:spt="75" type="#_x0000_t75" style="height:17.8pt;width:206pt;" o:ole="t" filled="f" o:preferrelative="t" stroked="f" coordsize="21600,21600">
            <v:path/>
            <v:fill on="f" focussize="0,0"/>
            <v:stroke on="f" joinstyle="miter"/>
            <v:imagedata r:id="rId84" o:title=""/>
            <o:lock v:ext="edit" aspectratio="t"/>
            <w10:wrap type="none"/>
            <w10:anchorlock/>
          </v:shape>
          <o:OLEObject Type="Embed" ProgID="Equation.KSEE3" ShapeID="_x0000_i1041" DrawAspect="Content" ObjectID="_1468075741" r:id="rId83">
            <o:LockedField>false</o:LockedField>
          </o:OLEObject>
        </w:object>
      </w:r>
    </w:p>
    <w:p>
      <w:pPr>
        <w:adjustRightInd w:val="0"/>
        <w:snapToGrid w:val="0"/>
        <w:spacing w:line="360" w:lineRule="auto"/>
        <w:ind w:firstLine="480" w:firstLineChars="200"/>
        <w:rPr>
          <w:rFonts w:hint="default" w:ascii="Times New Roman" w:hAnsi="Times New Roman" w:eastAsia="CIDFont+F3" w:cs="Times New Roman"/>
          <w:color w:val="auto"/>
          <w:sz w:val="24"/>
        </w:rPr>
      </w:pPr>
      <w:r>
        <w:rPr>
          <w:rFonts w:hint="default" w:ascii="Times New Roman" w:hAnsi="Times New Roman" w:eastAsia="CIDFont+F3" w:cs="Times New Roman"/>
          <w:color w:val="auto"/>
          <w:sz w:val="24"/>
        </w:rPr>
        <w:t>其中：</w:t>
      </w:r>
      <w:r>
        <w:rPr>
          <w:rFonts w:hint="default" w:ascii="Times New Roman" w:hAnsi="Times New Roman" w:eastAsia="CIDFont+F3" w:cs="Times New Roman"/>
          <w:color w:val="auto"/>
          <w:sz w:val="24"/>
        </w:rPr>
        <w:drawing>
          <wp:inline distT="0" distB="0" distL="114300" distR="114300">
            <wp:extent cx="180975" cy="228600"/>
            <wp:effectExtent l="0" t="0" r="9525" b="0"/>
            <wp:docPr id="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6"/>
                    <pic:cNvPicPr>
                      <a:picLocks noChangeAspect="1"/>
                    </pic:cNvPicPr>
                  </pic:nvPicPr>
                  <pic:blipFill>
                    <a:blip r:embed="rId85"/>
                    <a:stretch>
                      <a:fillRect/>
                    </a:stretch>
                  </pic:blipFill>
                  <pic:spPr>
                    <a:xfrm>
                      <a:off x="0" y="0"/>
                      <a:ext cx="180975" cy="228600"/>
                    </a:xfrm>
                    <a:prstGeom prst="rect">
                      <a:avLst/>
                    </a:prstGeom>
                    <a:noFill/>
                    <a:ln>
                      <a:noFill/>
                    </a:ln>
                  </pic:spPr>
                </pic:pic>
              </a:graphicData>
            </a:graphic>
          </wp:inline>
        </w:drawing>
      </w:r>
      <w:r>
        <w:rPr>
          <w:rFonts w:hint="default" w:ascii="Times New Roman" w:hAnsi="Times New Roman" w:eastAsia="CIDFont+F3" w:cs="Times New Roman"/>
          <w:color w:val="auto"/>
          <w:sz w:val="24"/>
        </w:rPr>
        <w:t>为乳化前油的初始密度，</w:t>
      </w:r>
      <w:r>
        <w:rPr>
          <w:rFonts w:hint="default" w:ascii="Times New Roman" w:hAnsi="Times New Roman" w:eastAsia="CIDFont+F3" w:cs="Times New Roman"/>
          <w:color w:val="auto"/>
          <w:sz w:val="24"/>
        </w:rPr>
        <w:drawing>
          <wp:inline distT="0" distB="0" distL="114300" distR="114300">
            <wp:extent cx="228600" cy="228600"/>
            <wp:effectExtent l="0" t="0" r="0" b="0"/>
            <wp:docPr id="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8"/>
                    <pic:cNvPicPr>
                      <a:picLocks noChangeAspect="1"/>
                    </pic:cNvPicPr>
                  </pic:nvPicPr>
                  <pic:blipFill>
                    <a:blip r:embed="rId86"/>
                    <a:stretch>
                      <a:fillRect/>
                    </a:stretch>
                  </pic:blipFill>
                  <pic:spPr>
                    <a:xfrm>
                      <a:off x="0" y="0"/>
                      <a:ext cx="228600" cy="228600"/>
                    </a:xfrm>
                    <a:prstGeom prst="rect">
                      <a:avLst/>
                    </a:prstGeom>
                    <a:noFill/>
                    <a:ln>
                      <a:noFill/>
                    </a:ln>
                  </pic:spPr>
                </pic:pic>
              </a:graphicData>
            </a:graphic>
          </wp:inline>
        </w:drawing>
      </w:r>
      <w:r>
        <w:rPr>
          <w:rFonts w:hint="default" w:ascii="Times New Roman" w:hAnsi="Times New Roman" w:eastAsia="CIDFont+F3" w:cs="Times New Roman"/>
          <w:color w:val="auto"/>
          <w:sz w:val="24"/>
        </w:rPr>
        <w:t>为水密度。</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数值模拟计算结果</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本次评价选择事故地点为码头前沿，外溢物取燃料油为代表物质，发生溢油事故，油膜会对下游取水口水质产生污染。</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事故溢油对水生生态环境影响分析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eastAsia="zh-CN"/>
        </w:rPr>
        <w:t>本项目</w:t>
      </w:r>
      <w:r>
        <w:rPr>
          <w:rFonts w:hint="default" w:ascii="Times New Roman" w:hAnsi="Times New Roman" w:cs="Times New Roman" w:eastAsiaTheme="minorEastAsia"/>
          <w:color w:val="auto"/>
          <w:kern w:val="0"/>
          <w:sz w:val="24"/>
          <w:szCs w:val="24"/>
        </w:rPr>
        <w:t>发生溢油事故时，由于油膜的隔绝作用，阻碍了氧气与水体的交换，会对影响范围内的水生生物特别是鱼类带来一定的危害。</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1、对鱼类的影响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国内外许多的研究表明高浓度的石油会使鱼卵、仔幼鱼短时间内中毒死亡，低浓度的长期亚急性毒性可干扰鱼类摄食和繁殖，其毒性随石油组分的不同而有差异。</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2、对浮游植物的影响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实验证明石油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一般浮游植物石油急性中毒致死浓度为0.1~10.0mg/L，一般为1.0~3.6mg/L，对于更敏感的种类，油浓度低于0.1mg/L时，也会妨碍细胞的分裂和生长的速率。</w:t>
      </w:r>
    </w:p>
    <w:p>
      <w:pPr>
        <w:adjustRightInd w:val="0"/>
        <w:snapToGrid w:val="0"/>
        <w:spacing w:line="360" w:lineRule="auto"/>
        <w:ind w:firstLine="482"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b/>
          <w:bCs/>
          <w:color w:val="auto"/>
          <w:kern w:val="0"/>
          <w:sz w:val="24"/>
          <w:szCs w:val="24"/>
        </w:rPr>
        <w:t>3、对浮游动物的影响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浮游动物石油急性中毒致死浓度范围一般为0.1~15mg/L，而且通过不同浓度的石油类环境对桡足类幼体的影响实验表明，永久性（终生性）浮游动物幼体的敏感性大于阶段性（临时性）的底栖生物幼体，而它们各自的幼体的敏感性又大于成体。</w:t>
      </w:r>
    </w:p>
    <w:p>
      <w:pPr>
        <w:pStyle w:val="3"/>
        <w:ind w:left="578" w:hanging="578"/>
        <w:rPr>
          <w:rFonts w:hint="default" w:ascii="Times New Roman" w:hAnsi="Times New Roman" w:cs="Times New Roman" w:eastAsiaTheme="minorEastAsia"/>
          <w:b/>
          <w:color w:val="auto"/>
        </w:rPr>
      </w:pPr>
      <w:bookmarkStart w:id="115" w:name="_Toc32482"/>
      <w:bookmarkStart w:id="116" w:name="_Toc20555"/>
      <w:r>
        <w:rPr>
          <w:rFonts w:hint="default" w:ascii="Times New Roman" w:hAnsi="Times New Roman" w:cs="Times New Roman" w:eastAsiaTheme="minorEastAsia"/>
          <w:b/>
          <w:color w:val="auto"/>
        </w:rPr>
        <w:t>事故风险防范措施</w:t>
      </w:r>
      <w:bookmarkEnd w:id="115"/>
      <w:bookmarkEnd w:id="116"/>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水域环境风险防范措施</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施工作业溢油风险防范措施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⑴ 施工单位和施工船舶必须根据港区船舶动态，合理安排施工作业面，在有船舶通过时，提前采取避让的措施。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⑵ 施工作业期间所有施工船舶须按照交通信号管理规定显示信号。</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⑶ 施工作业船舶在施工期间加强值班瞭望，施工作业人员应严格按照操作规程进行操作。</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⑷ 施工作业船舶在发生紧急事件时，应立即采取必要的措施，同时向水上交管中心报告。</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⑸ 施工时应有专人负责监护，避免施工船管线进入航道影响过往船舶正常航行。</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⑹ 严禁施工作业单位擅自扩大施工作业安全区，严禁无关船舶进入施工作业水域，并提前、定时发布航行公告。</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u w:val="single"/>
        </w:rPr>
        <w:t>⑺ 建设单位在工程开工前应向岳阳市地方海事局提交一份施工方案计划表。</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船舶交通事故防范对策</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配备必要的导助航等安全保障设施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保障码头、航道附近船舶的航行安全，施工船舶、码头经营者要接受所处辖区内海事管理部门对船舶交通和船舶报告等方面的协调、监督和管理，设置必要的助航等安全保障设施。航道工程建设方案规划过程中，根据区域的工程特点和区域环境特点，配备必要的导助航等安全保障设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加强船舶人员培训教育，提高操作技能和安全意识</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水上交通事故的原因，除恶劣天气为不可控制外，多数与操作人员的管理密切相关。减少事故的发生，就是要加强操作人员的安全意识及操作技能。船舶公司要组织经常性的水上安全意识教育和水上安全技能训练，做好船舶的定期检查和养护工作，确保各种设备安全有效、性能良好。普及安全知识提高船员素质，加强船员对安全生产知识的了解和对安全技术的熟练掌握。科学合理安排作息时间，避免船员疲劳造成反应迟缓、注意力不集中等现象，减少人为事故因素。</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督促进出港施工船舶加强港内航行与靠离泊风险控制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 加强航行组织与进出港区水域的准备。施工船舶进出港口前，船长应督促相关人员严格按照检查表中的检查项目清单逐项认真地检查、试验、测试和落实，做好相关记录并签字确认，以确保每一项检查、试验或测试都得到认真落实。</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 督促施工船舶在进出港、靠离泊前制订周密的航行与操纵计划和程序。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 施工船舶应及时掌握最新港口航道、水文气象、助航标志、水深底质、船舶密度等通航相关资料，了解并严格遵守长江流域的有关规章、航行法规和通讯、报告制度，充分考虑环境和自然因素对船舶操纵的影响。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 施工船舶应对动力设备工况进行充分的分析与评价，根据应急预案做好应急准备措施，做到早检查、早发现、早解决，防止施工船舶因设备问题造成紧迫局面。必要时请求岸基提供帮助。</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 充分利用和管理驾驶台资源，合理组织值班船员，明确驾驶台团队各自的位置、角度、常规职责、应急职责、信息沟通交流方式、记录、应急处置、驾驶台工作规程等，做到严守职责，坚守岗位。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 禁止船舶在关键动力、助导航设备存在隐患的情况下进出港区，禁止疲劳驾驶。</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船舶污染应急对策</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泄漏面积大且天气恶劣的情况下，一旦码头前沿水域发生溢油泄漏事故，应当首先在临近水域敏感区布设围油栏，避免保护目标受损。恶劣天气条件下，机械处理受限制，但强风、急流等却能提高分散剂的效力，喷洒分散剂是最合适的选择。因此一旦观察到油膜向附近敏感目标移动，则根据泄漏量、速度、扩散面积的预测结果第一时间内喷洒污油分散剂，确保敏感区域不受溢油污染。分散剂的使用，必须按照相应规定的要求实施。</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码头</w:t>
      </w:r>
      <w:r>
        <w:rPr>
          <w:rFonts w:hint="eastAsia" w:cs="Times New Roman" w:eastAsiaTheme="minorEastAsia"/>
          <w:color w:val="auto"/>
          <w:lang w:val="en-US" w:eastAsia="zh-CN"/>
        </w:rPr>
        <w:t>加注</w:t>
      </w:r>
      <w:r>
        <w:rPr>
          <w:rFonts w:hint="default" w:ascii="Times New Roman" w:hAnsi="Times New Roman" w:cs="Times New Roman" w:eastAsiaTheme="minorEastAsia"/>
          <w:color w:val="auto"/>
        </w:rPr>
        <w:t>作业事故的防范措施</w:t>
      </w:r>
    </w:p>
    <w:p>
      <w:pPr>
        <w:adjustRightInd w:val="0"/>
        <w:snapToGrid w:val="0"/>
        <w:spacing w:line="360" w:lineRule="auto"/>
        <w:ind w:firstLine="482" w:firstLineChars="200"/>
        <w:rPr>
          <w:rFonts w:hint="default" w:ascii="Times New Roman" w:hAnsi="Times New Roman" w:cs="Times New Roman"/>
          <w:color w:val="auto"/>
          <w:sz w:val="24"/>
          <w:u w:val="single"/>
        </w:rPr>
      </w:pPr>
      <w:r>
        <w:rPr>
          <w:rFonts w:hint="default" w:ascii="Times New Roman" w:hAnsi="Times New Roman" w:cs="Times New Roman"/>
          <w:b/>
          <w:bCs/>
          <w:color w:val="auto"/>
          <w:sz w:val="24"/>
          <w:u w:val="single"/>
        </w:rPr>
        <w:t>1、工程设计上的防范措施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对于工程设备的造型、平面布置、土建工程、电气等各个部分，在防火、防爆、防静电、防雷、防震等案例性方面应按照《建筑设计防火规范》等国家有关规范的要求进行设计，每一项的设计均应对照有关规范进行逐项核实，从工程设计上确保工程运营后的安全。</w:t>
      </w:r>
    </w:p>
    <w:p>
      <w:pPr>
        <w:adjustRightInd w:val="0"/>
        <w:snapToGrid w:val="0"/>
        <w:spacing w:line="360" w:lineRule="auto"/>
        <w:ind w:firstLine="482" w:firstLineChars="200"/>
        <w:rPr>
          <w:rFonts w:hint="default" w:ascii="Times New Roman" w:hAnsi="Times New Roman" w:cs="Times New Roman"/>
          <w:b/>
          <w:bCs/>
          <w:color w:val="auto"/>
          <w:sz w:val="24"/>
          <w:u w:val="single"/>
        </w:rPr>
      </w:pPr>
      <w:r>
        <w:rPr>
          <w:rFonts w:hint="default" w:ascii="Times New Roman" w:hAnsi="Times New Roman" w:cs="Times New Roman"/>
          <w:b/>
          <w:bCs/>
          <w:color w:val="auto"/>
          <w:sz w:val="24"/>
          <w:u w:val="single"/>
        </w:rPr>
        <w:t>2、严格码头</w:t>
      </w:r>
      <w:r>
        <w:rPr>
          <w:rFonts w:hint="eastAsia" w:ascii="Times New Roman" w:hAnsi="Times New Roman" w:cs="Times New Roman"/>
          <w:b/>
          <w:bCs/>
          <w:color w:val="auto"/>
          <w:sz w:val="24"/>
          <w:u w:val="single"/>
          <w:lang w:val="en-US" w:eastAsia="zh-CN"/>
        </w:rPr>
        <w:t>加注</w:t>
      </w:r>
      <w:r>
        <w:rPr>
          <w:rFonts w:hint="default" w:ascii="Times New Roman" w:hAnsi="Times New Roman" w:cs="Times New Roman"/>
          <w:b/>
          <w:bCs/>
          <w:color w:val="auto"/>
          <w:sz w:val="24"/>
          <w:u w:val="single"/>
        </w:rPr>
        <w:t>作业流程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LNG船和LNG码头之间，应建立和保持可靠的、有效的联系，并密切配合，以确保LNG船靠离泊作业与卸船作业能安全顺利进行。</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LNG船靠泊后，必须先在码头上接地后才能进行卸料作业。</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液化天然气船卸料完毕，应立即向液化天然气船的储罐输送液氮，使液化天然气储罐充满惰性气体，以利于液化天然气船的安全，液氮由接收站供给。</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液化天然气船在装卸作业时，配备2艘消拖两用船守卫。</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3、避免不利作业条件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当风速、流速、能见度超过作业限制条件时，液化天然气船不得进行靠泊作业。</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雷电和暴风雨天气以及附近有火情时停止装卸作业。</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4、建立健全管理机制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投入营运前，应制订严格的安全管理规程和紧急事故处理规程。船舶进出港和进出锚地实施引航员制度。并规定引航员的培训与考核制度，引航员的职责、以及引航员对航道、港口水文气象条件等熟悉的培训。</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实施船舶码头靠泊和锚地锚泊制度。包括使用锚地申请、锚泊密度（间隔）、船只进出锚地航速，各种天气条件下的锚地船只的了望制度等，以防锚地船只拖锚、碰撞、挤压等事故发生。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码头设专职安全主管人员及专职安全员，主要负责检查和落实职业安全及卫生各项措施的实施。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码头管理应树安全第一的观念，定期对员工进行安全知识教育，提高安全意识，使每一位职工都懂得在发生火灾时如何报警、如何使用消防工具等。</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陆域环境风险防范措施</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防火、防爆管理措施</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码头作业区防火、防爆的主要手段就是控制和消除火源。码头运营过程中可能遇到的火源主要是吸烟、维修用火、电器火灾、静电火花、雷击、撞击火花等。因此，应注意以下措施：</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⑴ 为防止装卸过程中出现意外事故，而发生大量的LNG泄漏，在码头工艺系统中设有紧急切断装置。</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⑵ 在引桥、操作平台等处分别设置固定式可燃性气体浓度报警仪和移动式可燃气体浓度报警器。</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⑶ 为防止LNG气体集聚，工艺管线均架空敷设。</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⑷ 电缆在爆炸危险区内穿钢管敷设，与工艺管线的间距符合规范要求。</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⑸ 选择绝缘性能良好的电气设备。</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⑹ 路面、建筑物平台及装卸平台均采用非燃烧材料铺设。</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⑺ 在爆炸危险场所的通信设备（包括自动电话和甚高频手持机）均采用防爆型。</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⑻ 为了防止LNG在管道和设备中流动因摩擦而产生静电，工艺设计将管内流速控制在防静电安全流速2.5m/s左右，管道和设备接地，其接地电阻不大于10欧姆。</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⑼ 在LNG码头入口处设置消除人身静电的金属棒。</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⑽ 在码头作业平台设置船岸防静电跨接装置。</w:t>
      </w:r>
    </w:p>
    <w:p>
      <w:pPr>
        <w:adjustRightInd w:val="0"/>
        <w:snapToGrid w:val="0"/>
        <w:spacing w:line="360" w:lineRule="auto"/>
        <w:ind w:firstLine="523" w:firstLineChars="218"/>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⑾ 在爆炸场所操作人员要穿防静电安全鞋，不允许穿着化纤工作服。</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u w:val="single"/>
        </w:rPr>
        <w:t>⑿ 为了防止感应雷击、建筑物室内的金属设备，金属管道，金属构架等均接到防雷接地环路上。</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自动控制设计安全防范措施</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⑴ 本项目采用先进的集散型过程控制系统（DCS控制系统），DCS构成了监测和控制的核心，和所有其他的系统都有通讯。操作人员可在中央控制室内通过DCS操作站对LNG接收站的运行进行监视和控制。从而保证工艺装置控制系统的可靠性。</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⑵ 本项目设置一套站场可燃气体泄漏检测和报警火灾和气体监控系统（FGS），该系统与DCS有通讯接口。该系统能够探测LNG和天然气泄漏，及时采取相应措施如启动消防泵阀，开启泡沫或消防喷淋装置。FGS系统配备的现场探测和报警设备有：</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可燃气体探测器、火焰探测器、烟雾探测器、低温泄漏探测器、热探测器、火灾报警按钮和声光报警装置等。报警信号进入ESD系统，以保证设备、人身及生产过程的安全可靠。</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⑶ 火灾检测与报警系统：在各输气站场设置火灾检测与报警系统，对控制室、配电室、会议室等房间的火灾情况进行监视报警。</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⑷ 码头区、工艺装置区内均设置有可燃气体检测报警器、低温探测器和火焰探测器等报警设施。一旦探测到LNG和天然气泄漏或火灾事故，可通过控制系统启动相应的保护设施，或切断有关的管线、设备。</w:t>
      </w:r>
    </w:p>
    <w:p>
      <w:pPr>
        <w:pStyle w:val="5"/>
        <w:ind w:left="578" w:hanging="578"/>
        <w:rPr>
          <w:rFonts w:hint="default" w:ascii="Times New Roman" w:hAnsi="Times New Roman" w:cs="Times New Roman" w:eastAsiaTheme="minorEastAsia"/>
          <w:color w:val="auto"/>
        </w:rPr>
      </w:pPr>
      <w:r>
        <w:rPr>
          <w:rFonts w:hint="eastAsia" w:cs="Times New Roman" w:eastAsiaTheme="minorEastAsia"/>
          <w:color w:val="auto"/>
          <w:lang w:val="en-US" w:eastAsia="zh-CN"/>
        </w:rPr>
        <w:t>加注</w:t>
      </w:r>
      <w:r>
        <w:rPr>
          <w:rFonts w:hint="default" w:ascii="Times New Roman" w:hAnsi="Times New Roman" w:cs="Times New Roman" w:eastAsiaTheme="minorEastAsia"/>
          <w:color w:val="auto"/>
        </w:rPr>
        <w:t>过程LNG泄漏防范措施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要防止意外泄漏，必须由持证人员按正规程序进行作业。为了能够保证LNG的运输与装卸，必须要有预报装置，备齐应急设备，严格执行LNG操作的规范与标准，加强船员的培训与应急反应的演练并做到防范措施如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⑴ 安装监测装置</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在天然气容易发生泄漏区域安装监测报警装置，以便尽早采取措施。LNG码头应设置固定可燃气体检测报警仪，并应配备便携式可燃气体检测报警仪，船舶上要装齐气体监测、火焰监测和低温监测设备。</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⑵ 配备灭火系统</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当LNG发生火灾事故时，应该立即关闭所有装卸设备和相关开口，才能启动灭火工作。扑救LNG火灾一般选用BC类干粉灭火器，不能用水来扑救气体火灾，水会引起LNG发生相变并引起爆炸，但是用于冷却设备。阀门及控制火灾的蔓延可采用喷雾水。高倍数泡沫灭火系统一般用于扑救LNG的流淌火灾及控制LNG的挥发，大量泡沫覆盖在泄漏LNG上面可以有效地降低蒸气产生的速率，减小可燃气体覆盖的范围。</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⑶ 日常检查与考核</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LNG固有的危险性要求我们不仅要有合理的设计工艺和流程，同时也需要加强日常安全性检查和考核，以便将事故处理于萌芽状态。</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⑷ 专业人才的培养</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操作事故主要是指人为事故和设备故障造成，目前操作事故是LNG火灾的主要原因，应根据国外LNG船船员的培训和评估的经验，结合我国船员制定出适合我国的培训计划和评估程序，制定《LNG船舶特殊培训、考试、发证办法》，并要求在该类船舶工作的工作人员实施强制培训，持证上岗。</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⑸ LNG码头要求</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LNG码头应远离人口密集区，水深必须满足LNG船舶通航要求，LNG码头备齐陆上和水上消防措施。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⑹ 接收站设备要求</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① 选用高质量的设备、管件、阀门等，避免因设计不当引起腐蚀与泄漏。</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② 各反应装置设置联锁系统，以及时发现和解决反应故障。</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③ 进出厂区的天然气管道应设截断阀，并应能在事故状况下易于接近且便于操作。截断阀应有自动切断功能。进厂天然气管道上的截断阀前应设泄压放空阀。</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④ 装置区以及其他存在潜在危险需要经常观测处，应设火焰探测报警装置、连续检测可燃气体浓度的探测报警装置。相应配置适量的现场手动报警按钮。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⑤ 在气化装置区、装车站区设置集液池。泄漏的LNG排入集液池后，由信号连锁启动消防泡沫系统，用泡沫将LNG覆盖在泄漏集液池中，防止LNG瞬间大量气化。</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汽车运输风险防范措施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⑴ 运输LNG所用的槽车必须符合《压力容器安全技术监察规程》的安全管理规定。</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⑵ 运输LNG的车辆必须是专用车或经有关部门批准使用符合安全规定的运载工具，并符合相关要求；运输车辆进行定期的维护和检查，防患于未然，保持槽车处于良好的工作状态，保证接地正常。</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⑶ 合理规划LNG的运输路由和路线，尽量避免运输车路过生活居住区、水源保护区等环境敏感区，避开车流量高峰时间和交通危险高发区。</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u w:val="single"/>
        </w:rPr>
        <w:t>⑷ 运送LNG的人员必须经过上岗培训，经定期考核通过后方能持证上岗。工作人员应熟悉事故应急设备的使用和维护，了解应急处理流程，一旦发生意外，在采取应急处理的同时，迅速报告公安、交通和环保等有关部门，必要时疏散群众，防止事态进一步扩大和恶化。</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环境“二次污染”防范措施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本</w:t>
      </w:r>
      <w:r>
        <w:rPr>
          <w:rFonts w:hint="default" w:ascii="Times New Roman" w:hAnsi="Times New Roman" w:cs="Times New Roman"/>
          <w:color w:val="auto"/>
          <w:sz w:val="24"/>
        </w:rPr>
        <w:t>项目通过</w:t>
      </w:r>
      <w:r>
        <w:rPr>
          <w:rFonts w:hint="default" w:ascii="Times New Roman" w:hAnsi="Times New Roman" w:cs="Times New Roman"/>
          <w:color w:val="auto"/>
          <w:sz w:val="24"/>
          <w:lang w:eastAsia="zh-CN"/>
        </w:rPr>
        <w:t>自建</w:t>
      </w:r>
      <w:r>
        <w:rPr>
          <w:rFonts w:hint="default" w:ascii="Times New Roman" w:hAnsi="Times New Roman" w:cs="Times New Roman"/>
          <w:color w:val="auto"/>
          <w:sz w:val="24"/>
        </w:rPr>
        <w:t>设置收集池、事故水池、围堰的方式来收集可能出现的泄漏的LNG、消防废水和初期雨污水，以防止“二次污染”的发生。</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1、集液池的设置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码头操作区集液池设置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码头操作区配套设置1个集液池，尺寸为7m×7m×2m，就近设置用于容纳装卸船过程中可能的LNG泄漏。操作区至集液池设导流沟，液体自流至集液池。集液池内设低温报警系统，配套高倍数泡沫消防系统。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气化装置区集液池设置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气化装置区设置1个集液池，尺寸为7m×7m×2m，用于容纳可能的LNG泄漏。LNG气化设备至集液池设导流沟，液体自流至集液池。气化区地面设计时低于四周并坡向导流沟，集液池内设低温报警系统，配套高倍数泡沫消防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LNG卸车区集液池设置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LNG装车区设置1个集液池，尺寸为7m×7m×2m，能够满足装车时最大罐车LNG全部泄漏后的容纳要求。LNG装车区至集液池设导流沟，液体自流至集液池，集液池内设低温报警系统，配套高倍数泡沫消防系统。</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2、事故水池的设置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sz w:val="24"/>
        </w:rPr>
        <w:t>本项目为LNG</w:t>
      </w:r>
      <w:r>
        <w:rPr>
          <w:rFonts w:hint="eastAsia" w:ascii="Times New Roman" w:hAnsi="Times New Roman" w:cs="Times New Roman"/>
          <w:color w:val="auto"/>
          <w:sz w:val="24"/>
          <w:lang w:val="en-US" w:eastAsia="zh-CN"/>
        </w:rPr>
        <w:t>加注站</w:t>
      </w:r>
      <w:r>
        <w:rPr>
          <w:rFonts w:hint="default" w:ascii="Times New Roman" w:hAnsi="Times New Roman" w:cs="Times New Roman"/>
          <w:color w:val="auto"/>
          <w:sz w:val="24"/>
        </w:rPr>
        <w:t>工程，根据LNG本身特性，发生火灾时消防水的耗用环节主要是对火灾发生地相邻的设施喷洒降温，该部分水未被污染，不用进行收集处理。</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环境风险对策措施</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溢油应急对策与处理</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油品泄漏于该水域，应当立即保护敏感目标，同时对该水域生态环境进行连续跟踪监测，确认水域内生物是否受污染，并发布公告。</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1、恶劣天气下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溢油面积大且天气恶劣的情况下，如在港区发生泄漏事故，泄漏油品无法在港区控制，应当同时考虑在四大家鱼保护区等布设围油栏。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鉴于恶劣天气条件下，机械处理受限制，但强风、急流等却能提高分散剂的效力，喷洒分散剂是最合适的选择。因此一旦围油栏不能布设，则根据溢油量、油膜速度、扩散面积的预测结果第一时间内喷洒分散剂。分散剂的使用，必须按照相应规定的要求实施。</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2、敏感目标保护措施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污染事故发生后，为防止污染事故对环境保护目标的伤害，应极力防止溢出物靠近环境保护目标，应立即根据事故情况采取环境保护目标防护对策。一旦发生污染事故，应第一时间通知并协助保护目标管理部门采取保护对策。并及时报告主管部门（海事局、生态环境局、公安消防部门等），并采取相应级别的应急预案，组织应急力量，调用清污设备实施救援。可采用在保护区周围敷设围油栏封闭保护目标周围水域或在水上阻隔油膜、或改变油膜漂流方向，使之避开敏感目标。</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为了确保保护目标能够得到及时的防护，应建立与保护目标管理机构和应急管理机构的应急联络机制。</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LNG泄漏防范对策措施</w:t>
      </w:r>
    </w:p>
    <w:p>
      <w:pPr>
        <w:adjustRightInd w:val="0"/>
        <w:snapToGrid w:val="0"/>
        <w:spacing w:line="360" w:lineRule="auto"/>
        <w:ind w:firstLine="480" w:firstLineChars="200"/>
        <w:rPr>
          <w:rFonts w:hint="default" w:ascii="Times New Roman" w:hAnsi="Times New Roman" w:cs="Times New Roman"/>
          <w:b w:val="0"/>
          <w:bCs w:val="0"/>
          <w:color w:val="auto"/>
          <w:sz w:val="24"/>
          <w:u w:val="single"/>
        </w:rPr>
      </w:pPr>
      <w:r>
        <w:rPr>
          <w:rFonts w:hint="default" w:ascii="Times New Roman" w:hAnsi="Times New Roman" w:cs="Times New Roman"/>
          <w:b w:val="0"/>
          <w:bCs w:val="0"/>
          <w:color w:val="auto"/>
          <w:sz w:val="24"/>
          <w:u w:val="single"/>
        </w:rPr>
        <w:t>LNG泄漏没有引起火灾的情况，采用如下措施：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⑴ 阀门或管线泄漏时会结霜/结冰，通过现场CCTV系统或正常巡检都可以很容易发现；同时码头设有可燃气体浓度检测仪，当气体浓度达到液化气爆炸极限下限值20%时即发出报警信号，提醒管理人员采取措施。</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⑵ 接到报警后，立即疏散有关人员，并通知接收站工作人员停止作业，关闭所有阀门。码头区应配消防防护服。</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⑶ 值班人员可使用水炮或水枪驱散LNG雾化气体，使它稀释至爆炸范围以下。</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⑷ 码头设置事故收集系统（包括收集管/沟、事故收集池等），泄漏的LNG收集到事故收集池内，以防止泄漏的LNG无组织溢流。</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⑸ 收集池设置高倍数泡沫系统，并设有三个低温探测器，当其中两个探测器发出报警信号后，高倍数泡沫系统即自动向收集池内喷射高倍数泡沫混合液，以控制LNG气化速率，并避免空气与LNG接触。</w:t>
      </w:r>
    </w:p>
    <w:p>
      <w:pPr>
        <w:adjustRightInd w:val="0"/>
        <w:snapToGrid w:val="0"/>
        <w:spacing w:line="360" w:lineRule="auto"/>
        <w:ind w:firstLine="480" w:firstLineChars="200"/>
        <w:rPr>
          <w:rFonts w:hint="default" w:ascii="Times New Roman" w:hAnsi="Times New Roman" w:cs="Times New Roman"/>
          <w:color w:val="auto"/>
          <w:sz w:val="24"/>
          <w:u w:val="single"/>
        </w:rPr>
      </w:pPr>
      <w:r>
        <w:rPr>
          <w:rFonts w:hint="default" w:ascii="Times New Roman" w:hAnsi="Times New Roman" w:cs="Times New Roman"/>
          <w:color w:val="auto"/>
          <w:sz w:val="24"/>
          <w:u w:val="single"/>
        </w:rPr>
        <w:t>⑹ 停止泄漏后，应由安全人员使用手动气体浓度检测仪检测后，才能转入正常作业。</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应急监测方案</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为了掌握本项目运输船舶燃料油泄漏、陆域接收站工程LNG泄漏、发生火灾的风险情况下引起的污染影响范围和程度，及时采取有效的处置措施，本次评价提出了风险事故状态下的监测计划。</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若发生事故，应根据事故波及范围确定监测方案，监测人员应在必要的防护措施和保证安全的情况下进入处理现场采样。此外，监测方案应根据事故的具体情况由指挥部作调整和安排。</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溢油风险事故应急监测计划</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1、监测点位及监测项目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风险事故状态下应急监测内容详见表8.4-1。</w:t>
      </w:r>
    </w:p>
    <w:p>
      <w:pPr>
        <w:adjustRightInd w:val="0"/>
        <w:snapToGrid w:val="0"/>
        <w:spacing w:line="276" w:lineRule="auto"/>
        <w:jc w:val="center"/>
        <w:rPr>
          <w:rFonts w:hint="default" w:ascii="Times New Roman" w:hAnsi="Times New Roman" w:cs="Times New Roman"/>
          <w:b/>
          <w:color w:val="auto"/>
        </w:rPr>
      </w:pPr>
      <w:r>
        <w:rPr>
          <w:rFonts w:hint="default" w:ascii="Times New Roman" w:hAnsi="Times New Roman" w:cs="Times New Roman"/>
          <w:b/>
          <w:color w:val="auto"/>
          <w:sz w:val="24"/>
          <w:szCs w:val="24"/>
        </w:rPr>
        <w:t>表</w:t>
      </w:r>
      <w:r>
        <w:rPr>
          <w:rFonts w:hint="default" w:ascii="Times New Roman" w:hAnsi="Times New Roman" w:cs="Times New Roman"/>
          <w:b/>
          <w:bCs/>
          <w:color w:val="auto"/>
          <w:sz w:val="24"/>
          <w:szCs w:val="24"/>
        </w:rPr>
        <w:t xml:space="preserve">8.4-1  </w:t>
      </w:r>
      <w:r>
        <w:rPr>
          <w:rFonts w:hint="default" w:ascii="Times New Roman" w:hAnsi="Times New Roman" w:cs="Times New Roman"/>
          <w:b/>
          <w:color w:val="auto"/>
          <w:sz w:val="24"/>
          <w:szCs w:val="24"/>
        </w:rPr>
        <w:t>水域溢油风险事故状态下应急环境监测内容一览表</w:t>
      </w:r>
    </w:p>
    <w:tbl>
      <w:tblPr>
        <w:tblStyle w:val="71"/>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325"/>
        <w:gridCol w:w="2421"/>
        <w:gridCol w:w="3076"/>
        <w:gridCol w:w="2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728"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事故类型</w:t>
            </w:r>
          </w:p>
        </w:tc>
        <w:tc>
          <w:tcPr>
            <w:tcW w:w="133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监测（调查）站位位置</w:t>
            </w:r>
          </w:p>
        </w:tc>
        <w:tc>
          <w:tcPr>
            <w:tcW w:w="169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监测（调查）因子</w:t>
            </w:r>
          </w:p>
        </w:tc>
        <w:tc>
          <w:tcPr>
            <w:tcW w:w="1250"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728"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燃料油泄露</w:t>
            </w:r>
          </w:p>
        </w:tc>
        <w:tc>
          <w:tcPr>
            <w:tcW w:w="133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事故发生区</w:t>
            </w:r>
          </w:p>
        </w:tc>
        <w:tc>
          <w:tcPr>
            <w:tcW w:w="169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pH、COD、无机氮、石油类</w:t>
            </w:r>
          </w:p>
        </w:tc>
        <w:tc>
          <w:tcPr>
            <w:tcW w:w="1250"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掌握事故对水环境的影响程度，保证水质安全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728"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133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四大家鱼保护区</w:t>
            </w:r>
          </w:p>
        </w:tc>
        <w:tc>
          <w:tcPr>
            <w:tcW w:w="1690"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pH、COD、无机氮、石油类、水生生物</w:t>
            </w:r>
          </w:p>
        </w:tc>
        <w:tc>
          <w:tcPr>
            <w:tcW w:w="125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728"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1330"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码头附近水域</w:t>
            </w:r>
          </w:p>
        </w:tc>
        <w:tc>
          <w:tcPr>
            <w:tcW w:w="169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c>
          <w:tcPr>
            <w:tcW w:w="1250" w:type="pct"/>
            <w:vMerge w:val="continue"/>
            <w:tcBorders>
              <w:tl2br w:val="nil"/>
              <w:tr2bl w:val="nil"/>
            </w:tcBorders>
            <w:vAlign w:val="center"/>
          </w:tcPr>
          <w:p>
            <w:pPr>
              <w:adjustRightInd w:val="0"/>
              <w:snapToGrid w:val="0"/>
              <w:jc w:val="center"/>
              <w:rPr>
                <w:rFonts w:hint="default" w:ascii="Times New Roman" w:hAnsi="Times New Roman" w:cs="Times New Roman"/>
                <w:color w:val="auto"/>
              </w:rPr>
            </w:pPr>
          </w:p>
        </w:tc>
      </w:tr>
    </w:tbl>
    <w:p>
      <w:pPr>
        <w:adjustRightInd w:val="0"/>
        <w:snapToGrid w:val="0"/>
        <w:spacing w:line="360" w:lineRule="auto"/>
        <w:ind w:firstLine="480" w:firstLineChars="200"/>
        <w:rPr>
          <w:rFonts w:hint="default" w:ascii="Times New Roman" w:hAnsi="Times New Roman" w:cs="Times New Roman"/>
          <w:color w:val="auto"/>
          <w:sz w:val="24"/>
        </w:rPr>
      </w:pP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2、监测频次</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按照事故持续时间决定监测时间，根据事故严重性决定监测频次。事故发生后尽快进行监测。事故发生后未得到有效控制时，每小时取样进行监测；随事故控制减弱，适当减少监测频次，直到事故影响完全消除。</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陆域接收站风险应急监测计划</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1、监测点位</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根据厂内发生污染物事故的地点、泄漏物的种类及时安排监测点。通常设置在事故现场及下风向一定范围内，若为大型事故，还应在下风向环境保护目标处增设监测点。</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2、监测项目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污染物的种类包括总烃、二氧化硫、氮氧化物、硫化氢等。</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3、监测频次</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按事故级别制定监测频次，对大型事故或毒物泄漏事故应对相关地点进行紧急高频次监测（至少1次/小时），并随着事故的处理适当减少监测频次。</w:t>
      </w:r>
    </w:p>
    <w:p>
      <w:pPr>
        <w:pStyle w:val="3"/>
        <w:ind w:left="578" w:hanging="578"/>
        <w:rPr>
          <w:rFonts w:hint="default" w:ascii="Times New Roman" w:hAnsi="Times New Roman" w:cs="Times New Roman" w:eastAsiaTheme="minorEastAsia"/>
          <w:b/>
          <w:color w:val="auto"/>
        </w:rPr>
      </w:pPr>
      <w:bookmarkStart w:id="117" w:name="_Toc706"/>
      <w:bookmarkStart w:id="118" w:name="_Toc2218"/>
      <w:bookmarkStart w:id="119" w:name="_Toc42697267"/>
      <w:r>
        <w:rPr>
          <w:rFonts w:hint="default" w:ascii="Times New Roman" w:hAnsi="Times New Roman" w:cs="Times New Roman" w:eastAsiaTheme="minorEastAsia"/>
          <w:b/>
          <w:color w:val="auto"/>
        </w:rPr>
        <w:t>应急预案纲要</w:t>
      </w:r>
      <w:bookmarkEnd w:id="117"/>
      <w:bookmarkEnd w:id="118"/>
      <w:bookmarkEnd w:id="119"/>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在一旦发生水上溢油事故和LNG泄漏事故时，能及时作出反应，对溢油事故和LNG泄漏作出最快速、最有效的处理，建设单位应编制水上溢油应急预案和LNG泄漏应急预案，用于溢油应急处理和LNG泄漏应急处理。本项目突发事故应急预案纲要见表8.5-1，供制订预案参考。</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议建设单位参考本报告提出的应急预案纲要，制定风险事故应急预案，编制的应急预案应与主管海事、环保部门的应急预案进行衔接，列入海事和环保部门联系方式。当污染事故发生时，该公司有关人员应迅速将准确的事故信息上报至岳阳市地方海事局和环保部门，并根据海事和环保部门的指示，按照制定好的应急预案开展应急清污行动。当本公司的应急力量不足时，应请求海事和环保部门统一调配周边应急力量，共同完成事故风险控制工作。</w:t>
      </w:r>
    </w:p>
    <w:p>
      <w:pPr>
        <w:spacing w:line="276" w:lineRule="auto"/>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w:t>
      </w:r>
      <w:r>
        <w:rPr>
          <w:rFonts w:hint="default" w:ascii="Times New Roman" w:hAnsi="Times New Roman" w:cs="Times New Roman"/>
          <w:b/>
          <w:bCs/>
          <w:color w:val="auto"/>
          <w:sz w:val="24"/>
          <w:szCs w:val="24"/>
        </w:rPr>
        <w:t xml:space="preserve">8.5-1  </w:t>
      </w:r>
      <w:r>
        <w:rPr>
          <w:rFonts w:hint="default" w:ascii="Times New Roman" w:hAnsi="Times New Roman" w:cs="Times New Roman"/>
          <w:b/>
          <w:color w:val="auto"/>
          <w:sz w:val="24"/>
          <w:szCs w:val="24"/>
        </w:rPr>
        <w:t>本项目应急预案纲要</w:t>
      </w:r>
    </w:p>
    <w:tbl>
      <w:tblPr>
        <w:tblStyle w:val="7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72"/>
        <w:gridCol w:w="2468"/>
        <w:gridCol w:w="59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trPr>
        <w:tc>
          <w:tcPr>
            <w:tcW w:w="369"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356"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3274" w:type="pct"/>
            <w:tcBorders>
              <w:tl2br w:val="nil"/>
              <w:tr2bl w:val="nil"/>
            </w:tcBorders>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内容及要求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总则</w:t>
            </w:r>
          </w:p>
        </w:tc>
        <w:tc>
          <w:tcPr>
            <w:tcW w:w="3274" w:type="pct"/>
            <w:tcBorders>
              <w:tl2br w:val="nil"/>
              <w:tr2bl w:val="nil"/>
            </w:tcBorders>
            <w:vAlign w:val="center"/>
          </w:tcPr>
          <w:p>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危险源概况</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详述危险源类型、数量及其分布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应急计划区</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码头装卸区、港池航道、临近区等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4</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应急组织</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工厂：厂指挥部负责现场全面指挥；专业救援队伍负责事故控制、救援、善后处理。</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地区：地区指挥部负责工厂附近地区全面指挥、救援、管制、疏散；专业救援队伍负责对厂专业救援队伍的支援。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应急状态分类和响应程序</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规定事故的级别及相应的应急分类响应程序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6</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应急设施、设备和材料</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防溢油、火灾、爆炸事故的应急设施、设备和材料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7</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应急通讯、通知和交通</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规定应急状态下的通讯方式、通知方式和交通保障、管制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8</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应急环境监测及事故后评估</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由专业队伍负责对事故现场进行侦察监测，对事故性质、参数与后果进行评估，为指挥部门提供决策依据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9</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应急防护措施、消除泄漏措施、方法和器材</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事故现场：控制事故，防止扩大、蔓延及连锁反应。清除现场泄漏物，降低危害，相应的设施、器材配备。</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邻近区域：控制防火区域，控制和清除污染设施及相应设备配备。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10</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撤离组织计划、医疗救护与公众健康</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事故现场：现场及邻近装置人员撤离组织计划及救护。</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临近区：撤离组织计划及救护。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应急状态中止与恢复措施</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规定应急状态中止程序；事故现场善后处理、恢复措施；邻近区域解除事故警戒及善后恢复措施。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12</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人员培训与演练</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应急计划制定后，平时安排人员培训与演练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13</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公众教育与信息</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对邻近养殖区开展公众教育、培训和发布有关信息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14</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记录和报告</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设置应急事故专门记录，建立档案和专门报告制度，设专门部门和负责管理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369"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15</w:t>
            </w:r>
          </w:p>
        </w:tc>
        <w:tc>
          <w:tcPr>
            <w:tcW w:w="1356"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附件</w:t>
            </w:r>
          </w:p>
        </w:tc>
        <w:tc>
          <w:tcPr>
            <w:tcW w:w="3274" w:type="pc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与应急事故有关的多种附件材料的准备和形成</w:t>
            </w:r>
          </w:p>
        </w:tc>
      </w:tr>
    </w:tbl>
    <w:p>
      <w:pPr>
        <w:adjustRightInd w:val="0"/>
        <w:snapToGrid w:val="0"/>
        <w:spacing w:line="360" w:lineRule="auto"/>
        <w:ind w:firstLine="480" w:firstLineChars="200"/>
        <w:rPr>
          <w:rFonts w:hint="default" w:ascii="Times New Roman" w:hAnsi="Times New Roman" w:cs="Times New Roman"/>
          <w:color w:val="auto"/>
          <w:sz w:val="24"/>
        </w:rPr>
      </w:pP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溢油风险事故应急预案</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溢油事故应急预案主要包括应急响应通知程序、应急机构建立和应急措施程序等。</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1、应急响应通知程序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一旦发生事故溢油，应按规定的报告程序要求，以最快的通讯手段报告，以便应急小组、应急办公室和指挥中心、岳阳市海事局采取相应的行动。</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2、应急机构建立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对突发的紧急事故于第一时间作出反应并采取相应的措施，使突发事故得以消除或控制在尽可能小的范围内，有必要建立一个高效率、强有力的应急小组来对紧急情况作出反应、进行处理。应急机构成员包括应急指挥、对外联络人、法律顾问、人力调配主管、作业主管等等多方面的责任主管人员。</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3、应急反应计划和应急措施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考虑到溢油对水域环境的严重污染损害，建立快速科学有效的水上污染防治和应急反应体系是非常必要的。事故发生后，能否迅速而有效的做出事故应急反应，对于控制污染、减少污染对生态环境造成的损失以及消除污染等都起着关键性的作用。为了将事故造成的损害降低到最低限度，制订和实施应急计划是十分必要的。</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应急计划主要内容</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 明确组织指挥机构；</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 绘制该地区环境资源敏感图，确定重点优先保护区域；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 加强溢出物污染跟踪监测，建立科学的污染预报分析等应急决策支持系统，能够进行事故危害范围和程度的计算机动态模拟、评估与显示；</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 了解君山港清污设备器材储备，建立清污设备器材储备；</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 加强清污人员训练；</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 建立通畅有效的指挥通讯网络。</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事故应急反应措施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本项目事故应急反应措施应在以下几个方面做好工作：</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 建立健全的应急反应的组织指挥系统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 应急反应设施、设备的配备</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了解君山港应急反应设施、设备配备情况，建立畅通的联络通道。</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根据《港口码头水上污染事故应急防备能力要求》（JT/T451-2017）及事故风险特点，配备必要应急反应设施、设备和器材。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 应急防治队伍及演习</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本项目的特点，为减少人员及日常开支，除充分利用海事局系统原有应急防治力量外，可考虑充分利用港区工作人员、消防人员共同参与形成应急防治队伍。对应急救援及清污队伍作定期强化培训和演练的计划，加强了解应急防治操作规程，掌握应急防治设备器材的操作使用，一旦发生应急事故，防治队伍能迅速投入防治活动，从而增强应付突发性溢油事故的处置能力。</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 应急通讯联络</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确保本项目船舶突发性溢油污染事故的报告、报警和通报，以及应急反应各种信息能及时、准确、可靠的传输，必须建立通畅有效、快速灵敏的报警系统和指挥通讯网络，包括与岳阳市地方海事局应急反应指挥系统、周围附近码头的联络，因为往往在应急反应过程中，能否及时对事故进行通报是决定整个反应过程和消除污染效果成败的关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 应急监视监测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事故的应急监视系统是通过监视手段，及时发现船舶溢油及其他事故，迅速确定船舶事故发生的位置、性质、规模等，为应急反应对策措施及方案的选定提供依据。船舶监视和岸边监视费用相对较低。</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此外针对工程特点，施工期除了岳阳市地方海事局进行日常监视，还要充分依靠群众举报，及时发现事故险情。</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污染事故控制现场操作预案</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污染事故控制现场操作预案详见图8.5-1。</w:t>
      </w:r>
    </w:p>
    <w:p>
      <w:pPr>
        <w:spacing w:line="360" w:lineRule="auto"/>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5746750" cy="2350770"/>
            <wp:effectExtent l="0" t="0" r="6350" b="11430"/>
            <wp:docPr id="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
                    <pic:cNvPicPr>
                      <a:picLocks noChangeAspect="1"/>
                    </pic:cNvPicPr>
                  </pic:nvPicPr>
                  <pic:blipFill>
                    <a:blip r:embed="rId87"/>
                    <a:stretch>
                      <a:fillRect/>
                    </a:stretch>
                  </pic:blipFill>
                  <pic:spPr>
                    <a:xfrm>
                      <a:off x="0" y="0"/>
                      <a:ext cx="5746750" cy="2350770"/>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图</w:t>
      </w:r>
      <w:r>
        <w:rPr>
          <w:rFonts w:hint="default" w:ascii="Times New Roman" w:hAnsi="Times New Roman" w:cs="Times New Roman"/>
          <w:b/>
          <w:bCs/>
          <w:color w:val="auto"/>
          <w:sz w:val="24"/>
          <w:szCs w:val="24"/>
        </w:rPr>
        <w:t xml:space="preserve">8.5-1  </w:t>
      </w:r>
      <w:r>
        <w:rPr>
          <w:rFonts w:hint="default" w:ascii="Times New Roman" w:hAnsi="Times New Roman" w:cs="Times New Roman"/>
          <w:b/>
          <w:color w:val="auto"/>
          <w:sz w:val="24"/>
          <w:szCs w:val="24"/>
        </w:rPr>
        <w:t>污染事故控制现场围控操作预案</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⑷ 事故后的污染清除、生态风险控制及恢复措施</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① 污染评估</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在进行溢油应急事故的生态风险防控与污染清除工作之前，首先对事故作出以下评估：</w:t>
      </w:r>
    </w:p>
    <w:p>
      <w:pPr>
        <w:numPr>
          <w:ilvl w:val="0"/>
          <w:numId w:val="8"/>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可能受到威胁的岸线和渔业资源等环境敏感区和易受损资源以及需要保护的优先次序；</w:t>
      </w:r>
    </w:p>
    <w:p>
      <w:pPr>
        <w:numPr>
          <w:ilvl w:val="0"/>
          <w:numId w:val="8"/>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本地区应急反应的人力、设备、器材是否能满足应急反应的需要。</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② 应急反应行动</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根据对应急事故的评估，应急指挥部应立即作出事故防控的应急对策：</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指挥机构在接到报警后，根据初步情况，对外通报、联系支援；</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采取措施防止可能引发的火灾、爆炸事故，如果船舶发生了溢出事故，根据溢出位置和原因，采取堵漏、拖浅等措施控制泄漏；派遣船艇对溢出物周围水域实行警戒或交通管制，监视溢出物的扩散。</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对可能受到污染威胁的高生态风险的环境敏感区和易受损资源采取优先保护措施，如在事故点周围、下风、下流向铺设围油栏，阻止溢出物扩散和向敏感点转移；如事故点控制无效，应在到达敏感目标前，在保护区的外围，再设第二套防护的围油栏，防止第一套围油栏未围住的泄漏物进入保护区。</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对溢出事故水域和周围水域、沿岸进行监测；</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根据溢油规模，迅速调动应急防治队伍、应急防治设备、器材等以及必要的后勤支援；</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组织协调海事、救捞、环保、水产、军队、公安、消防、气象、医疗等部门投入应急活动；</w:t>
      </w:r>
    </w:p>
    <w:p>
      <w:pPr>
        <w:numPr>
          <w:ilvl w:val="0"/>
          <w:numId w:val="9"/>
        </w:num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根据溢油规模、扩散方向、周围水域特征，指定具体的应急清除作业方案。</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③ 污染清除及恢复措施</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A. 溢油事故清除作业是应急反应的直接现场作业，在现场指挥部的统一指挥下，组织调动人力物力，投入清除作业。</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B. 清除作业实际发生在两种场合，一是水上清除作业，一是码头岸线清除作业，根据具体情况选择清除作业方法和使用的设备。</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C. 清除作业包括溢出物的围控、回收、分散、固化、沉降、焚烧和生物降解等处理方法。</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D. 清除设备器材主要有围油栏、围油栏铺设船、浮油回收船、撇油器、油拖网、吸油材料、溢油分散剂及其喷洒装置、固化剂、浮动油囊、油驳、铲车高压冲洗机等。</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E. 对于水上污染，通常采用机械围栏和回收、喷洒化学分散剂和现场焚烧为主要清除技术，吸附及其他处理技术为辅助清除技术。</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F. 对于岸线污染，主要采用人工清除、吸附回收和机械清除等物理清除方法，可采取收刮、高压水清洗，岸域沙土中污染渗入严重时应采用换土换沙等方法，以恢复岸边滩涂的清洁和自然生态的美观。</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⑸ 制定区域溢油应急联动机制</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因故发生较大规模泄漏事故时，或无法布设围油栏或布设无效时，必须启动区域溢油应急计划，依靠区域协调和外部社会援助才有可能减小损失。需及时通知可能受污染地区政府，根据区域应急计划向这些地区调集防范物资和装备。同时要充分调动水面和空中手段对浮油进行化学分散处理。</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无法用一道围油栏实施溢油围控或围油栏失效时，宜布设两道或多道围油栏，逐道减小围油栏失效影响。同时配合吸油拖缆和各种吸附材料，尽力回收浮油。此时必须有足够外援船舶和专用物资支持才可能控制事故。</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如因天气等因素，当无法布设设施或现场布设无效时，船舶和人员水上作业难度也非常巨大，此时河流对溢油的扩散方向和形式很难预测，可能需要空中手段协助监视扩散状况。此时应把防护和救助重点放在按保护优先次序的敏感部位，尽力减小污染带来的损失。同时配合分散剂、聚油剂或凝油剂，使溢油分散、聚集或凝结，便于进一步处理，防止事态失控。</w:t>
      </w:r>
    </w:p>
    <w:p>
      <w:pPr>
        <w:adjustRightInd w:val="0"/>
        <w:snapToGrid w:val="0"/>
        <w:spacing w:line="360" w:lineRule="auto"/>
        <w:ind w:firstLine="525" w:firstLineChars="218"/>
        <w:rPr>
          <w:rFonts w:hint="default" w:ascii="Times New Roman" w:hAnsi="Times New Roman" w:cs="Times New Roman"/>
          <w:color w:val="auto"/>
          <w:sz w:val="24"/>
        </w:rPr>
      </w:pPr>
      <w:r>
        <w:rPr>
          <w:rFonts w:hint="default" w:ascii="Times New Roman" w:hAnsi="Times New Roman" w:cs="Times New Roman"/>
          <w:b/>
          <w:bCs/>
          <w:color w:val="auto"/>
          <w:sz w:val="24"/>
        </w:rPr>
        <w:t>4、应急设备配备</w:t>
      </w:r>
    </w:p>
    <w:p>
      <w:pPr>
        <w:adjustRightInd w:val="0"/>
        <w:snapToGrid w:val="0"/>
        <w:spacing w:line="360" w:lineRule="auto"/>
        <w:ind w:firstLine="523" w:firstLineChars="218"/>
        <w:rPr>
          <w:rFonts w:hint="default" w:ascii="Times New Roman" w:hAnsi="Times New Roman" w:cs="Times New Roman"/>
          <w:color w:val="auto"/>
          <w:sz w:val="24"/>
        </w:rPr>
      </w:pPr>
      <w:r>
        <w:rPr>
          <w:rFonts w:hint="default" w:ascii="Times New Roman" w:hAnsi="Times New Roman" w:cs="Times New Roman"/>
          <w:color w:val="auto"/>
          <w:sz w:val="24"/>
        </w:rPr>
        <w:t>本项目需按照《港口码头水上污染事故应急防备能力要求》（JT/T451-2017）要求进行应急设备的配置。</w:t>
      </w:r>
    </w:p>
    <w:p>
      <w:pPr>
        <w:pStyle w:val="4"/>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LNG泄漏风险事故应急预案</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LNG泄漏事故应急预案主要包括应急响应通知程序、应急机构建立和应急措施程序等。</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1、应急响应通知程序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一旦发生LNG泄漏事故，应按规定的报告程序要求，以最快的通讯手段报告，以便应急小组、应急办公室和应急指挥中心、岳阳市消防队119指挥中心采取相应的行动。</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2、应急机构建立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建设单位应建立一个高效率、强有力的应急小组来对紧急情况作出反应、进行处理。应急机构成员包括应急指挥、对外联络人、法律顾问、人力调配主管、作业主管等等多方面的责任主管人员。</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3、典型事故应急措施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LNG船储罐破裂，LNG大量泄漏</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 码头装卸作业时，应有一艘警戒船和二艘消拖两用船监护；</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 发现LNG船储罐破裂，LNG大量泄漏，立即发出警报，全船停止运行，同时启动消防喷淋系统；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 立即向119报警，随后向公司应急办公室报告；</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 立即派出警戒人员阻止LNG码头周围一切车辆、船舶和行人通行；</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 组织抢险人员穿戴好防护服并到达现场，启动码头高架消防水炮系统，结合二艘消拖两用船驱散天然气；</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 控制一切着火源，让天然气慢慢散发完毕。</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LNG液相管破裂大量泄漏并着火</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 立即关闭破裂管上下游阀门，按下紧急停车按扭，立即停止卸船；</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 关闭码头总电源（除消防电源），使整个生产系统停止运行；</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 开启码头逃生通道固定式水喷雾系统，为人员逃生提供保护措施；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 开启码头前沿固定式水幕系统对LNG船进行热隔离，立即向119报警和应急办公室汇报；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 组织抢险人员穿戴好防护服并到达现场，启动高架干粉炮进行灭火；</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 警戒人员立即设立警戒区，阻止无关人员进入；</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⑦ 引导消防部门和其他机构（如救护）赶赴现场，及时介绍现场情况并协助他们开展处理工作；</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⑧ 灭火后待漏气管段内天然气放散完后抢修，检查并完好后可恢复卸船。</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4、制定区域应急联动机制</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因故发生较大规模LNG泄漏事故时，或无法在短时间内有效控制灾情时，必须启动区域应急计划，及时通知岳阳市相关主管人员，及时组织相关村民疏散。并根据区域应急计划向事发地调集防范物资和装备，依靠区域协调和外部社会援助尽可能减小损失。</w:t>
      </w:r>
    </w:p>
    <w:p>
      <w:pPr>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5、应急设备配备</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LNG为甲A类火灾危险品，具燃爆性，遇明火高热易引起燃烧爆炸。LNG进入环境空气后会迅速完全气化，不会污染水体。</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根据《液化天然气码头设计规范》（JTJ165-5-2009）规范，液化天然气码头所配备的消防设施，应能满足扑救码头火灾和辅助扑救停泊设计船型船舶火灾的要求。</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本项目码头消防设施主要包括以下部分</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⑴ 消防给水系统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本项目消防泵房</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消防水池</w:t>
      </w:r>
      <w:r>
        <w:rPr>
          <w:rFonts w:hint="default" w:ascii="Times New Roman" w:hAnsi="Times New Roman" w:cs="Times New Roman"/>
          <w:color w:val="auto"/>
          <w:sz w:val="24"/>
          <w:lang w:eastAsia="zh-CN"/>
        </w:rPr>
        <w:t>依托托岳阳LNG接收站（储备中心）项目（一期）</w:t>
      </w:r>
      <w:r>
        <w:rPr>
          <w:rFonts w:hint="default" w:ascii="Times New Roman" w:hAnsi="Times New Roman" w:cs="Times New Roman"/>
          <w:color w:val="auto"/>
          <w:sz w:val="24"/>
        </w:rPr>
        <w:t>，其有效容积不小于</w:t>
      </w:r>
      <w:r>
        <w:rPr>
          <w:rFonts w:hint="default" w:ascii="Times New Roman" w:hAnsi="Times New Roman" w:cs="Times New Roman"/>
          <w:color w:val="auto"/>
          <w:sz w:val="24"/>
          <w:lang w:val="en-US" w:eastAsia="zh-CN"/>
        </w:rPr>
        <w:t>110</w:t>
      </w:r>
      <w:r>
        <w:rPr>
          <w:rFonts w:hint="default" w:ascii="Times New Roman" w:hAnsi="Times New Roman" w:cs="Times New Roman"/>
          <w:color w:val="auto"/>
          <w:sz w:val="24"/>
        </w:rPr>
        <w:t>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。消防泵的配置如下：</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高压消防电泵：2用，单台流量Q=900m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/h，扬程1.3MPa。</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高压消防柴油泵：2备，单台流量Q=900m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/h，扬程1.3MPa。</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高压消防稳压泵：2台，1用1备，单台流量Q=54m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/h，扬程1.3MPa。</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⑵ 固定水喷雾系统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根据《石油天然气工程设计防火规范》等规范的规定，在LNG储罐区部分设置固定水喷雾灭火系统。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⑶ 高倍泡沫消防系统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本项目在LNG集液池设置固定式高倍数泡沫灭火系统，该系统由固定的泡沫产生装置、泡沫罐、压力式比例混合器、导炮筒、泡沫管网及高压消防水组成。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高倍数泡沫灭火系统的设置目的是控制泄漏到LNG集液池内的液化天然气的挥发。设计泡沫混合液供给强度不小于7.2L/min•m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，泡沫混合液供给时间不小于40min。</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泡沫原液选用3%的高倍数泡沫原液，选用发泡倍数为300</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rPr>
        <w:t>500的高倍数泡沫产生器。</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⑷ 固定式干粉灭火系统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本项目在LNG储罐罐顶释放阀设置固定式干粉灭火系统，用于扑灭释放阀因天然气释放而导致的火灾。干粉灭火系统由干粉罐、氮气钢瓶组、干粉炮、干粉软管卷盘、喷头及相应的控制阀门和仪表组成。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⑸ 气体灭火系统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本项目在主配电站设置气体灭火系统。气体灭火系统拟采用火探管式气体灭火系统。</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⑹ 灭火器设置</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本项目火灾类型主要为A类、C类火灾和带电火灾。根据火灾类型灭火器主要选择干粉灭火器和二氧化碳灭火器，灭火器根据各工况灭火类别分设在不同的场所。</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本项目在装置区和建筑物内分别配置干粉灭火器，在有精密仪器的场所配置二氧化碳灭火器。</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⑺ 火灾报警设施</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在各个危险点或防火分区的可燃气体探测器、感烟探测器、感温探测器、手动报警按钮等自动或手动报警设施送达。一旦发现火险或其他危险情况，报警设施将及时发出报警信号，以引起操作人员高度注意，采取适时补救措施。水喷雾系统、以及消防水泵的启、停、工作状态等均应在火警盘上显示。</w:t>
      </w:r>
    </w:p>
    <w:p>
      <w:pPr>
        <w:pStyle w:val="3"/>
        <w:ind w:left="578" w:hanging="578"/>
        <w:rPr>
          <w:rFonts w:hint="default" w:ascii="Times New Roman" w:hAnsi="Times New Roman" w:cs="Times New Roman" w:eastAsiaTheme="minorEastAsia"/>
          <w:b/>
          <w:color w:val="auto"/>
        </w:rPr>
      </w:pPr>
      <w:bookmarkStart w:id="120" w:name="_Toc19962"/>
      <w:bookmarkStart w:id="121" w:name="_Toc16842"/>
      <w:r>
        <w:rPr>
          <w:rFonts w:hint="default" w:ascii="Times New Roman" w:hAnsi="Times New Roman" w:cs="Times New Roman" w:eastAsiaTheme="minorEastAsia"/>
          <w:b/>
          <w:color w:val="auto"/>
        </w:rPr>
        <w:t>环境风险评价结论</w:t>
      </w:r>
      <w:bookmarkEnd w:id="120"/>
      <w:bookmarkEnd w:id="121"/>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综合以上分析，本项目风险评价结论如下：</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本项目具有潜在的事故风险，尽管最大可信灾害事故概率较小，但要从设计、建设、生产管理等各个方面积极采取防护措施，这是确保安全的根本保障。</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为了防范事故和减少危害，需制定灾害事故应急预案。当出现事故时，要采取紧急的工程应急措施，如有必要，要采取社会应急措施，以控制事故和减少对环境造成的危害。</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为了及时发现和减少事故的潜在危害，确保生命财产和人身安全，建设单位有必要建立风险事故决策支持系统和事故应急监测技术支持系统，在事故发生时及时采取应急救援措施，形成区域风险安全系统工程。</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建设单位防范风险事故的关键在于做好安全教育和风险管理工作，增强风险管理、风险防范意识，加强管理，严格按有关规定进行工程建设，健全控制污染的设施和措施，配备应急器材，勤于检查，杜绝事故隐患，防范于未然。</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从环境控制的角度来评价，经采取相应应急措施后，能大大减少事故发生概率，并且一旦发生事故，能迅速采取有力措施，减小对环境污染。其潜在的事故风险是可以防范的。</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总之，在采取可靠的设计方案和合理的风险防范措施与应急措施的前提下，本项目装卸货物泄漏和溢出入江事故都不会对事故发生地点周边人群造成明显危害，只是对周边环境空气和码头所在江段上下游一定范围内的水环境造成一定的污染影响。本项目实施后的环境风险在可接受水平。</w:t>
      </w:r>
    </w:p>
    <w:p>
      <w:pPr>
        <w:adjustRightInd w:val="0"/>
        <w:snapToGrid w:val="0"/>
        <w:spacing w:line="360" w:lineRule="auto"/>
        <w:rPr>
          <w:rFonts w:hint="default" w:ascii="Times New Roman" w:hAnsi="Times New Roman" w:cs="Times New Roman" w:eastAsiaTheme="minorEastAsia"/>
          <w:color w:val="auto"/>
          <w:kern w:val="0"/>
          <w:sz w:val="24"/>
          <w:szCs w:val="24"/>
        </w:rPr>
      </w:pP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22" w:name="_Toc2676"/>
      <w:bookmarkStart w:id="123" w:name="_Toc26155"/>
      <w:r>
        <w:rPr>
          <w:rFonts w:hint="default" w:ascii="Times New Roman" w:hAnsi="Times New Roman" w:cs="Times New Roman" w:eastAsiaTheme="minorEastAsia"/>
          <w:b/>
          <w:color w:val="auto"/>
          <w:sz w:val="32"/>
          <w:szCs w:val="32"/>
        </w:rPr>
        <w:t>环境可行性分析</w:t>
      </w:r>
      <w:bookmarkEnd w:id="122"/>
      <w:bookmarkEnd w:id="123"/>
    </w:p>
    <w:p>
      <w:pPr>
        <w:pStyle w:val="3"/>
        <w:ind w:left="578" w:hanging="578"/>
        <w:rPr>
          <w:rFonts w:hint="default" w:ascii="Times New Roman" w:hAnsi="Times New Roman" w:cs="Times New Roman" w:eastAsiaTheme="minorEastAsia"/>
          <w:b/>
          <w:color w:val="auto"/>
        </w:rPr>
      </w:pPr>
      <w:bookmarkStart w:id="124" w:name="_Toc11782"/>
      <w:bookmarkStart w:id="125" w:name="_Toc2810"/>
      <w:r>
        <w:rPr>
          <w:rFonts w:hint="default" w:ascii="Times New Roman" w:hAnsi="Times New Roman" w:cs="Times New Roman" w:eastAsiaTheme="minorEastAsia"/>
          <w:b/>
          <w:color w:val="auto"/>
        </w:rPr>
        <w:t>项目建设必要性</w:t>
      </w:r>
      <w:bookmarkEnd w:id="124"/>
      <w:bookmarkEnd w:id="125"/>
    </w:p>
    <w:p>
      <w:p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1、本项目建设有利于推广清洁能源利用，能够促进长江沿线生态恢复，是贯彻习近平总书记重要指示，走生态优先、绿色发展之路的发展需要。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习近平总书记2018年在武汉主持召开深入推动长江经济带发展座谈会并发表重要讲话中指出，新形势下推动长江经济带发展，关键是要正确把握整体推进和重点突破、生态环境保护和经济发展、总体谋划和久久为功、破除旧动能和培育新动能、自我发展和协同发展的关系，坚持新发展理念，坚持稳中求进工作总基调，坚持共抓大保护、不搞大开发，加强改革创新、战略统筹、规划引导，以长江经济带发展推动经济高质量发展，不搞大开发不是不要开发，而是不搞破坏性开发，要走生态优先、绿色发展之路。</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的建设完善了LNG供应配套设施，将加快天然气利用推广，促进了运输行业发展方式转变，配合LNG燃料动力船舶推广，提高清洁能源在生产生活中的替代比例，降低运输行业总体排放水平，有利于推进运输行业绿色发展，对恢复长江沿线地区生态环境与环保建设有着积极作用，因此本项目建设是积极响应总书记号召恢复长江生态，走生态优先、绿色发展之路的发展需要。</w:t>
      </w:r>
    </w:p>
    <w:p>
      <w:p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2、本项目建设是进一步贯彻落实各级政府天然气发展规划、方案的需要。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近年来为加快推进天然气利用，提高天然气在我国一次能源消费结构中的比重，稳步推进能源消费革命和农村生活方式革命，从国家到地方各级政府出台了多项规划、布局方案，达到有效治理大气污染，积极应对气候变化的需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截止2017年10月，项目已列入：交通运输部《长江干线京杭运河西江航运干线液化天然气加注站布局方案（2017-2025年）》、《湖南省“十三五”天然气规划》、《湖南省“十三五”能源发展规划》、《湖南省LNG水上加注站布局规划》。</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综上，本项目被纳入了从国家到地方各级天然气、液化天然气发展规划的重点建设项目名单，是未来国家、湖南省天然气发展布局的关键一环，因此本项目实施是进一步贯彻落实各级政府天然气利用规划的需要。</w:t>
      </w:r>
    </w:p>
    <w:p>
      <w:pPr>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3、本项目建设填补了岳阳港LNG加注站的空白，完善了港口LNG相关服务功能，是岳阳港的发展需要。</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近年来国务院、交通部相继出台了一系列政策，促进水运行业发展清洁能源与绿色产业，如2013年，交通运输部发布《关于加快推进水运行业应用LNG燃料工作的指导意见》。2014年9月，国务院《国务院关于依托黄金水道推动长江经济带发展的指导意见》中提出“打造沿江绿色能源产业带，提高用气水平。”</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岳阳港是湖南省唯一通江达海对外开放的口岸，在国家大力推行水运LNG应用的大环境下，岳阳港作为国家内河主枢纽港之一尚未建设LNG加注等配套设施，显然无法适应长江经济带“建设绿色生态廊道”的发展需要，亦无法适应作为内河主要枢纽港的发展要求。</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本项目建设填补了港口相关设施的空白，完善了岳阳港LNG服务功能，顺应当前国家水运节能减排的发展趋势，因此，本项目是岳阳港的发展需要。</w:t>
      </w:r>
    </w:p>
    <w:p>
      <w:pPr>
        <w:pStyle w:val="3"/>
        <w:ind w:left="578" w:hanging="578"/>
        <w:rPr>
          <w:rFonts w:hint="default" w:ascii="Times New Roman" w:hAnsi="Times New Roman" w:cs="Times New Roman" w:eastAsiaTheme="minorEastAsia"/>
          <w:b/>
          <w:color w:val="auto"/>
        </w:rPr>
      </w:pPr>
      <w:bookmarkStart w:id="126" w:name="_Toc42697277"/>
      <w:bookmarkStart w:id="127" w:name="_Toc32143"/>
      <w:bookmarkStart w:id="128" w:name="_Toc919"/>
      <w:r>
        <w:rPr>
          <w:rFonts w:hint="default" w:ascii="Times New Roman" w:hAnsi="Times New Roman" w:cs="Times New Roman" w:eastAsiaTheme="minorEastAsia"/>
          <w:b/>
          <w:color w:val="auto"/>
        </w:rPr>
        <w:t>相关政策符合性分析</w:t>
      </w:r>
      <w:bookmarkEnd w:id="126"/>
      <w:bookmarkEnd w:id="127"/>
      <w:bookmarkEnd w:id="128"/>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产业政府符合性分析</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根据《产业结构调整指导目录（2019年本）》中内容，本项目属于“鼓励类”中第二十五条“水运”中的“深水泊位（沿海万吨级、内河千吨级及以上）建设”项目。</w:t>
      </w:r>
      <w:r>
        <w:rPr>
          <w:rFonts w:hint="default" w:ascii="Times New Roman" w:hAnsi="Times New Roman" w:cs="Times New Roman" w:eastAsiaTheme="minorEastAsia"/>
          <w:color w:val="auto"/>
          <w:kern w:val="0"/>
          <w:sz w:val="24"/>
          <w:szCs w:val="24"/>
        </w:rPr>
        <w:t>液化石油气与石油和天然气一样，是化石燃料。在生产及消费过程中对生态环境的污染减少，包括使用低污染的化石能源（如天然气等）和利用清洁能源技术处理过的化石能源，都是清洁能源中的非再生能源。</w:t>
      </w:r>
      <w:r>
        <w:rPr>
          <w:rFonts w:hint="default" w:ascii="Times New Roman" w:hAnsi="Times New Roman" w:cs="Times New Roman" w:eastAsiaTheme="minorEastAsia"/>
          <w:bCs/>
          <w:color w:val="auto"/>
          <w:sz w:val="24"/>
          <w:szCs w:val="24"/>
        </w:rPr>
        <w:t>另外，本项目不属于《限制用地项目目录（2012年本）》和《禁止用地项目目录（2012年本）》中的限制用地和禁止用地。</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因此，本项目的建设符合国家产业政策和相关法律、法规的要求。</w:t>
      </w:r>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其他相关政策符合性分析</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与区域饮用水源保护区的相容性分析</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根据《湖南省主要水系地表水环境功能区划》（DB43/023-2005）、“岳阳市人民政府办公室关于印发《岳阳市重要饮用水水源地名录》的通知（岳政办函〔2015〕21号）”和“岳环君分环评批〔2020〕5号”文，本项目位于长江干流的“塔市驿（湖北省流入湖南省断面）至黄盖湖（湖南省流入湖北省断面）”河段，长约163km，属于渔业用水区，执行《地表水环境质量标准》（GB3838-2002）中的Ⅲ类标准。此外，不涉及饮用水水源地，</w:t>
      </w:r>
      <w:r>
        <w:rPr>
          <w:rFonts w:hint="default" w:ascii="Times New Roman" w:hAnsi="Times New Roman" w:cs="Times New Roman" w:eastAsiaTheme="minorEastAsia"/>
          <w:bCs/>
          <w:color w:val="auto"/>
          <w:sz w:val="24"/>
          <w:szCs w:val="24"/>
          <w:lang w:eastAsia="zh-CN"/>
        </w:rPr>
        <w:t>潭子坑取水口现已停用，</w:t>
      </w:r>
      <w:r>
        <w:rPr>
          <w:rFonts w:hint="default" w:ascii="Times New Roman" w:hAnsi="Times New Roman" w:cs="Times New Roman" w:eastAsiaTheme="minorEastAsia"/>
          <w:bCs/>
          <w:color w:val="auto"/>
          <w:sz w:val="24"/>
          <w:szCs w:val="24"/>
        </w:rPr>
        <w:t>与本项目最近的饮用水保护区为“洪</w:t>
      </w:r>
      <w:r>
        <w:rPr>
          <w:rFonts w:hint="default" w:ascii="Times New Roman" w:hAnsi="Times New Roman" w:cs="Times New Roman" w:eastAsiaTheme="minorEastAsia"/>
          <w:bCs/>
          <w:color w:val="auto"/>
          <w:sz w:val="24"/>
          <w:szCs w:val="24"/>
          <w:lang w:eastAsia="zh-CN"/>
        </w:rPr>
        <w:t>水</w:t>
      </w:r>
      <w:r>
        <w:rPr>
          <w:rFonts w:hint="default" w:ascii="Times New Roman" w:hAnsi="Times New Roman" w:cs="Times New Roman" w:eastAsiaTheme="minorEastAsia"/>
          <w:bCs/>
          <w:color w:val="auto"/>
          <w:sz w:val="24"/>
          <w:szCs w:val="24"/>
        </w:rPr>
        <w:t>港泵房水源保护区”，位于长江同侧上游3.38km。</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因此，本项目与区域饮用水源保护区不相冲突。</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与港口建设项目环境影响评价文件审批原则（试行）符合性分析</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本项目针对港口建设项目环境影响评价文件审批原则（试行）中提出的原则进行分析，分析结果如下：</w:t>
      </w:r>
    </w:p>
    <w:p>
      <w:pPr>
        <w:adjustRightInd w:val="0"/>
        <w:snapToGrid w:val="0"/>
        <w:spacing w:line="276" w:lineRule="auto"/>
        <w:ind w:firstLine="482" w:firstLineChars="20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表9.2-1  港口建设项目环境影响评价文件审批原则（试行）</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712"/>
        <w:gridCol w:w="6741"/>
        <w:gridCol w:w="16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序号</w:t>
            </w:r>
          </w:p>
        </w:tc>
        <w:tc>
          <w:tcPr>
            <w:tcW w:w="3704"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审批原则</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本项目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项目符合环境保护相关法律法规和政策要求，与主体功能区规划、近岸海域环境功能区划、水环境功能区划、生态功能区划、海洋功能区划、生态环境保护规划、港口总体规划、流域规划等相协调，满足相关规划环评要求。</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符合，与相关规划符合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2</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项目选址、施工布置不占用自然保护区、风景名胜区、世界文化和自然遗产地、饮用水水源保护区以及其他生态保护红线等环境敏感区中法律法规禁止占用的区域。通过优化项目主要污染源和风险源的平面布置，与居民集中区等环境敏感区的距离科学合理。</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项目在自然保护区实验区，但已经取得相关部门同意，同时采取了减缓措施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3</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项目对鱼类等水生生物的洄游通道及“三场”等重要生境、物种多样性及资源量产生不利影响的，提出了工程设计和施工方案优化、施工噪声及振动控制、施工期监控驱赶救助、迁地保护、增殖放流、人工鱼礁及其他生态修复措施。</w:t>
            </w:r>
          </w:p>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对陆域生态造成不利影响的，提出了避让环境敏感区、生态修复等对策。在采取上述措施后，对水生生物的不利影响能够得到缓解和控制，不会造成原有珍稀濒危保护或重要经济水生生物在相关河段、湖泊或海域消失，不会对区域生态系统造成重大不利影响。</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项目会对鱼类等水生生物的洄游通道产生影响，已提出相应措施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4</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项目布置及水工构筑物改变水文情势，造成水体交换、水污染物扩散能力降低且影响水质的，提出了工程优化调整措施。</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5</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针对冲洗污水、初期雨污水、含尘废水、含油污水、洗箱（罐）废水、生活污水等，提出了收集、处置措施。</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6</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油气、化工等液体散货码头项目，提出了必要可行的挥发性气体控制、油气回收处理等措施。</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7</w:t>
            </w:r>
          </w:p>
        </w:tc>
        <w:tc>
          <w:tcPr>
            <w:tcW w:w="3704"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根据国家相关规划或政策规定，提出了配备岸电设施要求。</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8</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对声环境敏感目标产生不利影响的，提出了优化平面布置、选用低噪声设备、隔声减振等措施。按照国家相关规定，提出了一般固体废物、危险废物的收集、贮存、运输及处置要求。</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9</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根据相关规划和政策要求，提出了船舶污水、船舶垃圾、船舶压载水及沉积物等接收处置措施。</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10</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项目施工组织方案具有环境合理性，对取、弃土（渣）场、施工场地（道路）等提出了水土流失防治和生态修复等措施。根据环境保护相关标准和要求，对施工期各类废（污）水、废气、噪声、固体废物等提出防治或处置措施。其中，涉水施工对水质造成不利影响的，提出了施工方案优化及悬浮物控制等措施；针对施工产生的疏浚物，提出了符合相关规定的处置或综合利用方案。</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符合。本项目不设置取、弃土（渣）场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11</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针对码头、港区航道等存在的溢油或危险化学品泄漏等环境风险，提出了工程防控、应急资源配备、事故池、事故污水处置等风险防范措施，以及环境应急预案编制、与地方人民政府及相关部门、有关单位建立应急联动机制等要求。</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12</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按相关导则及规定要求，制定了水生生态、水环境、大气环境、噪声等环境监测计划，明确了监测网点、因子、频次等有关要求。</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13</w:t>
            </w:r>
          </w:p>
        </w:tc>
        <w:tc>
          <w:tcPr>
            <w:tcW w:w="3704"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按相关规定开展了信息公开和公众参与。</w:t>
            </w:r>
          </w:p>
        </w:tc>
        <w:tc>
          <w:tcPr>
            <w:tcW w:w="903"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bl>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因此，项目符合港口建设项目环境影响评价文件审批原则（试行）。</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与《船舶水污染防治技术政策》符合性分析</w:t>
      </w: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项目针对船舶水污染防治技术政策中提出的要求进行分析，分析结果如下：</w:t>
      </w:r>
    </w:p>
    <w:p>
      <w:pPr>
        <w:adjustRightInd w:val="0"/>
        <w:snapToGrid w:val="0"/>
        <w:spacing w:line="276" w:lineRule="auto"/>
        <w:ind w:firstLine="482" w:firstLineChars="20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表9.2-2  船舶水污染防治技术政策</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710"/>
        <w:gridCol w:w="7238"/>
        <w:gridCol w:w="11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0"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序号</w:t>
            </w:r>
          </w:p>
        </w:tc>
        <w:tc>
          <w:tcPr>
            <w:tcW w:w="3977"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船舶水污染防治技术政策</w:t>
            </w:r>
          </w:p>
        </w:tc>
        <w:tc>
          <w:tcPr>
            <w:tcW w:w="63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本项目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0"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w:t>
            </w:r>
          </w:p>
        </w:tc>
        <w:tc>
          <w:tcPr>
            <w:tcW w:w="3977"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对船舶含油污水、生活污水和船舶垃圾实施收集并排入接收设施时，应在船上设置含油污水贮存舱（柜、容器）、船舶生活污水集污舱和船舶垃圾收集、贮存点。</w:t>
            </w:r>
          </w:p>
        </w:tc>
        <w:tc>
          <w:tcPr>
            <w:tcW w:w="63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0"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2</w:t>
            </w:r>
          </w:p>
        </w:tc>
        <w:tc>
          <w:tcPr>
            <w:tcW w:w="3977"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向接收设施转移含油污水、生活污水的船舶，应设置相应的标准排放接头。</w:t>
            </w:r>
          </w:p>
        </w:tc>
        <w:tc>
          <w:tcPr>
            <w:tcW w:w="63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90"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3</w:t>
            </w:r>
          </w:p>
        </w:tc>
        <w:tc>
          <w:tcPr>
            <w:tcW w:w="3977" w:type="pct"/>
            <w:tcBorders>
              <w:tl2br w:val="nil"/>
              <w:tr2bl w:val="nil"/>
            </w:tcBorders>
            <w:vAlign w:val="center"/>
          </w:tcPr>
          <w:p>
            <w:pPr>
              <w:pStyle w:val="846"/>
              <w:adjustRightInd w:val="0"/>
              <w:snapToGrid w:val="0"/>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color w:val="auto"/>
                <w:sz w:val="21"/>
              </w:rPr>
              <w:t>船舶垃圾不得向内河水域倾倒。根据船舶垃圾类别和海域范围，分别执行相应的排放控制要求。在任何海域，对于不同类别船舶垃圾的混合垃圾的排放控制，应同时满足所含每一类船舶垃圾的排放控制要求。</w:t>
            </w:r>
          </w:p>
        </w:tc>
        <w:tc>
          <w:tcPr>
            <w:tcW w:w="631" w:type="pct"/>
            <w:tcBorders>
              <w:tl2br w:val="nil"/>
              <w:tr2bl w:val="nil"/>
            </w:tcBorders>
            <w:vAlign w:val="center"/>
          </w:tcPr>
          <w:p>
            <w:pPr>
              <w:pStyle w:val="846"/>
              <w:adjustRightInd w:val="0"/>
              <w:snapToGrid w:val="0"/>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符合</w:t>
            </w:r>
          </w:p>
        </w:tc>
      </w:tr>
    </w:tbl>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p>
    <w:p>
      <w:pPr>
        <w:wordWrap w:val="0"/>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因此，项目符合《船舶水污染防治技术政策》中相关规定。</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与自然保护区管理条例及规定的符合性分析</w:t>
      </w:r>
    </w:p>
    <w:p>
      <w:pPr>
        <w:adjustRightInd w:val="0"/>
        <w:snapToGrid w:val="0"/>
        <w:spacing w:line="360" w:lineRule="auto"/>
        <w:ind w:firstLine="482"/>
        <w:rPr>
          <w:rFonts w:hint="default" w:ascii="Times New Roman" w:hAnsi="Times New Roman" w:cs="Times New Roman"/>
          <w:b/>
          <w:color w:val="auto"/>
          <w:sz w:val="24"/>
        </w:rPr>
      </w:pPr>
      <w:r>
        <w:rPr>
          <w:rFonts w:hint="default" w:ascii="Times New Roman" w:hAnsi="Times New Roman" w:cs="Times New Roman"/>
          <w:b/>
          <w:color w:val="auto"/>
          <w:sz w:val="24"/>
        </w:rPr>
        <w:t>1、</w:t>
      </w:r>
      <w:r>
        <w:rPr>
          <w:rFonts w:hint="default" w:ascii="Times New Roman" w:hAnsi="Times New Roman" w:cs="Times New Roman"/>
          <w:b/>
          <w:bCs/>
          <w:color w:val="auto"/>
          <w:sz w:val="24"/>
        </w:rPr>
        <w:t>与《中华人民共和国自然保护区条例》的符合性分析</w:t>
      </w:r>
    </w:p>
    <w:p>
      <w:pPr>
        <w:adjustRightInd w:val="0"/>
        <w:snapToGrid w:val="0"/>
        <w:spacing w:line="360" w:lineRule="auto"/>
        <w:ind w:firstLine="482"/>
        <w:rPr>
          <w:rFonts w:hint="default" w:ascii="Times New Roman" w:hAnsi="Times New Roman" w:cs="Times New Roman"/>
          <w:color w:val="auto"/>
          <w:sz w:val="24"/>
        </w:rPr>
      </w:pPr>
      <w:r>
        <w:rPr>
          <w:rFonts w:hint="default" w:ascii="Times New Roman" w:hAnsi="Times New Roman" w:cs="Times New Roman"/>
          <w:color w:val="auto"/>
          <w:sz w:val="24"/>
        </w:rPr>
        <w:t>本项目位于东洞庭湖国家级自然保护区的实验区范围内。根据《中华人民共和国自然保护区条例》（2017年修订）中的第二十六条、第二十七条和第三十二条规定分析，见表9.2-3。</w:t>
      </w:r>
    </w:p>
    <w:p>
      <w:pPr>
        <w:adjustRightInd w:val="0"/>
        <w:snapToGrid w:val="0"/>
        <w:spacing w:line="276"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表9.2-3  本项目与《中华人民共和国自然保护区条例》的符合性分析表</w:t>
      </w:r>
    </w:p>
    <w:tbl>
      <w:tblPr>
        <w:tblStyle w:val="7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264"/>
        <w:gridCol w:w="3068"/>
        <w:gridCol w:w="7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893"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条款规定</w:t>
            </w:r>
          </w:p>
        </w:tc>
        <w:tc>
          <w:tcPr>
            <w:tcW w:w="1686" w:type="pct"/>
            <w:vAlign w:val="center"/>
          </w:tcPr>
          <w:p>
            <w:pPr>
              <w:adjustRightInd w:val="0"/>
              <w:snapToGrid w:val="0"/>
              <w:jc w:val="center"/>
              <w:rPr>
                <w:rFonts w:hint="default" w:ascii="Times New Roman" w:hAnsi="Times New Roman" w:cs="Times New Roman"/>
                <w:b/>
                <w:bCs/>
                <w:color w:val="auto"/>
                <w:vertAlign w:val="subscript"/>
              </w:rPr>
            </w:pPr>
            <w:r>
              <w:rPr>
                <w:rFonts w:hint="default" w:ascii="Times New Roman" w:hAnsi="Times New Roman" w:cs="Times New Roman"/>
                <w:b/>
                <w:bCs/>
                <w:color w:val="auto"/>
              </w:rPr>
              <w:t>本项目情形</w:t>
            </w:r>
          </w:p>
        </w:tc>
        <w:tc>
          <w:tcPr>
            <w:tcW w:w="420"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分析</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第二十六条</w:t>
            </w:r>
            <w:r>
              <w:rPr>
                <w:rFonts w:hint="default" w:ascii="Times New Roman" w:hAnsi="Times New Roman" w:cs="Times New Roman"/>
                <w:color w:val="auto"/>
              </w:rPr>
              <w:t xml:space="preserve">  禁止在自然保护区内进行砍伐、放牧、狩猎、捕捞、采药、开垦、烧荒、开矿、采石、挖沙等活动；但是，法律、行政法规另有规定的除外。</w:t>
            </w:r>
          </w:p>
        </w:tc>
        <w:tc>
          <w:tcPr>
            <w:tcW w:w="1686"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本项目位于自然保护区的实验区，已取得国家林业与草原局的复函“办函资字〔2019〕205号”，见附件8。项目建设不涉及“第二十六条”中禁止活动。</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3" w:type="pct"/>
            <w:shd w:val="clear" w:color="auto" w:fill="auto"/>
            <w:vAlign w:val="center"/>
          </w:tcPr>
          <w:p>
            <w:pPr>
              <w:adjustRightInd w:val="0"/>
              <w:snapToGrid w:val="0"/>
              <w:rPr>
                <w:rFonts w:hint="default" w:ascii="Times New Roman" w:hAnsi="Times New Roman" w:cs="Times New Roman"/>
                <w:bCs/>
                <w:color w:val="auto"/>
              </w:rPr>
            </w:pPr>
            <w:r>
              <w:rPr>
                <w:rFonts w:hint="default" w:ascii="Times New Roman" w:hAnsi="Times New Roman" w:cs="Times New Roman"/>
                <w:b/>
                <w:color w:val="auto"/>
              </w:rPr>
              <w:t xml:space="preserve">第二十七条  </w:t>
            </w:r>
            <w:r>
              <w:rPr>
                <w:rFonts w:hint="default" w:ascii="Times New Roman" w:hAnsi="Times New Roman" w:cs="Times New Roman"/>
                <w:bCs/>
                <w:color w:val="auto"/>
              </w:rPr>
              <w:t>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pPr>
              <w:adjustRightInd w:val="0"/>
              <w:snapToGrid w:val="0"/>
              <w:rPr>
                <w:rFonts w:hint="default" w:ascii="Times New Roman" w:hAnsi="Times New Roman" w:cs="Times New Roman"/>
                <w:b/>
                <w:color w:val="auto"/>
              </w:rPr>
            </w:pPr>
            <w:r>
              <w:rPr>
                <w:rFonts w:hint="default" w:ascii="Times New Roman" w:hAnsi="Times New Roman" w:cs="Times New Roman"/>
                <w:bCs/>
                <w:color w:val="auto"/>
              </w:rPr>
              <w:t>自然保护区核心区内原有居民确有必要迁出的，由自然保护区所在地的地方人民政府予以妥善安置。</w:t>
            </w:r>
          </w:p>
        </w:tc>
        <w:tc>
          <w:tcPr>
            <w:tcW w:w="1686" w:type="pct"/>
            <w:shd w:val="clear" w:color="auto" w:fill="auto"/>
            <w:vAlign w:val="center"/>
          </w:tcPr>
          <w:p>
            <w:pPr>
              <w:adjustRightInd w:val="0"/>
              <w:snapToGrid w:val="0"/>
              <w:rPr>
                <w:rFonts w:hint="default" w:ascii="Times New Roman" w:hAnsi="Times New Roman" w:cs="Times New Roman"/>
                <w:bCs/>
                <w:color w:val="auto"/>
              </w:rPr>
            </w:pPr>
            <w:r>
              <w:rPr>
                <w:rFonts w:hint="default" w:ascii="Times New Roman" w:hAnsi="Times New Roman" w:cs="Times New Roman"/>
                <w:bCs/>
                <w:color w:val="auto"/>
              </w:rPr>
              <w:t>本项目不涉及自然保护区的缓冲区和核心区。与“第二十六条”不冲突。</w:t>
            </w:r>
          </w:p>
        </w:tc>
        <w:tc>
          <w:tcPr>
            <w:tcW w:w="420" w:type="pct"/>
            <w:vAlign w:val="center"/>
          </w:tcPr>
          <w:p>
            <w:pPr>
              <w:adjustRightInd w:val="0"/>
              <w:snapToGrid w:val="0"/>
              <w:jc w:val="center"/>
              <w:rPr>
                <w:rFonts w:hint="default" w:ascii="Times New Roman" w:hAnsi="Times New Roman" w:cs="Times New Roman"/>
                <w:bCs/>
                <w:color w:val="auto"/>
              </w:rPr>
            </w:pPr>
            <w:r>
              <w:rPr>
                <w:rFonts w:hint="default" w:ascii="Times New Roman" w:hAnsi="Times New Roman" w:cs="Times New Roman"/>
                <w:bCs/>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第三十二条</w:t>
            </w:r>
            <w:r>
              <w:rPr>
                <w:rFonts w:hint="default" w:ascii="Times New Roman" w:hAnsi="Times New Roman" w:cs="Times New Roman"/>
                <w:color w:val="auto"/>
              </w:rPr>
              <w:t xml:space="preserve">  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在自然保护区的外围保护地带建设的项目，不得损害自然保护区内的环境质量；已造成损害的，应当限期治理。</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限期治理决定由法律、法规规定的机关作出，被限期治理的企业事业单位必须按期完成治理任务。</w:t>
            </w:r>
          </w:p>
        </w:tc>
        <w:tc>
          <w:tcPr>
            <w:tcW w:w="1686"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本项目位于自然保护区的实验区范围内，项目施工期会对周边环境产生一定影响，但影响环境可接受。</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本项目营运期间带来的污染也较小，均能达到保护区的排放要求和标准，是在保护区的环境承载力范围内的。</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bl>
    <w:p>
      <w:pPr>
        <w:adjustRightInd w:val="0"/>
        <w:snapToGrid w:val="0"/>
        <w:spacing w:line="360" w:lineRule="auto"/>
        <w:rPr>
          <w:rFonts w:hint="default" w:ascii="Times New Roman" w:hAnsi="Times New Roman" w:cs="Times New Roman"/>
          <w:color w:val="auto"/>
          <w:sz w:val="24"/>
        </w:rPr>
      </w:pP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经上述分析，本项目对东洞庭湖国家级自然保护区带来影响是可以接受的，项目建设与《</w:t>
      </w:r>
      <w:r>
        <w:rPr>
          <w:rFonts w:hint="default" w:ascii="Times New Roman" w:hAnsi="Times New Roman" w:cs="Times New Roman"/>
          <w:color w:val="auto"/>
          <w:spacing w:val="2"/>
          <w:sz w:val="24"/>
        </w:rPr>
        <w:t>中</w:t>
      </w:r>
      <w:r>
        <w:rPr>
          <w:rFonts w:hint="default" w:ascii="Times New Roman" w:hAnsi="Times New Roman" w:cs="Times New Roman"/>
          <w:color w:val="auto"/>
          <w:sz w:val="24"/>
        </w:rPr>
        <w:t>华</w:t>
      </w:r>
      <w:r>
        <w:rPr>
          <w:rFonts w:hint="default" w:ascii="Times New Roman" w:hAnsi="Times New Roman" w:cs="Times New Roman"/>
          <w:color w:val="auto"/>
          <w:spacing w:val="2"/>
          <w:sz w:val="24"/>
        </w:rPr>
        <w:t>人</w:t>
      </w:r>
      <w:r>
        <w:rPr>
          <w:rFonts w:hint="default" w:ascii="Times New Roman" w:hAnsi="Times New Roman" w:cs="Times New Roman"/>
          <w:color w:val="auto"/>
          <w:sz w:val="24"/>
        </w:rPr>
        <w:t>民</w:t>
      </w:r>
      <w:r>
        <w:rPr>
          <w:rFonts w:hint="default" w:ascii="Times New Roman" w:hAnsi="Times New Roman" w:cs="Times New Roman"/>
          <w:color w:val="auto"/>
          <w:spacing w:val="2"/>
          <w:sz w:val="24"/>
        </w:rPr>
        <w:t>共和</w:t>
      </w:r>
      <w:r>
        <w:rPr>
          <w:rFonts w:hint="default" w:ascii="Times New Roman" w:hAnsi="Times New Roman" w:cs="Times New Roman"/>
          <w:color w:val="auto"/>
          <w:sz w:val="24"/>
        </w:rPr>
        <w:t>国</w:t>
      </w:r>
      <w:r>
        <w:rPr>
          <w:rFonts w:hint="default" w:ascii="Times New Roman" w:hAnsi="Times New Roman" w:cs="Times New Roman"/>
          <w:color w:val="auto"/>
          <w:spacing w:val="2"/>
          <w:sz w:val="24"/>
        </w:rPr>
        <w:t>自</w:t>
      </w:r>
      <w:r>
        <w:rPr>
          <w:rFonts w:hint="default" w:ascii="Times New Roman" w:hAnsi="Times New Roman" w:cs="Times New Roman"/>
          <w:color w:val="auto"/>
          <w:sz w:val="24"/>
        </w:rPr>
        <w:t>然</w:t>
      </w:r>
      <w:r>
        <w:rPr>
          <w:rFonts w:hint="default" w:ascii="Times New Roman" w:hAnsi="Times New Roman" w:cs="Times New Roman"/>
          <w:color w:val="auto"/>
          <w:spacing w:val="2"/>
          <w:sz w:val="24"/>
        </w:rPr>
        <w:t>保</w:t>
      </w:r>
      <w:r>
        <w:rPr>
          <w:rFonts w:hint="default" w:ascii="Times New Roman" w:hAnsi="Times New Roman" w:cs="Times New Roman"/>
          <w:color w:val="auto"/>
          <w:sz w:val="24"/>
        </w:rPr>
        <w:t>护</w:t>
      </w:r>
      <w:r>
        <w:rPr>
          <w:rFonts w:hint="default" w:ascii="Times New Roman" w:hAnsi="Times New Roman" w:cs="Times New Roman"/>
          <w:color w:val="auto"/>
          <w:spacing w:val="2"/>
          <w:sz w:val="24"/>
        </w:rPr>
        <w:t>区条</w:t>
      </w:r>
      <w:r>
        <w:rPr>
          <w:rFonts w:hint="default" w:ascii="Times New Roman" w:hAnsi="Times New Roman" w:cs="Times New Roman"/>
          <w:color w:val="auto"/>
          <w:sz w:val="24"/>
        </w:rPr>
        <w:t>例》要求是不冲突的。</w:t>
      </w:r>
    </w:p>
    <w:p>
      <w:pPr>
        <w:adjustRightInd w:val="0"/>
        <w:snapToGrid w:val="0"/>
        <w:spacing w:line="360" w:lineRule="auto"/>
        <w:ind w:firstLine="506" w:firstLineChars="200"/>
        <w:rPr>
          <w:rFonts w:hint="default" w:ascii="Times New Roman" w:hAnsi="Times New Roman" w:cs="Times New Roman"/>
          <w:b/>
          <w:color w:val="auto"/>
          <w:spacing w:val="6"/>
          <w:kern w:val="0"/>
          <w:sz w:val="24"/>
          <w:szCs w:val="24"/>
        </w:rPr>
      </w:pPr>
      <w:r>
        <w:rPr>
          <w:rFonts w:hint="default" w:ascii="Times New Roman" w:hAnsi="Times New Roman" w:cs="Times New Roman"/>
          <w:b/>
          <w:color w:val="auto"/>
          <w:spacing w:val="6"/>
          <w:kern w:val="0"/>
          <w:sz w:val="24"/>
          <w:szCs w:val="24"/>
        </w:rPr>
        <w:t>2、与</w:t>
      </w:r>
      <w:r>
        <w:rPr>
          <w:rFonts w:hint="default" w:ascii="Times New Roman" w:hAnsi="Times New Roman" w:cs="Times New Roman"/>
          <w:b/>
          <w:color w:val="auto"/>
          <w:sz w:val="24"/>
        </w:rPr>
        <w:t>《在国家级自然保护区修筑设施审批管理暂行办法》</w:t>
      </w:r>
      <w:r>
        <w:rPr>
          <w:rFonts w:hint="default" w:ascii="Times New Roman" w:hAnsi="Times New Roman" w:cs="Times New Roman" w:eastAsiaTheme="minorEastAsia"/>
          <w:b/>
          <w:color w:val="auto"/>
          <w:sz w:val="24"/>
          <w:szCs w:val="24"/>
        </w:rPr>
        <w:t>的符合性分析</w:t>
      </w:r>
    </w:p>
    <w:p>
      <w:pPr>
        <w:adjustRightInd w:val="0"/>
        <w:snapToGrid w:val="0"/>
        <w:spacing w:line="360" w:lineRule="auto"/>
        <w:ind w:firstLine="482"/>
        <w:rPr>
          <w:rFonts w:hint="default" w:ascii="Times New Roman" w:hAnsi="Times New Roman" w:cs="Times New Roman"/>
          <w:color w:val="auto"/>
          <w:sz w:val="24"/>
        </w:rPr>
      </w:pPr>
      <w:r>
        <w:rPr>
          <w:rFonts w:hint="default" w:ascii="Times New Roman" w:hAnsi="Times New Roman" w:cs="Times New Roman"/>
          <w:color w:val="auto"/>
          <w:sz w:val="24"/>
        </w:rPr>
        <w:t>根据审批管理暂行办法中的第三条和第四条规定分析，见表9.2-4。</w:t>
      </w:r>
    </w:p>
    <w:p>
      <w:pPr>
        <w:adjustRightInd w:val="0"/>
        <w:snapToGrid w:val="0"/>
        <w:spacing w:line="276"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表9.2-4  与</w:t>
      </w:r>
      <w:r>
        <w:rPr>
          <w:rFonts w:hint="default" w:ascii="Times New Roman" w:hAnsi="Times New Roman" w:cs="Times New Roman"/>
          <w:b/>
          <w:color w:val="auto"/>
          <w:sz w:val="24"/>
        </w:rPr>
        <w:t>《在国家级自然保护区修筑设施审批管理暂行办法》</w:t>
      </w:r>
      <w:r>
        <w:rPr>
          <w:rFonts w:hint="default" w:ascii="Times New Roman" w:hAnsi="Times New Roman" w:cs="Times New Roman"/>
          <w:b/>
          <w:bCs/>
          <w:color w:val="auto"/>
          <w:sz w:val="24"/>
        </w:rPr>
        <w:t>的符合性分析表</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550"/>
        <w:gridCol w:w="2785"/>
        <w:gridCol w:w="7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050"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条款规定</w:t>
            </w:r>
          </w:p>
        </w:tc>
        <w:tc>
          <w:tcPr>
            <w:tcW w:w="1530" w:type="pct"/>
            <w:vAlign w:val="center"/>
          </w:tcPr>
          <w:p>
            <w:pPr>
              <w:adjustRightInd w:val="0"/>
              <w:snapToGrid w:val="0"/>
              <w:jc w:val="center"/>
              <w:rPr>
                <w:rFonts w:hint="default" w:ascii="Times New Roman" w:hAnsi="Times New Roman" w:cs="Times New Roman"/>
                <w:b/>
                <w:bCs/>
                <w:color w:val="auto"/>
                <w:vertAlign w:val="subscript"/>
              </w:rPr>
            </w:pPr>
            <w:r>
              <w:rPr>
                <w:rFonts w:hint="default" w:ascii="Times New Roman" w:hAnsi="Times New Roman" w:cs="Times New Roman"/>
                <w:b/>
                <w:bCs/>
                <w:color w:val="auto"/>
              </w:rPr>
              <w:t>本项目情形</w:t>
            </w:r>
          </w:p>
        </w:tc>
        <w:tc>
          <w:tcPr>
            <w:tcW w:w="419"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分析</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50"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第三条 在国家级自然保护区修筑设施，应当经国家林业局审查批准。</w:t>
            </w:r>
          </w:p>
        </w:tc>
        <w:tc>
          <w:tcPr>
            <w:tcW w:w="1530"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建设单位已委托咨询单位编制了完成了生物多样性影响专题报告，现已取得国家林草局复函，支持在自然保护区实验区建设本项目。</w:t>
            </w:r>
          </w:p>
        </w:tc>
        <w:tc>
          <w:tcPr>
            <w:tcW w:w="41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不冲突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50"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第四条 严格限制在国家级自然保护区修筑设施。必须修筑设施的，应当严格控制建设区域、面积和方式，并采取有效措施保护生态环境，确保不对主要保护对象产生重大影响，确保不改变自然生态系统基本特征和结构完整性，最大限度减少对国家级自然保护区的不利影响。</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禁止在国家级自然保护区修筑以下设施：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（一）光伏发电、风力发电、火力发电等项目的设施。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（二）高尔夫球场开发、房地产开发、会所建设等项目的设施。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（三）社会资金进行商业性探矿勘查，以及不属于国家紧缺矿种资源的基础地质调查和矿产公益性远景调查的设施。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（四）污染环境、破坏自然资源或者自然景观的设施。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（五）国家禁止修筑的其他设施。</w:t>
            </w:r>
          </w:p>
        </w:tc>
        <w:tc>
          <w:tcPr>
            <w:tcW w:w="1530"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设计及保护措施是与“严格控制建设区域、面积和方式”的要求相符合的。在采取上述有效措施保护生态环境后，可确保不对主要保护对象产生重大影响，确保不改变自然生态系统基本特征和结构完整性，最大限度减少对国家级自然保护区的不利影响。</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此外，本项目为基础设施建设，不涉及条款规定禁止的设施项目内容。</w:t>
            </w:r>
          </w:p>
        </w:tc>
        <w:tc>
          <w:tcPr>
            <w:tcW w:w="41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不冲突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50"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第五条 修筑设施的单位或者个人应当向国家林业局提出申请，并提交以下申请材料：</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（一）申请表。</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二）拟修筑设施必须建设且无法避让国家级自然保护区的说明材料。包括：拟修筑设施项目批准文件及规划或者工程设计文件等；机场、铁路、公路、水利水电、围堰、围填海等建设项目，还应当提供修筑设施在选址选线上无法避让国家级自然保护区的比选方案。</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三）拟修筑设施对自然生态影响的说明材料。包括：拟修筑设施对国家级自然保护区主要保护对象和自然生态系统影响的评价报告或者评价登记表，以及减轻影响和恢复生态的补救性措施。国家级自然保护区属于湿地类型的，应当按照“先补后占、占补平衡”的原则，提供湿地恢复或者重建方案；机场、铁路、公路、水利水电、围堰、围填海等建设项目，还应当提供修建野生动物通道、过鱼设施等消除或者减少对野生动物不利影响的方案。</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（四）相关主体的意见材料。包括：省级人民政府林业主管部门的初审意见。</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（五）国家林业局公告规定的其他申请材料。</w:t>
            </w:r>
          </w:p>
        </w:tc>
        <w:tc>
          <w:tcPr>
            <w:tcW w:w="1530" w:type="pct"/>
            <w:shd w:val="clear" w:color="auto" w:fill="auto"/>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建设单位已委托咨询单位编制了完成了生物多样性影响专题报告，现已取得国家林草局复函，支持在自然保护区实验区建设本项目。</w:t>
            </w:r>
          </w:p>
        </w:tc>
        <w:tc>
          <w:tcPr>
            <w:tcW w:w="419"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不冲突</w:t>
            </w:r>
          </w:p>
        </w:tc>
      </w:tr>
    </w:tbl>
    <w:p>
      <w:pPr>
        <w:adjustRightInd w:val="0"/>
        <w:snapToGrid w:val="0"/>
        <w:rPr>
          <w:rFonts w:hint="default" w:ascii="Times New Roman" w:hAnsi="Times New Roman" w:cs="Times New Roman"/>
          <w:color w:val="auto"/>
          <w:spacing w:val="6"/>
          <w:kern w:val="0"/>
          <w:sz w:val="24"/>
          <w:szCs w:val="24"/>
        </w:rPr>
      </w:pPr>
    </w:p>
    <w:p>
      <w:pPr>
        <w:tabs>
          <w:tab w:val="left" w:pos="900"/>
        </w:tabs>
        <w:adjustRightInd w:val="0"/>
        <w:snapToGrid w:val="0"/>
        <w:spacing w:line="360" w:lineRule="auto"/>
        <w:ind w:firstLine="480" w:firstLineChars="200"/>
        <w:rPr>
          <w:rFonts w:hint="default" w:ascii="Times New Roman" w:hAnsi="Times New Roman" w:cs="Times New Roman"/>
          <w:b/>
          <w:color w:val="auto"/>
          <w:sz w:val="24"/>
        </w:rPr>
      </w:pPr>
      <w:r>
        <w:rPr>
          <w:rFonts w:hint="default" w:ascii="Times New Roman" w:hAnsi="Times New Roman" w:cs="Times New Roman"/>
          <w:color w:val="auto"/>
          <w:sz w:val="24"/>
        </w:rPr>
        <w:t>经上述分析，本项目建设可做到与《在国家级自然保护区修筑设施审批管理暂行办法》要求是不冲突的。</w:t>
      </w:r>
    </w:p>
    <w:p>
      <w:pPr>
        <w:tabs>
          <w:tab w:val="left" w:pos="900"/>
        </w:tabs>
        <w:adjustRightInd w:val="0"/>
        <w:snapToGrid w:val="0"/>
        <w:spacing w:line="360" w:lineRule="auto"/>
        <w:ind w:firstLine="482"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rPr>
        <w:t>3、与《岳阳市东洞庭湖国家级自然保护区条例》</w:t>
      </w:r>
      <w:r>
        <w:rPr>
          <w:rFonts w:hint="default" w:ascii="Times New Roman" w:hAnsi="Times New Roman" w:cs="Times New Roman"/>
          <w:b/>
          <w:bCs/>
          <w:color w:val="auto"/>
          <w:sz w:val="24"/>
        </w:rPr>
        <w:t>的符合性分析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岳阳市东洞庭湖国家级自然保护区条例》已经2018年9月27日岳阳市第八届人民代表大会常务委员会第十四次会议通过，2018年11月30日湖南省第十三届人民代表大会常务委员会第八次会议批准，自2019年3月1日起施行。本项目与该管理条例的分析如下：</w:t>
      </w:r>
    </w:p>
    <w:p>
      <w:pPr>
        <w:adjustRightInd w:val="0"/>
        <w:snapToGrid w:val="0"/>
        <w:spacing w:line="276"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表9.2-5  本项目与《</w:t>
      </w:r>
      <w:r>
        <w:rPr>
          <w:rFonts w:hint="default" w:ascii="Times New Roman" w:hAnsi="Times New Roman" w:cs="Times New Roman" w:eastAsiaTheme="minorEastAsia"/>
          <w:b/>
          <w:color w:val="auto"/>
          <w:sz w:val="24"/>
          <w:szCs w:val="24"/>
        </w:rPr>
        <w:t>岳阳市东洞庭湖国家级自然保护区条例</w:t>
      </w:r>
      <w:r>
        <w:rPr>
          <w:rFonts w:hint="default" w:ascii="Times New Roman" w:hAnsi="Times New Roman" w:cs="Times New Roman"/>
          <w:b/>
          <w:bCs/>
          <w:color w:val="auto"/>
          <w:sz w:val="24"/>
        </w:rPr>
        <w:t>》的符合性分析表</w:t>
      </w:r>
    </w:p>
    <w:tbl>
      <w:tblPr>
        <w:tblStyle w:val="7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979"/>
        <w:gridCol w:w="2354"/>
        <w:gridCol w:w="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285"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条款规定</w:t>
            </w:r>
          </w:p>
        </w:tc>
        <w:tc>
          <w:tcPr>
            <w:tcW w:w="1293" w:type="pct"/>
            <w:vAlign w:val="center"/>
          </w:tcPr>
          <w:p>
            <w:pPr>
              <w:adjustRightInd w:val="0"/>
              <w:snapToGrid w:val="0"/>
              <w:jc w:val="center"/>
              <w:rPr>
                <w:rFonts w:hint="default" w:ascii="Times New Roman" w:hAnsi="Times New Roman" w:cs="Times New Roman"/>
                <w:b/>
                <w:bCs/>
                <w:color w:val="auto"/>
                <w:vertAlign w:val="subscript"/>
              </w:rPr>
            </w:pPr>
            <w:r>
              <w:rPr>
                <w:rFonts w:hint="default" w:ascii="Times New Roman" w:hAnsi="Times New Roman" w:cs="Times New Roman"/>
                <w:b/>
                <w:bCs/>
                <w:color w:val="auto"/>
              </w:rPr>
              <w:t>本项目情形</w:t>
            </w:r>
          </w:p>
        </w:tc>
        <w:tc>
          <w:tcPr>
            <w:tcW w:w="420" w:type="pct"/>
            <w:vAlign w:val="center"/>
          </w:tcPr>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分析</w:t>
            </w:r>
          </w:p>
          <w:p>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第十八条</w:t>
            </w:r>
            <w:r>
              <w:rPr>
                <w:rFonts w:hint="default" w:ascii="Times New Roman" w:hAnsi="Times New Roman" w:cs="Times New Roman"/>
                <w:color w:val="auto"/>
              </w:rPr>
              <w:t xml:space="preserve"> 保护区范围内禁止下列行为，但法律、法规另有规定的除外：</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（一）从事砍伐、放牧、采药、开垦、烧荒、开矿、采石、挖砂等破坏保护区生态环境活动的；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（二）向保护区水体和洲滩违法排放污染物、倾倒废弃物的；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（三）经营水上餐饮以及在湿地洲滩越野、野营、野炊等破坏保护区生态环境的；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（四）以损害受保护野生植物物种再生能力或者受保护野生动物的主要生息繁衍场所的方式进行植物采集的；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(五)以毒杀、电击、枪杀、捕鸟粘网、滚钩、迷魂阵等方式非法狩猎或者捕捞野生动物的；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（六）候鸟越冬、越夏期，在候鸟主要栖息地捕鱼，捡拾鸟蛋、雏鸟，捣毁鸟巢，以鸣笛、轰赶方式惊吓鸟类等危及鸟类生存、繁衍的；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（七）破坏鱼类等水生生物洄游通道以及受保护野生动物的主要生息繁衍场所的；</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（八）采集、出售、收购、运输、利用国家或者本省重点保护野生动植物及其制品的；</w:t>
            </w:r>
          </w:p>
          <w:p>
            <w:pPr>
              <w:adjustRightInd w:val="0"/>
              <w:snapToGrid w:val="0"/>
              <w:rPr>
                <w:rFonts w:hint="default" w:ascii="Times New Roman" w:hAnsi="Times New Roman" w:cs="Times New Roman"/>
                <w:b/>
                <w:color w:val="auto"/>
              </w:rPr>
            </w:pPr>
            <w:r>
              <w:rPr>
                <w:rFonts w:hint="default" w:ascii="Times New Roman" w:hAnsi="Times New Roman" w:cs="Times New Roman"/>
                <w:color w:val="auto"/>
              </w:rPr>
              <w:t>（九）其他不符合保护区功能定位的开发利用与建设行为。</w:t>
            </w:r>
          </w:p>
        </w:tc>
        <w:tc>
          <w:tcPr>
            <w:tcW w:w="1293" w:type="pct"/>
            <w:vAlign w:val="center"/>
          </w:tcPr>
          <w:p>
            <w:pPr>
              <w:adjustRightInd w:val="0"/>
              <w:snapToGrid w:val="0"/>
              <w:rPr>
                <w:rFonts w:hint="default" w:ascii="Times New Roman" w:hAnsi="Times New Roman" w:cs="Times New Roman"/>
                <w:color w:val="auto"/>
              </w:rPr>
            </w:pP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本项目位于自然保护区的实验区，已取得国家林业与草原局的复函“办函资字〔2019〕205号”，见附件8。项目建设不涉及“第十八条”中禁止活动。</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b/>
                <w:color w:val="auto"/>
              </w:rPr>
            </w:pPr>
            <w:r>
              <w:rPr>
                <w:rFonts w:hint="default" w:ascii="Times New Roman" w:hAnsi="Times New Roman" w:cs="Times New Roman"/>
                <w:b/>
                <w:color w:val="auto"/>
                <w:shd w:val="clear" w:color="auto" w:fill="FFFFFF"/>
              </w:rPr>
              <w:t>第二十三条</w:t>
            </w:r>
            <w:r>
              <w:rPr>
                <w:rFonts w:hint="default" w:ascii="Times New Roman" w:hAnsi="Times New Roman" w:cs="Times New Roman"/>
                <w:color w:val="auto"/>
                <w:shd w:val="clear" w:color="auto" w:fill="FFFFFF"/>
              </w:rPr>
              <w:t xml:space="preserve"> </w:t>
            </w:r>
            <w:r>
              <w:rPr>
                <w:rFonts w:hint="default" w:ascii="Times New Roman" w:hAnsi="Times New Roman" w:cs="Times New Roman"/>
                <w:color w:val="auto"/>
              </w:rPr>
              <w:t>经依法批准在航道、行洪区、河湖调蓄区从事的清淤、疏浚等活动应当严格控制在批准的区域内，并采取有效措施，防止对保护区生态环境造成破坏。</w:t>
            </w:r>
          </w:p>
        </w:tc>
        <w:tc>
          <w:tcPr>
            <w:tcW w:w="12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本项目作为自然保护区实验区内新建项目，不涉及疏浚工程。</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第二十六条</w:t>
            </w:r>
            <w:r>
              <w:rPr>
                <w:rFonts w:hint="default" w:ascii="Times New Roman" w:hAnsi="Times New Roman" w:cs="Times New Roman"/>
                <w:color w:val="auto"/>
              </w:rPr>
              <w:t xml:space="preserve"> 禁止任何单位和个人进入核心区从事与保护区保护和管理无关的活动。因科学研究的需要，必须进入核心区从事科学研究观测、调查活动的，应当事先向保护区管理机构提交申请和活动计划，征得书面同意，并经省人民政府有关自然保护区行政主管部门批准。</w:t>
            </w:r>
          </w:p>
        </w:tc>
        <w:tc>
          <w:tcPr>
            <w:tcW w:w="12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本项目不涉及自然保护区的核心区范围，与“第二十六条”不冲突。</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第二十七条</w:t>
            </w:r>
            <w:r>
              <w:rPr>
                <w:rFonts w:hint="default" w:ascii="Times New Roman" w:hAnsi="Times New Roman" w:cs="Times New Roman"/>
                <w:color w:val="auto"/>
              </w:rPr>
              <w:t xml:space="preserve"> 禁止在核心区、缓冲区开展旅游和其他生产经营活动，禁止建设任何生产经营设施。</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在核心区、缓冲区建设防洪抗旱等非生产经营设施的，应当事先征求保护区管理机构意见，依法报有关行政主管部门批准，并确保正常情况下不对保护区生态环境造成不利影响。</w:t>
            </w:r>
          </w:p>
        </w:tc>
        <w:tc>
          <w:tcPr>
            <w:tcW w:w="12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本项目不涉及自然保护区的缓冲区和核心区范围，与“第二十七条”不冲突。</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第三十条</w:t>
            </w:r>
            <w:r>
              <w:rPr>
                <w:rFonts w:hint="default" w:ascii="Times New Roman" w:hAnsi="Times New Roman" w:cs="Times New Roman"/>
                <w:color w:val="auto"/>
              </w:rPr>
              <w:t xml:space="preserve"> 在实验区可以进行科学试验、教学实习、参观考察、旅游以及驯化、繁殖珍稀、濒危野生动植物和符合保护区保护方向与总体规划的生产经营活动以及经批准的基础设施和公益事业项目建设。</w:t>
            </w:r>
          </w:p>
          <w:p>
            <w:pPr>
              <w:adjustRightInd w:val="0"/>
              <w:snapToGrid w:val="0"/>
              <w:rPr>
                <w:rFonts w:hint="default" w:ascii="Times New Roman" w:hAnsi="Times New Roman" w:cs="Times New Roman"/>
                <w:color w:val="auto"/>
              </w:rPr>
            </w:pPr>
            <w:r>
              <w:rPr>
                <w:rFonts w:hint="default" w:ascii="Times New Roman" w:hAnsi="Times New Roman" w:cs="Times New Roman"/>
                <w:color w:val="auto"/>
              </w:rPr>
              <w:t>向实验区引进或者放生外来物种应当事先征求保护区管理机构的意见，并按照《湖南省外来物种管理条例》的规定，经有关行政主管部门许可。</w:t>
            </w:r>
          </w:p>
        </w:tc>
        <w:tc>
          <w:tcPr>
            <w:tcW w:w="12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本项目位于自然保护区的实验区，已取得国家林业与草原局的复函“办函资字〔2019〕205号”。</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85"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b/>
                <w:color w:val="auto"/>
              </w:rPr>
              <w:t>第三十四条</w:t>
            </w:r>
            <w:r>
              <w:rPr>
                <w:rFonts w:hint="default" w:ascii="Times New Roman" w:hAnsi="Times New Roman" w:cs="Times New Roman"/>
                <w:color w:val="auto"/>
              </w:rPr>
              <w:t xml:space="preserve"> 实验区内不得建设污染环境、破坏资源或者景观的生产设施；建设其他项目以及实验区内已建成的设施，其污染物排放不得超过国家或者地方规定的污染物排放标准或者重点污染物排放总量控制指标。</w:t>
            </w:r>
          </w:p>
        </w:tc>
        <w:tc>
          <w:tcPr>
            <w:tcW w:w="1293" w:type="pct"/>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本项目位于自然保护区的实验区，本项目对加注站的采取降尘、降噪、固废收集等环保措施，确保装卸废气、噪声及固体废物等得到有效控制和处理。</w:t>
            </w:r>
          </w:p>
        </w:tc>
        <w:tc>
          <w:tcPr>
            <w:tcW w:w="420" w:type="pct"/>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符合</w:t>
            </w:r>
          </w:p>
        </w:tc>
      </w:tr>
    </w:tbl>
    <w:p>
      <w:pPr>
        <w:adjustRightInd w:val="0"/>
        <w:snapToGrid w:val="0"/>
        <w:spacing w:line="360" w:lineRule="auto"/>
        <w:ind w:firstLine="480" w:firstLineChars="200"/>
        <w:rPr>
          <w:rFonts w:hint="default" w:ascii="Times New Roman" w:hAnsi="Times New Roman" w:cs="Times New Roman" w:eastAsiaTheme="minorEastAsia"/>
          <w:color w:val="auto"/>
          <w:sz w:val="24"/>
          <w:szCs w:val="24"/>
          <w:highlight w:val="yellow"/>
        </w:rPr>
      </w:pP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经上述分析，本项目对东洞庭湖国家级自然保护区带来影响是可以接受的，项目建设与《</w:t>
      </w:r>
      <w:r>
        <w:rPr>
          <w:rFonts w:hint="default" w:ascii="Times New Roman" w:hAnsi="Times New Roman" w:cs="Times New Roman" w:eastAsiaTheme="minorEastAsia"/>
          <w:color w:val="auto"/>
          <w:sz w:val="24"/>
          <w:szCs w:val="24"/>
        </w:rPr>
        <w:t>岳阳市东洞庭湖国家级自然保护区条例</w:t>
      </w:r>
      <w:r>
        <w:rPr>
          <w:rFonts w:hint="default" w:ascii="Times New Roman" w:hAnsi="Times New Roman" w:cs="Times New Roman"/>
          <w:color w:val="auto"/>
          <w:sz w:val="24"/>
        </w:rPr>
        <w:t>》要求是不相冲突的。</w:t>
      </w:r>
    </w:p>
    <w:p>
      <w:pPr>
        <w:pStyle w:val="3"/>
        <w:ind w:left="578" w:hanging="578"/>
        <w:rPr>
          <w:rFonts w:hint="default" w:ascii="Times New Roman" w:hAnsi="Times New Roman" w:cs="Times New Roman" w:eastAsiaTheme="minorEastAsia"/>
          <w:b/>
          <w:color w:val="auto"/>
        </w:rPr>
      </w:pPr>
      <w:bookmarkStart w:id="129" w:name="_Toc42697278"/>
      <w:bookmarkStart w:id="130" w:name="_Toc1894"/>
      <w:bookmarkStart w:id="131" w:name="_Toc5908"/>
      <w:r>
        <w:rPr>
          <w:rFonts w:hint="default" w:ascii="Times New Roman" w:hAnsi="Times New Roman" w:cs="Times New Roman" w:eastAsiaTheme="minorEastAsia"/>
          <w:b/>
          <w:color w:val="auto"/>
        </w:rPr>
        <w:t>规划及选址合理性分析</w:t>
      </w:r>
      <w:bookmarkEnd w:id="129"/>
      <w:bookmarkEnd w:id="130"/>
      <w:bookmarkEnd w:id="131"/>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规划的符合性</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与《长江干线航道总体规划纲要》、《长江干线航道建设规划》符合性分析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根据《长江干线航道总体规划纲要》、《长江干线航道建设规划》，重庆至城陵矶河段：一级航道标准，其中宜昌至城陵矶航道为内河</w:t>
      </w:r>
      <w:r>
        <w:rPr>
          <w:rFonts w:hint="default" w:ascii="Times New Roman" w:hAnsi="Times New Roman" w:cs="Times New Roman"/>
          <w:color w:val="auto"/>
          <w:sz w:val="24"/>
          <w:szCs w:val="24"/>
        </w:rPr>
        <w:t>Ⅰ</w:t>
      </w:r>
      <w:r>
        <w:rPr>
          <w:rFonts w:hint="default" w:ascii="Times New Roman" w:hAnsi="Times New Roman" w:cs="Times New Roman" w:eastAsiaTheme="minorEastAsia"/>
          <w:color w:val="auto"/>
          <w:sz w:val="24"/>
          <w:szCs w:val="24"/>
        </w:rPr>
        <w:t>级，水深3.5m；城陵矶至武汉河段：一级航道标准，水深3.7m，通航由3000t级驳船组成的万t级船队，利用航道自然水深通航3000t级江海轮，洪水时通行5000t级江海轮。武汉以下航道为内河</w:t>
      </w:r>
      <w:r>
        <w:rPr>
          <w:rFonts w:hint="default" w:ascii="Times New Roman" w:hAnsi="Times New Roman" w:cs="Times New Roman"/>
          <w:color w:val="auto"/>
          <w:sz w:val="24"/>
          <w:szCs w:val="24"/>
        </w:rPr>
        <w:t>Ⅰ</w:t>
      </w:r>
      <w:r>
        <w:rPr>
          <w:rFonts w:hint="default" w:ascii="Times New Roman" w:hAnsi="Times New Roman" w:cs="Times New Roman" w:eastAsiaTheme="minorEastAsia"/>
          <w:color w:val="auto"/>
          <w:sz w:val="24"/>
          <w:szCs w:val="24"/>
        </w:rPr>
        <w:t>级，水深4.5m以上，5000t级江海轮可在自然水深条件下通航。</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位于“宜昌至城陵矶河段”，项目进出船舶航行及靠泊便利，项目前沿停靠作业水域和船舶回旋水域不占用主航道。本项目设计水位为36m，连接主航道及加注码头的港池水域的前沿设计河底高程为34.5m，能够满足5000t级船舶的航行要求。</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因此，本项目与航道现状及规划是协调一致的。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与《湖南省内河水运发展规划》符合性分析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湖南省内河水运发展规划》中港口发展规划中提出：湖南省要形成以长沙港、岳阳港2个主要港口为核心，以衡阳港、湘潭港、株洲港、益阳港、南县港、沅江港、常德港、桃源港、津市港、泸溪港、辰溪港、邵阳港、资兴港、娄底港、永州港等15个地区重要港口为基础，其他一般港口为补充的布局合理、层次分明、功能明确、与区域经济发展水平相适应的现代化港口体系。未来湖南港口的发展方向和重点是：⑴ 积极推进长株潭港口群的一体化发展，更好地服务于长株潭城市群两型社会建设；⑵ 加快规模化港区发展，打造以港口为依托的区域性物流中心；⑶ 加强专业化码头建设，完善全省集装箱、矿石、液体散货等专业化运输系统；⑷ 促进港园联动发展，培育沿江开发新高地和区域经济发展增长极。</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本项目位于《湖南省内河水运发展规划》中规划的主要港口“岳阳港”下辖的君山港区。因此，本项目的建设符合《湖南省内河水运发展规划》的相关要求。</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与《长江岸线保护和开发利用总体规划》符合性分析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长江岸线保护和开发利用总体规划》共划分岸线保护区516个，长度1964.2km，占岸线总长度的11.3%；岸线保留区1034个，长度为9306.3km，占岸线总长度的53.5%；岸线控制利用区817个，长度为4642.8km，占岸线总长度的26.7%；岸线开发利用区232个，长度为1480.4km，占岸线总长度的8.5%。</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根据长江岸线功能区分区规划，本项目位于长江右岸陆城，属于控制利用区，陆域及水深条件较好，预留港口发展岸线。拟建项目不在岸线保护区和保留区内，符合《长江岸线保护和开发利用总体规划》的要求。</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与《长江经济带生态环境保护规划》符合性分析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长江经济带生态环境保护规划》：“严格危化品港口建设项目审批管理，自然保护区核心区及缓冲区内禁止新建码头工程，逐步拆除已有的各类生产设施以及危化品、石油类泊位”“严防交通运输次生突发环境事件风险。强化水上危化品运输安全环保监管和船舶溢油风险防范，实施船舶环境风险全程跟踪监管，严厉打击未经许可擅自经营危化品水上运输等违法违规行为。加快推广应用低排放、高能效、标准化的节能环保型船舶，建立健全船舶环保标准，提升船舶污染物的接收处置能力。严禁单壳化学品船和600t载重吨以上的单壳油船进入长江干线、京杭运河、长江三角洲高等级航道网以及乌江、湘江、沅水、赣江、信江、合裕航道、江汉运河。加强危化品道路运输风险管控及运输过程安全监管，推进危化品运输车辆加装全球定位系统（GPS）实时传输及危险快速报警系统，在集中式饮用水水源保护区、自然保护区等区域实施危化品禁运，同步加快制定并实施区域绕行运输方案。”</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本项目码头设在自然保护区的实验区，采用双壳船体，运输货物为LNG，对于船舶溢油风险，制定了环境应急预案。因此，符合长江经济带生态环境保护规划。</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与《长江经济带发展负面清单指南（试行）》相容性分析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长江经济带发展负面清单指南（试行）》（第89号），禁止建设不符合全国和省级港口布局规划以及港口体现划的码头项目，禁止建设不符合《长江干线过江通道布局规划》的过长江通道项目；禁止在自然保护区核心区、缓冲区的岸线和河段范围内投资建设旅游和生产经营项目。禁止在风景名胜区核心景区的岸线和河段范围内投资建设与风景名胜资源保护无关的项目；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本项目属于岳阳港总体规划的码头项目，并且不在自然保护区及饮用水水源保护区范围内，与《长江经济带发展负面清单指南（试行）》（第89号）中的要求是不相冲突的。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与《湖南省交通运输“十三五”发展规划》符合性分析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湖南省交通运输“十三五”发展规划》：“港口：重点加快岳阳港现代化建设步伐，围绕“一百万标箱、两亿吨大港”目标，将岳阳港打造成长江沿线枢纽港、上海港重要的喂给港、我省内河水运中转枢纽港；积极推动长株潭港口群一体化建设；统筹推进常德港、益阳港、永州港、衡阳港等地区重要港口建设；到2020年，新增1000吨级及以上泊位126个，达到232个，全省港口总通过能力超过3亿吨，其中集装箱通过能力达150万标箱。”本项目的实施是有助“将岳阳港打造成长江沿线枢纽港、上海港重要的喂给港、我省内河水运中转枢纽港”的。</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因此，本项目是符合《湖南省交通运输“十三五”发展规划》的。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与《湖南省港口布局规划》符合性分析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湖南省港口布局规划》，湖南省形成以岳阳港、长沙港2个主要港口为核心，以衡阳港、湘潭港、株洲港、益阳港、常德港、桃源港、津市港、南县港、沅江港、泸溪港、辰溪港、邵阳港、资兴港等13个地区重要港口为基础，其他一般港口为补充的，布局合理、层次分明、功能明确、与区域经济发展水平相适应的港口体系。根据港辖区范围的调整思路，将岳阳市所辖的各县（市）内港口统称为一个县（市）级港区。因此，规划岳阳港辖岳阳楼港区、七里山港区、城陵矶港区、道仁矶港区、陆城港区、君山港区、湘阴港区、汨罗港区、华容港区、岳阳县港区、临湘港区等11个港区。本项目位于岳阳港的君山港区广兴洲作业区范围。</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因此，本项目是符合《湖南省港口布局规划》要求的。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与《长江干线京杭运河西江航运干线</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"http://www.in-en.com/keylist.php?q=%E6%B6%B2%E5%8C%96%E5%A4%A9%E7%84%B6%E6%B0%94" \t "_blank" </w:instrText>
      </w:r>
      <w:r>
        <w:rPr>
          <w:rFonts w:hint="default" w:ascii="Times New Roman" w:hAnsi="Times New Roman" w:cs="Times New Roman"/>
          <w:color w:val="auto"/>
        </w:rPr>
        <w:fldChar w:fldCharType="separate"/>
      </w:r>
      <w:r>
        <w:rPr>
          <w:rFonts w:hint="default" w:ascii="Times New Roman" w:hAnsi="Times New Roman" w:cs="Times New Roman" w:eastAsiaTheme="minorEastAsia"/>
          <w:color w:val="auto"/>
        </w:rPr>
        <w:t>液化天然气</w:t>
      </w:r>
      <w:r>
        <w:rPr>
          <w:rFonts w:hint="default" w:ascii="Times New Roman" w:hAnsi="Times New Roman" w:cs="Times New Roman" w:eastAsiaTheme="minorEastAsia"/>
          <w:color w:val="auto"/>
        </w:rPr>
        <w:fldChar w:fldCharType="end"/>
      </w:r>
      <w:r>
        <w:rPr>
          <w:rFonts w:hint="default" w:ascii="Times New Roman" w:hAnsi="Times New Roman" w:cs="Times New Roman" w:eastAsiaTheme="minorEastAsia"/>
          <w:color w:val="auto"/>
        </w:rPr>
        <w:t>加注码头布局方案》符合性分析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已列入交通部《长江干线京杭运河西江航运干线液化天然气加注码头布局方案》（长江干线布局的四十五个之一，湖南省列入君山港区和道仁矶港区）。因此，项目的建设符合《长江干线京杭运河西江航运干线液化天然气加注码头布局方案》。</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与《湖南省LNG水上加注站总体布局规划》符合性分析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根据湖南省交通运输厅《湖南省LNG水上加注站总体布局规划》，项目属于君山加注点，属于规划中33个规划点之一。因此，项目的建设符合《湖南省LNG水上加注站总体布局规划》。</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与《湖南省“十三五”天然气发展规划》符合性分析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根据湖南省发展和改革委员会《湖南省“十三五”天然气发展规划》，项目已列入新增天然气供给能力预测中“岳阳LNG长江接收站”中。因此，项目的建设符合《湖南省“十三五”天然气发展规划》。</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与《岳阳港总体规划》及规划环评符合性分析</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通过《岳阳港区总体规划》，岳阳港是全国内河主要港口和长江集装箱重要支线港，是湖南省综合交通运输体系的重要枢纽和融入长江经济带、“一带一路”的战略支点，是岳阳市实施“以港兴市”战略、打造全省区域经济增长极的重要支撑。岳阳港划分为华容、君山、岳阳楼、城陵矶、云溪、临湘、岳阳县、汨罗（含屈原区港区）、湘阴等9个港区，规划港口岸线长度40550m。其中君山港区的港区功能为预留LNG功能，并兼顾件杂货、散货运输和旅游客运，主要为湖南省新能源基地建设及当地经济发展服务。拟建项目选址位于君山区广兴洲岸段，规划港口岸线起点为保庆村，终点为上板岭，规划用途为港口岸线，LNG。</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2020年5月13日，生态环境部出具“关于《岳阳港总体规划（2017-2035年）环境影响报告书》的审查意见”（环审〔2020〕65号），本项目纳入《岳阳港总体规划环境影响报告书》规划范围，与相关环保政策要求相符合。</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岳阳港总体规划（2017-2035年）环境影响报告书》的审查意见提出，“应优化岸线布局。君山港区新增广兴洲岸线应避让生态保护红线，并综合考虑液化天然气（LNG）码头、后方储运设施等生态环境影响，结合自然保护区主管部门意见，深入比选论证该段岸线选址及规模，协调港口开发与自然保护区、饮用水水源保护区等生态环境保护之间关系，确保《规划》实施满足相关管控要求。”</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针对规划环评审查意见提出的要求：</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⑴ 关于生态保护红线：本项目位于岳阳市君山区广兴洲镇潭子坑附近，经岳阳市生态环境局出具的“关于岳阳LNG接收站（储备中心）项目占用生态保护红线的情况说明”，项目不在生态保护红线范围内。</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⑵ 对生态环境影响：建设单位已委托白城市工程建设咨询有限责任公司就项目对东洞庭湖国家级自然保护区的生物多样性影响进行了评价，并进行了本次项目环评的生态影响专题评价。</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白城市工程建设咨询有限责任公司编制的《岳阳LNG接收站（储备中心）项目工程对湖南东洞庭湖国家级自然保护区生物多样性影响评价报告》，综合结论为：岳阳LNG接收站（储备中心）项目工程对湖南东洞庭湖自然保护区生物多样性的总体影响较低，但工程建设仍将对保护区的生物多样性产生一些不利影响。特别是施工期间应避开候鸟迁徙期，否则工程施工产生的噪声和光污染可能影响迁徙途中部分敏感的保护鸟类，同时江面工程也会对评价区的水质产生一定的负面影响。为了减少施工期对保护区的影响和干扰，建设方已采取多种方式降低对保护区生物多样性的影响。因此，工程建成后对评价区以及保护区的生物多样性影响也较小。</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⑶ 岸线选址及规模：根据LNG接收码头及接收站建设的选址要求，可研报告从是否符合城市规划和港口总体规划，是否具备良好的河势、河床、河岸稳定性，是否具备水流平顺、水深适宜、水域面积足够等优良条件，是否具备船舶航行、安全靠离泊及锚泊航行停靠等基础条件，是否满足码头建设的岸线用地需求，是否与居民区和公共福利设施保持了足够的安全距离，以及是否与其他危险因素有效隔离等多方面论证分析，分四个要点对各作业区和码头进行详细比选，比选结果汇总见下表。</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比选后得出如下结论：</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在湖南境内建设2座LNG加注站是必要的；因船舶吨级需求，本项目必须建设在长江主航道港口，长江湖南段全部位于岳阳市境内；岳阳市境内各长江航道港区中，华容港区、城陵矶港区、云溪港区和临湘港区的各作业区因基础条件及规划限制均不能满足本项目建设要求，仅有君山港区广兴洲作业区各项条件均满足本项目建设需求，是长江湖南段唯一具备条件的选址。</w:t>
      </w:r>
    </w:p>
    <w:p>
      <w:pPr>
        <w:pStyle w:val="846"/>
        <w:adjustRightInd w:val="0"/>
        <w:snapToGrid w:val="0"/>
        <w:spacing w:line="360" w:lineRule="auto"/>
        <w:ind w:firstLine="0" w:firstLineChars="0"/>
        <w:jc w:val="both"/>
        <w:rPr>
          <w:rFonts w:hint="default" w:ascii="Times New Roman" w:hAnsi="Times New Roman" w:cs="Times New Roman"/>
          <w:color w:val="auto"/>
        </w:rPr>
      </w:pPr>
    </w:p>
    <w:p>
      <w:pPr>
        <w:pStyle w:val="846"/>
        <w:adjustRightInd w:val="0"/>
        <w:snapToGrid w:val="0"/>
        <w:spacing w:line="360" w:lineRule="auto"/>
        <w:jc w:val="both"/>
        <w:rPr>
          <w:rFonts w:hint="default" w:ascii="Times New Roman" w:hAnsi="Times New Roman"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846"/>
        <w:adjustRightInd w:val="0"/>
        <w:snapToGrid w:val="0"/>
        <w:spacing w:line="276" w:lineRule="auto"/>
        <w:jc w:val="center"/>
        <w:rPr>
          <w:rFonts w:hint="default" w:ascii="Times New Roman" w:hAnsi="Times New Roman" w:cs="Times New Roman"/>
          <w:b/>
          <w:color w:val="auto"/>
        </w:rPr>
      </w:pPr>
      <w:r>
        <w:rPr>
          <w:rFonts w:hint="default" w:ascii="Times New Roman" w:hAnsi="Times New Roman" w:cs="Times New Roman"/>
          <w:b/>
          <w:color w:val="auto"/>
        </w:rPr>
        <w:t>表9.3-1  项目选址比选结果汇总表</w:t>
      </w:r>
    </w:p>
    <w:tbl>
      <w:tblPr>
        <w:tblStyle w:val="71"/>
        <w:tblW w:w="500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50"/>
        <w:gridCol w:w="717"/>
        <w:gridCol w:w="5107"/>
        <w:gridCol w:w="883"/>
        <w:gridCol w:w="886"/>
        <w:gridCol w:w="5171"/>
        <w:gridCol w:w="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tblHeader/>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港区</w:t>
            </w:r>
          </w:p>
        </w:tc>
        <w:tc>
          <w:tcPr>
            <w:tcW w:w="255"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作业区</w:t>
            </w:r>
          </w:p>
        </w:tc>
        <w:tc>
          <w:tcPr>
            <w:tcW w:w="181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码头及接收站选址要求</w:t>
            </w:r>
          </w:p>
        </w:tc>
        <w:tc>
          <w:tcPr>
            <w:tcW w:w="629" w:type="pct"/>
            <w:gridSpan w:val="2"/>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单项是否满足要求</w:t>
            </w:r>
          </w:p>
        </w:tc>
        <w:tc>
          <w:tcPr>
            <w:tcW w:w="1839"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选址情况</w:t>
            </w:r>
          </w:p>
        </w:tc>
        <w:tc>
          <w:tcPr>
            <w:tcW w:w="263"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tblHeader/>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314" w:type="pc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是（√）</w:t>
            </w:r>
          </w:p>
        </w:tc>
        <w:tc>
          <w:tcPr>
            <w:tcW w:w="315" w:type="pc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否（×）</w:t>
            </w:r>
          </w:p>
        </w:tc>
        <w:tc>
          <w:tcPr>
            <w:tcW w:w="1839" w:type="pct"/>
            <w:vMerge w:val="continue"/>
            <w:tcBorders>
              <w:tl2br w:val="nil"/>
              <w:tr2bl w:val="nil"/>
            </w:tcBorders>
            <w:vAlign w:val="center"/>
          </w:tcPr>
          <w:p>
            <w:pPr>
              <w:widowControl/>
              <w:adjustRightInd w:val="0"/>
              <w:snapToGrid w:val="0"/>
              <w:jc w:val="center"/>
              <w:rPr>
                <w:rFonts w:hint="default" w:ascii="Times New Roman" w:hAnsi="Times New Roman" w:cs="Times New Roman"/>
                <w:b/>
                <w:color w:val="auto"/>
              </w:rPr>
            </w:pPr>
          </w:p>
        </w:tc>
        <w:tc>
          <w:tcPr>
            <w:tcW w:w="263" w:type="pct"/>
            <w:vMerge w:val="continue"/>
            <w:tcBorders>
              <w:tl2br w:val="nil"/>
              <w:tr2bl w:val="nil"/>
            </w:tcBorders>
            <w:vAlign w:val="center"/>
          </w:tcPr>
          <w:p>
            <w:pPr>
              <w:widowControl/>
              <w:adjustRightInd w:val="0"/>
              <w:snapToGrid w:val="0"/>
              <w:jc w:val="center"/>
              <w:rPr>
                <w:rFonts w:hint="default" w:ascii="Times New Roman" w:hAnsi="Times New Roman" w:cs="Times New Roman"/>
                <w:b/>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华容</w:t>
            </w:r>
          </w:p>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港区</w:t>
            </w: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塔市驿作业区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该作业区已列入岳阳港总体规划，港口规划功能为件杂、干散货等用途，与LNG接收站建设不相容。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该河段暗流较多、水流不稳、不利LNG船航行、靠离泊及回旋，水文及气象条件复杂，“东方之星”沉船事故发生在该江段。</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可用岸线2560m。</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塔市驿岸线紧临塔市驿集镇，接收站建设空间不足，不能建设接收站。</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洪山头作业区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该作业区已列入岳阳港总体规划，港口规划功能为煤炭中转码头和煤炭储备基地，与LNG接收站建设不相容。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河道弯曲，水流不稳。</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洪山头作业区可用岸线1840m，已开始建设蒙华铁路煤炭中转码头和煤炭储备基地，已无岸线空间建设LNG码头。</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周边居民较少。</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Cs/>
                <w:color w:val="auto"/>
              </w:rPr>
            </w:pPr>
            <w:r>
              <w:rPr>
                <w:rFonts w:hint="default" w:ascii="Times New Roman" w:hAnsi="Times New Roman" w:cs="Times New Roman"/>
                <w:bCs/>
                <w:color w:val="auto"/>
                <w:kern w:val="0"/>
              </w:rPr>
              <w:t>君山</w:t>
            </w:r>
          </w:p>
          <w:p>
            <w:pPr>
              <w:adjustRightInd w:val="0"/>
              <w:snapToGrid w:val="0"/>
              <w:jc w:val="center"/>
              <w:rPr>
                <w:rFonts w:hint="default" w:ascii="Times New Roman" w:hAnsi="Times New Roman" w:cs="Times New Roman"/>
                <w:bCs/>
                <w:color w:val="auto"/>
              </w:rPr>
            </w:pPr>
            <w:r>
              <w:rPr>
                <w:rFonts w:hint="default" w:ascii="Times New Roman" w:hAnsi="Times New Roman" w:cs="Times New Roman"/>
                <w:bCs/>
                <w:color w:val="auto"/>
                <w:kern w:val="0"/>
              </w:rPr>
              <w:t>港区</w:t>
            </w: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广兴洲作业区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已列入岳阳港总体规划，并已规划LNG接收码头。</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有建设可行性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广兴洲河段岸线顺直航道宽阔条件良好，河势、河床、河岸稳定，水流平顺，水深适宜，水域面积足够，满足船舶方便、安全靠离泊及锚泊等要求。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广兴洲作业区可用岸线1150m，尚未利用，各项条件符合LNG项目建设要求。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作业区周边居民稀疏，与居住区、公共福利设施的距离大于500m，且已规划LNG加注点泊位及预留泊位岸线，明确仅保留LNG相关作业区，取消其他杂件及通用泊位规划，规划功能单一，安全距离有保障。</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荆江门码头</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该作业区已列入岳阳港总体规划，规划为件杂、干散货等用途，但已经明确不能扩建。</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河道过于弯曲，水流不稳，不能建设LNG码头。</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规划已经确认不可扩建；荆江门码头可用岸线177m，已全部利用。</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w:t>
            </w:r>
            <w:r>
              <w:rPr>
                <w:rFonts w:hint="default" w:ascii="Times New Roman" w:hAnsi="Times New Roman" w:cs="Times New Roman"/>
                <w:bCs/>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码头距蒙华铁路、杭瑞高速距离600m，接收站建设安全空间不足。</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城陵矶港区</w:t>
            </w: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城陵矶作业区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该作业区已列入岳阳港总体规划，港口规划功能为集装箱、件杂货等功能为主，与LNG接收站建设不相容。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河势、河床、河岸稳定，水流平顺，水深适宜，水域面积足够。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可用岸线1000m，已全部利用。</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码头紧邻工业和居民区，无建设用地，安全距离不够。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松阳湖作业区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该作业区已列入岳阳港总体规划，港口规划功能为港口物流园区，装备制造、新材料产业、食用油工作区和大型集装箱泊位区，与LNG接收站建设不相容。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近岸有礁石。</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可用岸线4900m，已利用2000m，剩余岸线仅有一处满足长度要求。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离堤岸400m有铁路正在建设。离岸线450m为云溪区永济乡乡政府驻地和亚泰花园居住小区，可用岸线后方土地宽度仅1000m，如建设LNG接收站无法保证接收站与居住小区的安全距离。</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云溪</w:t>
            </w:r>
          </w:p>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港区</w:t>
            </w: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道仁矶岸段</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该作业区已列入岳阳港总体规划，港口规划功能为液货、干散货等用途，与LNG接收站建设不相容。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河势、河床、河岸稳定，水流平顺，水深适宜，水域面积足够。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可用岸线4760m，已利用3705m，未利用岸线间断分布，不能满足LNG码头建设条件。</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4、应与人口密集的区域/其他敏感区域保持必要的安全距离，与居住区、公共福利设施的距离需大于500m，接收站需占土地面积约为28.85hm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周边存在中海油、恒阳石化、巴陵石化等，上述工厂危险性较高，对LNG接收站运营安全性有严重影响，且附近有大量居民</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彭家湾岸段</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该作业区已列入岳阳港总体规划，港口规划功能为干散货用途，与LNG接收站建设不相容。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河势、河床、河岸稳定，水流平顺，水深适宜，水域面积足够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 xml:space="preserve">彭家湾岸段可用岸线1000m </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4、应与人口密集区域/其他敏感区域保持必要的安全距离，与居住区、公共福利设施的距离需大于500m</w:t>
            </w:r>
            <w:r>
              <w:rPr>
                <w:rFonts w:hint="default" w:ascii="Times New Roman" w:hAnsi="Times New Roman" w:cs="Times New Roman"/>
                <w:bCs/>
                <w:color w:val="auto"/>
                <w:kern w:val="0"/>
              </w:rPr>
              <w:t>，</w:t>
            </w:r>
            <w:r>
              <w:rPr>
                <w:rFonts w:hint="default" w:ascii="Times New Roman" w:hAnsi="Times New Roman" w:cs="Times New Roman"/>
                <w:color w:val="auto"/>
                <w:kern w:val="0"/>
              </w:rPr>
              <w:t>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彭家湾岸段距离随岳大桥400m，安全距离过小，不满足要求；岸段南侧临近石化仓库，距大堤200m，因此彭家湾剩余土地空间不足，无法满足接收站用地需求和安全距离要求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南洋洲岸段</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该作业区已列入岳阳港总体规划，但港口规划功能为干散货用途，与LNG接收站建设不相容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河段不顺直，水流不稳，进出港条件差；岸线边滩宽500m过长，航道过窄，北侧为江心洲滩，不利于LNG船舶靠离泊安全，不符合选址要求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 xml:space="preserve">南洋洲岸段2000m </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4、应与人口密集的区域/其他敏感区域保持必要的安全距离，与居住区、公共福利设施的距离需大于500m，接收站需占土地面积约为28.85hm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与居住区、公共福利设施等敏感区的距离大于500m</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陆城作业区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已列入岳阳港总体规划，港口规划功能为液货等用途，与LNG接收站建设不相容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河势、河床、河岸稳定，水流平顺，水深适宜，水域面积足够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可用岸线1680m，分两段，全部已利用</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4、应与人口密集的区域/其他敏感区域保持必要的安全距离，与居住区、公共福利设施的距离需大于500m，接收站需占土地面积约为28.85hm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大堤内侧300m为陆城镇，人口密集，后方土地狭小，无法满足LNG接收站建设空间和安全距离要求。</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restart"/>
            <w:tcBorders>
              <w:tl2br w:val="nil"/>
              <w:tr2bl w:val="nil"/>
            </w:tcBorders>
            <w:vAlign w:val="center"/>
          </w:tcPr>
          <w:p>
            <w:pPr>
              <w:widowControl/>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临湘</w:t>
            </w:r>
          </w:p>
          <w:p>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kern w:val="0"/>
              </w:rPr>
              <w:t>港区</w:t>
            </w: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鸭栏</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码头</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该作业区已列入岳阳港总体规划，但已确认不可扩建，港口规划功能为干散货、件杂用途，与LNG接收站建设不相容。</w:t>
            </w:r>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河势、河床、河岸稳定，水流平顺，水深适宜，水域面积足够</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可用岸线360m，全部已利用，位于《长江岸线保护和开发利用总体规划》岸线保留区</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4、应与人口密集的区域/其他敏感区域保持必要的安全距离，与居住区、公共福利设施的距离需大于500m</w:t>
            </w:r>
            <w:r>
              <w:rPr>
                <w:rFonts w:hint="default" w:ascii="Times New Roman" w:hAnsi="Times New Roman" w:cs="Times New Roman"/>
                <w:bCs/>
                <w:color w:val="auto"/>
                <w:kern w:val="0"/>
              </w:rPr>
              <w:t>，</w:t>
            </w:r>
            <w:r>
              <w:rPr>
                <w:rFonts w:hint="default" w:ascii="Times New Roman" w:hAnsi="Times New Roman" w:cs="Times New Roman"/>
                <w:color w:val="auto"/>
                <w:kern w:val="0"/>
              </w:rPr>
              <w:t>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码头位于长江新螺段白鱀豚国家级自然保护区核心区</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长江村作业区</w:t>
            </w: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1、符合城市规划和港口总体规划。</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bookmarkStart w:id="132" w:name="RANGE!G47"/>
            <w:r>
              <w:rPr>
                <w:rFonts w:hint="default" w:ascii="Times New Roman" w:hAnsi="Times New Roman" w:cs="Times New Roman"/>
                <w:color w:val="auto"/>
                <w:kern w:val="0"/>
              </w:rPr>
              <w:t>规划已经确认取消该地码头建设，位于《长江岸线保护和开发利用总体规划》岸线保留区</w:t>
            </w:r>
            <w:bookmarkEnd w:id="132"/>
          </w:p>
        </w:tc>
        <w:tc>
          <w:tcPr>
            <w:tcW w:w="263" w:type="pct"/>
            <w:vMerge w:val="restart"/>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无可行性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2、应选在河势、河床、河岸稳定，水流平顺，水深适宜，水域面积足够，具备船舶航行、安全靠离泊及锚泊条件的河段。</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rPr>
              <w:t>河道中心有较大岛屿，航道宽度不够，航行条件不满足</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3、满足码头建设要求和规范要求的前提下，本项目码头占用顺直岸线988m。</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岸线2000m</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196"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255"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c>
          <w:tcPr>
            <w:tcW w:w="1816"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4、应与人口密集的区域/其他敏感区域保持必要的安全距离，与居住区、公共福利设施的距离需大于500m，接收站需占土地面积约为28.85hm</w:t>
            </w:r>
            <w:r>
              <w:rPr>
                <w:rFonts w:hint="default" w:ascii="Times New Roman" w:hAnsi="Times New Roman" w:cs="Times New Roman"/>
                <w:color w:val="auto"/>
                <w:kern w:val="0"/>
                <w:vertAlign w:val="superscript"/>
              </w:rPr>
              <w:t>2</w:t>
            </w:r>
            <w:r>
              <w:rPr>
                <w:rFonts w:hint="default" w:ascii="Times New Roman" w:hAnsi="Times New Roman" w:cs="Times New Roman"/>
                <w:color w:val="auto"/>
                <w:kern w:val="0"/>
              </w:rPr>
              <w:t>。</w:t>
            </w:r>
          </w:p>
        </w:tc>
        <w:tc>
          <w:tcPr>
            <w:tcW w:w="629" w:type="pct"/>
            <w:gridSpan w:val="2"/>
            <w:tcBorders>
              <w:tl2br w:val="nil"/>
              <w:tr2bl w:val="nil"/>
            </w:tcBorders>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rPr>
              <w:t>×</w:t>
            </w:r>
          </w:p>
        </w:tc>
        <w:tc>
          <w:tcPr>
            <w:tcW w:w="1839" w:type="pct"/>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color w:val="auto"/>
                <w:kern w:val="0"/>
              </w:rPr>
              <w:t>作业区位于长江新螺段白鱀豚国家级自然保护区核心区；沿大堤居民区密集，为长江村集中居住区，建设拆迁量巨大；受居民区的限制，建设用地规模不足</w:t>
            </w:r>
          </w:p>
        </w:tc>
        <w:tc>
          <w:tcPr>
            <w:tcW w:w="263" w:type="pct"/>
            <w:vMerge w:val="continue"/>
            <w:tcBorders>
              <w:tl2br w:val="nil"/>
              <w:tr2bl w:val="nil"/>
            </w:tcBorders>
            <w:vAlign w:val="center"/>
          </w:tcPr>
          <w:p>
            <w:pPr>
              <w:adjustRightInd w:val="0"/>
              <w:snapToGrid w:val="0"/>
              <w:rPr>
                <w:rFonts w:hint="default" w:ascii="Times New Roman" w:hAnsi="Times New Roman" w:cs="Times New Roman"/>
                <w:color w:val="auto"/>
              </w:rPr>
            </w:pPr>
          </w:p>
        </w:tc>
      </w:tr>
    </w:tbl>
    <w:p>
      <w:pPr>
        <w:pStyle w:val="846"/>
        <w:spacing w:line="360" w:lineRule="auto"/>
        <w:ind w:firstLine="0" w:firstLineChars="0"/>
        <w:rPr>
          <w:rFonts w:hint="default" w:ascii="Times New Roman" w:hAnsi="Times New Roman" w:cs="Times New Roman"/>
          <w:color w:val="auto"/>
        </w:rPr>
      </w:pPr>
    </w:p>
    <w:p>
      <w:pPr>
        <w:pStyle w:val="846"/>
        <w:spacing w:line="360" w:lineRule="auto"/>
        <w:rPr>
          <w:rFonts w:hint="default" w:ascii="Times New Roman" w:hAnsi="Times New Roman" w:cs="Times New Roman"/>
          <w:color w:val="auto"/>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根据“国家林业和草原局办公室关于岳阳LNG接收站（储备中心）项目在湖南东洞庭湖国家级自然保护区实验区建设的复函”（办函资字〔2019〕205号），国家林业和草原局原则上支持</w:t>
      </w:r>
      <w:r>
        <w:rPr>
          <w:rFonts w:hint="default" w:ascii="Times New Roman" w:hAnsi="Times New Roman" w:cs="Times New Roman"/>
          <w:color w:val="auto"/>
          <w:lang w:val="zh-CN"/>
        </w:rPr>
        <w:t>岳阳LNG接收站（储备中心）、</w:t>
      </w:r>
      <w:r>
        <w:rPr>
          <w:rFonts w:hint="default" w:ascii="Times New Roman" w:hAnsi="Times New Roman" w:cs="Times New Roman"/>
          <w:b/>
          <w:bCs/>
          <w:color w:val="auto"/>
          <w:lang w:val="zh-CN"/>
        </w:rPr>
        <w:t>加注站项目</w:t>
      </w:r>
      <w:r>
        <w:rPr>
          <w:rFonts w:hint="default" w:ascii="Times New Roman" w:hAnsi="Times New Roman" w:cs="Times New Roman"/>
          <w:color w:val="auto"/>
        </w:rPr>
        <w:t>在湖南东洞庭湖国家级自然保护区实验区建设。</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⑷ 与自然保护区、饮用水水源保护区之间关系</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本项目位于东洞庭湖国家级自然保护区实验区，根据《自然资源部和国家林业和草原局关于做好自然保护区范围及功能分区优化调整前期有关工作的函》（自然资函〔2020〕71号），当地政府拟申请启动东洞庭湖自然保护区的调整工作。本项目所在区域人为活动频繁，对各种动植物干扰较大，动物活动较少、植被单一，当地政府拟将该区域调出保护区范围，即一般区域，该项工作预计2020年底完成。</w:t>
      </w:r>
    </w:p>
    <w:p>
      <w:pPr>
        <w:pStyle w:val="846"/>
        <w:adjustRightInd w:val="0"/>
        <w:snapToGrid w:val="0"/>
        <w:spacing w:line="360" w:lineRule="auto"/>
        <w:jc w:val="both"/>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kern w:val="0"/>
        </w:rPr>
        <w:t>本项目的上边界与</w:t>
      </w:r>
      <w:r>
        <w:rPr>
          <w:rFonts w:hint="default" w:ascii="Times New Roman" w:hAnsi="Times New Roman" w:cs="Times New Roman" w:eastAsiaTheme="minorEastAsia"/>
          <w:color w:val="auto"/>
          <w:kern w:val="0"/>
          <w:lang w:eastAsia="zh-CN"/>
        </w:rPr>
        <w:t>谭子坑饮用水源</w:t>
      </w:r>
      <w:r>
        <w:rPr>
          <w:rFonts w:hint="default" w:ascii="Times New Roman" w:hAnsi="Times New Roman" w:cs="Times New Roman" w:eastAsiaTheme="minorEastAsia"/>
          <w:color w:val="auto"/>
          <w:kern w:val="0"/>
        </w:rPr>
        <w:t>取水口相距580m</w:t>
      </w:r>
      <w:r>
        <w:rPr>
          <w:rFonts w:hint="default" w:ascii="Times New Roman" w:hAnsi="Times New Roman" w:cs="Times New Roman" w:eastAsiaTheme="minorEastAsia"/>
          <w:color w:val="auto"/>
          <w:kern w:val="0"/>
          <w:lang w:eastAsia="zh-CN"/>
        </w:rPr>
        <w:t>（目前已停用）</w:t>
      </w:r>
      <w:r>
        <w:rPr>
          <w:rFonts w:hint="default" w:ascii="Times New Roman" w:hAnsi="Times New Roman" w:cs="Times New Roman" w:eastAsiaTheme="minorEastAsia"/>
          <w:color w:val="auto"/>
          <w:kern w:val="0"/>
        </w:rPr>
        <w:t>，与水源地二级保护区下边界最近直线距离约380m。2020年8月17日，岳阳市生态环境局君山分局以“岳环君分环评批〔2020〕5号”文</w:t>
      </w:r>
      <w:r>
        <w:rPr>
          <w:rFonts w:hint="default" w:ascii="Times New Roman" w:hAnsi="Times New Roman" w:cs="Times New Roman" w:eastAsiaTheme="minorEastAsia"/>
          <w:color w:val="auto"/>
          <w:kern w:val="0"/>
          <w:lang w:eastAsia="zh-CN"/>
        </w:rPr>
        <w:t>（见附件</w:t>
      </w:r>
      <w:r>
        <w:rPr>
          <w:rFonts w:hint="default" w:ascii="Times New Roman" w:hAnsi="Times New Roman" w:cs="Times New Roman" w:eastAsiaTheme="minorEastAsia"/>
          <w:color w:val="auto"/>
          <w:kern w:val="0"/>
          <w:lang w:val="en-US" w:eastAsia="zh-CN"/>
        </w:rPr>
        <w:t>9）</w:t>
      </w:r>
      <w:r>
        <w:rPr>
          <w:rFonts w:hint="default" w:ascii="Times New Roman" w:hAnsi="Times New Roman" w:cs="Times New Roman" w:eastAsiaTheme="minorEastAsia"/>
          <w:color w:val="auto"/>
          <w:kern w:val="0"/>
        </w:rPr>
        <w:t>，将</w:t>
      </w:r>
      <w:r>
        <w:rPr>
          <w:rFonts w:hint="default" w:ascii="Times New Roman" w:hAnsi="Times New Roman" w:cs="Times New Roman" w:eastAsiaTheme="minorEastAsia"/>
          <w:color w:val="auto"/>
        </w:rPr>
        <w:t>潭子</w:t>
      </w:r>
      <w:r>
        <w:rPr>
          <w:rFonts w:hint="default" w:ascii="Times New Roman" w:hAnsi="Times New Roman" w:cs="Times New Roman"/>
          <w:color w:val="auto"/>
        </w:rPr>
        <w:t>坑饮用水源取水口上移至洪</w:t>
      </w:r>
      <w:r>
        <w:rPr>
          <w:rFonts w:hint="default" w:ascii="Times New Roman" w:hAnsi="Times New Roman" w:cs="Times New Roman"/>
          <w:color w:val="auto"/>
          <w:lang w:eastAsia="zh-CN"/>
        </w:rPr>
        <w:t>水</w:t>
      </w:r>
      <w:r>
        <w:rPr>
          <w:rFonts w:hint="default" w:ascii="Times New Roman" w:hAnsi="Times New Roman" w:cs="Times New Roman"/>
          <w:color w:val="auto"/>
        </w:rPr>
        <w:t>港泵站，饮用水源地范围也做相应调整。</w:t>
      </w:r>
      <w:r>
        <w:rPr>
          <w:rFonts w:hint="default" w:ascii="Times New Roman" w:hAnsi="Times New Roman" w:cs="Times New Roman"/>
          <w:color w:val="auto"/>
          <w:lang w:eastAsia="zh-CN"/>
        </w:rPr>
        <w:t>调整后，</w:t>
      </w:r>
      <w:r>
        <w:rPr>
          <w:rFonts w:hint="default" w:ascii="Times New Roman" w:hAnsi="Times New Roman" w:cs="Times New Roman"/>
          <w:color w:val="auto"/>
        </w:rPr>
        <w:t>本项目与洪</w:t>
      </w:r>
      <w:r>
        <w:rPr>
          <w:rFonts w:hint="default" w:ascii="Times New Roman" w:hAnsi="Times New Roman" w:cs="Times New Roman"/>
          <w:color w:val="auto"/>
          <w:lang w:eastAsia="zh-CN"/>
        </w:rPr>
        <w:t>水</w:t>
      </w:r>
      <w:r>
        <w:rPr>
          <w:rFonts w:hint="default" w:ascii="Times New Roman" w:hAnsi="Times New Roman" w:cs="Times New Roman"/>
          <w:color w:val="auto"/>
        </w:rPr>
        <w:t>港泵房取水口相距约3.58km。</w:t>
      </w:r>
      <w:r>
        <w:rPr>
          <w:rFonts w:hint="default" w:ascii="Times New Roman" w:hAnsi="Times New Roman" w:cs="Times New Roman"/>
          <w:color w:val="auto"/>
          <w:lang w:eastAsia="zh-CN"/>
        </w:rPr>
        <w:t>与</w:t>
      </w:r>
      <w:r>
        <w:rPr>
          <w:rFonts w:hint="default" w:ascii="Times New Roman" w:hAnsi="Times New Roman" w:cs="Times New Roman"/>
          <w:color w:val="auto"/>
        </w:rPr>
        <w:t>洪</w:t>
      </w:r>
      <w:r>
        <w:rPr>
          <w:rFonts w:hint="default" w:ascii="Times New Roman" w:hAnsi="Times New Roman" w:cs="Times New Roman"/>
          <w:color w:val="auto"/>
          <w:lang w:eastAsia="zh-CN"/>
        </w:rPr>
        <w:t>水</w:t>
      </w:r>
      <w:r>
        <w:rPr>
          <w:rFonts w:hint="default" w:ascii="Times New Roman" w:hAnsi="Times New Roman" w:cs="Times New Roman"/>
          <w:color w:val="auto"/>
        </w:rPr>
        <w:t>港泵房</w:t>
      </w:r>
      <w:r>
        <w:rPr>
          <w:rFonts w:hint="default" w:ascii="Times New Roman" w:hAnsi="Times New Roman" w:cs="Times New Roman" w:eastAsiaTheme="minorEastAsia"/>
          <w:color w:val="auto"/>
          <w:kern w:val="0"/>
        </w:rPr>
        <w:t>水源地二级保护区</w:t>
      </w:r>
      <w:r>
        <w:rPr>
          <w:rFonts w:hint="default" w:ascii="Times New Roman" w:hAnsi="Times New Roman" w:cs="Times New Roman" w:eastAsiaTheme="minorEastAsia"/>
          <w:color w:val="auto"/>
          <w:kern w:val="0"/>
          <w:lang w:eastAsia="zh-CN"/>
        </w:rPr>
        <w:t>相距约</w:t>
      </w:r>
      <w:r>
        <w:rPr>
          <w:rFonts w:hint="default" w:ascii="Times New Roman" w:hAnsi="Times New Roman" w:cs="Times New Roman" w:eastAsiaTheme="minorEastAsia"/>
          <w:color w:val="auto"/>
          <w:kern w:val="0"/>
          <w:lang w:val="en-US" w:eastAsia="zh-CN"/>
        </w:rPr>
        <w:t>3.38km。</w:t>
      </w:r>
    </w:p>
    <w:p>
      <w:pPr>
        <w:pStyle w:val="846"/>
        <w:adjustRightInd w:val="0"/>
        <w:snapToGrid w:val="0"/>
        <w:spacing w:line="360" w:lineRule="auto"/>
        <w:jc w:val="both"/>
        <w:rPr>
          <w:rFonts w:hint="default" w:ascii="Times New Roman" w:hAnsi="Times New Roman" w:cs="Times New Roman"/>
          <w:color w:val="auto"/>
        </w:rPr>
      </w:pPr>
      <w:r>
        <w:rPr>
          <w:rFonts w:hint="default" w:ascii="Times New Roman" w:hAnsi="Times New Roman" w:cs="Times New Roman"/>
          <w:color w:val="auto"/>
        </w:rPr>
        <w:t>因此，本项目选址建设符合《岳阳港总体规划》及规划环评。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与《岳阳市城市总体规划（2008-2030）》的符合性分析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岳阳市城市总体规划（2008-2030）》指出，岳阳港是我国内河主要港口、长江沿线枢纽港之一、上海港的喂给港；湖南“3+5城市群”的水运中转枢纽；是湖南现代物流的重要支撑和对外开放、发展外向型经济的重要依托。应继续贯彻“以港兴市”的战略思想，规划城陵矶（包括松杨湖港）、岳阳楼、七里山、道仁矶、陆城、君山、湘阴、汨罗、岳阳县、华容、临湘等十一个港区，将协调岸线资源和港口功能的发挥作为重大基础设施和社会服务设施对接。</w:t>
      </w:r>
      <w:r>
        <w:rPr>
          <w:rFonts w:hint="default" w:ascii="Times New Roman" w:hAnsi="Times New Roman" w:cs="Times New Roman"/>
          <w:color w:val="auto"/>
          <w:sz w:val="24"/>
        </w:rPr>
        <w:t>本项目的建设完善了岳阳市LNG供应配套设施，将加快岳阳市天然气利用推广，促进了运输行业发展方式转变，有利于推进运输行业绿色发展，对恢复长江沿线地区生态环境与环保建设有着积极作用</w:t>
      </w:r>
      <w:r>
        <w:rPr>
          <w:rFonts w:hint="default" w:ascii="Times New Roman" w:hAnsi="Times New Roman" w:cs="Times New Roman" w:eastAsiaTheme="minorEastAsia"/>
          <w:color w:val="auto"/>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因此，本项目的建设符合《岳阳市城市总体规划（2008-2030）》的要求。</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与《岳阳市生态环境保护“十三五”规划》的符合性分析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岳阳市生态环境保护“十三五”规划》提出“严禁港口码头生产生活废水直排，促进船舶标准化，船舶、港口、码头生活垃圾上岸处置”。本项目生活污水、初期雨水经污水箱收集后，再泵送至陆域罐区污水处理站，处理达到《城市污水再生利用 城市杂用水水质》（GB/T18920-2002）城市绿化用水要求，用作厂区绿化，严禁排入长江。本项目产生的</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w:t>
      </w:r>
      <w:r>
        <w:rPr>
          <w:rFonts w:hint="eastAsia" w:ascii="Times New Roman" w:hAnsi="Times New Roman" w:cs="Times New Roman" w:eastAsiaTheme="minorEastAsia"/>
          <w:color w:val="auto"/>
          <w:sz w:val="24"/>
          <w:szCs w:val="24"/>
          <w:lang w:eastAsia="zh-CN"/>
        </w:rPr>
        <w:t>污水收集箱</w:t>
      </w:r>
      <w:r>
        <w:rPr>
          <w:rFonts w:hint="default" w:ascii="Times New Roman" w:hAnsi="Times New Roman" w:cs="Times New Roman" w:eastAsiaTheme="minorEastAsia"/>
          <w:color w:val="auto"/>
          <w:sz w:val="24"/>
          <w:szCs w:val="24"/>
        </w:rPr>
        <w:t>收集后，达到一定量后，通过</w:t>
      </w:r>
      <w:r>
        <w:rPr>
          <w:rFonts w:hint="eastAsia" w:ascii="Times New Roman" w:hAnsi="Times New Roman" w:cs="Times New Roman" w:eastAsiaTheme="minorEastAsia"/>
          <w:color w:val="auto"/>
          <w:sz w:val="24"/>
          <w:szCs w:val="24"/>
          <w:lang w:eastAsia="zh-CN"/>
        </w:rPr>
        <w:t>专业泵车</w:t>
      </w:r>
      <w:r>
        <w:rPr>
          <w:rFonts w:hint="default" w:ascii="Times New Roman" w:hAnsi="Times New Roman" w:cs="Times New Roman" w:eastAsiaTheme="minorEastAsia"/>
          <w:color w:val="auto"/>
          <w:sz w:val="24"/>
          <w:szCs w:val="24"/>
        </w:rPr>
        <w:t>外运至君山区第二污水处理厂处置，本项目采用泵车运输含油废水的次数约2~3次/年，尾水处理达到《城镇污水处理厂污染物排放标准》（GB18918-2002）中一级B标准后沿柳毅西路排入长江。本项目加注码头产生的生活垃圾交由环卫部门统一处置。</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因此，本项目是与《岳阳市生态环境保护“十三五”规划》相符合的。</w:t>
      </w:r>
    </w:p>
    <w:p>
      <w:pPr>
        <w:pStyle w:val="5"/>
        <w:ind w:left="578" w:hanging="578"/>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与“共抓大保护，不搞大开发”相关要求的符合性分析</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利用先进技术降低粉尘在装卸过程中对大气环境的影响；码头产生的废水均收集运至后方管理用房的污水处理设施处理，不向长江排放；水下施工选在枯水期，降低水下施工对水生生物的影响，并通过增殖放流等措施降低工程施工对水生生态的影响。满足习总书记提出的“要坚持在发展中保护、在保护中发展，不能把生态环境和经济发展分割开来，更不能对立起来。”的要求。</w:t>
      </w:r>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选址合理性分析</w:t>
      </w:r>
    </w:p>
    <w:p>
      <w:pPr>
        <w:pStyle w:val="6"/>
        <w:ind w:firstLine="480"/>
        <w:rPr>
          <w:rFonts w:hint="default" w:ascii="Times New Roman" w:hAnsi="Times New Roman" w:cs="Times New Roman" w:eastAsiaTheme="minorEastAsia"/>
          <w:b/>
          <w:color w:val="auto"/>
          <w:szCs w:val="24"/>
        </w:rPr>
      </w:pPr>
      <w:r>
        <w:rPr>
          <w:rFonts w:hint="default" w:ascii="Times New Roman" w:hAnsi="Times New Roman" w:cs="Times New Roman" w:eastAsiaTheme="minorEastAsia"/>
          <w:b/>
          <w:color w:val="auto"/>
          <w:szCs w:val="24"/>
        </w:rPr>
        <w:t>1、工程选址的地质及水域条件</w:t>
      </w:r>
    </w:p>
    <w:p>
      <w:pPr>
        <w:pStyle w:val="6"/>
        <w:ind w:firstLine="480"/>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拟建加注码头河段河床稳定，前沿江面宽阔，水深条件较好，无需疏浚。工程范围内的地质条件较好，适用于桩基结构。码头建成后，码头前满足水深和航行条件，其前水域在不影响主航道的前提下，可满足停泊水域及回旋水域宽度要求</w:t>
      </w:r>
      <w:r>
        <w:rPr>
          <w:rFonts w:hint="default" w:ascii="Times New Roman" w:hAnsi="Times New Roman" w:cs="Times New Roman" w:eastAsiaTheme="minorEastAsia"/>
          <w:bCs/>
          <w:color w:val="auto"/>
          <w:szCs w:val="24"/>
        </w:rPr>
        <w:t>。</w:t>
      </w:r>
    </w:p>
    <w:p>
      <w:pPr>
        <w:pStyle w:val="6"/>
        <w:ind w:firstLine="480"/>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因此，加注码头的建设区域，满足航道安全通航的相关要求。</w:t>
      </w:r>
    </w:p>
    <w:p>
      <w:pPr>
        <w:pStyle w:val="6"/>
        <w:ind w:firstLine="480"/>
        <w:rPr>
          <w:rFonts w:hint="default" w:ascii="Times New Roman" w:hAnsi="Times New Roman" w:cs="Times New Roman" w:eastAsiaTheme="minorEastAsia"/>
          <w:b/>
          <w:color w:val="auto"/>
          <w:szCs w:val="24"/>
        </w:rPr>
      </w:pPr>
      <w:r>
        <w:rPr>
          <w:rFonts w:hint="default" w:ascii="Times New Roman" w:hAnsi="Times New Roman" w:cs="Times New Roman" w:eastAsiaTheme="minorEastAsia"/>
          <w:b/>
          <w:color w:val="auto"/>
          <w:szCs w:val="24"/>
        </w:rPr>
        <w:t>2、交通运输的便捷性</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eastAsiaTheme="minorEastAsia"/>
          <w:bCs/>
          <w:color w:val="auto"/>
          <w:szCs w:val="24"/>
        </w:rPr>
        <w:t>本项目港外交通条件较好，港区后方靠近沿江大道，可与S306、G56杭瑞高速连接，能快捷到达市区各处。码头接S306约16km，公路运输十分便捷。此外，蒙华铁路从周边经过，码头处面临长江</w:t>
      </w:r>
      <w:r>
        <w:rPr>
          <w:rFonts w:hint="default" w:ascii="Times New Roman" w:hAnsi="Times New Roman" w:cs="Times New Roman"/>
          <w:bCs/>
          <w:color w:val="auto"/>
          <w:szCs w:val="24"/>
        </w:rPr>
        <w:t>Ⅰ</w:t>
      </w:r>
      <w:r>
        <w:rPr>
          <w:rFonts w:hint="default" w:ascii="Times New Roman" w:hAnsi="Times New Roman" w:cs="Times New Roman" w:eastAsiaTheme="minorEastAsia"/>
          <w:bCs/>
          <w:color w:val="auto"/>
          <w:szCs w:val="24"/>
        </w:rPr>
        <w:t>级航道，水路条件优越。</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eastAsiaTheme="minorEastAsia"/>
          <w:bCs/>
          <w:color w:val="auto"/>
          <w:szCs w:val="24"/>
        </w:rPr>
        <w:t>综上，港区水陆交通条件极其优越。</w:t>
      </w:r>
    </w:p>
    <w:p>
      <w:pPr>
        <w:pStyle w:val="6"/>
        <w:ind w:firstLine="464"/>
        <w:rPr>
          <w:rFonts w:hint="default" w:ascii="Times New Roman" w:hAnsi="Times New Roman" w:cs="Times New Roman" w:eastAsiaTheme="minorEastAsia"/>
          <w:b/>
          <w:color w:val="auto"/>
          <w:spacing w:val="-4"/>
          <w:szCs w:val="24"/>
        </w:rPr>
      </w:pPr>
      <w:r>
        <w:rPr>
          <w:rFonts w:hint="default" w:ascii="Times New Roman" w:hAnsi="Times New Roman" w:cs="Times New Roman" w:eastAsiaTheme="minorEastAsia"/>
          <w:b/>
          <w:color w:val="auto"/>
          <w:spacing w:val="-4"/>
          <w:szCs w:val="24"/>
        </w:rPr>
        <w:t>3、供水、供电等配套设施的完整性</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eastAsiaTheme="minorEastAsia"/>
          <w:bCs/>
          <w:color w:val="auto"/>
          <w:szCs w:val="24"/>
        </w:rPr>
        <w:t>本项目给水、排水、供电、电信均可依托公共设施，项目后方陆域开阔，地质条件较好，施工便利。</w:t>
      </w:r>
    </w:p>
    <w:p>
      <w:pPr>
        <w:pStyle w:val="4"/>
        <w:ind w:left="578" w:hanging="578"/>
        <w:rPr>
          <w:rFonts w:hint="default" w:ascii="Times New Roman" w:hAnsi="Times New Roman" w:cs="Times New Roman" w:eastAsiaTheme="minorEastAsia"/>
          <w:color w:val="auto"/>
          <w:szCs w:val="24"/>
        </w:rPr>
      </w:pPr>
      <w:bookmarkStart w:id="133" w:name="_Toc423004649"/>
      <w:r>
        <w:rPr>
          <w:rFonts w:hint="default" w:ascii="Times New Roman" w:hAnsi="Times New Roman" w:cs="Times New Roman" w:eastAsiaTheme="minorEastAsia"/>
          <w:color w:val="auto"/>
          <w:szCs w:val="24"/>
        </w:rPr>
        <w:t>平面布置的合理性</w:t>
      </w:r>
      <w:bookmarkEnd w:id="133"/>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⑴ </w:t>
      </w:r>
      <w:r>
        <w:rPr>
          <w:rFonts w:hint="default" w:ascii="Times New Roman" w:hAnsi="Times New Roman" w:cs="Times New Roman" w:eastAsiaTheme="minorEastAsia"/>
          <w:bCs/>
          <w:color w:val="auto"/>
          <w:szCs w:val="24"/>
        </w:rPr>
        <w:t>港区陆域按生产区、辅助生产区的使用功能分区布置。港区陆域布置结合装卸工艺流程和自然条件合理组织各种运输系统，使港区用电和用水合理，减少相互干扰。</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⑵ </w:t>
      </w:r>
      <w:r>
        <w:rPr>
          <w:rFonts w:hint="default" w:ascii="Times New Roman" w:hAnsi="Times New Roman" w:cs="Times New Roman" w:eastAsiaTheme="minorEastAsia"/>
          <w:bCs/>
          <w:color w:val="auto"/>
          <w:szCs w:val="24"/>
        </w:rPr>
        <w:t>码头的布置满足装卸机械经济运距的要求，减少水平运输距离。</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⑶ </w:t>
      </w:r>
      <w:r>
        <w:rPr>
          <w:rFonts w:hint="default" w:ascii="Times New Roman" w:hAnsi="Times New Roman" w:cs="Times New Roman" w:eastAsiaTheme="minorEastAsia"/>
          <w:bCs/>
          <w:color w:val="auto"/>
          <w:szCs w:val="24"/>
        </w:rPr>
        <w:t>码头作业线协调布置有利于安全生产和方便船舶及物流运转，节约能源、降低能耗。</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⑷ </w:t>
      </w:r>
      <w:r>
        <w:rPr>
          <w:rFonts w:hint="default" w:ascii="Times New Roman" w:hAnsi="Times New Roman" w:cs="Times New Roman" w:eastAsiaTheme="minorEastAsia"/>
          <w:bCs/>
          <w:color w:val="auto"/>
          <w:szCs w:val="24"/>
        </w:rPr>
        <w:t>港区布置时，考虑了风向及水流流向对周围环境及水质的影响，同时码头布局与总体布局相互协调。</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⑸ </w:t>
      </w:r>
      <w:r>
        <w:rPr>
          <w:rFonts w:hint="default" w:ascii="Times New Roman" w:hAnsi="Times New Roman" w:cs="Times New Roman" w:eastAsiaTheme="minorEastAsia"/>
          <w:bCs/>
          <w:color w:val="auto"/>
          <w:szCs w:val="24"/>
        </w:rPr>
        <w:t>码头前沿线的位置确定，结合了地形特点及码头使用要求，合理利用了天然水深，以尽量降低工程造价。</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⑹ </w:t>
      </w:r>
      <w:r>
        <w:rPr>
          <w:rFonts w:hint="default" w:ascii="Times New Roman" w:hAnsi="Times New Roman" w:cs="Times New Roman" w:eastAsiaTheme="minorEastAsia"/>
          <w:bCs/>
          <w:color w:val="auto"/>
          <w:szCs w:val="24"/>
        </w:rPr>
        <w:t>总平面布置时，结合港区地形地质条件，综合考虑了码头建成后对河床冲淤变化的影响及对岸坡稳定的影响。</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⑺ </w:t>
      </w:r>
      <w:r>
        <w:rPr>
          <w:rFonts w:hint="default" w:ascii="Times New Roman" w:hAnsi="Times New Roman" w:cs="Times New Roman" w:eastAsiaTheme="minorEastAsia"/>
          <w:bCs/>
          <w:color w:val="auto"/>
          <w:szCs w:val="24"/>
        </w:rPr>
        <w:t>港区符合《岳阳港口总体规划》中对港区作业区划分和泊位布置。进港道路与规划道路网能良好衔接。</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bCs/>
          <w:color w:val="auto"/>
          <w:szCs w:val="24"/>
        </w:rPr>
        <w:t xml:space="preserve">⑻ </w:t>
      </w:r>
      <w:r>
        <w:rPr>
          <w:rFonts w:hint="default" w:ascii="Times New Roman" w:hAnsi="Times New Roman" w:cs="Times New Roman" w:eastAsiaTheme="minorEastAsia"/>
          <w:bCs/>
          <w:color w:val="auto"/>
          <w:szCs w:val="24"/>
        </w:rPr>
        <w:t>本项目总平面布置应符合《港口工程环境保护设计规范》（JTS149-1-2007）、《河港工程总体设计规范》（JTJ212-2006）、《港口工程劳动安全卫生设计规定》（JT320-1997）、《工业企业设计卫生标准》（GBZ 1-2010）、《生产过程安全卫生要求总则》（GB/T12801-2008）等有关要求。</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eastAsiaTheme="minorEastAsia"/>
          <w:bCs/>
          <w:color w:val="auto"/>
          <w:szCs w:val="24"/>
        </w:rPr>
        <w:t>因此，本项目平面布置是合理的。</w:t>
      </w:r>
    </w:p>
    <w:p>
      <w:pPr>
        <w:pStyle w:val="3"/>
        <w:ind w:left="578" w:hanging="578"/>
        <w:rPr>
          <w:rFonts w:hint="default" w:ascii="Times New Roman" w:hAnsi="Times New Roman" w:cs="Times New Roman" w:eastAsiaTheme="minorEastAsia"/>
          <w:b/>
          <w:color w:val="auto"/>
        </w:rPr>
      </w:pPr>
      <w:bookmarkStart w:id="134" w:name="_Toc19201"/>
      <w:bookmarkStart w:id="135" w:name="_Toc3413"/>
      <w:r>
        <w:rPr>
          <w:rFonts w:hint="default" w:ascii="Times New Roman" w:hAnsi="Times New Roman" w:cs="Times New Roman" w:eastAsiaTheme="minorEastAsia"/>
          <w:b/>
          <w:color w:val="auto"/>
        </w:rPr>
        <w:t>与“三线一单”的符合性分析</w:t>
      </w:r>
      <w:bookmarkEnd w:id="134"/>
      <w:bookmarkEnd w:id="135"/>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1、与生态保护红线相符性分析</w:t>
      </w:r>
    </w:p>
    <w:p>
      <w:pPr>
        <w:adjustRightInd w:val="0"/>
        <w:snapToGrid w:val="0"/>
        <w:spacing w:line="360" w:lineRule="auto"/>
        <w:ind w:firstLine="504" w:firstLineChars="200"/>
        <w:rPr>
          <w:rFonts w:hint="default" w:ascii="Times New Roman" w:hAnsi="Times New Roman" w:cs="Times New Roman" w:eastAsiaTheme="minorEastAsia"/>
          <w:color w:val="auto"/>
          <w:spacing w:val="6"/>
          <w:kern w:val="0"/>
          <w:sz w:val="24"/>
          <w:szCs w:val="24"/>
        </w:rPr>
      </w:pPr>
      <w:r>
        <w:rPr>
          <w:rFonts w:hint="default" w:ascii="Times New Roman" w:hAnsi="Times New Roman" w:cs="Times New Roman" w:eastAsiaTheme="minorEastAsia"/>
          <w:color w:val="auto"/>
          <w:spacing w:val="6"/>
          <w:kern w:val="0"/>
          <w:sz w:val="24"/>
          <w:szCs w:val="24"/>
        </w:rPr>
        <w:t>根据《湖南省人民政府关于印发〈湖南省生态保护红线〉的通知》（湘政发〔2018〕20号）划定结果，湖南省生态保护红线划定面积为4.28万km</w:t>
      </w:r>
      <w:r>
        <w:rPr>
          <w:rFonts w:hint="default" w:ascii="Times New Roman" w:hAnsi="Times New Roman" w:cs="Times New Roman" w:eastAsiaTheme="minorEastAsia"/>
          <w:color w:val="auto"/>
          <w:spacing w:val="6"/>
          <w:kern w:val="0"/>
          <w:sz w:val="24"/>
          <w:szCs w:val="24"/>
          <w:vertAlign w:val="superscript"/>
        </w:rPr>
        <w:t>2</w:t>
      </w:r>
      <w:r>
        <w:rPr>
          <w:rFonts w:hint="default" w:ascii="Times New Roman" w:hAnsi="Times New Roman" w:cs="Times New Roman" w:eastAsiaTheme="minorEastAsia"/>
          <w:color w:val="auto"/>
          <w:spacing w:val="6"/>
          <w:kern w:val="0"/>
          <w:sz w:val="24"/>
          <w:szCs w:val="24"/>
        </w:rPr>
        <w:t>，占全省国土面积的20.23%。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通过本项目选址位置与湖南省生态保护红线区域的位置关系对比，本项目不涉及生态红线保护区，距离本项目最近的生态红线保护区域为东洞庭湖国家级自然保护区，最近直线距离约170m。因此，本项目符合生态保护红线要求。</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2、环境质量底线</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本项目所在区域的环境质量底线为：环境空气质量目标为《环境空气质量标准》（GB3095-2012）二级，声环境质量目标为《声环境质量标准》（GB3096-2008）2类标准，占地范围内土壤环境质量执行《土壤环境质量  建设用地土壤污染风险管控标准（试行）》（GB36600-2018），占地范围外土壤环境质量执行《土壤环境质量 农用地土壤污染风险管控标准（试行）》（GB15618-2018），水环境质量目标为《地表水环境质量标准》（GB3838-2002）Ⅲ类标准。</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本项目采用氮气吹扫与置换系统等措施减少无组织废气排放，靠港船舶采用岸电，禁止在加注码头区域排放船舶污水。生活污水经污水</w:t>
      </w:r>
      <w:r>
        <w:rPr>
          <w:rFonts w:hint="eastAsia" w:ascii="Times New Roman" w:hAnsi="Times New Roman" w:cs="Times New Roman" w:eastAsiaTheme="minorEastAsia"/>
          <w:color w:val="auto"/>
          <w:sz w:val="24"/>
          <w:szCs w:val="24"/>
          <w:lang w:val="en-US" w:eastAsia="zh-CN"/>
        </w:rPr>
        <w:t>收集</w:t>
      </w:r>
      <w:r>
        <w:rPr>
          <w:rFonts w:hint="default" w:ascii="Times New Roman" w:hAnsi="Times New Roman" w:cs="Times New Roman" w:eastAsiaTheme="minorEastAsia"/>
          <w:color w:val="auto"/>
          <w:sz w:val="24"/>
          <w:szCs w:val="24"/>
        </w:rPr>
        <w:t>箱收集后，再泵送至陆域罐区污水处理站，处理达到《城市污水再生利用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lang w:val="en-US" w:eastAsia="zh-CN"/>
        </w:rPr>
        <w:t>不外排</w:t>
      </w:r>
      <w:r>
        <w:rPr>
          <w:rFonts w:hint="default" w:ascii="Times New Roman" w:hAnsi="Times New Roman" w:cs="Times New Roman" w:eastAsiaTheme="minorEastAsia"/>
          <w:color w:val="auto"/>
          <w:sz w:val="24"/>
          <w:szCs w:val="24"/>
        </w:rPr>
        <w:t>。本项目产生的</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w:t>
      </w:r>
      <w:r>
        <w:rPr>
          <w:rFonts w:hint="eastAsia" w:ascii="Times New Roman" w:hAnsi="Times New Roman" w:cs="Times New Roman" w:eastAsiaTheme="minorEastAsia"/>
          <w:color w:val="auto"/>
          <w:sz w:val="24"/>
          <w:szCs w:val="24"/>
          <w:lang w:eastAsia="zh-CN"/>
        </w:rPr>
        <w:t>污水收集箱</w:t>
      </w:r>
      <w:r>
        <w:rPr>
          <w:rFonts w:hint="default" w:ascii="Times New Roman" w:hAnsi="Times New Roman" w:cs="Times New Roman" w:eastAsiaTheme="minorEastAsia"/>
          <w:color w:val="auto"/>
          <w:sz w:val="24"/>
          <w:szCs w:val="24"/>
        </w:rPr>
        <w:t>收集后，达到一定量后，通过</w:t>
      </w:r>
      <w:r>
        <w:rPr>
          <w:rFonts w:hint="eastAsia" w:ascii="Times New Roman" w:hAnsi="Times New Roman" w:cs="Times New Roman" w:eastAsiaTheme="minorEastAsia"/>
          <w:color w:val="auto"/>
          <w:sz w:val="24"/>
          <w:szCs w:val="24"/>
          <w:lang w:val="en-US" w:eastAsia="zh-CN"/>
        </w:rPr>
        <w:t>专业</w:t>
      </w:r>
      <w:r>
        <w:rPr>
          <w:rFonts w:hint="default" w:ascii="Times New Roman" w:hAnsi="Times New Roman" w:cs="Times New Roman" w:eastAsiaTheme="minorEastAsia"/>
          <w:color w:val="auto"/>
          <w:sz w:val="24"/>
          <w:szCs w:val="24"/>
        </w:rPr>
        <w:t>泵车外运至君山区第二污水处理厂处置，本项目采用泵车运输含油废水的次数约2~3次/年，尾水处理达到《城镇污水处理厂污染物排放标准》（GB18918-2002）中一级B标准后沿柳毅西路排入长江。项目运营不会改变周边水环境功能。选择新型低噪的装卸臂，高噪声设备加装消音或隔音装置。项目的建设不会对区域环境质量造成显著不利影响。</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3、资源利用上线</w:t>
      </w:r>
    </w:p>
    <w:p>
      <w:pPr>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eastAsiaTheme="minorEastAsia"/>
          <w:color w:val="auto"/>
          <w:sz w:val="24"/>
          <w:szCs w:val="24"/>
        </w:rPr>
        <w:t>本项目为天然气加注码头建设项目，不属于高耗能和资源消耗型企业。项目用水均采用自来水，并以长江水为水源，虽然水资源丰富。并且本项目建成运行后通过内部管理、设备选择、原辅材料的选用和管理、污染治理等多方面采取合理可行的防治措施，以“节能、降耗、减污”为目标，有效的控制污染及资源利用水平。项目的水、气等资源利用不会突破区域的资源利用上线。</w:t>
      </w:r>
    </w:p>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4、环境准入负面清单</w:t>
      </w:r>
    </w:p>
    <w:p>
      <w:pPr>
        <w:tabs>
          <w:tab w:val="left" w:pos="900"/>
        </w:tab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湖南省发展和改革委员会关于印发《湖南省国家重点生态功能区产业准入负面清单》的通知”（湘发改规划〔2018〕373号）和“湖南省发展和改革委员会关于印发《湖南省新增19个国家重点生态功能区产业准入负面清单（试行）》的通知”（湘发改规划〔2018〕972号），本项目未纳入湖南省的产业准入负面清单。</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长江经济带发展负面清单指南（试行）》（第89号）指出，禁止建设不符合全国和省级港口布局规划以及港口体现划的码头项目，禁止建设不符合《长江干线过江通道布局规划》的过长江通道项目；禁止在自然保护区核心区、缓冲区的岸线和河段范围内投资建设旅游和生产经营项目。禁止在风景名胜区核心景区的岸线和河段范围内投资建设与风景名胜资源保护无关的项目；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p>
      <w:pPr>
        <w:pStyle w:val="6"/>
        <w:ind w:firstLine="480"/>
        <w:rPr>
          <w:rFonts w:hint="default" w:ascii="Times New Roman" w:hAnsi="Times New Roman" w:cs="Times New Roman" w:eastAsiaTheme="minorEastAsia"/>
          <w:bCs/>
          <w:color w:val="auto"/>
          <w:szCs w:val="24"/>
        </w:rPr>
      </w:pPr>
      <w:r>
        <w:rPr>
          <w:rFonts w:hint="default" w:ascii="Times New Roman" w:hAnsi="Times New Roman" w:cs="Times New Roman" w:eastAsiaTheme="minorEastAsia"/>
          <w:color w:val="auto"/>
          <w:szCs w:val="24"/>
        </w:rPr>
        <w:t>同时，项目不在《长江经济带发展负面清单指南（试行）》（第89号）中，拟建项目位于湖南省岳阳市君山港区，岳阳港已通过规划环评。拟建项目符合总体规划及港口布局规划，不属于负面清单中禁止引入的项目。</w:t>
      </w:r>
    </w:p>
    <w:p>
      <w:pPr>
        <w:pStyle w:val="3"/>
        <w:ind w:left="578" w:hanging="578"/>
        <w:rPr>
          <w:rFonts w:hint="default" w:ascii="Times New Roman" w:hAnsi="Times New Roman" w:cs="Times New Roman" w:eastAsiaTheme="minorEastAsia"/>
          <w:b/>
          <w:color w:val="auto"/>
        </w:rPr>
      </w:pPr>
      <w:bookmarkStart w:id="136" w:name="_Toc24150"/>
      <w:bookmarkStart w:id="137" w:name="_Toc15742"/>
      <w:r>
        <w:rPr>
          <w:rFonts w:hint="default" w:ascii="Times New Roman" w:hAnsi="Times New Roman" w:cs="Times New Roman" w:eastAsiaTheme="minorEastAsia"/>
          <w:b/>
          <w:color w:val="auto"/>
        </w:rPr>
        <w:t>环境制约因素及解决方案</w:t>
      </w:r>
      <w:bookmarkEnd w:id="136"/>
      <w:bookmarkEnd w:id="137"/>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湖南东洞庭湖国家级自然保护区</w:t>
      </w:r>
    </w:p>
    <w:p>
      <w:pPr>
        <w:tabs>
          <w:tab w:val="left" w:pos="900"/>
        </w:tabs>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1、制约因素</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本项目位于东洞庭国家级自然保护区的实验区，不涉及缓冲区和核心区范围。</w:t>
      </w:r>
    </w:p>
    <w:p>
      <w:pPr>
        <w:tabs>
          <w:tab w:val="left" w:pos="900"/>
        </w:tabs>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2、解决方法</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⑴ 建设单位已委托白城市工程建设咨询有限责任公司编制了《岳阳LNG接收站（储备中心）项目工程对湖南东洞庭湖国家级自然保护区生物多样性影响评价报告》，该专题报告包括了加注站工程建设内容，并于2019年9月6日取得了“国家林业和草原局办公室关于岳阳LNG接收站（储备中心）项目在湖南东洞庭湖国家级自然保护区实验区建设的复函”。根据复函：“本项目是为满足国家能源发展战略和湖南省经济发展需要，我局原则上支持该项目在湖南东洞庭湖国家级自然保护区实验区建设。项目的建设，应当本着生态保护优先、节约集约用地的原则，在正式实施前，应按照《在国家级自然保护区修筑设施审批管理暂行办法》有关规定，办理自然保护区行政许可手续。”。详见附件7-8。</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rPr>
        <w:t>⑵ 设计阶段，进一步优化加注码头布局，减少占地面积；施工时加强码头施工管理和环境监理，避开保护鱼类繁殖期，禁止施工废水、生活污水排入保护区内，避免施工弃渣随意弃入水体；营运期应制定环境风险事故应急预案，同时在加注码头上下游设置警示标志和应急电话，码头</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w:t>
      </w:r>
      <w:r>
        <w:rPr>
          <w:rFonts w:hint="eastAsia" w:ascii="Times New Roman" w:hAnsi="Times New Roman" w:cs="Times New Roman" w:eastAsiaTheme="minorEastAsia"/>
          <w:color w:val="auto"/>
          <w:sz w:val="24"/>
          <w:szCs w:val="24"/>
          <w:lang w:eastAsia="zh-CN"/>
        </w:rPr>
        <w:t>污水收集箱</w:t>
      </w:r>
      <w:r>
        <w:rPr>
          <w:rFonts w:hint="default" w:ascii="Times New Roman" w:hAnsi="Times New Roman" w:cs="Times New Roman" w:eastAsiaTheme="minorEastAsia"/>
          <w:color w:val="auto"/>
          <w:sz w:val="24"/>
          <w:szCs w:val="24"/>
        </w:rPr>
        <w:t>收集处理后，达到一定量后，通过</w:t>
      </w:r>
      <w:r>
        <w:rPr>
          <w:rFonts w:hint="eastAsia" w:ascii="Times New Roman" w:hAnsi="Times New Roman" w:cs="Times New Roman" w:eastAsiaTheme="minorEastAsia"/>
          <w:color w:val="auto"/>
          <w:sz w:val="24"/>
          <w:szCs w:val="24"/>
          <w:lang w:val="en-US" w:eastAsia="zh-CN"/>
        </w:rPr>
        <w:t>专业</w:t>
      </w:r>
      <w:r>
        <w:rPr>
          <w:rFonts w:hint="default" w:ascii="Times New Roman" w:hAnsi="Times New Roman" w:cs="Times New Roman" w:eastAsiaTheme="minorEastAsia"/>
          <w:color w:val="auto"/>
          <w:sz w:val="24"/>
          <w:szCs w:val="24"/>
        </w:rPr>
        <w:t>泵车外运至君山区第二污水处理厂处置，本项目采用泵车运输含油废水的次数约2~3次/年，尾水处理达到《城镇污水处理厂污染物排放标准》（GB18918-2002）中一级B标准后沿柳毅西路排入长江。</w:t>
      </w:r>
    </w:p>
    <w:p>
      <w:pPr>
        <w:pStyle w:val="4"/>
        <w:ind w:left="578" w:hanging="578"/>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t>长江监利段四大家鱼国家级水产种质资源保护区</w:t>
      </w:r>
    </w:p>
    <w:p>
      <w:pPr>
        <w:tabs>
          <w:tab w:val="left" w:pos="900"/>
        </w:tabs>
        <w:adjustRightInd w:val="0"/>
        <w:snapToGrid w:val="0"/>
        <w:spacing w:line="360" w:lineRule="auto"/>
        <w:ind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1、制约因素</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本项目位于长江监利段四大家鱼国家级水产种质资源保护区的实验区，不涉及核心区和“鱼类三场”范围。</w:t>
      </w:r>
    </w:p>
    <w:p>
      <w:pPr>
        <w:tabs>
          <w:tab w:val="left" w:pos="900"/>
        </w:tabs>
        <w:snapToGrid w:val="0"/>
        <w:spacing w:line="360" w:lineRule="auto"/>
        <w:ind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2、解决方法</w:t>
      </w:r>
    </w:p>
    <w:p>
      <w:pPr>
        <w:tabs>
          <w:tab w:val="left" w:pos="900"/>
        </w:tabs>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⑴ 建设单位已委托中国水产科学研究院长江水产研究所、湖南省水产科学研究所编制了“</w:t>
      </w:r>
      <w:r>
        <w:rPr>
          <w:rFonts w:hint="default" w:ascii="Times New Roman" w:hAnsi="Times New Roman" w:cs="Times New Roman" w:eastAsiaTheme="minorEastAsia"/>
          <w:color w:val="auto"/>
          <w:sz w:val="24"/>
          <w:szCs w:val="24"/>
          <w:lang w:val="zh-CN"/>
        </w:rPr>
        <w:t>岳阳LNG接收站（储备中心）、加注站项目工程对“长江监利段四大家鱼国家级水产种质资源保护区”</w:t>
      </w:r>
      <w:r>
        <w:rPr>
          <w:rFonts w:hint="default" w:ascii="Times New Roman" w:hAnsi="Times New Roman" w:cs="Times New Roman" w:eastAsiaTheme="minorEastAsia"/>
          <w:color w:val="auto"/>
          <w:sz w:val="24"/>
          <w:szCs w:val="24"/>
        </w:rPr>
        <w:t>影响专题论证报告</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现已报送湖北省农业农村厅进行审查，近期将会开展专家评审。</w:t>
      </w:r>
    </w:p>
    <w:p>
      <w:pPr>
        <w:tabs>
          <w:tab w:val="left" w:pos="900"/>
        </w:tabs>
        <w:adjustRightInd w:val="0"/>
        <w:snapToGrid w:val="0"/>
        <w:spacing w:line="360" w:lineRule="auto"/>
        <w:ind w:firstLine="480" w:firstLineChars="200"/>
        <w:rPr>
          <w:rFonts w:hint="default" w:ascii="Times New Roman" w:hAnsi="Times New Roman" w:cs="Times New Roman" w:eastAsiaTheme="minorEastAsia"/>
          <w:color w:val="auto"/>
          <w:sz w:val="24"/>
          <w:szCs w:val="24"/>
          <w:u w:val="single"/>
        </w:rPr>
      </w:pPr>
      <w:r>
        <w:rPr>
          <w:rFonts w:hint="default" w:ascii="Times New Roman" w:hAnsi="Times New Roman" w:cs="Times New Roman" w:eastAsiaTheme="minorEastAsia"/>
          <w:color w:val="auto"/>
          <w:sz w:val="24"/>
          <w:szCs w:val="24"/>
        </w:rPr>
        <w:t>⑵ 设计阶段，进一步优化加注码头布局，减少占地面积；施工时加强码头施工管理和环境监理，避开保护鱼类繁殖期，禁止施工废水、生活污水排入保护区内，避免施工弃渣随意弃入水体；营运期应制定环境风险事故应急预案，同时在加注码头上下游设置警示标志和应急电话，码头</w:t>
      </w:r>
      <w:r>
        <w:rPr>
          <w:rFonts w:hint="eastAsia" w:ascii="Times New Roman" w:hAnsi="Times New Roman" w:cs="Times New Roman" w:eastAsiaTheme="minorEastAsia"/>
          <w:color w:val="auto"/>
          <w:sz w:val="24"/>
          <w:szCs w:val="24"/>
          <w:lang w:val="en-US" w:eastAsia="zh-CN"/>
        </w:rPr>
        <w:t>机修</w:t>
      </w:r>
      <w:r>
        <w:rPr>
          <w:rFonts w:hint="default" w:ascii="Times New Roman" w:hAnsi="Times New Roman" w:cs="Times New Roman" w:eastAsiaTheme="minorEastAsia"/>
          <w:color w:val="auto"/>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w:t>
      </w:r>
      <w:r>
        <w:rPr>
          <w:rFonts w:hint="default" w:ascii="Times New Roman" w:hAnsi="Times New Roman" w:cs="Times New Roman" w:eastAsiaTheme="minorEastAsia"/>
          <w:color w:val="auto"/>
          <w:sz w:val="24"/>
          <w:szCs w:val="24"/>
        </w:rPr>
        <w:t>经</w:t>
      </w:r>
      <w:r>
        <w:rPr>
          <w:rFonts w:hint="eastAsia" w:ascii="Times New Roman" w:hAnsi="Times New Roman" w:cs="Times New Roman" w:eastAsiaTheme="minorEastAsia"/>
          <w:color w:val="auto"/>
          <w:sz w:val="24"/>
          <w:szCs w:val="24"/>
          <w:lang w:eastAsia="zh-CN"/>
        </w:rPr>
        <w:t>污水收集箱</w:t>
      </w:r>
      <w:r>
        <w:rPr>
          <w:rFonts w:hint="default" w:ascii="Times New Roman" w:hAnsi="Times New Roman" w:cs="Times New Roman" w:eastAsiaTheme="minorEastAsia"/>
          <w:color w:val="auto"/>
          <w:sz w:val="24"/>
          <w:szCs w:val="24"/>
        </w:rPr>
        <w:t>收集处理后，达到一定量后，通过</w:t>
      </w:r>
      <w:r>
        <w:rPr>
          <w:rFonts w:hint="eastAsia" w:ascii="Times New Roman" w:hAnsi="Times New Roman" w:cs="Times New Roman" w:eastAsiaTheme="minorEastAsia"/>
          <w:color w:val="auto"/>
          <w:sz w:val="24"/>
          <w:szCs w:val="24"/>
          <w:lang w:val="en-US" w:eastAsia="zh-CN"/>
        </w:rPr>
        <w:t>专业</w:t>
      </w:r>
      <w:r>
        <w:rPr>
          <w:rFonts w:hint="default" w:ascii="Times New Roman" w:hAnsi="Times New Roman" w:cs="Times New Roman" w:eastAsiaTheme="minorEastAsia"/>
          <w:color w:val="auto"/>
          <w:sz w:val="24"/>
          <w:szCs w:val="24"/>
        </w:rPr>
        <w:t>泵车外运至君山区第二污水处理厂处置，本项目采用泵车运输含油废水的次数约2~3次/年，尾水处理达到《城镇污水处理厂污染物排放标准》（GB18918-2002）中一级B标准后沿柳毅西路排入长江。</w:t>
      </w:r>
    </w:p>
    <w:p>
      <w:pPr>
        <w:adjustRightInd w:val="0"/>
        <w:snapToGrid w:val="0"/>
        <w:spacing w:line="360" w:lineRule="auto"/>
        <w:jc w:val="left"/>
        <w:rPr>
          <w:rFonts w:hint="default" w:ascii="Times New Roman" w:hAnsi="Times New Roman" w:cs="Times New Roman" w:eastAsiaTheme="minorEastAsia"/>
          <w:color w:val="auto"/>
          <w:kern w:val="0"/>
          <w:sz w:val="24"/>
          <w:szCs w:val="24"/>
        </w:rPr>
      </w:pP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38" w:name="_Toc19466"/>
      <w:bookmarkStart w:id="139" w:name="_Toc15923"/>
      <w:r>
        <w:rPr>
          <w:rFonts w:hint="default" w:ascii="Times New Roman" w:hAnsi="Times New Roman" w:cs="Times New Roman" w:eastAsiaTheme="minorEastAsia"/>
          <w:b/>
          <w:color w:val="auto"/>
          <w:sz w:val="32"/>
          <w:szCs w:val="32"/>
        </w:rPr>
        <w:t>环境保护措施及其技术经济论证</w:t>
      </w:r>
      <w:bookmarkEnd w:id="138"/>
      <w:bookmarkEnd w:id="139"/>
    </w:p>
    <w:p>
      <w:pPr>
        <w:pStyle w:val="3"/>
        <w:ind w:left="578" w:hanging="578"/>
        <w:rPr>
          <w:rFonts w:hint="default" w:ascii="Times New Roman" w:hAnsi="Times New Roman" w:cs="Times New Roman" w:eastAsiaTheme="minorEastAsia"/>
          <w:b/>
          <w:color w:val="auto"/>
        </w:rPr>
      </w:pPr>
      <w:bookmarkStart w:id="140" w:name="_Toc21642"/>
      <w:bookmarkStart w:id="141" w:name="_Toc7024"/>
      <w:r>
        <w:rPr>
          <w:rFonts w:hint="default" w:ascii="Times New Roman" w:hAnsi="Times New Roman" w:cs="Times New Roman" w:eastAsiaTheme="minorEastAsia"/>
          <w:b/>
          <w:color w:val="auto"/>
        </w:rPr>
        <w:t>环境保护措施</w:t>
      </w:r>
      <w:bookmarkEnd w:id="140"/>
      <w:bookmarkEnd w:id="141"/>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施工期</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大气污染防治措施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对施工现场实行合理化管理，使砂石料统一堆放，水泥应设专门库房堆放，并尽量减少搬运环节，搬运时做到轻举轻放，防止包装袋破裂。</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严禁施工运输车辆装载过满，并采取土工布遮盖措施，以避免风吹扬尘和减少沿途抛洒。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施工现场的运输道路定期洒水，尽量使地表处于湿润状态，减少起尘量。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及时清扫施工垃圾，尽快外运处理，临时堆放时做好覆盖等抑尘措施。</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水环境污染防治措施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施工生活污水处理后回用于绿化，禁止外排。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在码头平台等处桩基钻孔施工时，需要防止因降雨而造成泥浆池污水溢出对工程江段带来的污染影响。在泥浆池四周设置土堤等类型围堰，围堰高度约0.3m，并在溢流口设置土工布，泥浆池上方设置简易遮盖装置，该措施的落实可降低钻孔施工时因降雨而产生的悬浮泥沙对长江水体的污染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严格管理施工船舶和施工机械，严禁油料泄漏或倾倒废油料，严禁施工船舶向水域排放未经过处理的机舱水。施工船舶船舶舱底油污水应申请海事部门指定船舶接收。</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施工现场应通过设置隔油池和沉淀池，生产废水经沉淀后用于施工现场洒水，不排放。</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尽量避免在施工现场对施工机械进行冲洗，避免含油冲洗废水带来的影响。施工机械若需进行现场冲洗，应通过设置隔油池和沉淀池等处理冲洗废水，然后用于施工机械冲洗和施工现场洒水，不排放。</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声环境污染防治措施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在钻孔机等相对固定的高噪声源四周设置围档设施作为简易声屏障，降低施工噪声带来的影响。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施工机械和运输车辆配备降噪设备。</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固废污染防治措施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设置垃圾集中堆放场地，施工人员生活垃圾和施工船舶上的生活垃圾均集中收集到该地，由车辆定期运送至城市垃圾处理场处理。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施工期间建筑垃圾及钻渣可用于</w:t>
      </w:r>
      <w:r>
        <w:rPr>
          <w:rFonts w:hint="eastAsia" w:ascii="Times New Roman" w:hAnsi="Times New Roman" w:cs="Times New Roman" w:eastAsiaTheme="minorEastAsia"/>
          <w:color w:val="auto"/>
          <w:kern w:val="0"/>
          <w:sz w:val="24"/>
          <w:szCs w:val="24"/>
          <w:lang w:val="en-US" w:eastAsia="zh-CN"/>
        </w:rPr>
        <w:t>三期</w:t>
      </w:r>
      <w:r>
        <w:rPr>
          <w:rFonts w:hint="default" w:ascii="Times New Roman" w:hAnsi="Times New Roman" w:cs="Times New Roman" w:eastAsiaTheme="minorEastAsia"/>
          <w:color w:val="auto"/>
          <w:kern w:val="0"/>
          <w:sz w:val="24"/>
          <w:szCs w:val="24"/>
        </w:rPr>
        <w:t>工程建设回填土方。加强渣土的管理是文明施工的重要标志，施工单位不得随意抛弃建筑材料、残土、旧料和其它杂物。建设工程竣工后，施工单位应尽快将工地上剩余的不能用于回填的建筑垃圾、工程渣土等处理干净，建设单位负责督促。</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生态环境保护措施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加强生态环境保护的宣传和管理力度工程建设管理部门应充分认识到保护江豚、中华鲟等珍稀水生保护动物的重要性，加大对《中华人民共和国野生动物保护法》、《中华人民共和国渔业法》等法律法规的学习和宣传力度，加强对承包商、施工人员的宣传教育工作，严禁施工人员利用水上作业之便捕捞珍稀水生保护动物。</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建设单位与施工单位所签定的承包合同中应有环境保护方面的条款，并附有环保要求的具体内容。</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 xml:space="preserve">⑶ 建立高效有力的监管体系，加强对珍稀水生生物的保护。 </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长江岳阳段是多种洄游性鱼类和珍稀水生动物的通道。码头水下施工时若发现上述洄游性鱼类和珍稀水生动物，应采取敲拍船舷驱赶和回避，禁止非法捕捞。</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优化施工管理和施工工艺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为避免施工船舶对江段珍稀水生生物造成伤害，施工单位应优化施工工艺方案，控制施工作业、施工船舶污染物排放。抓紧施工进度，尽量缩短水上作业时间。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增殖放流</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人工增殖放流是目前国内、外增殖水产资源的普遍方法。前苏联、美国和日本等国利用人工繁殖放流方式，恢复鱼类资源取得了显著效益，近年来我国长江、黑龙江、珠江、黄海海区部分地区开展的人工增殖放流活动已取得了一定的生态效益，如葛洲坝枢纽对中华鲟采取人工繁殖放流，取得了一定的成效。人工增殖放流是恢复天然渔业资源的重要手段，通过有计划地开展人工放流种苗，可以增加鱼类种群结构中低、幼龄鱼类数量，扩大群体规模，储备足够量的繁殖后备群体，能从根本上解决天然鱼类资源量不足的问题。</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目前长江放流的具有重要经济价值的主要种类为青鱼、鳙鱼、草鱼、鲢鱼、鳜鱼、赤眼鳟、河豚，选择青鱼、鳙鱼、草鱼、鲢鱼四种优势种鱼苗进行增殖放流，根据有关类比资料，确定增殖放流计划。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放流地点选在水流较缓，风浪较小的码头附近水域，放流时间宜在施工结束后3~4月份，水温在5~60℃为宜。具体放流实施应请渔业部门及公证机构进行监督。</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⑹ 水土保持</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边坡建设挡渣墙，设置截、排水沟，项目建设区要按照实地适宜树（草）等原则，兼顾绿化美化，合理布置植物措施。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加强施工组织管理措施，严格控制各类施工活动用地，禁止随意占压、扰动和破坏地表，弃渣要及时清运到指定地点进行保护，严禁随意倾倒；施工结束后要及时对施工迹地清理、平整、恢复，严格控制施工期间可能造成的水土流失。</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⑺ 绿化</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码头靠近沿江大堤设置绿化带，充分发挥绿化植物的吸收废气和降噪等。</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营运期</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大气污染防治措施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控制装船排放的废气：装船时严禁开仓作业，尽量降低装船过程废气排放量。为最大限度降低装船呼吸损耗，在船的呼吸排放口安装回收冷凝装置或吸附装置。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装卸后必须及时扫线的，关闭通气阀，用氮气将内臂、立柱、连接软管内的残液扫入船舱。</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控制装卸速率。针对装船过程气体挥发以及物料输液泵滴漏散发的化学品气体及油品，在装船时控制泵压，以控制装船速率，使液面缓缓上升，减少液体飞溅，减少装船过程中化学物质的挥发。</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加强装卸作业现场管理，制定有效的装卸作业制度，采取有效措施减少物料滴漏量。如：装卸作业前检查管线密封性，杜绝跑冒滴漏，确保拆卸软管中无残留物料等，减少装卸过程中因物料跑冒滴漏而产生的物料挥发废气。</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采用优质产品与材料，确保阀门、法兰片、管道之间的密封，尽量避免意外泄漏事故造成的污染。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⑹ 管线均设置紧急切断装置，以快速控制可能发生的突发泄漏事故。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⑺ 采用先进的储运监控系统、工业电视监测系统、可燃气体监测报警系统，一旦发现物料泄漏可迅速采取相应的措施。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⑻ 加强管理，严格制定码头装卸操作规程，定期检查管道和阀门的工作状况，保证系统安全运行。</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水环境污染防治措施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根据《中华人民共和国防止船舶污染内河水域环境管理规定》，到港船舶不得在港口水域内排放舱底油污水。船舶舱底油污水应申请海事部门船舶接收。</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w:t>
      </w:r>
      <w:r>
        <w:rPr>
          <w:rFonts w:hint="eastAsia" w:ascii="Times New Roman" w:hAnsi="Times New Roman" w:cs="Times New Roman" w:eastAsiaTheme="minorEastAsia"/>
          <w:color w:val="auto"/>
          <w:kern w:val="0"/>
          <w:sz w:val="24"/>
          <w:szCs w:val="24"/>
          <w:lang w:val="en-US" w:eastAsia="zh-CN"/>
        </w:rPr>
        <w:t>长江</w:t>
      </w:r>
      <w:r>
        <w:rPr>
          <w:rFonts w:hint="default" w:ascii="Times New Roman" w:hAnsi="Times New Roman" w:cs="Times New Roman" w:eastAsiaTheme="minorEastAsia"/>
          <w:color w:val="auto"/>
          <w:kern w:val="0"/>
          <w:sz w:val="24"/>
          <w:szCs w:val="24"/>
        </w:rPr>
        <w:t>水域</w:t>
      </w:r>
      <w:r>
        <w:rPr>
          <w:rFonts w:hint="eastAsia" w:ascii="Times New Roman" w:hAnsi="Times New Roman" w:cs="Times New Roman" w:eastAsiaTheme="minorEastAsia"/>
          <w:color w:val="auto"/>
          <w:kern w:val="0"/>
          <w:sz w:val="24"/>
          <w:szCs w:val="24"/>
          <w:lang w:val="en-US" w:eastAsia="zh-CN"/>
        </w:rPr>
        <w:t>执行Ⅰ</w:t>
      </w:r>
      <w:r>
        <w:rPr>
          <w:rFonts w:hint="default" w:ascii="Times New Roman" w:hAnsi="Times New Roman" w:cs="Times New Roman" w:eastAsiaTheme="minorEastAsia"/>
          <w:color w:val="auto"/>
          <w:kern w:val="0"/>
          <w:sz w:val="24"/>
          <w:szCs w:val="24"/>
        </w:rPr>
        <w:t>类水</w:t>
      </w:r>
      <w:r>
        <w:rPr>
          <w:rFonts w:hint="eastAsia" w:ascii="Times New Roman" w:hAnsi="Times New Roman" w:cs="Times New Roman" w:eastAsiaTheme="minorEastAsia"/>
          <w:color w:val="auto"/>
          <w:kern w:val="0"/>
          <w:sz w:val="24"/>
          <w:szCs w:val="24"/>
          <w:lang w:val="en-US" w:eastAsia="zh-CN"/>
        </w:rPr>
        <w:t>质标准要求</w:t>
      </w:r>
      <w:r>
        <w:rPr>
          <w:rFonts w:hint="default" w:ascii="Times New Roman" w:hAnsi="Times New Roman" w:cs="Times New Roman" w:eastAsiaTheme="minorEastAsia"/>
          <w:color w:val="auto"/>
          <w:kern w:val="0"/>
          <w:sz w:val="24"/>
          <w:szCs w:val="24"/>
        </w:rPr>
        <w:t>，结合上述规定。因此，码头水域不得排放船舶污水，需要排放的船舶需向海事部门申请，由海事部门认定的污染物收集船舶收集后送指定地点接收处理。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在码头</w:t>
      </w:r>
      <w:r>
        <w:rPr>
          <w:rFonts w:hint="eastAsia" w:ascii="Times New Roman" w:hAnsi="Times New Roman" w:cs="Times New Roman" w:eastAsiaTheme="minorEastAsia"/>
          <w:color w:val="auto"/>
          <w:kern w:val="0"/>
          <w:sz w:val="24"/>
          <w:szCs w:val="24"/>
          <w:lang w:val="en-US" w:eastAsia="zh-CN"/>
        </w:rPr>
        <w:t>加注</w:t>
      </w:r>
      <w:r>
        <w:rPr>
          <w:rFonts w:hint="default" w:ascii="Times New Roman" w:hAnsi="Times New Roman" w:cs="Times New Roman" w:eastAsiaTheme="minorEastAsia"/>
          <w:color w:val="auto"/>
          <w:kern w:val="0"/>
          <w:sz w:val="24"/>
          <w:szCs w:val="24"/>
        </w:rPr>
        <w:t>平台上面设置收集坎，收集码头作业区的初期雨水和部分事故溢液。</w:t>
      </w:r>
    </w:p>
    <w:p>
      <w:pPr>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eastAsiaTheme="minorEastAsia"/>
          <w:color w:val="auto"/>
          <w:kern w:val="0"/>
          <w:sz w:val="24"/>
          <w:szCs w:val="24"/>
        </w:rPr>
        <w:t>⑶ 在码头及引桥管线接头处及接卸点处设集液槽（盒），及时收集跑、冒、</w:t>
      </w:r>
      <w:r>
        <w:rPr>
          <w:rFonts w:hint="default" w:ascii="Times New Roman" w:hAnsi="Times New Roman" w:eastAsia="CIDFont" w:cs="Times New Roman"/>
          <w:color w:val="auto"/>
          <w:kern w:val="0"/>
          <w:sz w:val="24"/>
          <w:szCs w:val="24"/>
          <w:lang w:bidi="ar"/>
        </w:rPr>
        <w:t>滴、漏产生的残液并作回收处理。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本项目拟设置500m长围油栏及配套的防污设施。对于比重比水轻、且不溶于水的物料可采取设置围油栏方式防止物料扩散。当进行LNG装卸时，在船舶靠泊后，应首先将围油栏布设在船与码头四周，然后进行装卸作业。一旦发生泄漏事故，可防止物料扩散，围油栏选用固体浮子式围油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在码头下设</w:t>
      </w:r>
      <w:r>
        <w:rPr>
          <w:rFonts w:hint="eastAsia" w:ascii="Times New Roman" w:hAnsi="Times New Roman" w:cs="Times New Roman" w:eastAsiaTheme="minorEastAsia"/>
          <w:color w:val="auto"/>
          <w:kern w:val="0"/>
          <w:sz w:val="24"/>
          <w:szCs w:val="24"/>
          <w:lang w:val="en-US" w:eastAsia="zh-CN"/>
        </w:rPr>
        <w:t>2个15</w:t>
      </w:r>
      <w:r>
        <w:rPr>
          <w:rFonts w:hint="default" w:ascii="Times New Roman" w:hAnsi="Times New Roman" w:cs="Times New Roman" w:eastAsiaTheme="minorEastAsia"/>
          <w:color w:val="auto"/>
          <w:kern w:val="0"/>
          <w:sz w:val="24"/>
          <w:szCs w:val="24"/>
        </w:rPr>
        <w:t>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污水箱</w:t>
      </w:r>
      <w:r>
        <w:rPr>
          <w:rFonts w:hint="eastAsia" w:ascii="Times New Roman" w:hAnsi="Times New Roman" w:cs="Times New Roman" w:eastAsiaTheme="minorEastAsia"/>
          <w:color w:val="auto"/>
          <w:kern w:val="0"/>
          <w:sz w:val="24"/>
          <w:szCs w:val="24"/>
          <w:lang w:val="en-US" w:eastAsia="zh-CN"/>
        </w:rPr>
        <w:t>分别</w:t>
      </w:r>
      <w:r>
        <w:rPr>
          <w:rFonts w:hint="default" w:ascii="Times New Roman" w:hAnsi="Times New Roman" w:cs="Times New Roman" w:eastAsiaTheme="minorEastAsia"/>
          <w:color w:val="auto"/>
          <w:kern w:val="0"/>
          <w:sz w:val="24"/>
          <w:szCs w:val="24"/>
        </w:rPr>
        <w:t>用于临时存放初期雨水</w:t>
      </w:r>
      <w:r>
        <w:rPr>
          <w:rFonts w:hint="eastAsia" w:ascii="Times New Roman" w:hAnsi="Times New Roman" w:cs="Times New Roman" w:eastAsiaTheme="minorEastAsia"/>
          <w:color w:val="auto"/>
          <w:kern w:val="0"/>
          <w:sz w:val="24"/>
          <w:szCs w:val="24"/>
          <w:lang w:val="en-US" w:eastAsia="zh-CN"/>
        </w:rPr>
        <w:t>和生活污水</w:t>
      </w:r>
      <w:r>
        <w:rPr>
          <w:rFonts w:hint="default" w:ascii="Times New Roman" w:hAnsi="Times New Roman" w:cs="Times New Roman" w:eastAsiaTheme="minorEastAsia"/>
          <w:color w:val="auto"/>
          <w:kern w:val="0"/>
          <w:sz w:val="24"/>
          <w:szCs w:val="24"/>
        </w:rPr>
        <w:t>、</w:t>
      </w:r>
      <w:r>
        <w:rPr>
          <w:rFonts w:hint="eastAsia" w:ascii="Times New Roman" w:hAnsi="Times New Roman" w:cs="Times New Roman" w:eastAsiaTheme="minorEastAsia"/>
          <w:color w:val="auto"/>
          <w:kern w:val="0"/>
          <w:sz w:val="24"/>
          <w:szCs w:val="24"/>
          <w:lang w:val="en-US" w:eastAsia="zh-CN"/>
        </w:rPr>
        <w:t>机修含油污水、</w:t>
      </w:r>
      <w:r>
        <w:rPr>
          <w:rFonts w:hint="default" w:ascii="Times New Roman" w:hAnsi="Times New Roman" w:cs="Times New Roman" w:eastAsiaTheme="minorEastAsia"/>
          <w:color w:val="auto"/>
          <w:kern w:val="0"/>
          <w:sz w:val="24"/>
          <w:szCs w:val="24"/>
        </w:rPr>
        <w:t>部分事故残液和事故消防液等废水。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⑹ 生活污水经</w:t>
      </w:r>
      <w:r>
        <w:rPr>
          <w:rFonts w:hint="eastAsia" w:ascii="Times New Roman" w:hAnsi="Times New Roman" w:cs="Times New Roman" w:eastAsiaTheme="minorEastAsia"/>
          <w:color w:val="auto"/>
          <w:kern w:val="0"/>
          <w:sz w:val="24"/>
          <w:szCs w:val="24"/>
          <w:lang w:val="en-US" w:eastAsia="zh-CN"/>
        </w:rPr>
        <w:t>加注平台</w:t>
      </w:r>
      <w:r>
        <w:rPr>
          <w:rFonts w:hint="default" w:ascii="Times New Roman" w:hAnsi="Times New Roman" w:cs="Times New Roman" w:eastAsiaTheme="minorEastAsia"/>
          <w:color w:val="auto"/>
          <w:kern w:val="0"/>
          <w:sz w:val="24"/>
          <w:szCs w:val="24"/>
        </w:rPr>
        <w:t>上的污水处理设施处理后回用于后方罐区绿化；产生的</w:t>
      </w:r>
      <w:r>
        <w:rPr>
          <w:rFonts w:hint="eastAsia" w:ascii="Times New Roman" w:hAnsi="Times New Roman" w:cs="Times New Roman" w:eastAsiaTheme="minorEastAsia"/>
          <w:color w:val="auto"/>
          <w:kern w:val="0"/>
          <w:sz w:val="24"/>
          <w:szCs w:val="24"/>
          <w:lang w:val="en-US" w:eastAsia="zh-CN"/>
        </w:rPr>
        <w:t>机修</w:t>
      </w:r>
      <w:r>
        <w:rPr>
          <w:rFonts w:hint="default" w:ascii="Times New Roman" w:hAnsi="Times New Roman" w:cs="Times New Roman" w:eastAsiaTheme="minorEastAsia"/>
          <w:color w:val="auto"/>
          <w:kern w:val="0"/>
          <w:sz w:val="24"/>
          <w:szCs w:val="24"/>
        </w:rPr>
        <w:t>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部分事故残液和事故消防液经污水收集箱收集后，达到一定量后，通过</w:t>
      </w:r>
      <w:r>
        <w:rPr>
          <w:rFonts w:hint="eastAsia" w:ascii="Times New Roman" w:hAnsi="Times New Roman" w:cs="Times New Roman" w:eastAsiaTheme="minorEastAsia"/>
          <w:color w:val="auto"/>
          <w:kern w:val="0"/>
          <w:sz w:val="24"/>
          <w:szCs w:val="24"/>
          <w:lang w:val="en-US" w:eastAsia="zh-CN"/>
        </w:rPr>
        <w:t>专业</w:t>
      </w:r>
      <w:r>
        <w:rPr>
          <w:rFonts w:hint="default" w:ascii="Times New Roman" w:hAnsi="Times New Roman" w:cs="Times New Roman" w:eastAsiaTheme="minorEastAsia"/>
          <w:color w:val="auto"/>
          <w:kern w:val="0"/>
          <w:sz w:val="24"/>
          <w:szCs w:val="24"/>
        </w:rPr>
        <w:t>泵车外运至君山区第二污水处理厂处置，本项目采用泵车运输含油废水的次数约2~3次/年，尾水处理达到《城镇污水处理厂污染物排放标准》（GB18918-2002）中一级B标准后沿柳毅西路排入长江。</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声环境污染防治措施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采用宏观管理控制车、船的鸣号声；设备采用低噪声产品，到港船舶尽量减少鸣笛。</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对于噪声污染在设计中尽量选用低噪声设备，泵、空压机等机泵底座设置减振垫等弹性减振设置。</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固体废物处理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码头生活垃圾收集后集中送至城市垃圾处理场处理。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工程配棉纱、抹布，对检修和意外泄漏油品进行吸附和清理，棉纱和抹布等使用后，立即收集装入塑料袋内扎紧密封，与生活垃圾一同交环卫处理。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停靠码头的船舶垃圾禁止随意排放，由海事局等部门认可的污染物接收船收集后焚烧处理。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疫区船舶生活垃圾如需岸上接收，需经卫生防疫主管部门检疫后并经海事部门批准，由海事部门认可的接收船接收送至其指定的焚烧厂处理。</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事故风险防范措施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详见风险评价章节。</w:t>
      </w:r>
    </w:p>
    <w:p>
      <w:pPr>
        <w:pStyle w:val="3"/>
        <w:ind w:left="578" w:hanging="578"/>
        <w:rPr>
          <w:rFonts w:hint="default" w:ascii="Times New Roman" w:hAnsi="Times New Roman" w:cs="Times New Roman" w:eastAsiaTheme="minorEastAsia"/>
          <w:b/>
          <w:color w:val="auto"/>
        </w:rPr>
      </w:pPr>
      <w:bookmarkStart w:id="142" w:name="_Toc11276"/>
      <w:bookmarkStart w:id="143" w:name="_Toc27884"/>
      <w:r>
        <w:rPr>
          <w:rFonts w:hint="default" w:ascii="Times New Roman" w:hAnsi="Times New Roman" w:cs="Times New Roman" w:eastAsiaTheme="minorEastAsia"/>
          <w:b/>
          <w:color w:val="auto"/>
        </w:rPr>
        <w:t>环境保护措施的技术经济论证</w:t>
      </w:r>
      <w:bookmarkEnd w:id="142"/>
      <w:bookmarkEnd w:id="143"/>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污水处理方式及其合理性论证</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污水处理方式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本项目废水主要为码头废水，包括生活废水</w:t>
      </w:r>
      <w:r>
        <w:rPr>
          <w:rFonts w:hint="eastAsia" w:ascii="Times New Roman" w:hAnsi="Times New Roman" w:cs="Times New Roman" w:eastAsiaTheme="minorEastAsia"/>
          <w:color w:val="auto"/>
          <w:kern w:val="0"/>
          <w:sz w:val="24"/>
          <w:szCs w:val="24"/>
          <w:lang w:eastAsia="zh-CN"/>
        </w:rPr>
        <w:t>、</w:t>
      </w:r>
      <w:r>
        <w:rPr>
          <w:rFonts w:hint="default" w:ascii="Times New Roman" w:hAnsi="Times New Roman" w:cs="Times New Roman" w:eastAsiaTheme="minorEastAsia"/>
          <w:color w:val="auto"/>
          <w:kern w:val="0"/>
          <w:sz w:val="24"/>
          <w:szCs w:val="24"/>
        </w:rPr>
        <w:t>初期雨水</w:t>
      </w:r>
      <w:r>
        <w:rPr>
          <w:rFonts w:hint="eastAsia" w:ascii="Times New Roman" w:hAnsi="Times New Roman" w:cs="Times New Roman" w:eastAsiaTheme="minorEastAsia"/>
          <w:color w:val="auto"/>
          <w:kern w:val="0"/>
          <w:sz w:val="24"/>
          <w:szCs w:val="24"/>
          <w:lang w:val="en-US" w:eastAsia="zh-CN"/>
        </w:rPr>
        <w:t>、机修含油污水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kern w:val="0"/>
          <w:sz w:val="24"/>
          <w:szCs w:val="24"/>
        </w:rPr>
        <w:t>部分事故残液和事故消防液，废水处理源强见表10.2-1。</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表10.2-1  项目废水产生源强</w:t>
      </w:r>
    </w:p>
    <w:tbl>
      <w:tblPr>
        <w:tblStyle w:val="72"/>
        <w:tblW w:w="501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93"/>
        <w:gridCol w:w="1144"/>
        <w:gridCol w:w="1116"/>
        <w:gridCol w:w="884"/>
        <w:gridCol w:w="1041"/>
        <w:gridCol w:w="937"/>
        <w:gridCol w:w="36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lang w:val="zh-CN"/>
              </w:rPr>
              <w:t>来源</w:t>
            </w:r>
          </w:p>
        </w:tc>
        <w:tc>
          <w:tcPr>
            <w:tcW w:w="611" w:type="pct"/>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rPr>
              <w:t>污水发生量（m</w:t>
            </w:r>
            <w:r>
              <w:rPr>
                <w:rFonts w:hint="default" w:ascii="Times New Roman" w:hAnsi="Times New Roman" w:cs="Times New Roman"/>
                <w:b/>
                <w:bCs/>
                <w:color w:val="auto"/>
                <w:u w:val="none"/>
                <w:vertAlign w:val="superscript"/>
              </w:rPr>
              <w:t>3</w:t>
            </w:r>
            <w:r>
              <w:rPr>
                <w:rFonts w:hint="default" w:ascii="Times New Roman" w:hAnsi="Times New Roman" w:cs="Times New Roman"/>
                <w:b/>
                <w:bCs/>
                <w:color w:val="auto"/>
                <w:u w:val="none"/>
              </w:rPr>
              <w:t>/a）</w:t>
            </w:r>
          </w:p>
        </w:tc>
        <w:tc>
          <w:tcPr>
            <w:tcW w:w="484" w:type="pct"/>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rPr>
              <w:t>污染物</w:t>
            </w:r>
          </w:p>
        </w:tc>
        <w:tc>
          <w:tcPr>
            <w:tcW w:w="570" w:type="pct"/>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rPr>
              <w:t>污染物浓度（mg/L）</w:t>
            </w:r>
          </w:p>
        </w:tc>
        <w:tc>
          <w:tcPr>
            <w:tcW w:w="513" w:type="pct"/>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rPr>
              <w:t>污染物发生量（t/a）</w:t>
            </w:r>
          </w:p>
        </w:tc>
        <w:tc>
          <w:tcPr>
            <w:tcW w:w="1977" w:type="pct"/>
            <w:tcBorders>
              <w:tl2br w:val="nil"/>
              <w:tr2bl w:val="nil"/>
            </w:tcBorders>
            <w:vAlign w:val="center"/>
          </w:tcPr>
          <w:p>
            <w:pPr>
              <w:adjustRightInd w:val="0"/>
              <w:snapToGrid w:val="0"/>
              <w:jc w:val="center"/>
              <w:rPr>
                <w:rFonts w:hint="default" w:ascii="Times New Roman" w:hAnsi="Times New Roman" w:cs="Times New Roman"/>
                <w:b/>
                <w:bCs/>
                <w:color w:val="auto"/>
                <w:u w:val="none"/>
                <w:lang w:val="zh-CN"/>
              </w:rPr>
            </w:pPr>
            <w:r>
              <w:rPr>
                <w:rFonts w:hint="default" w:ascii="Times New Roman" w:hAnsi="Times New Roman" w:cs="Times New Roman"/>
                <w:b/>
                <w:bCs/>
                <w:color w:val="auto"/>
                <w:u w:val="none"/>
                <w:lang w:val="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default" w:ascii="Times New Roman" w:hAnsi="Times New Roman" w:cs="Times New Roman"/>
                <w:color w:val="auto"/>
                <w:u w:val="none"/>
                <w:lang w:val="zh-CN"/>
              </w:rPr>
              <w:t>船舶污水</w:t>
            </w:r>
          </w:p>
        </w:tc>
        <w:tc>
          <w:tcPr>
            <w:tcW w:w="627" w:type="pc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default" w:ascii="Times New Roman" w:hAnsi="Times New Roman" w:cs="Times New Roman"/>
                <w:color w:val="auto"/>
                <w:u w:val="none"/>
                <w:lang w:val="zh-CN"/>
              </w:rPr>
              <w:t>船舶油污水</w:t>
            </w:r>
          </w:p>
        </w:tc>
        <w:tc>
          <w:tcPr>
            <w:tcW w:w="611"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default" w:ascii="Times New Roman" w:hAnsi="Times New Roman" w:cs="Times New Roman"/>
                <w:color w:val="auto"/>
                <w:u w:val="none"/>
                <w:lang w:val="zh-CN"/>
              </w:rPr>
              <w:t>石油类</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2000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977" w:type="pct"/>
            <w:vMerge w:val="restart"/>
            <w:tcBorders>
              <w:tl2br w:val="nil"/>
              <w:tr2bl w:val="nil"/>
            </w:tcBorders>
            <w:vAlign w:val="center"/>
          </w:tcPr>
          <w:p>
            <w:pPr>
              <w:adjustRightInd w:val="0"/>
              <w:snapToGrid w:val="0"/>
              <w:jc w:val="both"/>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海事部门认可的有资质单位污染物接收船运至污水处理厂</w:t>
            </w:r>
            <w:r>
              <w:rPr>
                <w:rFonts w:hint="eastAsia" w:ascii="Times New Roman" w:hAnsi="Times New Roman" w:cs="Times New Roman"/>
                <w:color w:val="auto"/>
                <w:u w:val="none"/>
                <w:lang w:eastAsia="zh-CN"/>
              </w:rPr>
              <w:t>，</w:t>
            </w:r>
            <w:r>
              <w:rPr>
                <w:rFonts w:hint="eastAsia" w:ascii="Times New Roman" w:hAnsi="Times New Roman" w:cs="Times New Roman"/>
                <w:color w:val="auto"/>
                <w:u w:val="none"/>
                <w:lang w:val="en-US" w:eastAsia="zh-CN"/>
              </w:rPr>
              <w:t>不在本项目上岸处理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27"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default" w:ascii="Times New Roman" w:hAnsi="Times New Roman" w:cs="Times New Roman"/>
                <w:color w:val="auto"/>
                <w:u w:val="none"/>
                <w:lang w:val="zh-CN"/>
              </w:rPr>
              <w:t>船舶生活污水</w:t>
            </w:r>
          </w:p>
        </w:tc>
        <w:tc>
          <w:tcPr>
            <w:tcW w:w="611"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COD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300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2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BOD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200</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2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35</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restar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default" w:ascii="Times New Roman" w:hAnsi="Times New Roman" w:cs="Times New Roman"/>
                <w:color w:val="auto"/>
                <w:u w:val="none"/>
                <w:lang w:val="zh-CN"/>
              </w:rPr>
              <w:t>码头工作人员生活污水</w:t>
            </w:r>
          </w:p>
        </w:tc>
        <w:tc>
          <w:tcPr>
            <w:tcW w:w="611" w:type="pct"/>
            <w:vMerge w:val="restart"/>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475.2</w:t>
            </w:r>
          </w:p>
        </w:tc>
        <w:tc>
          <w:tcPr>
            <w:tcW w:w="484" w:type="pct"/>
            <w:tcBorders>
              <w:tl2br w:val="nil"/>
              <w:tr2bl w:val="nil"/>
            </w:tcBorders>
            <w:vAlign w:val="center"/>
          </w:tcPr>
          <w:p>
            <w:pPr>
              <w:adjustRightInd w:val="0"/>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COD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300</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0.143</w:t>
            </w:r>
          </w:p>
        </w:tc>
        <w:tc>
          <w:tcPr>
            <w:tcW w:w="1977" w:type="pct"/>
            <w:vMerge w:val="restart"/>
            <w:tcBorders>
              <w:tl2br w:val="nil"/>
              <w:tr2bl w:val="nil"/>
            </w:tcBorders>
            <w:vAlign w:val="center"/>
          </w:tcPr>
          <w:p>
            <w:pPr>
              <w:adjustRightInd w:val="0"/>
              <w:snapToGrid w:val="0"/>
              <w:rPr>
                <w:rFonts w:hint="eastAsia" w:ascii="Times New Roman" w:hAnsi="Times New Roman" w:eastAsia="宋体" w:cs="Times New Roman"/>
                <w:color w:val="auto"/>
                <w:highlight w:val="none"/>
                <w:u w:val="none"/>
                <w:lang w:val="zh-CN" w:eastAsia="zh-CN"/>
              </w:rPr>
            </w:pPr>
            <w:r>
              <w:rPr>
                <w:rFonts w:hint="default" w:ascii="Times New Roman" w:hAnsi="Times New Roman" w:cs="Times New Roman"/>
                <w:color w:val="auto"/>
                <w:highlight w:val="none"/>
                <w:u w:val="none"/>
              </w:rPr>
              <w:t>本项目生活污水、初期雨水经污水</w:t>
            </w:r>
            <w:r>
              <w:rPr>
                <w:rFonts w:hint="eastAsia" w:ascii="Times New Roman" w:hAnsi="Times New Roman" w:cs="Times New Roman"/>
                <w:color w:val="auto"/>
                <w:highlight w:val="none"/>
                <w:u w:val="none"/>
                <w:lang w:val="en-US" w:eastAsia="zh-CN"/>
              </w:rPr>
              <w:t>收集</w:t>
            </w:r>
            <w:r>
              <w:rPr>
                <w:rFonts w:hint="default" w:ascii="Times New Roman" w:hAnsi="Times New Roman" w:cs="Times New Roman"/>
                <w:color w:val="auto"/>
                <w:highlight w:val="none"/>
                <w:u w:val="none"/>
              </w:rPr>
              <w:t>箱收集后，再泵送至陆域罐区污水处理站，处理达到《城市污水再生利用 城市杂用水水质》（GB/T18920-2002）城市绿化用水要求，用作厂区绿化，</w:t>
            </w:r>
            <w:r>
              <w:rPr>
                <w:rFonts w:hint="eastAsia" w:ascii="Times New Roman" w:hAnsi="Times New Roman" w:cs="Times New Roman"/>
                <w:color w:val="auto"/>
                <w:highlight w:val="none"/>
                <w:u w:val="none"/>
                <w:lang w:val="en-US" w:eastAsia="zh-CN"/>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b w:val="0"/>
                <w:bCs w:val="0"/>
                <w:color w:val="auto"/>
                <w:u w:val="non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BOD</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200</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0.</w:t>
            </w:r>
            <w:r>
              <w:rPr>
                <w:rFonts w:hint="default" w:ascii="Times New Roman" w:hAnsi="Times New Roman" w:cs="Times New Roman"/>
                <w:color w:val="auto"/>
                <w:highlight w:val="none"/>
                <w:u w:val="none"/>
                <w:lang w:val="en-US" w:eastAsia="zh-CN"/>
              </w:rPr>
              <w:t>095</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611"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NH</w:t>
            </w:r>
            <w:r>
              <w:rPr>
                <w:rFonts w:hint="default" w:ascii="Times New Roman" w:hAnsi="Times New Roman" w:cs="Times New Roman"/>
                <w:color w:val="auto"/>
                <w:highlight w:val="none"/>
                <w:u w:val="none"/>
                <w:vertAlign w:val="subscript"/>
              </w:rPr>
              <w:t>3</w:t>
            </w:r>
            <w:r>
              <w:rPr>
                <w:rFonts w:hint="default" w:ascii="Times New Roman" w:hAnsi="Times New Roman" w:cs="Times New Roman"/>
                <w:color w:val="auto"/>
                <w:highlight w:val="none"/>
                <w:u w:val="none"/>
              </w:rPr>
              <w:t>-N</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35</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0.0</w:t>
            </w:r>
            <w:r>
              <w:rPr>
                <w:rFonts w:hint="default" w:ascii="Times New Roman" w:hAnsi="Times New Roman" w:cs="Times New Roman"/>
                <w:color w:val="auto"/>
                <w:highlight w:val="none"/>
                <w:u w:val="none"/>
                <w:lang w:val="en-US" w:eastAsia="zh-CN"/>
              </w:rPr>
              <w:t>17</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初期雨水</w:t>
            </w:r>
          </w:p>
        </w:tc>
        <w:tc>
          <w:tcPr>
            <w:tcW w:w="611" w:type="pct"/>
            <w:tcBorders>
              <w:tl2br w:val="nil"/>
              <w:tr2bl w:val="nil"/>
            </w:tcBorders>
            <w:vAlign w:val="center"/>
          </w:tcPr>
          <w:p>
            <w:pPr>
              <w:adjustRightInd w:val="0"/>
              <w:snapToGrid w:val="0"/>
              <w:jc w:val="center"/>
              <w:rPr>
                <w:rFonts w:hint="default" w:ascii="Times New Roman" w:hAnsi="Times New Roman" w:cs="Times New Roman"/>
                <w:color w:val="auto"/>
                <w:sz w:val="21"/>
                <w:szCs w:val="21"/>
                <w:u w:val="none"/>
                <w:lang w:val="zh-CN"/>
              </w:rPr>
            </w:pPr>
            <w:r>
              <w:rPr>
                <w:rFonts w:hint="eastAsia" w:ascii="Times New Roman" w:hAnsi="Times New Roman" w:eastAsiaTheme="minorEastAsia"/>
                <w:color w:val="auto"/>
                <w:sz w:val="21"/>
                <w:szCs w:val="21"/>
                <w:highlight w:val="none"/>
                <w:u w:val="none"/>
                <w:lang w:val="en-US" w:eastAsia="zh-CN"/>
              </w:rPr>
              <w:t>174.504</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w:t>
            </w: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w:t>
            </w: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w:t>
            </w:r>
          </w:p>
        </w:tc>
        <w:tc>
          <w:tcPr>
            <w:tcW w:w="1977" w:type="pct"/>
            <w:vMerge w:val="continue"/>
            <w:tcBorders>
              <w:tl2br w:val="nil"/>
              <w:tr2bl w:val="nil"/>
            </w:tcBorders>
            <w:vAlign w:val="center"/>
          </w:tcPr>
          <w:p>
            <w:pPr>
              <w:adjustRightInd w:val="0"/>
              <w:snapToGrid w:val="0"/>
              <w:jc w:val="center"/>
              <w:rPr>
                <w:rFonts w:hint="default" w:ascii="Times New Roman" w:hAnsi="Times New Roman" w:cs="Times New Roman"/>
                <w:color w:val="auto"/>
                <w:highlight w:val="none"/>
                <w:u w:val="none"/>
                <w:lang w:val="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r>
              <w:rPr>
                <w:rFonts w:hint="eastAsia" w:ascii="Times New Roman" w:hAnsi="Times New Roman" w:cs="Times New Roman"/>
                <w:color w:val="auto"/>
                <w:u w:val="none"/>
                <w:lang w:val="en-US" w:eastAsia="zh-CN"/>
              </w:rPr>
              <w:t>机修</w:t>
            </w:r>
            <w:r>
              <w:rPr>
                <w:rFonts w:hint="default" w:ascii="Times New Roman" w:hAnsi="Times New Roman" w:cs="Times New Roman"/>
                <w:color w:val="auto"/>
                <w:u w:val="none"/>
              </w:rPr>
              <w:t>含油污水</w:t>
            </w:r>
            <w:r>
              <w:rPr>
                <w:rFonts w:hint="eastAsia" w:ascii="Times New Roman" w:hAnsi="Times New Roman" w:cs="Times New Roman"/>
                <w:color w:val="auto"/>
                <w:u w:val="none"/>
                <w:lang w:val="en-US" w:eastAsia="zh-CN"/>
              </w:rPr>
              <w:t>及</w:t>
            </w:r>
            <w:r>
              <w:rPr>
                <w:rFonts w:hint="default" w:ascii="Times New Roman" w:hAnsi="Times New Roman" w:cs="Times New Roman"/>
                <w:color w:val="auto"/>
                <w:u w:val="none"/>
              </w:rPr>
              <w:t>部分事故残液和事故消防液</w:t>
            </w:r>
          </w:p>
        </w:tc>
        <w:tc>
          <w:tcPr>
            <w:tcW w:w="611" w:type="pct"/>
            <w:tcBorders>
              <w:tl2br w:val="nil"/>
              <w:tr2bl w:val="nil"/>
            </w:tcBorders>
            <w:vAlign w:val="center"/>
          </w:tcPr>
          <w:p>
            <w:pPr>
              <w:adjustRightInd w:val="0"/>
              <w:snapToGrid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少量</w:t>
            </w:r>
          </w:p>
        </w:tc>
        <w:tc>
          <w:tcPr>
            <w:tcW w:w="484"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570"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513" w:type="pct"/>
            <w:tcBorders>
              <w:tl2br w:val="nil"/>
              <w:tr2bl w:val="nil"/>
            </w:tcBorders>
            <w:vAlign w:val="center"/>
          </w:tcPr>
          <w:p>
            <w:pPr>
              <w:adjustRightInd w:val="0"/>
              <w:snapToGrid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1977" w:type="pct"/>
            <w:tcBorders>
              <w:tl2br w:val="nil"/>
              <w:tr2bl w:val="nil"/>
            </w:tcBorders>
            <w:vAlign w:val="center"/>
          </w:tcPr>
          <w:p>
            <w:pPr>
              <w:adjustRightInd w:val="0"/>
              <w:snapToGrid w:val="0"/>
              <w:jc w:val="both"/>
              <w:rPr>
                <w:rFonts w:hint="default" w:ascii="Times New Roman" w:hAnsi="Times New Roman" w:cs="Times New Roman"/>
                <w:color w:val="auto"/>
                <w:highlight w:val="none"/>
                <w:u w:val="none"/>
                <w:lang w:val="zh-CN"/>
              </w:rPr>
            </w:pPr>
            <w:r>
              <w:rPr>
                <w:rFonts w:hint="default" w:ascii="Times New Roman" w:hAnsi="Times New Roman" w:cs="Times New Roman"/>
                <w:color w:val="auto"/>
                <w:highlight w:val="none"/>
                <w:u w:val="none"/>
              </w:rPr>
              <w:t>本项目产生的</w:t>
            </w:r>
            <w:r>
              <w:rPr>
                <w:rFonts w:hint="eastAsia" w:ascii="Times New Roman" w:hAnsi="Times New Roman" w:cs="Times New Roman"/>
                <w:color w:val="auto"/>
                <w:highlight w:val="none"/>
                <w:u w:val="none"/>
                <w:lang w:val="en-US" w:eastAsia="zh-CN"/>
              </w:rPr>
              <w:t>机修</w:t>
            </w:r>
            <w:r>
              <w:rPr>
                <w:rFonts w:hint="default" w:ascii="Times New Roman" w:hAnsi="Times New Roman" w:cs="Times New Roman"/>
                <w:color w:val="auto"/>
                <w:highlight w:val="none"/>
                <w:u w:val="none"/>
                <w:lang w:val="en-US" w:eastAsia="zh-CN"/>
              </w:rPr>
              <w:t>含油污水</w:t>
            </w:r>
            <w:r>
              <w:rPr>
                <w:rFonts w:hint="eastAsia" w:ascii="Times New Roman" w:hAnsi="Times New Roman" w:cs="Times New Roman"/>
                <w:color w:val="auto"/>
                <w:highlight w:val="none"/>
                <w:u w:val="none"/>
                <w:lang w:val="en-US" w:eastAsia="zh-CN"/>
              </w:rPr>
              <w:t>及</w:t>
            </w:r>
            <w:r>
              <w:rPr>
                <w:rFonts w:hint="default" w:ascii="Times New Roman" w:hAnsi="Times New Roman" w:cs="Times New Roman"/>
                <w:color w:val="auto"/>
                <w:highlight w:val="none"/>
                <w:u w:val="none"/>
                <w:lang w:val="en-US" w:eastAsia="zh-CN"/>
              </w:rPr>
              <w:t>部分事故残液和事故消防液经</w:t>
            </w:r>
            <w:r>
              <w:rPr>
                <w:rFonts w:hint="eastAsia" w:ascii="Times New Roman" w:hAnsi="Times New Roman" w:cs="Times New Roman"/>
                <w:color w:val="auto"/>
                <w:highlight w:val="none"/>
                <w:u w:val="none"/>
                <w:lang w:val="en-US" w:eastAsia="zh-CN"/>
              </w:rPr>
              <w:t>污水收集箱</w:t>
            </w:r>
            <w:r>
              <w:rPr>
                <w:rFonts w:hint="default" w:ascii="Times New Roman" w:hAnsi="Times New Roman" w:cs="Times New Roman"/>
                <w:color w:val="auto"/>
                <w:highlight w:val="none"/>
                <w:u w:val="none"/>
                <w:lang w:val="en-US" w:eastAsia="zh-CN"/>
              </w:rPr>
              <w:t>收集后，达到一定</w:t>
            </w:r>
            <w:r>
              <w:rPr>
                <w:rFonts w:hint="default" w:ascii="Times New Roman" w:hAnsi="Times New Roman" w:cs="Times New Roman"/>
                <w:color w:val="auto"/>
                <w:highlight w:val="none"/>
                <w:u w:val="none"/>
              </w:rPr>
              <w:t>量后，通过</w:t>
            </w:r>
            <w:r>
              <w:rPr>
                <w:rFonts w:hint="eastAsia" w:ascii="Times New Roman" w:hAnsi="Times New Roman" w:cs="Times New Roman"/>
                <w:color w:val="auto"/>
                <w:highlight w:val="none"/>
                <w:u w:val="none"/>
                <w:lang w:val="en-US" w:eastAsia="zh-CN"/>
              </w:rPr>
              <w:t>专业</w:t>
            </w:r>
            <w:r>
              <w:rPr>
                <w:rFonts w:hint="default" w:ascii="Times New Roman" w:hAnsi="Times New Roman" w:cs="Times New Roman"/>
                <w:color w:val="auto"/>
                <w:highlight w:val="none"/>
                <w:u w:val="none"/>
              </w:rPr>
              <w:t>泵车外运至君山区第二污水处理厂处置，尾水处理达到《城镇污水处理厂污染物排放标准》（GB18918-2002）中一级B标准后沿柳毅西路排入长江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3" w:type="pct"/>
            <w:gridSpan w:val="2"/>
            <w:tcBorders>
              <w:tl2br w:val="nil"/>
              <w:tr2bl w:val="nil"/>
            </w:tcBorders>
            <w:vAlign w:val="center"/>
          </w:tcPr>
          <w:p>
            <w:pPr>
              <w:adjustRightInd w:val="0"/>
              <w:snapToGrid w:val="0"/>
              <w:jc w:val="center"/>
              <w:rPr>
                <w:rFonts w:hint="default" w:ascii="Times New Roman" w:hAnsi="Times New Roman" w:cs="Times New Roman"/>
                <w:b w:val="0"/>
                <w:bCs w:val="0"/>
                <w:color w:val="auto"/>
                <w:u w:val="none"/>
                <w:lang w:val="zh-CN"/>
              </w:rPr>
            </w:pPr>
            <w:r>
              <w:rPr>
                <w:rFonts w:hint="default" w:ascii="Times New Roman" w:hAnsi="Times New Roman" w:cs="Times New Roman"/>
                <w:b w:val="0"/>
                <w:bCs w:val="0"/>
                <w:color w:val="auto"/>
                <w:u w:val="none"/>
                <w:lang w:val="zh-CN"/>
              </w:rPr>
              <w:t>合计</w:t>
            </w:r>
          </w:p>
        </w:tc>
        <w:tc>
          <w:tcPr>
            <w:tcW w:w="611" w:type="pct"/>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649.704</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none"/>
              </w:rPr>
            </w:pPr>
          </w:p>
        </w:tc>
        <w:tc>
          <w:tcPr>
            <w:tcW w:w="570" w:type="pc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513" w:type="pc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c>
          <w:tcPr>
            <w:tcW w:w="1977" w:type="pct"/>
            <w:tcBorders>
              <w:tl2br w:val="nil"/>
              <w:tr2bl w:val="nil"/>
            </w:tcBorders>
            <w:vAlign w:val="center"/>
          </w:tcPr>
          <w:p>
            <w:pPr>
              <w:adjustRightInd w:val="0"/>
              <w:snapToGrid w:val="0"/>
              <w:jc w:val="center"/>
              <w:rPr>
                <w:rFonts w:hint="default" w:ascii="Times New Roman" w:hAnsi="Times New Roman" w:cs="Times New Roman"/>
                <w:color w:val="auto"/>
                <w:u w:val="none"/>
                <w:lang w:val="zh-CN"/>
              </w:rPr>
            </w:pPr>
          </w:p>
        </w:tc>
      </w:tr>
    </w:tbl>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生产废水依托处理可行性</w:t>
      </w:r>
    </w:p>
    <w:p>
      <w:pPr>
        <w:adjustRightInd w:val="0"/>
        <w:snapToGrid w:val="0"/>
        <w:spacing w:line="360" w:lineRule="auto"/>
        <w:ind w:firstLine="480" w:firstLineChars="200"/>
        <w:jc w:val="both"/>
        <w:rPr>
          <w:rFonts w:hint="eastAsia" w:ascii="Times New Roman" w:hAnsi="Times New Roman" w:cs="Times New Roman" w:eastAsiaTheme="minorEastAsia"/>
          <w:color w:val="auto"/>
          <w:kern w:val="0"/>
          <w:sz w:val="24"/>
          <w:szCs w:val="24"/>
          <w:u w:val="single"/>
          <w:lang w:val="en-US" w:eastAsia="zh-CN"/>
        </w:rPr>
      </w:pPr>
      <w:r>
        <w:rPr>
          <w:rFonts w:hint="eastAsia" w:ascii="Times New Roman" w:hAnsi="Times New Roman" w:cs="Times New Roman" w:eastAsiaTheme="minorEastAsia"/>
          <w:color w:val="auto"/>
          <w:kern w:val="0"/>
          <w:sz w:val="24"/>
          <w:szCs w:val="24"/>
          <w:u w:val="single"/>
          <w:lang w:val="en-US" w:eastAsia="zh-CN"/>
        </w:rPr>
        <w:t>本项目生产过程主要产生的机修</w:t>
      </w:r>
      <w:r>
        <w:rPr>
          <w:rFonts w:hint="default" w:ascii="Times New Roman" w:hAnsi="Times New Roman" w:cs="Times New Roman" w:eastAsiaTheme="minorEastAsia"/>
          <w:color w:val="auto"/>
          <w:kern w:val="0"/>
          <w:sz w:val="24"/>
          <w:szCs w:val="24"/>
          <w:u w:val="single"/>
        </w:rPr>
        <w:t>含油污水</w:t>
      </w:r>
      <w:r>
        <w:rPr>
          <w:rFonts w:hint="eastAsia" w:ascii="Times New Roman" w:hAnsi="Times New Roman" w:cs="Times New Roman" w:eastAsiaTheme="minorEastAsia"/>
          <w:color w:val="auto"/>
          <w:sz w:val="24"/>
          <w:szCs w:val="24"/>
          <w:u w:val="single"/>
          <w:lang w:val="en-US" w:eastAsia="zh-CN"/>
        </w:rPr>
        <w:t>及</w:t>
      </w:r>
      <w:r>
        <w:rPr>
          <w:rFonts w:hint="default" w:ascii="Times New Roman" w:hAnsi="Times New Roman" w:cs="Times New Roman" w:eastAsiaTheme="minorEastAsia"/>
          <w:color w:val="auto"/>
          <w:kern w:val="0"/>
          <w:sz w:val="24"/>
          <w:szCs w:val="24"/>
          <w:u w:val="single"/>
        </w:rPr>
        <w:t>部分事故残液和事故消防液经</w:t>
      </w:r>
      <w:r>
        <w:rPr>
          <w:rFonts w:hint="eastAsia" w:ascii="Times New Roman" w:hAnsi="Times New Roman" w:cs="Times New Roman" w:eastAsiaTheme="minorEastAsia"/>
          <w:color w:val="auto"/>
          <w:kern w:val="0"/>
          <w:sz w:val="24"/>
          <w:szCs w:val="24"/>
          <w:u w:val="single"/>
          <w:lang w:eastAsia="zh-CN"/>
        </w:rPr>
        <w:t>污水收集箱</w:t>
      </w:r>
      <w:r>
        <w:rPr>
          <w:rFonts w:hint="default" w:ascii="Times New Roman" w:hAnsi="Times New Roman" w:cs="Times New Roman" w:eastAsiaTheme="minorEastAsia"/>
          <w:color w:val="auto"/>
          <w:kern w:val="0"/>
          <w:sz w:val="24"/>
          <w:szCs w:val="24"/>
          <w:u w:val="single"/>
        </w:rPr>
        <w:t>收集后，达到一定量后，通过</w:t>
      </w:r>
      <w:r>
        <w:rPr>
          <w:rFonts w:hint="eastAsia" w:ascii="Times New Roman" w:hAnsi="Times New Roman" w:cs="Times New Roman" w:eastAsiaTheme="minorEastAsia"/>
          <w:color w:val="auto"/>
          <w:kern w:val="0"/>
          <w:sz w:val="24"/>
          <w:szCs w:val="24"/>
          <w:u w:val="single"/>
          <w:lang w:val="en-US" w:eastAsia="zh-CN"/>
        </w:rPr>
        <w:t>专业</w:t>
      </w:r>
      <w:r>
        <w:rPr>
          <w:rFonts w:hint="default" w:ascii="Times New Roman" w:hAnsi="Times New Roman" w:cs="Times New Roman" w:eastAsiaTheme="minorEastAsia"/>
          <w:color w:val="auto"/>
          <w:kern w:val="0"/>
          <w:sz w:val="24"/>
          <w:szCs w:val="24"/>
          <w:u w:val="single"/>
        </w:rPr>
        <w:t>泵车外运至君山区第二污水处理厂处置，尾水处理达到《城镇污水处理厂污染物排放标准》（GB18918-2002）中一级B标准后沿柳毅西路排入长江</w:t>
      </w:r>
      <w:r>
        <w:rPr>
          <w:rFonts w:hint="eastAsia" w:ascii="Times New Roman" w:hAnsi="Times New Roman" w:cs="Times New Roman" w:eastAsiaTheme="minorEastAsia"/>
          <w:color w:val="auto"/>
          <w:kern w:val="0"/>
          <w:sz w:val="24"/>
          <w:szCs w:val="24"/>
          <w:u w:val="single"/>
          <w:lang w:eastAsia="zh-CN"/>
        </w:rPr>
        <w:t>。君山区第二污水处理厂位于君山区柳林洲镇三家店村，</w:t>
      </w:r>
      <w:r>
        <w:rPr>
          <w:rFonts w:hint="eastAsia" w:ascii="Times New Roman" w:hAnsi="Times New Roman" w:cs="Times New Roman" w:eastAsiaTheme="minorEastAsia"/>
          <w:color w:val="auto"/>
          <w:kern w:val="0"/>
          <w:sz w:val="24"/>
          <w:szCs w:val="24"/>
          <w:u w:val="single"/>
          <w:lang w:val="en-US" w:eastAsia="zh-CN"/>
        </w:rPr>
        <w:t>与本项目位置较近，交通便利，</w:t>
      </w:r>
      <w:r>
        <w:rPr>
          <w:rFonts w:hint="eastAsia" w:ascii="Times New Roman" w:hAnsi="Times New Roman" w:cs="Times New Roman" w:eastAsiaTheme="minorEastAsia"/>
          <w:color w:val="auto"/>
          <w:kern w:val="0"/>
          <w:sz w:val="24"/>
          <w:szCs w:val="24"/>
          <w:u w:val="single"/>
          <w:lang w:eastAsia="zh-CN"/>
        </w:rPr>
        <w:t>主要收集处理君山工业集中区荆江门片区生活污水和生产废水，设计处理规模为1万吨/d，采用预处理（格栅、沉砂、隔油沉淀＋气浮＋调节+UASB）＋改良A/A/O＋深度处理系统（高效沉淀池＋滤布滤池＋消毒）处理工艺。</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u w:val="single"/>
          <w:lang w:val="en-US" w:eastAsia="zh-CN"/>
        </w:rPr>
      </w:pPr>
      <w:r>
        <w:rPr>
          <w:rFonts w:hint="default" w:ascii="Times New Roman" w:hAnsi="Times New Roman" w:cs="Times New Roman" w:eastAsiaTheme="minorEastAsia"/>
          <w:color w:val="auto"/>
          <w:kern w:val="0"/>
          <w:sz w:val="24"/>
          <w:szCs w:val="24"/>
          <w:u w:val="single"/>
        </w:rPr>
        <w:t>根据《岳阳市港口码头和船舶污染物接收、转运及处置设施建设工作方案》，目前在云溪区、岳阳县、湘阴县、华容县分别建设1处船舶污染物收集点，在岳阳楼区建设2处船舶污染物收集点，服务范围基本覆盖</w:t>
      </w:r>
      <w:r>
        <w:rPr>
          <w:rFonts w:hint="default" w:ascii="Times New Roman" w:hAnsi="Times New Roman" w:cs="Times New Roman" w:eastAsiaTheme="minorEastAsia"/>
          <w:color w:val="auto"/>
          <w:kern w:val="0"/>
          <w:sz w:val="24"/>
          <w:szCs w:val="24"/>
          <w:u w:val="single"/>
          <w:lang w:val="en-US" w:eastAsia="zh-CN"/>
        </w:rPr>
        <w:t>长江、湘江及东洞庭湖大部分水域，负责收集转运沿江港口及船舶污染物（含油污水、生活污水、船舶垃圾）。</w:t>
      </w:r>
      <w:r>
        <w:rPr>
          <w:rFonts w:hint="eastAsia" w:ascii="Times New Roman" w:hAnsi="Times New Roman" w:cs="Times New Roman" w:eastAsiaTheme="minorEastAsia"/>
          <w:color w:val="auto"/>
          <w:kern w:val="0"/>
          <w:sz w:val="24"/>
          <w:szCs w:val="24"/>
          <w:u w:val="single"/>
          <w:lang w:val="en-US" w:eastAsia="zh-CN"/>
        </w:rPr>
        <w:t>本项目所加注的到港船舶产生的</w:t>
      </w:r>
      <w:r>
        <w:rPr>
          <w:rFonts w:hint="default" w:ascii="Times New Roman" w:hAnsi="Times New Roman" w:cs="Times New Roman" w:eastAsiaTheme="minorEastAsia"/>
          <w:color w:val="auto"/>
          <w:kern w:val="0"/>
          <w:sz w:val="24"/>
          <w:szCs w:val="24"/>
          <w:u w:val="single"/>
          <w:lang w:val="en-US" w:eastAsia="zh-CN"/>
        </w:rPr>
        <w:t>船舶油污水</w:t>
      </w:r>
      <w:r>
        <w:rPr>
          <w:rFonts w:hint="eastAsia" w:ascii="Times New Roman" w:hAnsi="Times New Roman" w:cs="Times New Roman" w:eastAsiaTheme="minorEastAsia"/>
          <w:color w:val="auto"/>
          <w:kern w:val="0"/>
          <w:sz w:val="24"/>
          <w:szCs w:val="24"/>
          <w:u w:val="single"/>
          <w:lang w:val="en-US" w:eastAsia="zh-CN"/>
        </w:rPr>
        <w:t>、</w:t>
      </w:r>
      <w:r>
        <w:rPr>
          <w:rFonts w:hint="default" w:ascii="Times New Roman" w:hAnsi="Times New Roman" w:cs="Times New Roman" w:eastAsiaTheme="minorEastAsia"/>
          <w:color w:val="auto"/>
          <w:kern w:val="0"/>
          <w:sz w:val="24"/>
          <w:szCs w:val="24"/>
          <w:u w:val="single"/>
          <w:lang w:val="zh-CN" w:eastAsia="zh-CN"/>
        </w:rPr>
        <w:t>船舶生活污水</w:t>
      </w:r>
      <w:r>
        <w:rPr>
          <w:rFonts w:hint="eastAsia" w:ascii="Times New Roman" w:hAnsi="Times New Roman" w:cs="Times New Roman" w:eastAsiaTheme="minorEastAsia"/>
          <w:color w:val="auto"/>
          <w:kern w:val="0"/>
          <w:sz w:val="24"/>
          <w:szCs w:val="24"/>
          <w:u w:val="single"/>
          <w:lang w:val="en-US" w:eastAsia="zh-CN"/>
        </w:rPr>
        <w:t>和生活垃圾均可就近在</w:t>
      </w:r>
      <w:r>
        <w:rPr>
          <w:rFonts w:hint="default" w:ascii="Times New Roman" w:hAnsi="Times New Roman" w:cs="Times New Roman" w:eastAsiaTheme="minorEastAsia"/>
          <w:color w:val="auto"/>
          <w:kern w:val="0"/>
          <w:sz w:val="24"/>
          <w:szCs w:val="24"/>
          <w:u w:val="single"/>
          <w:lang w:val="en-US" w:eastAsia="zh-CN"/>
        </w:rPr>
        <w:t>岳阳楼区</w:t>
      </w:r>
      <w:r>
        <w:rPr>
          <w:rFonts w:hint="eastAsia" w:ascii="Times New Roman" w:hAnsi="Times New Roman" w:cs="Times New Roman" w:eastAsiaTheme="minorEastAsia"/>
          <w:color w:val="auto"/>
          <w:kern w:val="0"/>
          <w:sz w:val="24"/>
          <w:szCs w:val="24"/>
          <w:u w:val="single"/>
          <w:lang w:val="en-US" w:eastAsia="zh-CN"/>
        </w:rPr>
        <w:t>上岸，并交由有资质的单位接收处理。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u w:val="single"/>
          <w:lang w:val="en-US" w:eastAsia="zh-CN"/>
        </w:rPr>
        <w:t>因此，项目</w:t>
      </w:r>
      <w:r>
        <w:rPr>
          <w:rFonts w:hint="eastAsia" w:ascii="Times New Roman" w:hAnsi="Times New Roman" w:cs="Times New Roman" w:eastAsiaTheme="minorEastAsia"/>
          <w:color w:val="auto"/>
          <w:kern w:val="0"/>
          <w:sz w:val="24"/>
          <w:szCs w:val="24"/>
          <w:u w:val="single"/>
          <w:lang w:val="en-US" w:eastAsia="zh-CN"/>
        </w:rPr>
        <w:t>到港船舶的</w:t>
      </w:r>
      <w:r>
        <w:rPr>
          <w:rFonts w:hint="default" w:ascii="Times New Roman" w:hAnsi="Times New Roman" w:cs="Times New Roman" w:eastAsiaTheme="minorEastAsia"/>
          <w:color w:val="auto"/>
          <w:kern w:val="0"/>
          <w:sz w:val="24"/>
          <w:szCs w:val="24"/>
          <w:u w:val="single"/>
          <w:lang w:val="en-US" w:eastAsia="zh-CN"/>
        </w:rPr>
        <w:t>生产废水依托污染物接收船收集转运处理可行</w:t>
      </w:r>
      <w:r>
        <w:rPr>
          <w:rFonts w:hint="eastAsia" w:ascii="Times New Roman" w:hAnsi="Times New Roman" w:cs="Times New Roman" w:eastAsiaTheme="minorEastAsia"/>
          <w:color w:val="auto"/>
          <w:kern w:val="0"/>
          <w:sz w:val="24"/>
          <w:szCs w:val="24"/>
          <w:u w:val="single"/>
          <w:lang w:val="en-US" w:eastAsia="zh-CN"/>
        </w:rPr>
        <w:t>，机修含油污水</w:t>
      </w:r>
      <w:r>
        <w:rPr>
          <w:rFonts w:hint="eastAsia" w:ascii="Times New Roman" w:hAnsi="Times New Roman" w:cs="Times New Roman" w:eastAsiaTheme="minorEastAsia"/>
          <w:color w:val="auto"/>
          <w:sz w:val="24"/>
          <w:szCs w:val="24"/>
          <w:u w:val="single"/>
          <w:lang w:val="en-US" w:eastAsia="zh-CN"/>
        </w:rPr>
        <w:t>及</w:t>
      </w:r>
      <w:r>
        <w:rPr>
          <w:rFonts w:hint="default" w:ascii="Times New Roman" w:hAnsi="Times New Roman" w:cs="Times New Roman" w:eastAsiaTheme="minorEastAsia"/>
          <w:color w:val="auto"/>
          <w:kern w:val="0"/>
          <w:sz w:val="24"/>
          <w:szCs w:val="24"/>
          <w:u w:val="single"/>
        </w:rPr>
        <w:t>部分事故残液和事故消防液</w:t>
      </w:r>
      <w:r>
        <w:rPr>
          <w:rFonts w:hint="eastAsia" w:ascii="Times New Roman" w:hAnsi="Times New Roman" w:cs="Times New Roman" w:eastAsiaTheme="minorEastAsia"/>
          <w:color w:val="auto"/>
          <w:kern w:val="0"/>
          <w:sz w:val="24"/>
          <w:szCs w:val="24"/>
          <w:u w:val="single"/>
          <w:lang w:val="en-US" w:eastAsia="zh-CN"/>
        </w:rPr>
        <w:t>通过专业</w:t>
      </w:r>
      <w:r>
        <w:rPr>
          <w:rFonts w:hint="default" w:ascii="Times New Roman" w:hAnsi="Times New Roman" w:cs="Times New Roman" w:eastAsiaTheme="minorEastAsia"/>
          <w:color w:val="auto"/>
          <w:kern w:val="0"/>
          <w:sz w:val="24"/>
          <w:szCs w:val="24"/>
          <w:u w:val="single"/>
          <w:lang w:val="en-US" w:eastAsia="zh-CN"/>
        </w:rPr>
        <w:t>泵车外运至君山区第二污水处理厂处置</w:t>
      </w:r>
      <w:r>
        <w:rPr>
          <w:rFonts w:hint="eastAsia" w:ascii="Times New Roman" w:hAnsi="Times New Roman" w:cs="Times New Roman" w:eastAsiaTheme="minorEastAsia"/>
          <w:color w:val="auto"/>
          <w:kern w:val="0"/>
          <w:sz w:val="24"/>
          <w:szCs w:val="24"/>
          <w:u w:val="single"/>
          <w:lang w:val="en-US" w:eastAsia="zh-CN"/>
        </w:rPr>
        <w:t>可行</w:t>
      </w:r>
      <w:r>
        <w:rPr>
          <w:rFonts w:hint="default" w:ascii="Times New Roman" w:hAnsi="Times New Roman" w:cs="Times New Roman" w:eastAsiaTheme="minorEastAsia"/>
          <w:color w:val="auto"/>
          <w:kern w:val="0"/>
          <w:sz w:val="24"/>
          <w:szCs w:val="24"/>
          <w:u w:val="single"/>
          <w:lang w:val="en-US" w:eastAsia="zh-CN"/>
        </w:rPr>
        <w:t>。</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噪声治理措施合理性分析</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减噪效果分析</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几种声学控制技术的适用场合及减噪效果见表10.2-2。</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表10.2-2  声学控制技术的适用场合及减噪效果</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03"/>
        <w:gridCol w:w="1867"/>
        <w:gridCol w:w="3946"/>
        <w:gridCol w:w="22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1"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序号</w:t>
            </w:r>
          </w:p>
        </w:tc>
        <w:tc>
          <w:tcPr>
            <w:tcW w:w="1026"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控制措施</w:t>
            </w:r>
          </w:p>
        </w:tc>
        <w:tc>
          <w:tcPr>
            <w:tcW w:w="2168"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使用场合</w:t>
            </w:r>
          </w:p>
        </w:tc>
        <w:tc>
          <w:tcPr>
            <w:tcW w:w="1253"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减噪效果dB/(A)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w:t>
            </w:r>
          </w:p>
        </w:tc>
        <w:tc>
          <w:tcPr>
            <w:tcW w:w="102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隔振</w:t>
            </w:r>
          </w:p>
        </w:tc>
        <w:tc>
          <w:tcPr>
            <w:tcW w:w="21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机械振动厉害</w:t>
            </w:r>
          </w:p>
        </w:tc>
        <w:tc>
          <w:tcPr>
            <w:tcW w:w="125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5~25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1"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w:t>
            </w:r>
          </w:p>
        </w:tc>
        <w:tc>
          <w:tcPr>
            <w:tcW w:w="1026"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减振</w:t>
            </w:r>
          </w:p>
        </w:tc>
        <w:tc>
          <w:tcPr>
            <w:tcW w:w="21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设备金属外壳、管道等振动噪声严重</w:t>
            </w:r>
          </w:p>
        </w:tc>
        <w:tc>
          <w:tcPr>
            <w:tcW w:w="1253"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5~15</w:t>
            </w:r>
          </w:p>
        </w:tc>
      </w:tr>
    </w:tbl>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经济技术可行性分析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本项目采取的噪声治理措施预测减噪效果为5~10dB(A)，对比表10.2-2，降噪效果是可行的，且本项目的噪声源主要为泵、压缩机等，采用建筑隔声和管道柔性连接等措施，在技术上是可行的。</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废气治理措施合理性分析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大气环境影响预测结果表明，本项目建成后，正常工作状态下，各物质排放不会对大气环境质量和关心点产生影响，在技术上是可行的。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在船的呼吸排放口安装回收冷凝装置或吸附装置，回收率或去除率大于80%。本项目的其他废气治理措施基本上属于工艺部分，主要在设备和材料选择时需考虑减少废气排放量，投资费用纳入到总投资中，在经济上是可行的。</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固体废物处理措施合理性分析</w:t>
      </w:r>
    </w:p>
    <w:p>
      <w:pPr>
        <w:adjustRightInd w:val="0"/>
        <w:snapToGrid w:val="0"/>
        <w:spacing w:line="360" w:lineRule="auto"/>
        <w:ind w:firstLine="480" w:firstLineChars="200"/>
        <w:rPr>
          <w:rFonts w:hint="eastAsia" w:ascii="Times New Roman" w:hAnsi="Times New Roman" w:cs="Times New Roman" w:eastAsiaTheme="minorEastAsia"/>
          <w:color w:val="auto"/>
          <w:kern w:val="0"/>
          <w:sz w:val="24"/>
          <w:szCs w:val="24"/>
          <w:lang w:eastAsia="zh-CN"/>
        </w:rPr>
      </w:pPr>
      <w:r>
        <w:rPr>
          <w:rFonts w:hint="default" w:ascii="Times New Roman" w:hAnsi="Times New Roman" w:cs="Times New Roman" w:eastAsiaTheme="minorEastAsia"/>
          <w:color w:val="auto"/>
          <w:kern w:val="0"/>
          <w:sz w:val="24"/>
          <w:szCs w:val="24"/>
        </w:rPr>
        <w:t>⑴ 陆域生活垃圾收集后送市垃圾处理厂统一处理</w:t>
      </w:r>
      <w:r>
        <w:rPr>
          <w:rFonts w:hint="eastAsia" w:ascii="Times New Roman" w:hAnsi="Times New Roman" w:cs="Times New Roman" w:eastAsiaTheme="minorEastAsia"/>
          <w:color w:val="auto"/>
          <w:kern w:val="0"/>
          <w:sz w:val="24"/>
          <w:szCs w:val="24"/>
          <w:lang w:eastAsia="zh-CN"/>
        </w:rPr>
        <w:t>；</w:t>
      </w:r>
    </w:p>
    <w:p>
      <w:pPr>
        <w:adjustRightInd w:val="0"/>
        <w:snapToGrid w:val="0"/>
        <w:spacing w:line="360" w:lineRule="auto"/>
        <w:ind w:firstLine="480" w:firstLineChars="200"/>
        <w:rPr>
          <w:rFonts w:hint="eastAsia" w:ascii="Times New Roman" w:hAnsi="Times New Roman" w:cs="Times New Roman" w:eastAsiaTheme="minorEastAsia"/>
          <w:color w:val="auto"/>
          <w:kern w:val="0"/>
          <w:sz w:val="24"/>
          <w:szCs w:val="24"/>
          <w:lang w:eastAsia="zh-CN"/>
        </w:rPr>
      </w:pPr>
      <w:r>
        <w:rPr>
          <w:rFonts w:hint="default" w:ascii="Times New Roman" w:hAnsi="Times New Roman" w:cs="Times New Roman" w:eastAsiaTheme="minorEastAsia"/>
          <w:color w:val="auto"/>
          <w:kern w:val="0"/>
          <w:sz w:val="24"/>
          <w:szCs w:val="24"/>
        </w:rPr>
        <w:t>⑵ 船舶生活垃圾禁止随意排放，应由有资质的污染物接收船收集后处理</w:t>
      </w:r>
      <w:r>
        <w:rPr>
          <w:rFonts w:hint="eastAsia" w:ascii="Times New Roman" w:hAnsi="Times New Roman" w:cs="Times New Roman" w:eastAsiaTheme="minorEastAsia"/>
          <w:color w:val="auto"/>
          <w:kern w:val="0"/>
          <w:sz w:val="24"/>
          <w:szCs w:val="24"/>
          <w:lang w:eastAsia="zh-CN"/>
        </w:rPr>
        <w:t>；</w:t>
      </w:r>
    </w:p>
    <w:p>
      <w:pPr>
        <w:adjustRightInd w:val="0"/>
        <w:snapToGrid w:val="0"/>
        <w:spacing w:line="360" w:lineRule="auto"/>
        <w:ind w:firstLine="480" w:firstLineChars="200"/>
        <w:rPr>
          <w:rFonts w:hint="eastAsia" w:ascii="Times New Roman" w:hAnsi="Times New Roman" w:cs="Times New Roman" w:eastAsiaTheme="minorEastAsia"/>
          <w:color w:val="auto"/>
          <w:kern w:val="0"/>
          <w:sz w:val="24"/>
          <w:szCs w:val="24"/>
          <w:lang w:eastAsia="zh-CN"/>
        </w:rPr>
      </w:pPr>
      <w:r>
        <w:rPr>
          <w:rFonts w:hint="default" w:ascii="Times New Roman" w:hAnsi="Times New Roman" w:cs="Times New Roman" w:eastAsiaTheme="minorEastAsia"/>
          <w:color w:val="auto"/>
          <w:kern w:val="0"/>
          <w:sz w:val="24"/>
          <w:szCs w:val="24"/>
        </w:rPr>
        <w:t>⑶ 工程擦洗用的含油棉纱、抹布等，可混入生活垃圾一并处理</w:t>
      </w:r>
      <w:r>
        <w:rPr>
          <w:rFonts w:hint="eastAsia" w:ascii="Times New Roman" w:hAnsi="Times New Roman" w:cs="Times New Roman" w:eastAsiaTheme="minorEastAsia"/>
          <w:color w:val="auto"/>
          <w:kern w:val="0"/>
          <w:sz w:val="24"/>
          <w:szCs w:val="24"/>
          <w:lang w:eastAsia="zh-CN"/>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疫区船舶生活垃圾如需岸上接收，需经卫生防疫主管部门检疫后并经海事部门批准，由污染物接收船接收送至指定的焚烧厂处理。</w:t>
      </w:r>
    </w:p>
    <w:p>
      <w:pPr>
        <w:pStyle w:val="3"/>
        <w:ind w:left="578" w:hanging="578"/>
        <w:rPr>
          <w:rFonts w:hint="default" w:ascii="Times New Roman" w:hAnsi="Times New Roman" w:cs="Times New Roman" w:eastAsiaTheme="minorEastAsia"/>
          <w:b/>
          <w:color w:val="auto"/>
        </w:rPr>
      </w:pPr>
      <w:bookmarkStart w:id="144" w:name="_Toc27184"/>
      <w:bookmarkStart w:id="145" w:name="_Toc24015"/>
      <w:r>
        <w:rPr>
          <w:rFonts w:hint="default" w:ascii="Times New Roman" w:hAnsi="Times New Roman" w:cs="Times New Roman" w:eastAsiaTheme="minorEastAsia"/>
          <w:b/>
          <w:color w:val="auto"/>
        </w:rPr>
        <w:t>清洁生产与总量控制</w:t>
      </w:r>
      <w:bookmarkEnd w:id="144"/>
      <w:bookmarkEnd w:id="145"/>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清洁生产</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清洁生产是指不断采取改进设计、使用清洁的能源和原料、采用先进的工艺技术与设备、改进管理、综合利用，从源头削减污染、提高资源利用效率，减少或者避免生产、服务和产品使用过程中污染物的产生和排放，以减轻或者消除对人类健康和环境的危害。</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清洁生产评价的指标包括生产工艺与装备要求、资源能源利用指标、产品指标、污染物产生指标、废物回收利用指标及环境管理要求。</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建设属于非污染型基础设施建设项目。码头的生产功能是某些特定物料的装卸、仓储和转运。物料的装卸、仓储和转运过程的产污环节是影响码头清洁生产的主要因素。码头不涉及对物料的加工、处理或产品转化，一般情况下，整个生产过程不会改变物料的理化性质和状态，所以码头建设项目的清洁生产评价不同于工业建设项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鉴于目前尚未制定码头建设项目清洁生产评价的统一行业标准和方法。按照工业建设项目清洁生产评价的技术路线，评价将结合码头工程的实际情况，通过对项目装卸工艺优化水平的判别、自动化控制水平分析和清洁生产措施的分析，说明项目的清洁生产水平。</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码头装卸工艺水平</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本项目采取“专管专用”原则，每种物料设置若干个独立的工艺单元，每个工艺单元具有独立的物料进出管线和控制阀门，实现每种物料采用专用管线，可大幅度降低更换货种时管道扫线产生的废气污染。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码头工艺装卸设备全部采用装卸臂进行物料的输送。采用装卸臂设施作业，可有效降低由于装卸货船摆动等因素造成装卸管道脱落、断裂等带来的物料泄漏及事故发生概率，从而可尽量减少装卸泄漏量，增加了安全防火性，并大幅度降低油品泄漏对长江水体带来的影响。该连接方法属于目前国内多采用的先进工艺。</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岳阳液化天然气有限公司对装卸设备、工艺管线等装置的规格、材质要求较高，可保证项目装卸设备、工艺管线及配套设施处于国内液体化工品内河码头的先进水平。高质量高标准的装备可基本杜绝项目运营过程中的跑、冒、滴、漏现象。</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从清洁生产角度，本项目装卸储运工艺达到国内本行业先进水平。</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自动化控制技术水平</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装卸臂采用液压控制系统，装卸臂漂移报警信号和液压装置报警信号，表示装卸臂位置超限和液压装置故障，当发生故障时可以就地声光报警。</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根据输送物料特性配备可燃性、有毒性气体监控探测器，气体探测器通过电缆将现场可燃气体浓度值信息，传送到码头消防控制室气体探测报警控制器。码头配备可燃性气体监控探测器2套；有毒性气体监控探测器2套。</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新建的每条管线设置紧急切断阀及配备设施一套，从发生紧急事故到完全切断物料输送响应时间小于15s，可有效控制事故带来的污染。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码头作业区设置电视监视系统，监控室设置在后方消防泵房及变电所内。消防炮塔上各设置一台摄像机，在消防泵房及变电所消防控制室设置两台监视器，摄像机配有电动云台和变焦镜头。</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在码头上每隔一定距离设置手动报警按钮和报警器，消防控制室内也设有手动报警按钮和报警器，码头手动报警信号表示码头区出现火灾、泄漏等危险情况，上述两种报警信号分别接入设在码头控制室内的消防控制区域报警控制器。</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⑹ 通过设置自动化系统，实现对码头作业的监控管理；实现对装卸作业的定量、程序控制及严格的装船业务管理；对岗位巡检情况进行管理；对现场可燃气体浓度检测、消防报警和消防灭火进行实时监控；对重点部位进行视频监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⑺ 进出港口船舶的船舱监测孔处安装高位液体报警仪，可以监控船舱内化学品液体高位，防止船舶出现化学品泄漏事故，并提高装卸效率。</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⑹ 每个装卸臂1.5m范围内安装2只可燃气体报警仪，可以防止出现可燃气体泄漏而产生火灾爆炸事故。</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以上自动控制及事故防范措施均为国内目前码头普遍采用的较成熟的控制技术，能及时控制事故污染，降低事故发生概率，有利于清洁生产。</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污染控制措施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污水治理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① 本项目生活污水、初期雨水经污水</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箱</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后，再泵送至岳阳LNG接收站（储备中心）项目</w:t>
      </w:r>
      <w:r>
        <w:rPr>
          <w:rFonts w:hint="eastAsia" w:ascii="Times New Roman" w:hAnsi="Times New Roman" w:cs="Times New Roman" w:eastAsiaTheme="minorEastAsia"/>
          <w:color w:val="auto"/>
          <w:kern w:val="0"/>
          <w:sz w:val="24"/>
          <w:szCs w:val="24"/>
          <w:lang w:val="en-US" w:eastAsia="zh-CN"/>
        </w:rPr>
        <w:t>一期工程</w:t>
      </w:r>
      <w:r>
        <w:rPr>
          <w:rFonts w:hint="default" w:ascii="Times New Roman" w:hAnsi="Times New Roman" w:cs="Times New Roman" w:eastAsiaTheme="minorEastAsia"/>
          <w:color w:val="auto"/>
          <w:kern w:val="0"/>
          <w:sz w:val="24"/>
          <w:szCs w:val="24"/>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kern w:val="0"/>
          <w:sz w:val="24"/>
          <w:szCs w:val="24"/>
          <w:lang w:val="en-US" w:eastAsia="zh-CN"/>
        </w:rPr>
        <w:t>不外排</w:t>
      </w:r>
      <w:r>
        <w:rPr>
          <w:rFonts w:hint="default" w:ascii="Times New Roman" w:hAnsi="Times New Roman" w:cs="Times New Roman" w:eastAsiaTheme="minorEastAsia"/>
          <w:color w:val="auto"/>
          <w:kern w:val="0"/>
          <w:sz w:val="24"/>
          <w:szCs w:val="24"/>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② 本项目产生的</w:t>
      </w:r>
      <w:r>
        <w:rPr>
          <w:rFonts w:hint="eastAsia" w:ascii="Times New Roman" w:hAnsi="Times New Roman" w:cs="Times New Roman" w:eastAsiaTheme="minorEastAsia"/>
          <w:color w:val="auto"/>
          <w:kern w:val="0"/>
          <w:sz w:val="24"/>
          <w:szCs w:val="24"/>
          <w:lang w:val="en-US" w:eastAsia="zh-CN"/>
        </w:rPr>
        <w:t>机修</w:t>
      </w:r>
      <w:r>
        <w:rPr>
          <w:rFonts w:hint="default" w:ascii="Times New Roman" w:hAnsi="Times New Roman" w:cs="Times New Roman" w:eastAsiaTheme="minorEastAsia"/>
          <w:color w:val="auto"/>
          <w:kern w:val="0"/>
          <w:sz w:val="24"/>
          <w:szCs w:val="24"/>
        </w:rPr>
        <w:t>含油污水</w:t>
      </w:r>
      <w:r>
        <w:rPr>
          <w:rFonts w:hint="eastAsia" w:ascii="Times New Roman" w:hAnsi="Times New Roman" w:cs="Times New Roman" w:eastAsiaTheme="minorEastAsia"/>
          <w:color w:val="auto"/>
          <w:kern w:val="0"/>
          <w:sz w:val="24"/>
          <w:szCs w:val="24"/>
          <w:lang w:val="en-US" w:eastAsia="zh-CN"/>
        </w:rPr>
        <w:t>及</w:t>
      </w:r>
      <w:r>
        <w:rPr>
          <w:rFonts w:hint="default" w:ascii="Times New Roman" w:hAnsi="Times New Roman" w:cs="Times New Roman" w:eastAsiaTheme="minorEastAsia"/>
          <w:color w:val="auto"/>
          <w:kern w:val="0"/>
          <w:sz w:val="24"/>
          <w:szCs w:val="24"/>
        </w:rPr>
        <w:t>部分事故残液和事故消防液经污水收集箱收集后，达到一定量后，通过</w:t>
      </w:r>
      <w:r>
        <w:rPr>
          <w:rFonts w:hint="eastAsia" w:ascii="Times New Roman" w:hAnsi="Times New Roman" w:cs="Times New Roman" w:eastAsiaTheme="minorEastAsia"/>
          <w:color w:val="auto"/>
          <w:kern w:val="0"/>
          <w:sz w:val="24"/>
          <w:szCs w:val="24"/>
          <w:lang w:val="en-US" w:eastAsia="zh-CN"/>
        </w:rPr>
        <w:t>专业</w:t>
      </w:r>
      <w:r>
        <w:rPr>
          <w:rFonts w:hint="default" w:ascii="Times New Roman" w:hAnsi="Times New Roman" w:cs="Times New Roman" w:eastAsiaTheme="minorEastAsia"/>
          <w:color w:val="auto"/>
          <w:kern w:val="0"/>
          <w:sz w:val="24"/>
          <w:szCs w:val="24"/>
        </w:rPr>
        <w:t>泵车外运至君山区第二污水处理厂处置，本项目采用泵车运输含油废水的次数约2~3次/年，尾水处理达到《城镇污水处理厂污染物排放标准》（GB18918-2002）中一级B标准后沿柳毅西路排入长江。</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③ 在输液管道接头下安放接液盘、收集跑、冒、滴、漏。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 xml:space="preserve">⑵ 噪声治理 </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采用宏观管理控制车、船的鸣号声；设备采用低噪声产品，并视具体情况设置消声器、减振垫等措施控制噪声；到港船舶尽量减少鸣笛。</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对于噪声污染在设计中尽量选用低噪声设备，对管道则采用消声处理，泵、空压机应置于室内，并对门窗进行密封等隔声处理。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上述措施是国内目前普遍推荐采用的防治措施，实际证明，该方法效果明显。</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本项目良好的装卸工艺、设备基本杜绝了装卸过程中的跑、冒、滴、漏现象，基本杜绝了装卸过程中对周围环境造成的污染影响。</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⑸ 在燃料油装卸作业时必须提前敷设好围油栏、装卸臂报警装置、紧急切断阀和自动化控制设施等措施的落实可最大限度降低污染事故的发生概率和控制事故带来的影响程度。</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拟建项目污染较小，在落实本评价提出的污染防治措施后，项目能够完全做到达标排放，满足清洁生产要求。</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清洁生产结论</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参照工业建设项目清洁生产评价等级和指标总体评价分值要求（见表10.3-1），本项目生产工艺先进，污染物量小，污染物满足达标排放要求，总体而言，清洁生产为国内先进水平。</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表10.3-1  清洁生产指标总体评价分值要求</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029"/>
        <w:gridCol w:w="3030"/>
        <w:gridCol w:w="30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序号</w:t>
            </w:r>
          </w:p>
        </w:tc>
        <w:tc>
          <w:tcPr>
            <w:tcW w:w="1665"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项目</w:t>
            </w:r>
          </w:p>
        </w:tc>
        <w:tc>
          <w:tcPr>
            <w:tcW w:w="1669" w:type="pct"/>
            <w:tcBorders>
              <w:tl2br w:val="nil"/>
              <w:tr2bl w:val="nil"/>
            </w:tcBorders>
            <w:vAlign w:val="center"/>
          </w:tcPr>
          <w:p>
            <w:pPr>
              <w:adjustRightInd w:val="0"/>
              <w:snapToGrid w:val="0"/>
              <w:jc w:val="center"/>
              <w:rPr>
                <w:rFonts w:hint="default" w:ascii="Times New Roman" w:hAnsi="Times New Roman" w:cs="Times New Roman"/>
                <w:b/>
                <w:bCs/>
                <w:color w:val="auto"/>
                <w:kern w:val="0"/>
              </w:rPr>
            </w:pPr>
            <w:r>
              <w:rPr>
                <w:rFonts w:hint="default" w:ascii="Times New Roman" w:hAnsi="Times New Roman" w:cs="Times New Roman"/>
                <w:b/>
                <w:bCs/>
                <w:color w:val="auto"/>
                <w:kern w:val="0"/>
              </w:rPr>
              <w:t>指标分数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1</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国内先进</w:t>
            </w:r>
          </w:p>
        </w:tc>
        <w:tc>
          <w:tcPr>
            <w:tcW w:w="166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2</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传统先进</w:t>
            </w:r>
          </w:p>
        </w:tc>
        <w:tc>
          <w:tcPr>
            <w:tcW w:w="166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70~80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3</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一般</w:t>
            </w:r>
          </w:p>
        </w:tc>
        <w:tc>
          <w:tcPr>
            <w:tcW w:w="166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55~70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4</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落后</w:t>
            </w:r>
          </w:p>
        </w:tc>
        <w:tc>
          <w:tcPr>
            <w:tcW w:w="166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40~55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5</w:t>
            </w:r>
          </w:p>
        </w:tc>
        <w:tc>
          <w:tcPr>
            <w:tcW w:w="1665"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淘汰</w:t>
            </w:r>
          </w:p>
        </w:tc>
        <w:tc>
          <w:tcPr>
            <w:tcW w:w="1669" w:type="pct"/>
            <w:tcBorders>
              <w:tl2br w:val="nil"/>
              <w:tr2bl w:val="nil"/>
            </w:tcBorders>
            <w:vAlign w:val="center"/>
          </w:tcPr>
          <w:p>
            <w:pPr>
              <w:adjustRightInd w:val="0"/>
              <w:snapToGrid w:val="0"/>
              <w:jc w:val="center"/>
              <w:rPr>
                <w:rFonts w:hint="default" w:ascii="Times New Roman" w:hAnsi="Times New Roman" w:cs="Times New Roman"/>
                <w:color w:val="auto"/>
                <w:kern w:val="0"/>
              </w:rPr>
            </w:pPr>
            <w:r>
              <w:rPr>
                <w:rFonts w:hint="default" w:ascii="Times New Roman" w:hAnsi="Times New Roman" w:cs="Times New Roman"/>
                <w:color w:val="auto"/>
                <w:kern w:val="0"/>
              </w:rPr>
              <w:t>＜40</w:t>
            </w:r>
          </w:p>
        </w:tc>
      </w:tr>
    </w:tbl>
    <w:p>
      <w:pPr>
        <w:adjustRightInd w:val="0"/>
        <w:snapToGrid w:val="0"/>
        <w:spacing w:line="360" w:lineRule="auto"/>
        <w:ind w:firstLine="482" w:firstLineChars="200"/>
        <w:jc w:val="left"/>
        <w:rPr>
          <w:rFonts w:hint="default" w:ascii="Times New Roman" w:hAnsi="Times New Roman" w:cs="Times New Roman" w:eastAsiaTheme="minorEastAsia"/>
          <w:b/>
          <w:color w:val="auto"/>
          <w:sz w:val="24"/>
          <w:szCs w:val="24"/>
        </w:rPr>
      </w:pP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污染物排放总量控制</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总量控制分析主要是通过对拟建项目排放总量的核算，确定本项目主要污染物排放总量控制指标。</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总量控制目的原则</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目前环境管理所实施的是区域污染物排放总量控制，即区域排污量在一定时期内不得突破一定量。因此</w:t>
      </w:r>
      <w:r>
        <w:rPr>
          <w:rFonts w:hint="eastAsia" w:ascii="Times New Roman" w:hAnsi="Times New Roman" w:cs="Times New Roman" w:eastAsiaTheme="minorEastAsia"/>
          <w:color w:val="auto"/>
          <w:kern w:val="0"/>
          <w:sz w:val="24"/>
          <w:szCs w:val="24"/>
          <w:lang w:eastAsia="zh-CN"/>
        </w:rPr>
        <w:t>，</w:t>
      </w:r>
      <w:r>
        <w:rPr>
          <w:rFonts w:hint="default" w:ascii="Times New Roman" w:hAnsi="Times New Roman" w:cs="Times New Roman" w:eastAsiaTheme="minorEastAsia"/>
          <w:color w:val="auto"/>
          <w:kern w:val="0"/>
          <w:sz w:val="24"/>
          <w:szCs w:val="24"/>
        </w:rPr>
        <w:t>建设项目的总量控制应以不突破区域总量为目的，将项目纳入其所在区域中，对项目自身及区域总量情况进行分析。</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污染物总量控制范围及目标</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val="en-US" w:eastAsia="zh-CN"/>
        </w:rPr>
        <w:t>本</w:t>
      </w:r>
      <w:r>
        <w:rPr>
          <w:rFonts w:hint="default" w:ascii="Times New Roman" w:hAnsi="Times New Roman" w:cs="Times New Roman" w:eastAsiaTheme="minorEastAsia"/>
          <w:color w:val="auto"/>
          <w:kern w:val="0"/>
          <w:sz w:val="24"/>
          <w:szCs w:val="24"/>
        </w:rPr>
        <w:t>项目位于岳阳市君山港区，本项目总量控制的范围应立足于君山港区总量。总量控制目标为不突破君山港区排污总量。</w:t>
      </w:r>
    </w:p>
    <w:p>
      <w:pPr>
        <w:pStyle w:val="5"/>
        <w:ind w:left="578" w:hanging="578"/>
        <w:rPr>
          <w:rFonts w:hint="default" w:ascii="Times New Roman" w:hAnsi="Times New Roman" w:cs="Times New Roman"/>
          <w:color w:val="auto"/>
        </w:rPr>
      </w:pPr>
      <w:r>
        <w:rPr>
          <w:rFonts w:hint="default" w:ascii="Times New Roman" w:hAnsi="Times New Roman" w:cs="Times New Roman"/>
          <w:color w:val="auto"/>
        </w:rPr>
        <w:t>总量控制的因子确定</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val="en-US" w:eastAsia="zh-CN"/>
        </w:rPr>
        <w:t>本项目</w:t>
      </w:r>
      <w:r>
        <w:rPr>
          <w:rFonts w:hint="default" w:ascii="Times New Roman" w:hAnsi="Times New Roman" w:cs="Times New Roman" w:eastAsiaTheme="minorEastAsia"/>
          <w:color w:val="auto"/>
          <w:kern w:val="0"/>
          <w:sz w:val="24"/>
          <w:szCs w:val="24"/>
        </w:rPr>
        <w:t>废气基本为无组织排放，废气不考虑控制总量。生活污水、初期雨水经污水</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箱</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后，再泵送至岳阳LNG接收站（储备中心）项目</w:t>
      </w:r>
      <w:r>
        <w:rPr>
          <w:rFonts w:hint="eastAsia" w:ascii="Times New Roman" w:hAnsi="Times New Roman" w:cs="Times New Roman" w:eastAsiaTheme="minorEastAsia"/>
          <w:color w:val="auto"/>
          <w:kern w:val="0"/>
          <w:sz w:val="24"/>
          <w:szCs w:val="24"/>
          <w:lang w:val="en-US" w:eastAsia="zh-CN"/>
        </w:rPr>
        <w:t>一期工程</w:t>
      </w:r>
      <w:r>
        <w:rPr>
          <w:rFonts w:hint="default" w:ascii="Times New Roman" w:hAnsi="Times New Roman" w:cs="Times New Roman" w:eastAsiaTheme="minorEastAsia"/>
          <w:color w:val="auto"/>
          <w:kern w:val="0"/>
          <w:sz w:val="24"/>
          <w:szCs w:val="24"/>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kern w:val="0"/>
          <w:sz w:val="24"/>
          <w:szCs w:val="24"/>
          <w:lang w:val="en-US" w:eastAsia="zh-CN"/>
        </w:rPr>
        <w:t>不外排</w:t>
      </w:r>
      <w:r>
        <w:rPr>
          <w:rFonts w:hint="default" w:ascii="Times New Roman" w:hAnsi="Times New Roman" w:cs="Times New Roman" w:eastAsiaTheme="minorEastAsia"/>
          <w:color w:val="auto"/>
          <w:kern w:val="0"/>
          <w:sz w:val="24"/>
          <w:szCs w:val="24"/>
        </w:rPr>
        <w:t>。本项目产生的</w:t>
      </w:r>
      <w:r>
        <w:rPr>
          <w:rFonts w:hint="eastAsia" w:ascii="Times New Roman" w:hAnsi="Times New Roman" w:cs="Times New Roman" w:eastAsiaTheme="minorEastAsia"/>
          <w:color w:val="auto"/>
          <w:kern w:val="0"/>
          <w:sz w:val="24"/>
          <w:szCs w:val="24"/>
          <w:lang w:val="en-US" w:eastAsia="zh-CN"/>
        </w:rPr>
        <w:t>机修</w:t>
      </w:r>
      <w:r>
        <w:rPr>
          <w:rFonts w:hint="default" w:ascii="Times New Roman" w:hAnsi="Times New Roman" w:cs="Times New Roman" w:eastAsiaTheme="minorEastAsia"/>
          <w:color w:val="auto"/>
          <w:kern w:val="0"/>
          <w:sz w:val="24"/>
          <w:szCs w:val="24"/>
        </w:rPr>
        <w:t>含油污水</w:t>
      </w:r>
      <w:r>
        <w:rPr>
          <w:rFonts w:hint="eastAsia" w:ascii="Times New Roman" w:hAnsi="Times New Roman" w:cs="Times New Roman" w:eastAsiaTheme="minorEastAsia"/>
          <w:color w:val="auto"/>
          <w:kern w:val="0"/>
          <w:sz w:val="24"/>
          <w:szCs w:val="24"/>
          <w:lang w:val="en-US" w:eastAsia="zh-CN"/>
        </w:rPr>
        <w:t>及</w:t>
      </w:r>
      <w:r>
        <w:rPr>
          <w:rFonts w:hint="default" w:ascii="Times New Roman" w:hAnsi="Times New Roman" w:cs="Times New Roman" w:eastAsiaTheme="minorEastAsia"/>
          <w:color w:val="auto"/>
          <w:kern w:val="0"/>
          <w:sz w:val="24"/>
          <w:szCs w:val="24"/>
        </w:rPr>
        <w:t>部分事故残液和事故消防液经污水收集箱收集后，通过</w:t>
      </w:r>
      <w:r>
        <w:rPr>
          <w:rFonts w:hint="eastAsia" w:ascii="Times New Roman" w:hAnsi="Times New Roman" w:cs="Times New Roman" w:eastAsiaTheme="minorEastAsia"/>
          <w:color w:val="auto"/>
          <w:kern w:val="0"/>
          <w:sz w:val="24"/>
          <w:szCs w:val="24"/>
          <w:lang w:val="en-US" w:eastAsia="zh-CN"/>
        </w:rPr>
        <w:t>专业</w:t>
      </w:r>
      <w:r>
        <w:rPr>
          <w:rFonts w:hint="default" w:ascii="Times New Roman" w:hAnsi="Times New Roman" w:cs="Times New Roman" w:eastAsiaTheme="minorEastAsia"/>
          <w:color w:val="auto"/>
          <w:kern w:val="0"/>
          <w:sz w:val="24"/>
          <w:szCs w:val="24"/>
        </w:rPr>
        <w:t>泵车外运至君山区第二污水处理厂处置，纳入污水处理厂总量中予以平衡。本项目各类固废全部综合利用或无害化处置，符合总量控制要求。</w:t>
      </w:r>
    </w:p>
    <w:p>
      <w:pPr>
        <w:pStyle w:val="3"/>
        <w:ind w:left="578" w:hanging="578"/>
        <w:rPr>
          <w:rFonts w:hint="default" w:ascii="Times New Roman" w:hAnsi="Times New Roman" w:cs="Times New Roman" w:eastAsiaTheme="minorEastAsia"/>
          <w:b/>
          <w:color w:val="auto"/>
        </w:rPr>
      </w:pPr>
      <w:bookmarkStart w:id="146" w:name="_Toc23223"/>
      <w:bookmarkStart w:id="147" w:name="_Toc14420"/>
      <w:r>
        <w:rPr>
          <w:rFonts w:hint="default" w:ascii="Times New Roman" w:hAnsi="Times New Roman" w:cs="Times New Roman" w:eastAsiaTheme="minorEastAsia"/>
          <w:b/>
          <w:color w:val="auto"/>
        </w:rPr>
        <w:t>环保投资估算</w:t>
      </w:r>
      <w:bookmarkEnd w:id="146"/>
      <w:bookmarkEnd w:id="147"/>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环保措施投资费用估算</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三同时验收及环保投资费用估算见表10.4-1。</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环保投资比例</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highlight w:val="none"/>
          <w:u w:val="single"/>
        </w:rPr>
      </w:pPr>
      <w:r>
        <w:rPr>
          <w:rFonts w:hint="default" w:ascii="Times New Roman" w:hAnsi="Times New Roman" w:cs="Times New Roman" w:eastAsiaTheme="minorEastAsia"/>
          <w:color w:val="auto"/>
          <w:kern w:val="0"/>
          <w:sz w:val="24"/>
          <w:szCs w:val="24"/>
          <w:highlight w:val="none"/>
          <w:u w:val="single"/>
        </w:rPr>
        <w:t>本项目总投资</w:t>
      </w:r>
      <w:r>
        <w:rPr>
          <w:rFonts w:hint="default" w:ascii="Times New Roman" w:hAnsi="Times New Roman" w:cs="Times New Roman"/>
          <w:color w:val="auto"/>
          <w:kern w:val="0"/>
          <w:sz w:val="24"/>
          <w:szCs w:val="24"/>
          <w:highlight w:val="none"/>
          <w:u w:val="single"/>
          <w:lang w:bidi="ar"/>
        </w:rPr>
        <w:t>13490.29</w:t>
      </w:r>
      <w:r>
        <w:rPr>
          <w:rFonts w:hint="default" w:ascii="Times New Roman" w:hAnsi="Times New Roman" w:cs="Times New Roman" w:eastAsiaTheme="minorEastAsia"/>
          <w:color w:val="auto"/>
          <w:kern w:val="0"/>
          <w:sz w:val="24"/>
          <w:szCs w:val="24"/>
          <w:highlight w:val="none"/>
          <w:u w:val="single"/>
        </w:rPr>
        <w:t>万元。环保总投</w:t>
      </w:r>
      <w:r>
        <w:rPr>
          <w:rFonts w:hint="default" w:ascii="Times New Roman" w:hAnsi="Times New Roman" w:cs="Times New Roman"/>
          <w:color w:val="auto"/>
          <w:kern w:val="0"/>
          <w:sz w:val="24"/>
          <w:szCs w:val="24"/>
          <w:highlight w:val="none"/>
          <w:u w:val="single"/>
          <w:lang w:bidi="ar"/>
        </w:rPr>
        <w:t>资</w:t>
      </w:r>
      <w:r>
        <w:rPr>
          <w:rFonts w:hint="eastAsia" w:ascii="Times New Roman" w:hAnsi="Times New Roman" w:cs="Times New Roman"/>
          <w:color w:val="auto"/>
          <w:kern w:val="0"/>
          <w:sz w:val="24"/>
          <w:szCs w:val="24"/>
          <w:highlight w:val="none"/>
          <w:u w:val="single"/>
          <w:lang w:val="en-US" w:eastAsia="zh-CN" w:bidi="ar"/>
        </w:rPr>
        <w:t>792.225</w:t>
      </w:r>
      <w:r>
        <w:rPr>
          <w:rFonts w:hint="default" w:ascii="Times New Roman" w:hAnsi="Times New Roman" w:cs="Times New Roman"/>
          <w:color w:val="auto"/>
          <w:kern w:val="0"/>
          <w:sz w:val="24"/>
          <w:szCs w:val="24"/>
          <w:highlight w:val="none"/>
          <w:u w:val="single"/>
          <w:lang w:bidi="ar"/>
        </w:rPr>
        <w:t>万元</w:t>
      </w:r>
      <w:r>
        <w:rPr>
          <w:rFonts w:hint="default" w:ascii="Times New Roman" w:hAnsi="Times New Roman" w:cs="Times New Roman" w:eastAsiaTheme="minorEastAsia"/>
          <w:color w:val="auto"/>
          <w:kern w:val="0"/>
          <w:sz w:val="24"/>
          <w:szCs w:val="24"/>
          <w:highlight w:val="none"/>
          <w:u w:val="single"/>
          <w:lang w:eastAsia="zh-CN"/>
        </w:rPr>
        <w:t>，均为本期新增环保投资</w:t>
      </w:r>
      <w:r>
        <w:rPr>
          <w:rFonts w:hint="default" w:ascii="Times New Roman" w:hAnsi="Times New Roman" w:cs="Times New Roman" w:eastAsiaTheme="minorEastAsia"/>
          <w:color w:val="auto"/>
          <w:kern w:val="0"/>
          <w:sz w:val="24"/>
          <w:szCs w:val="24"/>
          <w:highlight w:val="none"/>
          <w:u w:val="single"/>
        </w:rPr>
        <w:t>，占工程总投资的</w:t>
      </w:r>
      <w:r>
        <w:rPr>
          <w:rFonts w:hint="eastAsia" w:ascii="Times New Roman" w:hAnsi="Times New Roman" w:cs="Times New Roman" w:eastAsiaTheme="minorEastAsia"/>
          <w:color w:val="auto"/>
          <w:kern w:val="0"/>
          <w:sz w:val="24"/>
          <w:szCs w:val="24"/>
          <w:highlight w:val="none"/>
          <w:u w:val="single"/>
          <w:lang w:val="en-US" w:eastAsia="zh-CN"/>
        </w:rPr>
        <w:t>5.87</w:t>
      </w:r>
      <w:r>
        <w:rPr>
          <w:rFonts w:hint="default" w:ascii="Times New Roman" w:hAnsi="Times New Roman" w:cs="Times New Roman" w:eastAsiaTheme="minorEastAsia"/>
          <w:color w:val="auto"/>
          <w:kern w:val="0"/>
          <w:sz w:val="24"/>
          <w:szCs w:val="24"/>
          <w:highlight w:val="none"/>
          <w:u w:val="single"/>
          <w:lang w:val="en-US" w:eastAsia="zh-CN"/>
        </w:rPr>
        <w:t>%</w:t>
      </w:r>
      <w:r>
        <w:rPr>
          <w:rFonts w:hint="default" w:ascii="Times New Roman" w:hAnsi="Times New Roman" w:cs="Times New Roman" w:eastAsiaTheme="minorEastAsia"/>
          <w:color w:val="auto"/>
          <w:kern w:val="0"/>
          <w:sz w:val="24"/>
          <w:szCs w:val="24"/>
          <w:highlight w:val="none"/>
          <w:u w:val="single"/>
        </w:rPr>
        <w:t>。</w:t>
      </w:r>
    </w:p>
    <w:p>
      <w:pPr>
        <w:adjustRightInd w:val="0"/>
        <w:snapToGrid w:val="0"/>
        <w:spacing w:line="276" w:lineRule="auto"/>
        <w:jc w:val="right"/>
        <w:rPr>
          <w:rFonts w:hint="default" w:ascii="Times New Roman" w:hAnsi="Times New Roman" w:cs="Times New Roman" w:eastAsiaTheme="minorEastAsia"/>
          <w:b/>
          <w:bCs/>
          <w:color w:val="auto"/>
          <w:kern w:val="0"/>
          <w:sz w:val="24"/>
          <w:szCs w:val="24"/>
          <w:u w:val="single"/>
        </w:rPr>
      </w:pPr>
      <w:r>
        <w:rPr>
          <w:rFonts w:hint="default" w:ascii="Times New Roman" w:hAnsi="Times New Roman" w:cs="Times New Roman" w:eastAsiaTheme="minorEastAsia"/>
          <w:b/>
          <w:bCs/>
          <w:color w:val="auto"/>
          <w:kern w:val="0"/>
          <w:sz w:val="24"/>
          <w:szCs w:val="24"/>
          <w:u w:val="single"/>
        </w:rPr>
        <w:t xml:space="preserve">表10.4-1  环保措施投资费用估算表           </w:t>
      </w:r>
      <w:r>
        <w:rPr>
          <w:rFonts w:hint="default" w:ascii="Times New Roman" w:hAnsi="Times New Roman" w:cs="Times New Roman" w:eastAsiaTheme="minorEastAsia"/>
          <w:color w:val="auto"/>
          <w:kern w:val="0"/>
          <w:sz w:val="24"/>
          <w:szCs w:val="24"/>
          <w:u w:val="single"/>
        </w:rPr>
        <w:t>单位：万元</w:t>
      </w:r>
    </w:p>
    <w:tbl>
      <w:tblPr>
        <w:tblStyle w:val="71"/>
        <w:tblW w:w="503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376"/>
        <w:gridCol w:w="1154"/>
        <w:gridCol w:w="535"/>
        <w:gridCol w:w="916"/>
        <w:gridCol w:w="2568"/>
        <w:gridCol w:w="2720"/>
        <w:gridCol w:w="8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836" w:type="pct"/>
            <w:gridSpan w:val="2"/>
            <w:tcBorders>
              <w:tl2br w:val="nil"/>
              <w:tr2bl w:val="nil"/>
            </w:tcBorders>
            <w:vAlign w:val="center"/>
          </w:tcPr>
          <w:p>
            <w:pPr>
              <w:adjustRightInd w:val="0"/>
              <w:snapToGrid w:val="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类别</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项目</w:t>
            </w:r>
          </w:p>
        </w:tc>
        <w:tc>
          <w:tcPr>
            <w:tcW w:w="1402" w:type="pct"/>
            <w:tcBorders>
              <w:tl2br w:val="nil"/>
              <w:tr2bl w:val="nil"/>
            </w:tcBorders>
            <w:vAlign w:val="center"/>
          </w:tcPr>
          <w:p>
            <w:pPr>
              <w:adjustRightInd w:val="0"/>
              <w:snapToGrid w:val="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环保设施</w:t>
            </w:r>
          </w:p>
        </w:tc>
        <w:tc>
          <w:tcPr>
            <w:tcW w:w="1484" w:type="pct"/>
            <w:tcBorders>
              <w:tl2br w:val="nil"/>
              <w:tr2bl w:val="nil"/>
            </w:tcBorders>
            <w:vAlign w:val="center"/>
          </w:tcPr>
          <w:p>
            <w:pPr>
              <w:adjustRightInd w:val="0"/>
              <w:snapToGrid w:val="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备注</w:t>
            </w:r>
          </w:p>
        </w:tc>
        <w:tc>
          <w:tcPr>
            <w:tcW w:w="484" w:type="pct"/>
            <w:tcBorders>
              <w:tl2br w:val="nil"/>
              <w:tr2bl w:val="nil"/>
            </w:tcBorders>
            <w:vAlign w:val="center"/>
          </w:tcPr>
          <w:p>
            <w:pPr>
              <w:adjustRightInd w:val="0"/>
              <w:snapToGrid w:val="0"/>
              <w:jc w:val="center"/>
              <w:rPr>
                <w:rFonts w:hint="default" w:ascii="Times New Roman" w:hAnsi="Times New Roman" w:cs="Times New Roman"/>
                <w:b/>
                <w:color w:val="auto"/>
                <w:u w:val="single"/>
              </w:rPr>
            </w:pPr>
            <w:r>
              <w:rPr>
                <w:rFonts w:hint="default" w:ascii="Times New Roman" w:hAnsi="Times New Roman" w:cs="Times New Roman"/>
                <w:b/>
                <w:color w:val="auto"/>
                <w:u w:val="single"/>
              </w:rPr>
              <w:t>投资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水</w:t>
            </w:r>
          </w:p>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环</w:t>
            </w:r>
          </w:p>
          <w:p>
            <w:pPr>
              <w:adjustRightInd w:val="0"/>
              <w:snapToGrid w:val="0"/>
              <w:jc w:val="center"/>
              <w:rPr>
                <w:rFonts w:hint="default" w:ascii="Times New Roman" w:hAnsi="Times New Roman" w:cs="Times New Roman"/>
                <w:bCs/>
                <w:color w:val="auto"/>
                <w:u w:val="single"/>
              </w:rPr>
            </w:pPr>
            <w:r>
              <w:rPr>
                <w:rFonts w:hint="default" w:ascii="Times New Roman" w:hAnsi="Times New Roman" w:cs="Times New Roman"/>
                <w:color w:val="auto"/>
                <w:u w:val="single"/>
              </w:rPr>
              <w:t>境</w:t>
            </w:r>
          </w:p>
        </w:tc>
        <w:tc>
          <w:tcPr>
            <w:tcW w:w="630" w:type="pct"/>
            <w:tcBorders>
              <w:tl2br w:val="nil"/>
              <w:tr2bl w:val="nil"/>
            </w:tcBorders>
            <w:vAlign w:val="center"/>
          </w:tcPr>
          <w:p>
            <w:pPr>
              <w:adjustRightInd w:val="0"/>
              <w:snapToGrid w:val="0"/>
              <w:jc w:val="center"/>
              <w:rPr>
                <w:rFonts w:hint="default" w:ascii="Times New Roman" w:hAnsi="Times New Roman" w:cs="Times New Roman"/>
                <w:bCs/>
                <w:color w:val="auto"/>
                <w:u w:val="single"/>
              </w:rPr>
            </w:pPr>
            <w:r>
              <w:rPr>
                <w:rFonts w:hint="default" w:ascii="Times New Roman" w:hAnsi="Times New Roman" w:cs="Times New Roman"/>
                <w:bCs/>
                <w:color w:val="auto"/>
                <w:u w:val="single"/>
              </w:rPr>
              <w:t>施工期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生活污水、施工废水</w:t>
            </w:r>
          </w:p>
        </w:tc>
        <w:tc>
          <w:tcPr>
            <w:tcW w:w="1402" w:type="pct"/>
            <w:tcBorders>
              <w:tl2br w:val="nil"/>
              <w:tr2bl w:val="nil"/>
            </w:tcBorders>
            <w:vAlign w:val="center"/>
          </w:tcPr>
          <w:p>
            <w:pPr>
              <w:widowControl/>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集水池、隔油沉淀池、化粪池</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tcBorders>
              <w:tl2br w:val="nil"/>
              <w:tr2bl w:val="nil"/>
            </w:tcBorders>
            <w:vAlign w:val="center"/>
          </w:tcPr>
          <w:p>
            <w:pPr>
              <w:adjustRightInd w:val="0"/>
              <w:snapToGrid w:val="0"/>
              <w:jc w:val="center"/>
              <w:rPr>
                <w:rFonts w:hint="default" w:ascii="Times New Roman" w:hAnsi="Times New Roman" w:cs="Times New Roman"/>
                <w:bCs/>
                <w:color w:val="auto"/>
                <w:u w:val="single"/>
              </w:rPr>
            </w:pPr>
            <w:r>
              <w:rPr>
                <w:rFonts w:hint="default" w:ascii="Times New Roman" w:hAnsi="Times New Roman" w:cs="Times New Roman"/>
                <w:bCs/>
                <w:color w:val="auto"/>
                <w:u w:val="single"/>
              </w:rPr>
              <w:t>营运期</w:t>
            </w:r>
          </w:p>
        </w:tc>
        <w:tc>
          <w:tcPr>
            <w:tcW w:w="792" w:type="pct"/>
            <w:gridSpan w:val="2"/>
            <w:tcBorders>
              <w:tl2br w:val="nil"/>
              <w:tr2bl w:val="nil"/>
            </w:tcBorders>
            <w:vAlign w:val="center"/>
          </w:tcPr>
          <w:p>
            <w:pPr>
              <w:adjustRightInd w:val="0"/>
              <w:snapToGrid w:val="0"/>
              <w:jc w:val="center"/>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rPr>
              <w:t>生活污水、生产废水</w:t>
            </w:r>
            <w:r>
              <w:rPr>
                <w:rFonts w:hint="eastAsia" w:ascii="Times New Roman" w:hAnsi="Times New Roman" w:cs="Times New Roman"/>
                <w:color w:val="auto"/>
                <w:u w:val="single"/>
                <w:lang w:val="en-US" w:eastAsia="zh-CN"/>
              </w:rPr>
              <w:t>及事故废水</w:t>
            </w:r>
          </w:p>
        </w:tc>
        <w:tc>
          <w:tcPr>
            <w:tcW w:w="1402" w:type="pct"/>
            <w:tcBorders>
              <w:tl2br w:val="nil"/>
              <w:tr2bl w:val="nil"/>
            </w:tcBorders>
            <w:vAlign w:val="center"/>
          </w:tcPr>
          <w:p>
            <w:pPr>
              <w:widowControl/>
              <w:adjustRightInd w:val="0"/>
              <w:snapToGrid w:val="0"/>
              <w:jc w:val="center"/>
              <w:rPr>
                <w:rFonts w:hint="eastAsia" w:ascii="Times New Roman" w:hAnsi="Times New Roman" w:cs="Times New Roman" w:eastAsiaTheme="minorEastAsia"/>
                <w:color w:val="auto"/>
                <w:u w:val="single"/>
                <w:lang w:eastAsia="zh-CN"/>
              </w:rPr>
            </w:pPr>
            <w:r>
              <w:rPr>
                <w:rFonts w:hint="default" w:ascii="Times New Roman" w:hAnsi="Times New Roman" w:cs="Times New Roman"/>
                <w:color w:val="auto"/>
                <w:u w:val="single"/>
              </w:rPr>
              <w:t>生活污水处理设施依托</w:t>
            </w:r>
            <w:r>
              <w:rPr>
                <w:rFonts w:hint="default" w:ascii="Times New Roman" w:hAnsi="Times New Roman" w:cs="Times New Roman" w:eastAsiaTheme="minorEastAsia"/>
                <w:color w:val="auto"/>
                <w:u w:val="single"/>
              </w:rPr>
              <w:t>岳阳LNG接收站（储备中心）项目（一期），设置一套油水分离器、污水箱2座</w:t>
            </w:r>
            <w:r>
              <w:rPr>
                <w:rFonts w:hint="eastAsia" w:ascii="Times New Roman" w:hAnsi="Times New Roman" w:cs="Times New Roman" w:eastAsiaTheme="minorEastAsia"/>
                <w:color w:val="auto"/>
                <w:u w:val="single"/>
                <w:lang w:eastAsia="zh-CN"/>
              </w:rPr>
              <w:t>（</w:t>
            </w:r>
            <w:r>
              <w:rPr>
                <w:rFonts w:hint="eastAsia" w:ascii="Times New Roman" w:hAnsi="Times New Roman" w:cs="Times New Roman" w:eastAsiaTheme="minorEastAsia"/>
                <w:color w:val="auto"/>
                <w:u w:val="single"/>
                <w:lang w:val="en-US" w:eastAsia="zh-CN"/>
              </w:rPr>
              <w:t>15m</w:t>
            </w:r>
            <w:r>
              <w:rPr>
                <w:rFonts w:hint="eastAsia" w:ascii="Times New Roman" w:hAnsi="Times New Roman" w:cs="Times New Roman" w:eastAsiaTheme="minorEastAsia"/>
                <w:color w:val="auto"/>
                <w:u w:val="single"/>
                <w:vertAlign w:val="superscript"/>
                <w:lang w:val="en-US" w:eastAsia="zh-CN"/>
              </w:rPr>
              <w:t>3</w:t>
            </w:r>
            <w:r>
              <w:rPr>
                <w:rFonts w:hint="eastAsia" w:ascii="Times New Roman" w:hAnsi="Times New Roman" w:cs="Times New Roman" w:eastAsiaTheme="minorEastAsia"/>
                <w:color w:val="auto"/>
                <w:u w:val="single"/>
                <w:lang w:eastAsia="zh-CN"/>
              </w:rPr>
              <w:t>）</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生产废水</w:t>
            </w:r>
            <w:r>
              <w:rPr>
                <w:rFonts w:hint="eastAsia" w:ascii="Times New Roman" w:hAnsi="Times New Roman" w:cs="Times New Roman"/>
                <w:color w:val="auto"/>
                <w:u w:val="single"/>
                <w:lang w:eastAsia="zh-CN"/>
              </w:rPr>
              <w:t>、</w:t>
            </w:r>
            <w:r>
              <w:rPr>
                <w:rFonts w:hint="eastAsia" w:ascii="Times New Roman" w:hAnsi="Times New Roman" w:cs="Times New Roman"/>
                <w:color w:val="auto"/>
                <w:sz w:val="21"/>
                <w:szCs w:val="21"/>
                <w:u w:val="single"/>
                <w:lang w:val="en-US" w:eastAsia="zh-CN"/>
              </w:rPr>
              <w:t>事故废水</w:t>
            </w:r>
            <w:r>
              <w:rPr>
                <w:rFonts w:hint="default" w:ascii="Times New Roman" w:hAnsi="Times New Roman" w:cs="Times New Roman"/>
                <w:color w:val="auto"/>
                <w:sz w:val="21"/>
                <w:szCs w:val="21"/>
                <w:u w:val="single"/>
              </w:rPr>
              <w:t>外运</w:t>
            </w:r>
            <w:r>
              <w:rPr>
                <w:rFonts w:hint="eastAsia"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生活污水</w:t>
            </w:r>
            <w:r>
              <w:rPr>
                <w:rFonts w:hint="default" w:ascii="Times New Roman" w:hAnsi="Times New Roman" w:cs="Times New Roman"/>
                <w:color w:val="auto"/>
                <w:sz w:val="21"/>
                <w:szCs w:val="21"/>
                <w:u w:val="single"/>
                <w:lang w:eastAsia="zh-CN"/>
              </w:rPr>
              <w:t>依托一期</w:t>
            </w:r>
            <w:r>
              <w:rPr>
                <w:rFonts w:hint="eastAsia" w:ascii="Times New Roman" w:hAnsi="Times New Roman" w:cs="Times New Roman"/>
                <w:color w:val="auto"/>
                <w:sz w:val="21"/>
                <w:szCs w:val="21"/>
                <w:u w:val="single"/>
                <w:lang w:val="en-US" w:eastAsia="zh-CN"/>
              </w:rPr>
              <w:t>工程的</w:t>
            </w:r>
            <w:r>
              <w:rPr>
                <w:rFonts w:hint="default" w:ascii="Times New Roman" w:hAnsi="Times New Roman" w:cs="Times New Roman" w:eastAsiaTheme="minorEastAsia"/>
                <w:color w:val="auto"/>
                <w:sz w:val="21"/>
                <w:szCs w:val="21"/>
                <w:u w:val="single"/>
              </w:rPr>
              <w:t>5m</w:t>
            </w:r>
            <w:r>
              <w:rPr>
                <w:rFonts w:hint="eastAsia" w:ascii="Times New Roman" w:hAnsi="Times New Roman" w:cs="Times New Roman" w:eastAsiaTheme="minorEastAsia"/>
                <w:color w:val="auto"/>
                <w:sz w:val="21"/>
                <w:szCs w:val="21"/>
                <w:u w:val="single"/>
                <w:vertAlign w:val="superscript"/>
                <w:lang w:val="en-US" w:eastAsia="zh-CN"/>
              </w:rPr>
              <w:t>3</w:t>
            </w:r>
            <w:r>
              <w:rPr>
                <w:rFonts w:hint="eastAsia" w:ascii="Times New Roman" w:hAnsi="Times New Roman" w:cs="Times New Roman" w:eastAsiaTheme="minorEastAsia"/>
                <w:color w:val="auto"/>
                <w:sz w:val="21"/>
                <w:szCs w:val="21"/>
                <w:u w:val="single"/>
                <w:lang w:val="en-US" w:eastAsia="zh-CN"/>
              </w:rPr>
              <w:t>/h的一</w:t>
            </w:r>
            <w:r>
              <w:rPr>
                <w:rFonts w:hint="default" w:ascii="Times New Roman" w:hAnsi="Times New Roman" w:cs="Times New Roman" w:eastAsiaTheme="minorEastAsia"/>
                <w:color w:val="auto"/>
                <w:sz w:val="21"/>
                <w:szCs w:val="21"/>
                <w:u w:val="single"/>
              </w:rPr>
              <w:t>体化</w:t>
            </w:r>
            <w:r>
              <w:rPr>
                <w:rFonts w:hint="eastAsia" w:ascii="Times New Roman" w:hAnsi="Times New Roman" w:cs="Times New Roman" w:eastAsiaTheme="minorEastAsia"/>
                <w:color w:val="auto"/>
                <w:sz w:val="21"/>
                <w:szCs w:val="21"/>
                <w:u w:val="single"/>
                <w:lang w:val="en-US" w:eastAsia="zh-CN"/>
              </w:rPr>
              <w:t>污水处理设备</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大气环境</w:t>
            </w:r>
          </w:p>
        </w:tc>
        <w:tc>
          <w:tcPr>
            <w:tcW w:w="630" w:type="pct"/>
            <w:tcBorders>
              <w:tl2br w:val="nil"/>
              <w:tr2bl w:val="nil"/>
            </w:tcBorders>
            <w:vAlign w:val="center"/>
          </w:tcPr>
          <w:p>
            <w:pPr>
              <w:adjustRightInd w:val="0"/>
              <w:snapToGrid w:val="0"/>
              <w:jc w:val="center"/>
              <w:rPr>
                <w:rFonts w:hint="default" w:ascii="Times New Roman" w:hAnsi="Times New Roman" w:cs="Times New Roman"/>
                <w:bCs/>
                <w:color w:val="auto"/>
                <w:u w:val="single"/>
              </w:rPr>
            </w:pPr>
            <w:r>
              <w:rPr>
                <w:rFonts w:hint="default" w:ascii="Times New Roman" w:hAnsi="Times New Roman" w:cs="Times New Roman"/>
                <w:bCs/>
                <w:color w:val="auto"/>
                <w:u w:val="single"/>
              </w:rPr>
              <w:t>施工期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施工扬尘</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洒水车、围栏、洗车平台</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tcBorders>
              <w:tl2br w:val="nil"/>
              <w:tr2bl w:val="nil"/>
            </w:tcBorders>
            <w:vAlign w:val="center"/>
          </w:tcPr>
          <w:p>
            <w:pPr>
              <w:adjustRightInd w:val="0"/>
              <w:snapToGrid w:val="0"/>
              <w:jc w:val="center"/>
              <w:rPr>
                <w:rFonts w:hint="default" w:ascii="Times New Roman" w:hAnsi="Times New Roman" w:cs="Times New Roman"/>
                <w:bCs/>
                <w:color w:val="auto"/>
                <w:u w:val="single"/>
              </w:rPr>
            </w:pPr>
            <w:r>
              <w:rPr>
                <w:rFonts w:hint="default" w:ascii="Times New Roman" w:hAnsi="Times New Roman" w:cs="Times New Roman"/>
                <w:bCs/>
                <w:color w:val="auto"/>
                <w:u w:val="single"/>
              </w:rPr>
              <w:t>营运期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呼吸口废气</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回收冷凝装置或吸附装置</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由设备配置，不计入环保投资估算</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声环境</w:t>
            </w:r>
          </w:p>
        </w:tc>
        <w:tc>
          <w:tcPr>
            <w:tcW w:w="63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施工噪声</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低噪声机械、定期维修保养、防噪用具</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营运期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设备噪声、船舶噪声</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基础减振、消声器、隔声等，绿化带</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固废</w:t>
            </w:r>
          </w:p>
        </w:tc>
        <w:tc>
          <w:tcPr>
            <w:tcW w:w="63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施工生活垃圾</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垃圾桶、车辆运输</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营运期</w:t>
            </w: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危险废物</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暂存设施</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一般固废</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收集后送填埋场</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79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生活垃圾收集</w:t>
            </w:r>
          </w:p>
        </w:tc>
        <w:tc>
          <w:tcPr>
            <w:tcW w:w="1402"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分类垃圾箱、环卫处置</w:t>
            </w:r>
          </w:p>
        </w:tc>
        <w:tc>
          <w:tcPr>
            <w:tcW w:w="1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生态</w:t>
            </w:r>
          </w:p>
        </w:tc>
        <w:tc>
          <w:tcPr>
            <w:tcW w:w="63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东洞庭湖自然保护区生态补偿</w:t>
            </w:r>
          </w:p>
        </w:tc>
        <w:tc>
          <w:tcPr>
            <w:tcW w:w="3678" w:type="pct"/>
            <w:gridSpan w:val="4"/>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主要用于营造特种用途林、种植野生水草并建设保护鸟类栖息地、建设环境监测设施、动植物保护设施建设等</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63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长江四大家鱼水产种资资源保护区生态补偿</w:t>
            </w:r>
          </w:p>
        </w:tc>
        <w:tc>
          <w:tcPr>
            <w:tcW w:w="3678" w:type="pct"/>
            <w:gridSpan w:val="4"/>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主要用于水生态修复、鱼类增殖放流、水生生物监测、渔政监督管理等</w:t>
            </w:r>
          </w:p>
        </w:tc>
        <w:tc>
          <w:tcPr>
            <w:tcW w:w="484" w:type="pct"/>
            <w:tcBorders>
              <w:tl2br w:val="nil"/>
              <w:tr2bl w:val="nil"/>
            </w:tcBorders>
            <w:vAlign w:val="center"/>
          </w:tcPr>
          <w:p>
            <w:pPr>
              <w:adjustRightInd w:val="0"/>
              <w:snapToGrid w:val="0"/>
              <w:jc w:val="center"/>
              <w:rPr>
                <w:rFonts w:hint="default"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284.5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风险</w:t>
            </w:r>
          </w:p>
        </w:tc>
        <w:tc>
          <w:tcPr>
            <w:tcW w:w="4309" w:type="pct"/>
            <w:gridSpan w:val="5"/>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溢油事故应急设备、LNG泄漏防范设备（围油栏、吸油毡、收油机、溢油分散剂、溢油分散剂喷洒装置、轻便储油罐、监控设施、可燃气体报警仪、应急人员防护装备等）</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管理与监测</w:t>
            </w:r>
          </w:p>
        </w:tc>
        <w:tc>
          <w:tcPr>
            <w:tcW w:w="922" w:type="pct"/>
            <w:gridSpan w:val="2"/>
            <w:vMerge w:val="restar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环境监测</w:t>
            </w:r>
          </w:p>
        </w:tc>
        <w:tc>
          <w:tcPr>
            <w:tcW w:w="50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施工期</w:t>
            </w:r>
          </w:p>
        </w:tc>
        <w:tc>
          <w:tcPr>
            <w:tcW w:w="2886"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position w:val="-1"/>
                <w:u w:val="single"/>
              </w:rPr>
              <w:t>大气、水质、噪声</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922" w:type="pct"/>
            <w:gridSpan w:val="2"/>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50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营运期</w:t>
            </w:r>
          </w:p>
        </w:tc>
        <w:tc>
          <w:tcPr>
            <w:tcW w:w="2886"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position w:val="-1"/>
                <w:u w:val="single"/>
              </w:rPr>
              <w:t>大气、水质、噪声、生态等监测</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92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竣工验收</w:t>
            </w:r>
          </w:p>
        </w:tc>
        <w:tc>
          <w:tcPr>
            <w:tcW w:w="500"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营运期</w:t>
            </w:r>
          </w:p>
        </w:tc>
        <w:tc>
          <w:tcPr>
            <w:tcW w:w="2886" w:type="pct"/>
            <w:gridSpan w:val="2"/>
            <w:tcBorders>
              <w:tl2br w:val="nil"/>
              <w:tr2bl w:val="nil"/>
            </w:tcBorders>
            <w:vAlign w:val="center"/>
          </w:tcPr>
          <w:p>
            <w:pPr>
              <w:adjustRightInd w:val="0"/>
              <w:snapToGrid w:val="0"/>
              <w:jc w:val="center"/>
              <w:rPr>
                <w:rFonts w:hint="default" w:ascii="Times New Roman" w:hAnsi="Times New Roman" w:cs="Times New Roman"/>
                <w:color w:val="auto"/>
                <w:position w:val="-1"/>
                <w:u w:val="single"/>
              </w:rPr>
            </w:pPr>
            <w:r>
              <w:rPr>
                <w:rFonts w:hint="default" w:ascii="Times New Roman" w:hAnsi="Times New Roman" w:cs="Times New Roman"/>
                <w:color w:val="auto"/>
                <w:position w:val="-1"/>
                <w:u w:val="single"/>
              </w:rPr>
              <w:t>环保工程竣工验收调查报告编制</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06" w:type="pct"/>
            <w:vMerge w:val="continue"/>
            <w:tcBorders>
              <w:tl2br w:val="nil"/>
              <w:tr2bl w:val="nil"/>
            </w:tcBorders>
            <w:vAlign w:val="center"/>
          </w:tcPr>
          <w:p>
            <w:pPr>
              <w:adjustRightInd w:val="0"/>
              <w:snapToGrid w:val="0"/>
              <w:jc w:val="center"/>
              <w:rPr>
                <w:rFonts w:hint="default" w:ascii="Times New Roman" w:hAnsi="Times New Roman" w:cs="Times New Roman"/>
                <w:color w:val="auto"/>
                <w:u w:val="single"/>
              </w:rPr>
            </w:pPr>
          </w:p>
        </w:tc>
        <w:tc>
          <w:tcPr>
            <w:tcW w:w="922" w:type="pct"/>
            <w:gridSpan w:val="2"/>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环境管理与监理</w:t>
            </w:r>
          </w:p>
        </w:tc>
        <w:tc>
          <w:tcPr>
            <w:tcW w:w="3386" w:type="pct"/>
            <w:gridSpan w:val="3"/>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position w:val="-1"/>
                <w:u w:val="single"/>
              </w:rPr>
              <w:t>完善及健全环境管理体系、加强环境监理</w:t>
            </w:r>
          </w:p>
        </w:tc>
        <w:tc>
          <w:tcPr>
            <w:tcW w:w="484" w:type="pct"/>
            <w:tcBorders>
              <w:tl2br w:val="nil"/>
              <w:tr2bl w:val="nil"/>
            </w:tcBorders>
            <w:vAlign w:val="center"/>
          </w:tcPr>
          <w:p>
            <w:pPr>
              <w:adjustRightInd w:val="0"/>
              <w:snapToGrid w:val="0"/>
              <w:jc w:val="center"/>
              <w:rPr>
                <w:rFonts w:hint="default" w:ascii="Times New Roman" w:hAnsi="Times New Roman" w:cs="Times New Roman"/>
                <w:color w:val="auto"/>
                <w:u w:val="single"/>
              </w:rPr>
            </w:pPr>
            <w:r>
              <w:rPr>
                <w:rFonts w:hint="default" w:ascii="Times New Roman" w:hAnsi="Times New Roman" w:cs="Times New Roman"/>
                <w:color w:val="auto"/>
                <w:u w:val="single"/>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4515" w:type="pct"/>
            <w:gridSpan w:val="6"/>
            <w:tcBorders>
              <w:tl2br w:val="nil"/>
              <w:tr2bl w:val="nil"/>
            </w:tcBorders>
            <w:vAlign w:val="center"/>
          </w:tcPr>
          <w:p>
            <w:pPr>
              <w:adjustRightInd w:val="0"/>
              <w:snapToGrid w:val="0"/>
              <w:jc w:val="center"/>
              <w:rPr>
                <w:rFonts w:hint="default" w:ascii="Times New Roman" w:hAnsi="Times New Roman" w:cs="Times New Roman"/>
                <w:color w:val="auto"/>
                <w:position w:val="-1"/>
                <w:u w:val="single"/>
              </w:rPr>
            </w:pPr>
            <w:r>
              <w:rPr>
                <w:rFonts w:hint="default" w:ascii="Times New Roman" w:hAnsi="Times New Roman" w:cs="Times New Roman"/>
                <w:color w:val="auto"/>
                <w:position w:val="-1"/>
                <w:u w:val="single"/>
              </w:rPr>
              <w:t>不可预计费用（按5%计算）</w:t>
            </w:r>
          </w:p>
        </w:tc>
        <w:tc>
          <w:tcPr>
            <w:tcW w:w="484" w:type="pct"/>
            <w:tcBorders>
              <w:tl2br w:val="nil"/>
              <w:tr2bl w:val="nil"/>
            </w:tcBorders>
            <w:vAlign w:val="center"/>
          </w:tcPr>
          <w:p>
            <w:pPr>
              <w:adjustRightInd w:val="0"/>
              <w:snapToGrid w:val="0"/>
              <w:jc w:val="center"/>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rPr>
              <w:t>3</w:t>
            </w:r>
            <w:r>
              <w:rPr>
                <w:rFonts w:hint="eastAsia" w:ascii="Times New Roman" w:hAnsi="Times New Roman" w:cs="Times New Roman"/>
                <w:color w:val="auto"/>
                <w:u w:val="single"/>
                <w:lang w:val="en-US" w:eastAsia="zh-CN"/>
              </w:rPr>
              <w:t>7.725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4515" w:type="pct"/>
            <w:gridSpan w:val="6"/>
            <w:tcBorders>
              <w:tl2br w:val="nil"/>
              <w:tr2bl w:val="nil"/>
            </w:tcBorders>
            <w:vAlign w:val="center"/>
          </w:tcPr>
          <w:p>
            <w:pPr>
              <w:adjustRightInd w:val="0"/>
              <w:snapToGrid w:val="0"/>
              <w:jc w:val="center"/>
              <w:rPr>
                <w:rFonts w:hint="default" w:ascii="Times New Roman" w:hAnsi="Times New Roman" w:cs="Times New Roman"/>
                <w:b/>
                <w:bCs/>
                <w:color w:val="auto"/>
                <w:u w:val="single"/>
              </w:rPr>
            </w:pPr>
            <w:r>
              <w:rPr>
                <w:rFonts w:hint="default" w:ascii="Times New Roman" w:hAnsi="Times New Roman" w:cs="Times New Roman"/>
                <w:b/>
                <w:bCs/>
                <w:color w:val="auto"/>
                <w:u w:val="single"/>
              </w:rPr>
              <w:t>合计</w:t>
            </w:r>
          </w:p>
        </w:tc>
        <w:tc>
          <w:tcPr>
            <w:tcW w:w="484" w:type="pct"/>
            <w:tcBorders>
              <w:tl2br w:val="nil"/>
              <w:tr2bl w:val="nil"/>
            </w:tcBorders>
            <w:vAlign w:val="center"/>
          </w:tcPr>
          <w:p>
            <w:pPr>
              <w:adjustRightInd w:val="0"/>
              <w:snapToGrid w:val="0"/>
              <w:jc w:val="center"/>
              <w:rPr>
                <w:rFonts w:hint="default" w:ascii="Times New Roman" w:hAnsi="Times New Roman" w:eastAsia="宋体" w:cs="Times New Roman"/>
                <w:b/>
                <w:bCs/>
                <w:color w:val="auto"/>
                <w:u w:val="single"/>
                <w:lang w:val="en-US" w:eastAsia="zh-CN"/>
              </w:rPr>
            </w:pPr>
            <w:r>
              <w:rPr>
                <w:rFonts w:hint="eastAsia" w:ascii="Times New Roman" w:hAnsi="Times New Roman" w:cs="Times New Roman"/>
                <w:b/>
                <w:bCs/>
                <w:color w:val="auto"/>
                <w:u w:val="single"/>
                <w:lang w:val="en-US" w:eastAsia="zh-CN"/>
              </w:rPr>
              <w:t>792.225</w:t>
            </w:r>
          </w:p>
        </w:tc>
      </w:tr>
    </w:tbl>
    <w:p>
      <w:pPr>
        <w:pStyle w:val="325"/>
        <w:tabs>
          <w:tab w:val="right" w:leader="dot" w:pos="9070"/>
        </w:tabs>
        <w:adjustRightInd w:val="0"/>
        <w:snapToGrid w:val="0"/>
        <w:spacing w:line="360" w:lineRule="auto"/>
        <w:jc w:val="both"/>
        <w:rPr>
          <w:rFonts w:hint="default" w:ascii="Times New Roman" w:hAnsi="Times New Roman" w:cs="Times New Roman" w:eastAsiaTheme="minorEastAsia"/>
          <w:b/>
          <w:color w:val="auto"/>
          <w:sz w:val="24"/>
          <w:szCs w:val="24"/>
        </w:rPr>
      </w:pPr>
    </w:p>
    <w:p>
      <w:pPr>
        <w:adjustRightInd w:val="0"/>
        <w:snapToGrid w:val="0"/>
        <w:spacing w:line="360" w:lineRule="auto"/>
        <w:rPr>
          <w:rFonts w:hint="default" w:ascii="Times New Roman" w:hAnsi="Times New Roman" w:cs="Times New Roman" w:eastAsiaTheme="minorEastAsia"/>
          <w:b/>
          <w:color w:val="auto"/>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48" w:name="_Toc23928"/>
      <w:bookmarkStart w:id="149" w:name="_Toc18855"/>
      <w:r>
        <w:rPr>
          <w:rFonts w:hint="default" w:ascii="Times New Roman" w:hAnsi="Times New Roman" w:cs="Times New Roman" w:eastAsiaTheme="minorEastAsia"/>
          <w:b/>
          <w:color w:val="auto"/>
          <w:sz w:val="32"/>
          <w:szCs w:val="32"/>
        </w:rPr>
        <w:t>环境保护管理和环境监控计划</w:t>
      </w:r>
      <w:bookmarkEnd w:id="148"/>
      <w:bookmarkEnd w:id="149"/>
    </w:p>
    <w:p>
      <w:pPr>
        <w:pStyle w:val="3"/>
        <w:ind w:left="578" w:hanging="578"/>
        <w:rPr>
          <w:rFonts w:hint="default" w:ascii="Times New Roman" w:hAnsi="Times New Roman" w:cs="Times New Roman" w:eastAsiaTheme="minorEastAsia"/>
          <w:b/>
          <w:color w:val="auto"/>
        </w:rPr>
      </w:pPr>
      <w:bookmarkStart w:id="150" w:name="_Toc6311"/>
      <w:bookmarkStart w:id="151" w:name="_Toc31161"/>
      <w:r>
        <w:rPr>
          <w:rFonts w:hint="default" w:ascii="Times New Roman" w:hAnsi="Times New Roman" w:cs="Times New Roman" w:eastAsiaTheme="minorEastAsia"/>
          <w:b/>
          <w:color w:val="auto"/>
        </w:rPr>
        <w:t>环境保护管理计划</w:t>
      </w:r>
      <w:bookmarkEnd w:id="150"/>
      <w:bookmarkEnd w:id="151"/>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环境保护管理体系</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本项目各时段环境保护管理机构与监督机构的组成见图11.1-1。</w:t>
      </w:r>
    </w:p>
    <w:p>
      <w:pPr>
        <w:adjustRightInd w:val="0"/>
        <w:snapToGrid w:val="0"/>
        <w:spacing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667375" cy="5832475"/>
            <wp:effectExtent l="0" t="0" r="9525" b="15875"/>
            <wp:docPr id="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pic:cNvPicPr>
                      <a:picLocks noChangeAspect="1"/>
                    </pic:cNvPicPr>
                  </pic:nvPicPr>
                  <pic:blipFill>
                    <a:blip r:embed="rId88">
                      <a:lum bright="-6000" contrast="12000"/>
                    </a:blip>
                    <a:stretch>
                      <a:fillRect/>
                    </a:stretch>
                  </pic:blipFill>
                  <pic:spPr>
                    <a:xfrm>
                      <a:off x="0" y="0"/>
                      <a:ext cx="5667375" cy="583247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图11.1-1  环境保护管理与监督机构体系示意图</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1、管理机构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岳阳液化天然气有限公司应遵照国家和相关部委各项环境保护政策、法规，统一协调本项目与岳阳市生态环境局各部门的工作，制定本项目环境保护管理办法和实施细则，制定环保工作计划，负责施工期和使用期环境保护行动计划的监督管理和实施，具体加强落实各项环保措施。</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2、监督机构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岳阳市生态环境局是本项目的环保监督机构，负责项目环境设施的竣工验收，负责对项目环境保护工作实施监督管理，组织协调有关机构为项目环境保护工作服务，参加环境影响报告书审查，监督项目环境管理计划的实施，确认项目应执行的环境法规和标准，对建设期和使用期的环境进行监督管理。监督建设单位实施环境管理计划，执行有关环境管理的法规，协调各部门之间做好环境保护工作，落实本项目环境保护设施的施工、竣工、运行情况的检查、监督管理。</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3、监测机构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可由当地符合环境监测资质的单位进行环境监测工作。</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环境管理计划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由岳阳市液化天然气有限公司负责项目的环境保护工作，制定项目环境保护工作计划，执行各项环境管理措施，负责施工期环境保护行动计划的管理和实施。工程施工期设一名中级技术职务的环保人员，负责施工期的环保工作。营运期设一名环保人员，负责营运期的环保工作。本评价建议的环境管理计划见表11.1-1。</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表11.1-1  环境保护管理计划</w:t>
      </w:r>
    </w:p>
    <w:tbl>
      <w:tblPr>
        <w:tblStyle w:val="7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72"/>
        <w:gridCol w:w="775"/>
        <w:gridCol w:w="7163"/>
        <w:gridCol w:w="5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40" w:type="pct"/>
            <w:gridSpan w:val="2"/>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环境问题</w:t>
            </w:r>
          </w:p>
        </w:tc>
        <w:tc>
          <w:tcPr>
            <w:tcW w:w="3935"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管理目标</w:t>
            </w:r>
          </w:p>
        </w:tc>
        <w:tc>
          <w:tcPr>
            <w:tcW w:w="32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实施机构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施工期</w:t>
            </w: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环境空气</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料堆和贮料场遮盖或洒水以防止粉尘污染。</w:t>
            </w:r>
          </w:p>
          <w:p>
            <w:pPr>
              <w:pStyle w:val="325"/>
              <w:tabs>
                <w:tab w:val="right" w:leader="dot" w:pos="9070"/>
              </w:tabs>
              <w:adjustRightInd w:val="0"/>
              <w:snapToGrid w:val="0"/>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t>⑵ 运送建筑材料的卡车采用遮盖措施，减少跑漏。</w:t>
            </w:r>
          </w:p>
        </w:tc>
        <w:tc>
          <w:tcPr>
            <w:tcW w:w="323" w:type="pct"/>
            <w:vMerge w:val="restart"/>
            <w:tcBorders>
              <w:tl2br w:val="nil"/>
              <w:tr2bl w:val="nil"/>
            </w:tcBorders>
            <w:vAlign w:val="center"/>
          </w:tcPr>
          <w:p>
            <w:pPr>
              <w:jc w:val="center"/>
              <w:rPr>
                <w:rFonts w:hint="default" w:ascii="Times New Roman" w:hAnsi="Times New Roman" w:cs="Times New Roman"/>
                <w:b/>
                <w:color w:val="auto"/>
              </w:rPr>
            </w:pPr>
            <w:r>
              <w:rPr>
                <w:rFonts w:hint="default" w:ascii="Times New Roman" w:hAnsi="Times New Roman" w:cs="Times New Roman"/>
                <w:color w:val="auto"/>
              </w:rPr>
              <w:t>项目建设承包商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水生环境</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施工船舶舱底油污水严格按照《中华人民共和国防治船舶污染内河水域环境管理规定》处理。</w:t>
            </w:r>
          </w:p>
          <w:p>
            <w:pPr>
              <w:jc w:val="left"/>
              <w:rPr>
                <w:rFonts w:hint="default" w:ascii="Times New Roman" w:hAnsi="Times New Roman" w:cs="Times New Roman"/>
                <w:color w:val="auto"/>
              </w:rPr>
            </w:pPr>
            <w:r>
              <w:rPr>
                <w:rFonts w:hint="default" w:ascii="Times New Roman" w:hAnsi="Times New Roman" w:cs="Times New Roman"/>
                <w:color w:val="auto"/>
              </w:rPr>
              <w:t>⑵ 施工现场的水泥、沙、石料应统一管理合理堆放，下雨时应加以遮盖。</w:t>
            </w:r>
          </w:p>
          <w:p>
            <w:pPr>
              <w:jc w:val="left"/>
              <w:rPr>
                <w:rFonts w:hint="default" w:ascii="Times New Roman" w:hAnsi="Times New Roman" w:cs="Times New Roman"/>
                <w:color w:val="auto"/>
              </w:rPr>
            </w:pPr>
            <w:r>
              <w:rPr>
                <w:rFonts w:hint="default" w:ascii="Times New Roman" w:hAnsi="Times New Roman" w:cs="Times New Roman"/>
                <w:color w:val="auto"/>
              </w:rPr>
              <w:t>⑶ 钻渣及建筑垃圾用于邻近区域工程建设回填土方，不得随意抛弃在航道中。</w:t>
            </w:r>
          </w:p>
          <w:p>
            <w:pPr>
              <w:jc w:val="left"/>
              <w:rPr>
                <w:rFonts w:hint="default" w:ascii="Times New Roman" w:hAnsi="Times New Roman" w:cs="Times New Roman"/>
                <w:color w:val="auto"/>
              </w:rPr>
            </w:pPr>
            <w:r>
              <w:rPr>
                <w:rFonts w:hint="default" w:ascii="Times New Roman" w:hAnsi="Times New Roman" w:cs="Times New Roman"/>
                <w:color w:val="auto"/>
              </w:rPr>
              <w:t>⑷ 施工人员生活污水不得在工程所在水域排放。</w:t>
            </w:r>
          </w:p>
          <w:p>
            <w:pPr>
              <w:jc w:val="left"/>
              <w:rPr>
                <w:rFonts w:hint="default" w:ascii="Times New Roman" w:hAnsi="Times New Roman" w:cs="Times New Roman"/>
                <w:b/>
                <w:color w:val="auto"/>
              </w:rPr>
            </w:pPr>
            <w:r>
              <w:rPr>
                <w:rFonts w:hint="default" w:ascii="Times New Roman" w:hAnsi="Times New Roman" w:cs="Times New Roman"/>
                <w:color w:val="auto"/>
              </w:rPr>
              <w:t>⑸ 施工期固体废物（施工建筑垃圾、施工人员生活垃圾）应集中收集，统一运至城市垃圾填埋场，不得抛弃至江中。</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噪声</w:t>
            </w:r>
          </w:p>
        </w:tc>
        <w:tc>
          <w:tcPr>
            <w:tcW w:w="3935" w:type="pct"/>
            <w:tcBorders>
              <w:tl2br w:val="nil"/>
              <w:tr2bl w:val="nil"/>
            </w:tcBorders>
            <w:vAlign w:val="center"/>
          </w:tcPr>
          <w:p>
            <w:pPr>
              <w:pStyle w:val="325"/>
              <w:tabs>
                <w:tab w:val="right" w:leader="dot" w:pos="9070"/>
              </w:tabs>
              <w:adjustRightInd w:val="0"/>
              <w:snapToGrid w:val="0"/>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t>加强机械和车辆的维修和保养，保持其较低噪声水平。</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固体废物</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施工单位不得随意抛弃建筑材料、残土、旧料和其它杂物，施工期建筑垃圾及钻渣用于邻近区域工程建设回填土方，施工结束后进行场地清理。</w:t>
            </w:r>
          </w:p>
          <w:p>
            <w:pPr>
              <w:jc w:val="left"/>
              <w:rPr>
                <w:rFonts w:hint="default" w:ascii="Times New Roman" w:hAnsi="Times New Roman" w:cs="Times New Roman"/>
                <w:b/>
                <w:color w:val="auto"/>
              </w:rPr>
            </w:pPr>
            <w:r>
              <w:rPr>
                <w:rFonts w:hint="default" w:ascii="Times New Roman" w:hAnsi="Times New Roman" w:cs="Times New Roman"/>
                <w:color w:val="auto"/>
              </w:rPr>
              <w:t>⑵ 施工人员生活垃圾集中收集后运送城市垃圾填埋场处理。</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运营期</w:t>
            </w: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环境空气</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输液臂安装和拆卸在满足规定的时间和操作程序要求下进行。</w:t>
            </w:r>
          </w:p>
          <w:p>
            <w:pPr>
              <w:jc w:val="left"/>
              <w:rPr>
                <w:rFonts w:hint="default" w:ascii="Times New Roman" w:hAnsi="Times New Roman" w:cs="Times New Roman"/>
                <w:color w:val="auto"/>
              </w:rPr>
            </w:pPr>
            <w:r>
              <w:rPr>
                <w:rFonts w:hint="default" w:ascii="Times New Roman" w:hAnsi="Times New Roman" w:cs="Times New Roman"/>
                <w:color w:val="auto"/>
              </w:rPr>
              <w:t>⑵ 严格制定码头装卸操作规程，定期检查码头装卸管道和阀门的工作状况，设备经常维护保养，使之保持良好的运行状态。</w:t>
            </w:r>
          </w:p>
          <w:p>
            <w:pPr>
              <w:jc w:val="left"/>
              <w:rPr>
                <w:rFonts w:hint="default" w:ascii="Times New Roman" w:hAnsi="Times New Roman" w:cs="Times New Roman"/>
                <w:color w:val="auto"/>
              </w:rPr>
            </w:pPr>
            <w:r>
              <w:rPr>
                <w:rFonts w:hint="default" w:ascii="Times New Roman" w:hAnsi="Times New Roman" w:cs="Times New Roman"/>
                <w:color w:val="auto"/>
              </w:rPr>
              <w:t>⑶ 注意检查物料在装卸过程中的跑、冒、滴、漏，管线接头处及接卸点处设积液槽（盒），及时回收处理残液。</w:t>
            </w:r>
          </w:p>
          <w:p>
            <w:pPr>
              <w:jc w:val="left"/>
              <w:rPr>
                <w:rFonts w:hint="default" w:ascii="Times New Roman" w:hAnsi="Times New Roman" w:cs="Times New Roman"/>
                <w:b/>
                <w:color w:val="auto"/>
              </w:rPr>
            </w:pPr>
            <w:r>
              <w:rPr>
                <w:rFonts w:hint="default" w:ascii="Times New Roman" w:hAnsi="Times New Roman" w:cs="Times New Roman"/>
                <w:color w:val="auto"/>
              </w:rPr>
              <w:t>⑷ 采用先进的电视监视系统、可燃气体检测报警系统、消防监控系统对整个码头进行全方位监控。</w:t>
            </w:r>
          </w:p>
        </w:tc>
        <w:tc>
          <w:tcPr>
            <w:tcW w:w="323" w:type="pct"/>
            <w:vMerge w:val="restar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Cs/>
                <w:color w:val="auto"/>
                <w:sz w:val="21"/>
                <w:szCs w:val="21"/>
              </w:rPr>
              <w:t>岳阳液化天然气有限公司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水生环境</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码头</w:t>
            </w:r>
            <w:r>
              <w:rPr>
                <w:rFonts w:hint="eastAsia" w:ascii="Times New Roman" w:hAnsi="Times New Roman" w:cs="Times New Roman"/>
                <w:color w:val="auto"/>
                <w:lang w:val="en-US" w:eastAsia="zh-CN"/>
              </w:rPr>
              <w:t>加注平台</w:t>
            </w:r>
            <w:r>
              <w:rPr>
                <w:rFonts w:hint="default" w:ascii="Times New Roman" w:hAnsi="Times New Roman" w:cs="Times New Roman"/>
                <w:color w:val="auto"/>
              </w:rPr>
              <w:t>设置污水箱，收集</w:t>
            </w:r>
            <w:r>
              <w:rPr>
                <w:rFonts w:hint="eastAsia" w:ascii="Times New Roman" w:hAnsi="Times New Roman" w:cs="Times New Roman"/>
                <w:color w:val="auto"/>
                <w:lang w:val="en-US" w:eastAsia="zh-CN"/>
              </w:rPr>
              <w:t>加注平台</w:t>
            </w:r>
            <w:r>
              <w:rPr>
                <w:rFonts w:hint="default" w:ascii="Times New Roman" w:hAnsi="Times New Roman" w:cs="Times New Roman"/>
                <w:color w:val="auto"/>
              </w:rPr>
              <w:t>初期雨水</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生活污水、机修含油污水</w:t>
            </w:r>
            <w:r>
              <w:rPr>
                <w:rFonts w:hint="default" w:ascii="Times New Roman" w:hAnsi="Times New Roman" w:cs="Times New Roman"/>
                <w:color w:val="auto"/>
              </w:rPr>
              <w:t>和部分事故溢液。</w:t>
            </w:r>
          </w:p>
          <w:p>
            <w:pPr>
              <w:jc w:val="left"/>
              <w:rPr>
                <w:rFonts w:hint="default" w:ascii="Times New Roman" w:hAnsi="Times New Roman" w:cs="Times New Roman"/>
                <w:color w:val="auto"/>
              </w:rPr>
            </w:pPr>
            <w:r>
              <w:rPr>
                <w:rFonts w:hint="default" w:ascii="Times New Roman" w:hAnsi="Times New Roman" w:cs="Times New Roman"/>
                <w:color w:val="auto"/>
              </w:rPr>
              <w:t>⑵ 船舶舱底油污水及船舶生活污水严格按照《中华人民共和国防治船舶污染内河水域环境管理规定》收集处理。</w:t>
            </w:r>
          </w:p>
          <w:p>
            <w:pPr>
              <w:jc w:val="left"/>
              <w:rPr>
                <w:rFonts w:hint="default" w:ascii="Times New Roman" w:hAnsi="Times New Roman" w:cs="Times New Roman"/>
                <w:color w:val="auto"/>
              </w:rPr>
            </w:pPr>
            <w:r>
              <w:rPr>
                <w:rFonts w:hint="default" w:ascii="Times New Roman" w:hAnsi="Times New Roman" w:cs="Times New Roman"/>
                <w:color w:val="auto"/>
              </w:rPr>
              <w:t>⑶ 生活污水经管道收集后由后方管网排入罐区污水处理设备。</w:t>
            </w:r>
          </w:p>
          <w:p>
            <w:pPr>
              <w:jc w:val="left"/>
              <w:rPr>
                <w:rFonts w:hint="default" w:ascii="Times New Roman" w:hAnsi="Times New Roman" w:cs="Times New Roman"/>
                <w:b/>
                <w:color w:val="auto"/>
              </w:rPr>
            </w:pPr>
            <w:r>
              <w:rPr>
                <w:rFonts w:hint="default" w:ascii="Times New Roman" w:hAnsi="Times New Roman" w:cs="Times New Roman"/>
                <w:color w:val="auto"/>
              </w:rPr>
              <w:t>⑷ LNG船停靠码头后，进行包围式敷设围油栏，然后进行装卸作业，预防可能发生的事故性溢油。</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噪声</w:t>
            </w:r>
          </w:p>
        </w:tc>
        <w:tc>
          <w:tcPr>
            <w:tcW w:w="3935" w:type="pct"/>
            <w:tcBorders>
              <w:tl2br w:val="nil"/>
              <w:tr2bl w:val="nil"/>
            </w:tcBorders>
            <w:vAlign w:val="center"/>
          </w:tcPr>
          <w:p>
            <w:pPr>
              <w:pStyle w:val="325"/>
              <w:tabs>
                <w:tab w:val="right" w:leader="dot" w:pos="9070"/>
              </w:tabs>
              <w:adjustRightInd w:val="0"/>
              <w:snapToGrid w:val="0"/>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t>装卸、运输机械做好维护保养工作，维持设备低噪音水平。</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4"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p>
        </w:tc>
        <w:tc>
          <w:tcPr>
            <w:tcW w:w="42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固体废物</w:t>
            </w:r>
          </w:p>
        </w:tc>
        <w:tc>
          <w:tcPr>
            <w:tcW w:w="3935" w:type="pct"/>
            <w:tcBorders>
              <w:tl2br w:val="nil"/>
              <w:tr2bl w:val="nil"/>
            </w:tcBorders>
            <w:vAlign w:val="center"/>
          </w:tcPr>
          <w:p>
            <w:pPr>
              <w:jc w:val="left"/>
              <w:rPr>
                <w:rFonts w:hint="default" w:ascii="Times New Roman" w:hAnsi="Times New Roman" w:cs="Times New Roman"/>
                <w:color w:val="auto"/>
              </w:rPr>
            </w:pPr>
            <w:r>
              <w:rPr>
                <w:rFonts w:hint="default" w:ascii="Times New Roman" w:hAnsi="Times New Roman" w:cs="Times New Roman"/>
                <w:color w:val="auto"/>
              </w:rPr>
              <w:t>⑴ 船舶垃圾按照《中华人民共和国防治船舶污染内河水域环境管理规定》执行。</w:t>
            </w:r>
          </w:p>
          <w:p>
            <w:pPr>
              <w:jc w:val="left"/>
              <w:rPr>
                <w:rFonts w:hint="default" w:ascii="Times New Roman" w:hAnsi="Times New Roman" w:cs="Times New Roman"/>
                <w:color w:val="auto"/>
              </w:rPr>
            </w:pPr>
            <w:r>
              <w:rPr>
                <w:rFonts w:hint="default" w:ascii="Times New Roman" w:hAnsi="Times New Roman" w:cs="Times New Roman"/>
                <w:color w:val="auto"/>
              </w:rPr>
              <w:t>⑵ 码头及罐区配备棉纱、抹布，对检修和意外泄漏废液品进行吸附清理，使用后立即收集装入塑料袋内扎紧密封，送附近固废处理中心接收并焚烧处理。</w:t>
            </w:r>
          </w:p>
          <w:p>
            <w:pPr>
              <w:jc w:val="left"/>
              <w:rPr>
                <w:rFonts w:hint="default" w:ascii="Times New Roman" w:hAnsi="Times New Roman" w:cs="Times New Roman"/>
                <w:b/>
                <w:color w:val="auto"/>
              </w:rPr>
            </w:pPr>
            <w:r>
              <w:rPr>
                <w:rFonts w:hint="default" w:ascii="Times New Roman" w:hAnsi="Times New Roman" w:cs="Times New Roman"/>
                <w:color w:val="auto"/>
              </w:rPr>
              <w:t>⑶ 船舶垃圾若需上岸处理，需经卫生防疫主管部门检疫批准后，按当地海事部门要求处理。</w:t>
            </w:r>
          </w:p>
        </w:tc>
        <w:tc>
          <w:tcPr>
            <w:tcW w:w="323" w:type="pct"/>
            <w:vMerge w:val="continue"/>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0" w:type="pct"/>
            <w:gridSpan w:val="2"/>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环境监测</w:t>
            </w:r>
          </w:p>
        </w:tc>
        <w:tc>
          <w:tcPr>
            <w:tcW w:w="3935" w:type="pct"/>
            <w:tcBorders>
              <w:tl2br w:val="nil"/>
              <w:tr2bl w:val="nil"/>
            </w:tcBorders>
            <w:vAlign w:val="center"/>
          </w:tcPr>
          <w:p>
            <w:pPr>
              <w:pStyle w:val="325"/>
              <w:tabs>
                <w:tab w:val="right" w:leader="dot" w:pos="9070"/>
              </w:tabs>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按环境监测技术规范及环保部颁布的监测标准、方法执行。</w:t>
            </w:r>
          </w:p>
        </w:tc>
        <w:tc>
          <w:tcPr>
            <w:tcW w:w="323"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color w:val="auto"/>
                <w:sz w:val="21"/>
                <w:szCs w:val="21"/>
              </w:rPr>
            </w:pPr>
            <w:r>
              <w:rPr>
                <w:rFonts w:hint="default" w:ascii="Times New Roman" w:hAnsi="Times New Roman" w:cs="Times New Roman"/>
                <w:bCs/>
                <w:color w:val="auto"/>
                <w:sz w:val="21"/>
                <w:szCs w:val="21"/>
              </w:rPr>
              <w:t>监测单位</w:t>
            </w:r>
          </w:p>
        </w:tc>
      </w:tr>
    </w:tbl>
    <w:p>
      <w:pPr>
        <w:pStyle w:val="325"/>
        <w:tabs>
          <w:tab w:val="right" w:leader="dot" w:pos="9070"/>
        </w:tabs>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pStyle w:val="3"/>
        <w:ind w:left="578" w:hanging="578"/>
        <w:rPr>
          <w:rFonts w:hint="default" w:ascii="Times New Roman" w:hAnsi="Times New Roman" w:cs="Times New Roman" w:eastAsiaTheme="minorEastAsia"/>
          <w:b/>
          <w:color w:val="auto"/>
        </w:rPr>
      </w:pPr>
      <w:bookmarkStart w:id="152" w:name="_Toc7034"/>
      <w:bookmarkStart w:id="153" w:name="_Toc10580"/>
      <w:r>
        <w:rPr>
          <w:rFonts w:hint="default" w:ascii="Times New Roman" w:hAnsi="Times New Roman" w:cs="Times New Roman" w:eastAsiaTheme="minorEastAsia"/>
          <w:b/>
          <w:color w:val="auto"/>
        </w:rPr>
        <w:t>环境监测计划</w:t>
      </w:r>
      <w:bookmarkEnd w:id="152"/>
      <w:bookmarkEnd w:id="153"/>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环境监测的目的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为保证本项目在施工期和营运期减少污染物的排放，减轻对环境的污染，使整个受工程建设影响的区域符合本报告提出的环境质量标准，工程施工期和营运期必须执行本监测计划。通过实施环境监测计划，全面及时地掌握工程施工期和使用期环境状况，对可能发生的污染进行监测，为制定必要的污染控制措施提供依据。</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排污口规范化整治</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在固定噪声源、消防泵等处应按《环境保护图形标志》（GB15562-1995）要求设置环境保护图形标志牌。</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在垃圾等固体废物专用堆放场地，应按上述《环境保护图形标志》（GB15562-1995）要求设置环境保护图形标志牌。</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环境监测计划</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single"/>
        </w:rPr>
      </w:pPr>
      <w:r>
        <w:rPr>
          <w:rFonts w:hint="default" w:ascii="Times New Roman" w:hAnsi="Times New Roman" w:cs="Times New Roman" w:eastAsiaTheme="minorEastAsia"/>
          <w:color w:val="auto"/>
          <w:kern w:val="0"/>
          <w:sz w:val="24"/>
          <w:szCs w:val="24"/>
          <w:u w:val="single"/>
        </w:rPr>
        <w:t>本项目环境监测计划见表11.2-1。</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u w:val="single"/>
        </w:rPr>
      </w:pPr>
      <w:r>
        <w:rPr>
          <w:rFonts w:hint="default" w:ascii="Times New Roman" w:hAnsi="Times New Roman" w:cs="Times New Roman" w:eastAsiaTheme="minorEastAsia"/>
          <w:b/>
          <w:bCs/>
          <w:color w:val="auto"/>
          <w:kern w:val="0"/>
          <w:sz w:val="24"/>
          <w:szCs w:val="24"/>
          <w:u w:val="single"/>
        </w:rPr>
        <w:t>表11.2-1  环境监测计划</w:t>
      </w:r>
    </w:p>
    <w:tbl>
      <w:tblPr>
        <w:tblStyle w:val="7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88"/>
        <w:gridCol w:w="1087"/>
        <w:gridCol w:w="2806"/>
        <w:gridCol w:w="1081"/>
        <w:gridCol w:w="1512"/>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98" w:type="pct"/>
            <w:tcBorders>
              <w:top w:val="single" w:color="auto" w:sz="12" w:space="0"/>
              <w:lef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监测阶段</w:t>
            </w:r>
          </w:p>
        </w:tc>
        <w:tc>
          <w:tcPr>
            <w:tcW w:w="597" w:type="pct"/>
            <w:tcBorders>
              <w:top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监测项目</w:t>
            </w:r>
          </w:p>
        </w:tc>
        <w:tc>
          <w:tcPr>
            <w:tcW w:w="1542" w:type="pct"/>
            <w:tcBorders>
              <w:top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监测地点</w:t>
            </w:r>
          </w:p>
        </w:tc>
        <w:tc>
          <w:tcPr>
            <w:tcW w:w="594" w:type="pct"/>
            <w:tcBorders>
              <w:top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监测项目</w:t>
            </w:r>
          </w:p>
        </w:tc>
        <w:tc>
          <w:tcPr>
            <w:tcW w:w="831" w:type="pct"/>
            <w:tcBorders>
              <w:top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监测频次</w:t>
            </w:r>
          </w:p>
        </w:tc>
        <w:tc>
          <w:tcPr>
            <w:tcW w:w="835" w:type="pct"/>
            <w:tcBorders>
              <w:top w:val="single" w:color="auto" w:sz="12" w:space="0"/>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b/>
                <w:bCs/>
                <w:color w:val="auto"/>
                <w:kern w:val="0"/>
                <w:u w:val="single"/>
              </w:rPr>
              <w:t>监测历时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Merge w:val="restart"/>
            <w:tcBorders>
              <w:left w:val="single" w:color="auto" w:sz="12" w:space="0"/>
            </w:tcBorders>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施工期</w:t>
            </w:r>
          </w:p>
        </w:tc>
        <w:tc>
          <w:tcPr>
            <w:tcW w:w="597"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环境空气</w:t>
            </w:r>
          </w:p>
        </w:tc>
        <w:tc>
          <w:tcPr>
            <w:tcW w:w="1542"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施工现场</w:t>
            </w:r>
          </w:p>
        </w:tc>
        <w:tc>
          <w:tcPr>
            <w:tcW w:w="594"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TSP</w:t>
            </w:r>
          </w:p>
        </w:tc>
        <w:tc>
          <w:tcPr>
            <w:tcW w:w="831" w:type="pct"/>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1次/季（根据施工情况适当调整）</w:t>
            </w:r>
          </w:p>
        </w:tc>
        <w:tc>
          <w:tcPr>
            <w:tcW w:w="835" w:type="pct"/>
            <w:tcBorders>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每次连续12小时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Merge w:val="continue"/>
            <w:tcBorders>
              <w:left w:val="single" w:color="auto" w:sz="12" w:space="0"/>
            </w:tcBorders>
            <w:vAlign w:val="center"/>
          </w:tcPr>
          <w:p>
            <w:pPr>
              <w:adjustRightInd w:val="0"/>
              <w:snapToGrid w:val="0"/>
              <w:jc w:val="center"/>
              <w:rPr>
                <w:rFonts w:hint="default" w:ascii="Times New Roman" w:hAnsi="Times New Roman" w:cs="Times New Roman"/>
                <w:color w:val="auto"/>
                <w:kern w:val="0"/>
                <w:u w:val="single"/>
              </w:rPr>
            </w:pPr>
          </w:p>
        </w:tc>
        <w:tc>
          <w:tcPr>
            <w:tcW w:w="597"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水环境</w:t>
            </w:r>
          </w:p>
        </w:tc>
        <w:tc>
          <w:tcPr>
            <w:tcW w:w="1542" w:type="pct"/>
            <w:vAlign w:val="center"/>
          </w:tcPr>
          <w:p>
            <w:pPr>
              <w:pStyle w:val="174"/>
              <w:adjustRightInd w:val="0"/>
              <w:snapToGrid w:val="0"/>
              <w:spacing w:line="240" w:lineRule="auto"/>
              <w:rPr>
                <w:rFonts w:hint="default" w:ascii="Times New Roman" w:hAnsi="Times New Roman" w:cs="Times New Roman"/>
                <w:color w:val="auto"/>
                <w:kern w:val="0"/>
                <w:sz w:val="21"/>
                <w:szCs w:val="21"/>
                <w:u w:val="single"/>
              </w:rPr>
            </w:pPr>
            <w:r>
              <w:rPr>
                <w:rFonts w:hint="default" w:ascii="Times New Roman" w:hAnsi="Times New Roman" w:cs="Times New Roman" w:eastAsiaTheme="minorEastAsia"/>
                <w:color w:val="auto"/>
                <w:kern w:val="2"/>
                <w:sz w:val="21"/>
                <w:szCs w:val="21"/>
                <w:u w:val="single"/>
              </w:rPr>
              <w:t>1#加注码头泊位上游580m处、2#加注码头泊位下游3.5km处</w:t>
            </w:r>
            <w:r>
              <w:rPr>
                <w:rFonts w:hint="default" w:ascii="Times New Roman" w:hAnsi="Times New Roman" w:cs="Times New Roman"/>
                <w:color w:val="auto"/>
                <w:sz w:val="21"/>
                <w:szCs w:val="21"/>
                <w:u w:val="single"/>
              </w:rPr>
              <w:t>各布设1条监测断面</w:t>
            </w:r>
          </w:p>
        </w:tc>
        <w:tc>
          <w:tcPr>
            <w:tcW w:w="594"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COD、石油类</w:t>
            </w:r>
          </w:p>
        </w:tc>
        <w:tc>
          <w:tcPr>
            <w:tcW w:w="831" w:type="pct"/>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水下施工作业期间期1次/月</w:t>
            </w:r>
          </w:p>
        </w:tc>
        <w:tc>
          <w:tcPr>
            <w:tcW w:w="835" w:type="pct"/>
            <w:tcBorders>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连续监测2天，每天上午、下午各1次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Merge w:val="restart"/>
            <w:tcBorders>
              <w:left w:val="single" w:color="auto" w:sz="12" w:space="0"/>
            </w:tcBorders>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运营期</w:t>
            </w:r>
          </w:p>
        </w:tc>
        <w:tc>
          <w:tcPr>
            <w:tcW w:w="597"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环境空气</w:t>
            </w:r>
          </w:p>
        </w:tc>
        <w:tc>
          <w:tcPr>
            <w:tcW w:w="1542"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eastAsiaTheme="minorEastAsia"/>
                <w:color w:val="auto"/>
                <w:u w:val="single"/>
              </w:rPr>
              <w:t>加注站的西南侧200m处</w:t>
            </w:r>
          </w:p>
        </w:tc>
        <w:tc>
          <w:tcPr>
            <w:tcW w:w="594"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u w:val="single"/>
              </w:rPr>
              <w:t>总烃</w:t>
            </w:r>
          </w:p>
        </w:tc>
        <w:tc>
          <w:tcPr>
            <w:tcW w:w="1667" w:type="pct"/>
            <w:gridSpan w:val="2"/>
            <w:tcBorders>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Merge w:val="continue"/>
            <w:tcBorders>
              <w:left w:val="single" w:color="auto" w:sz="12" w:space="0"/>
            </w:tcBorders>
            <w:vAlign w:val="center"/>
          </w:tcPr>
          <w:p>
            <w:pPr>
              <w:adjustRightInd w:val="0"/>
              <w:snapToGrid w:val="0"/>
              <w:jc w:val="center"/>
              <w:rPr>
                <w:rFonts w:hint="default" w:ascii="Times New Roman" w:hAnsi="Times New Roman" w:cs="Times New Roman"/>
                <w:color w:val="auto"/>
                <w:kern w:val="0"/>
                <w:u w:val="single"/>
              </w:rPr>
            </w:pPr>
          </w:p>
        </w:tc>
        <w:tc>
          <w:tcPr>
            <w:tcW w:w="597"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水环境</w:t>
            </w:r>
          </w:p>
        </w:tc>
        <w:tc>
          <w:tcPr>
            <w:tcW w:w="1542" w:type="pct"/>
            <w:vAlign w:val="center"/>
          </w:tcPr>
          <w:p>
            <w:pPr>
              <w:pStyle w:val="174"/>
              <w:adjustRightInd w:val="0"/>
              <w:snapToGrid w:val="0"/>
              <w:spacing w:line="240" w:lineRule="auto"/>
              <w:rPr>
                <w:rFonts w:hint="default" w:ascii="Times New Roman" w:hAnsi="Times New Roman" w:cs="Times New Roman"/>
                <w:color w:val="auto"/>
                <w:kern w:val="0"/>
                <w:sz w:val="21"/>
                <w:szCs w:val="21"/>
                <w:u w:val="single"/>
              </w:rPr>
            </w:pPr>
            <w:r>
              <w:rPr>
                <w:rFonts w:hint="default" w:ascii="Times New Roman" w:hAnsi="Times New Roman" w:cs="Times New Roman" w:eastAsiaTheme="minorEastAsia"/>
                <w:color w:val="auto"/>
                <w:kern w:val="2"/>
                <w:sz w:val="21"/>
                <w:szCs w:val="21"/>
                <w:u w:val="single"/>
              </w:rPr>
              <w:t>1#加注码头泊位上游580m处、2#加注码头泊位下游3.5km处</w:t>
            </w:r>
            <w:r>
              <w:rPr>
                <w:rFonts w:hint="default" w:ascii="Times New Roman" w:hAnsi="Times New Roman" w:cs="Times New Roman"/>
                <w:color w:val="auto"/>
                <w:sz w:val="21"/>
                <w:szCs w:val="21"/>
                <w:u w:val="single"/>
              </w:rPr>
              <w:t>各布设1条监测断面</w:t>
            </w:r>
          </w:p>
        </w:tc>
        <w:tc>
          <w:tcPr>
            <w:tcW w:w="594" w:type="pct"/>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u w:val="single"/>
              </w:rPr>
              <w:t>COD、石油类</w:t>
            </w:r>
          </w:p>
        </w:tc>
        <w:tc>
          <w:tcPr>
            <w:tcW w:w="1667" w:type="pct"/>
            <w:gridSpan w:val="2"/>
            <w:tcBorders>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事故状态下跟踪监测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Merge w:val="continue"/>
            <w:tcBorders>
              <w:left w:val="single" w:color="auto" w:sz="12" w:space="0"/>
              <w:bottom w:val="single" w:color="auto" w:sz="12" w:space="0"/>
            </w:tcBorders>
            <w:vAlign w:val="center"/>
          </w:tcPr>
          <w:p>
            <w:pPr>
              <w:adjustRightInd w:val="0"/>
              <w:snapToGrid w:val="0"/>
              <w:jc w:val="center"/>
              <w:rPr>
                <w:rFonts w:hint="default" w:ascii="Times New Roman" w:hAnsi="Times New Roman" w:cs="Times New Roman"/>
                <w:color w:val="auto"/>
                <w:kern w:val="0"/>
                <w:u w:val="single"/>
              </w:rPr>
            </w:pPr>
          </w:p>
        </w:tc>
        <w:tc>
          <w:tcPr>
            <w:tcW w:w="597" w:type="pct"/>
            <w:tcBorders>
              <w:bottom w:val="single" w:color="auto" w:sz="12" w:space="0"/>
            </w:tcBorders>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kern w:val="0"/>
                <w:u w:val="single"/>
              </w:rPr>
              <w:t>声环境</w:t>
            </w:r>
          </w:p>
        </w:tc>
        <w:tc>
          <w:tcPr>
            <w:tcW w:w="1542" w:type="pct"/>
            <w:tcBorders>
              <w:bottom w:val="single" w:color="auto" w:sz="12" w:space="0"/>
            </w:tcBorders>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u w:val="single"/>
              </w:rPr>
              <w:t>港界</w:t>
            </w:r>
          </w:p>
        </w:tc>
        <w:tc>
          <w:tcPr>
            <w:tcW w:w="594" w:type="pct"/>
            <w:tcBorders>
              <w:bottom w:val="single" w:color="auto" w:sz="12" w:space="0"/>
            </w:tcBorders>
            <w:vAlign w:val="center"/>
          </w:tcPr>
          <w:p>
            <w:pPr>
              <w:adjustRightInd w:val="0"/>
              <w:snapToGrid w:val="0"/>
              <w:jc w:val="center"/>
              <w:rPr>
                <w:rFonts w:hint="default" w:ascii="Times New Roman" w:hAnsi="Times New Roman" w:cs="Times New Roman"/>
                <w:color w:val="auto"/>
                <w:kern w:val="0"/>
                <w:u w:val="single"/>
              </w:rPr>
            </w:pPr>
            <w:r>
              <w:rPr>
                <w:rFonts w:hint="default" w:ascii="Times New Roman" w:hAnsi="Times New Roman" w:cs="Times New Roman"/>
                <w:color w:val="auto"/>
                <w:u w:val="single"/>
              </w:rPr>
              <w:t>L</w:t>
            </w:r>
            <w:r>
              <w:rPr>
                <w:rFonts w:hint="default" w:ascii="Times New Roman" w:hAnsi="Times New Roman" w:cs="Times New Roman"/>
                <w:color w:val="auto"/>
                <w:u w:val="single"/>
                <w:vertAlign w:val="subscript"/>
              </w:rPr>
              <w:t>Aeq</w:t>
            </w:r>
          </w:p>
        </w:tc>
        <w:tc>
          <w:tcPr>
            <w:tcW w:w="1667" w:type="pct"/>
            <w:gridSpan w:val="2"/>
            <w:tcBorders>
              <w:bottom w:val="single" w:color="auto" w:sz="12" w:space="0"/>
              <w:right w:val="single" w:color="auto" w:sz="12" w:space="0"/>
            </w:tcBorders>
            <w:vAlign w:val="center"/>
          </w:tcPr>
          <w:p>
            <w:pPr>
              <w:adjustRightInd w:val="0"/>
              <w:snapToGrid w:val="0"/>
              <w:jc w:val="center"/>
              <w:rPr>
                <w:rFonts w:hint="default" w:ascii="Times New Roman" w:hAnsi="Times New Roman" w:cs="Times New Roman"/>
                <w:b/>
                <w:bCs/>
                <w:color w:val="auto"/>
                <w:kern w:val="0"/>
                <w:u w:val="single"/>
              </w:rPr>
            </w:pPr>
            <w:r>
              <w:rPr>
                <w:rFonts w:hint="default" w:ascii="Times New Roman" w:hAnsi="Times New Roman" w:cs="Times New Roman"/>
                <w:color w:val="auto"/>
                <w:u w:val="single"/>
              </w:rPr>
              <w:t>监测1~2天，昼夜各一次</w:t>
            </w:r>
          </w:p>
        </w:tc>
      </w:tr>
    </w:tbl>
    <w:p>
      <w:pPr>
        <w:adjustRightInd w:val="0"/>
        <w:snapToGrid w:val="0"/>
        <w:spacing w:line="360" w:lineRule="auto"/>
        <w:ind w:firstLine="482" w:firstLineChars="200"/>
        <w:rPr>
          <w:rFonts w:hint="default" w:ascii="Times New Roman" w:hAnsi="Times New Roman" w:cs="Times New Roman" w:eastAsiaTheme="minorEastAsia"/>
          <w:b/>
          <w:color w:val="auto"/>
          <w:sz w:val="24"/>
          <w:szCs w:val="24"/>
        </w:rPr>
      </w:pPr>
    </w:p>
    <w:p>
      <w:pPr>
        <w:pStyle w:val="3"/>
        <w:ind w:left="578" w:hanging="578"/>
        <w:rPr>
          <w:rFonts w:hint="default" w:ascii="Times New Roman" w:hAnsi="Times New Roman" w:cs="Times New Roman" w:eastAsiaTheme="minorEastAsia"/>
          <w:b/>
          <w:color w:val="auto"/>
        </w:rPr>
      </w:pPr>
      <w:bookmarkStart w:id="154" w:name="_Toc14798"/>
      <w:bookmarkStart w:id="155" w:name="_Toc22336"/>
      <w:r>
        <w:rPr>
          <w:rFonts w:hint="default" w:ascii="Times New Roman" w:hAnsi="Times New Roman" w:cs="Times New Roman" w:eastAsiaTheme="minorEastAsia"/>
          <w:b/>
          <w:color w:val="auto"/>
        </w:rPr>
        <w:t>环境监理</w:t>
      </w:r>
      <w:bookmarkEnd w:id="154"/>
      <w:bookmarkEnd w:id="155"/>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施工应实行监理制度，建设单位委托有环境监理资质的单位进行监理工作，工程监理单位应根据与本项目有关的环保规范和标准、工程设计图纸、设计说明及其它设计文件、工程施工合同及招投标文件、工程环境监理合同及招标文件等编制环境监理方案，并严格按照制定的环境监理方案执行监理工作。</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严格按照环境监理工作程序进行监理工作，分别为环境监理项目公示、环境监理招投标、合同签订与备案、环境监理方案编制、环境监理方案技术评估、环境监理方案报备、设计和施工阶段环境监理、试生产阶段环境监理和环境监理总报告报备。设计和施工阶段环境监理的主要工作内容如下：</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施工前期环境监理</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1、污染防治方案的审核</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环境监理根据具体项目的工艺设计，审核施工工艺中的“三废”排放环节，排放的主要污染物及设计中采用的治理技术是否先进，治理措施是否可行。污染物的最终处置方法和去向，应在工程前期按有关文件规定和处理要求，做好计划，并向环保主管部门申报后具体落实，审核整个工艺是否具有清洁生产的特点，并提出合理建议。</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2、审核施工承包合同中的环境保护专项条款</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承包单位必须遵循的环境保护有关要求应以专项条款的方式在施工承包合同中体现，并在施工过程中据此加强监督管理、检查、监测、减少施工期对环境的污染影响，同时应对施工单位的文明施工素质及施工环境管理水平进行审核。</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施工期环境监理</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1、环境空气污染防治的监理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区域大气污染主要来源于施工和生产过程中产生的废气和粉尘，对污染源要求达标排放，对施工场地及其影响区域应达到规定的环境质量标准。环境监理工程师应明确施工期施工船舶、施工机械、运输车辆施工作业过程中大气污染源的排放情况，检查施工过程中各类机械设备是否依据有关法规控制粉尘及其它大气污染物污染。</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2、水污染防治的监理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环境监理工程师应对施工期生产和生活污水的来源、排放量、水质指标，处理设施的建设过程和处理效果等进行监理，检查和监测是否达到批准的排放标准，或是否采取措施控制污染物的产生。监督检查施工现场排水系统是否处于良好的使用状态，施工现场是否积水，施工船舶是否有与其生活污水产生量相适应的处理装置或存储器，船舶运转中产生的油污水及其它生活垃圾交接收船收集的情况。</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对水上施工进行监理，对施工人员生活污水的收集与排放、施工场地生产废水和悬浮泥沙排放处理情况进行监测结果评定，如超标，环境监理工程师要及时通知承包方，采取必要的措施，以保证上述污水的排放不对长江水质造成污染影响。</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3、噪声污染防治的监理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环境监理工程师应熟悉施工活动中施工机械作业场所、施工时间、交通噪声源（运输车辆、船舶噪声）等各类噪声污染源，监督检查施工过程中各类机械设备是否依据有关法规控制噪声污染。为防止噪声危害，对产生强烈噪声或振动的污染源，应按设计要求进行防治，要求施工场地及施工噪声影响区域的声环境质量达到相应的标准。</w:t>
      </w:r>
    </w:p>
    <w:p>
      <w:pPr>
        <w:adjustRightInd w:val="0"/>
        <w:snapToGrid w:val="0"/>
        <w:spacing w:line="360" w:lineRule="auto"/>
        <w:ind w:firstLine="482"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b/>
          <w:bCs/>
          <w:color w:val="auto"/>
          <w:kern w:val="0"/>
          <w:sz w:val="24"/>
          <w:szCs w:val="24"/>
        </w:rPr>
        <w:t>4、其它方面</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施工期间对施工人员做好环境保护方面的培训工作，参与调查处理施工期的环境污染事故和环境污染纠纷。</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施工后期环境监理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监督管理环境恢复监测和环境恢复计划的落实情况及环保处理设施运行情况。检查生态恢复和污染防治措施的落实情况。参与环境工程验收活动，协助建设单位组织人员的环境保护培训，负责工程环境监理工作计划和总结，并完成试生产阶段环境监理和环境监理总报告报备。</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环境监理要点</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工程监理中纳入环境监理内容，按工程质量和环保质量双重要求对项目进行全面质量管理。结合环评中提出的各项环保措施，本项目的环境监理要点详见表11.3-1。</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表11.3-1  施工期环境监理现场工作重点</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31"/>
        <w:gridCol w:w="1758"/>
        <w:gridCol w:w="66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9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监理内容</w:t>
            </w:r>
          </w:p>
        </w:tc>
        <w:tc>
          <w:tcPr>
            <w:tcW w:w="3631"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环境监测点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9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防尘措施</w:t>
            </w:r>
          </w:p>
        </w:tc>
        <w:tc>
          <w:tcPr>
            <w:tcW w:w="3631" w:type="pct"/>
            <w:tcBorders>
              <w:tl2br w:val="nil"/>
              <w:tr2bl w:val="nil"/>
            </w:tcBorders>
            <w:vAlign w:val="center"/>
          </w:tcPr>
          <w:p>
            <w:pPr>
              <w:pStyle w:val="325"/>
              <w:tabs>
                <w:tab w:val="right" w:leader="dot" w:pos="9070"/>
              </w:tabs>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施工现场、堆场等施工现场处的洒水抑尘措施检查。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9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降噪措施</w:t>
            </w:r>
          </w:p>
        </w:tc>
        <w:tc>
          <w:tcPr>
            <w:tcW w:w="3631" w:type="pct"/>
            <w:tcBorders>
              <w:tl2br w:val="nil"/>
              <w:tr2bl w:val="nil"/>
            </w:tcBorders>
            <w:vAlign w:val="center"/>
          </w:tcPr>
          <w:p>
            <w:pPr>
              <w:pStyle w:val="325"/>
              <w:tabs>
                <w:tab w:val="right" w:leader="dot" w:pos="9070"/>
              </w:tabs>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加强机械和车辆维修保养的检查。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9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废水治理措施</w:t>
            </w:r>
          </w:p>
        </w:tc>
        <w:tc>
          <w:tcPr>
            <w:tcW w:w="3631" w:type="pct"/>
            <w:tcBorders>
              <w:tl2br w:val="nil"/>
              <w:tr2bl w:val="nil"/>
            </w:tcBorders>
            <w:vAlign w:val="center"/>
          </w:tcPr>
          <w:p>
            <w:pPr>
              <w:adjustRightInd w:val="0"/>
              <w:snapToGrid w:val="0"/>
              <w:jc w:val="left"/>
              <w:rPr>
                <w:rFonts w:hint="default" w:ascii="Times New Roman" w:hAnsi="Times New Roman" w:cs="Times New Roman"/>
                <w:color w:val="auto"/>
              </w:rPr>
            </w:pPr>
            <w:r>
              <w:rPr>
                <w:rFonts w:hint="default" w:ascii="Times New Roman" w:hAnsi="Times New Roman" w:cs="Times New Roman"/>
                <w:color w:val="auto"/>
              </w:rPr>
              <w:t>⑴ 施工现场是否设置泥</w:t>
            </w:r>
            <w:r>
              <w:rPr>
                <w:rFonts w:hint="eastAsia" w:ascii="Times New Roman" w:hAnsi="Times New Roman" w:cs="Times New Roman"/>
                <w:color w:val="auto"/>
                <w:lang w:val="en-US" w:eastAsia="zh-CN"/>
              </w:rPr>
              <w:t>浆</w:t>
            </w:r>
            <w:r>
              <w:rPr>
                <w:rFonts w:hint="default" w:ascii="Times New Roman" w:hAnsi="Times New Roman" w:cs="Times New Roman"/>
                <w:color w:val="auto"/>
              </w:rPr>
              <w:t>沉淀池来处理施工废水。</w:t>
            </w:r>
          </w:p>
          <w:p>
            <w:pPr>
              <w:adjustRightInd w:val="0"/>
              <w:snapToGrid w:val="0"/>
              <w:jc w:val="left"/>
              <w:rPr>
                <w:rFonts w:hint="default" w:ascii="Times New Roman" w:hAnsi="Times New Roman" w:cs="Times New Roman"/>
                <w:color w:val="auto"/>
              </w:rPr>
            </w:pPr>
            <w:r>
              <w:rPr>
                <w:rFonts w:hint="default" w:ascii="Times New Roman" w:hAnsi="Times New Roman" w:cs="Times New Roman"/>
                <w:color w:val="auto"/>
              </w:rPr>
              <w:t>⑵ 施工现场不积水的检查。</w:t>
            </w:r>
          </w:p>
          <w:p>
            <w:pPr>
              <w:adjustRightInd w:val="0"/>
              <w:snapToGrid w:val="0"/>
              <w:jc w:val="left"/>
              <w:rPr>
                <w:rFonts w:hint="default" w:ascii="Times New Roman" w:hAnsi="Times New Roman" w:cs="Times New Roman"/>
                <w:color w:val="auto"/>
              </w:rPr>
            </w:pPr>
            <w:r>
              <w:rPr>
                <w:rFonts w:hint="default" w:ascii="Times New Roman" w:hAnsi="Times New Roman" w:cs="Times New Roman"/>
                <w:color w:val="auto"/>
              </w:rPr>
              <w:t>⑶ 桩基钻渣泥沙堆放过程产生的少量余水，是否经沉淀池沉淀处理达《城市污水再生利用 城市杂用水水质》（GB/T18920-2002）城市绿化用水要求后用于后方罐区绿化。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02"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966" w:type="pct"/>
            <w:tcBorders>
              <w:tl2br w:val="nil"/>
              <w:tr2bl w:val="nil"/>
            </w:tcBorders>
            <w:vAlign w:val="center"/>
          </w:tcPr>
          <w:p>
            <w:pPr>
              <w:pStyle w:val="325"/>
              <w:tabs>
                <w:tab w:val="right" w:leader="dot" w:pos="9070"/>
              </w:tabs>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w:t>
            </w:r>
          </w:p>
        </w:tc>
        <w:tc>
          <w:tcPr>
            <w:tcW w:w="3631" w:type="pct"/>
            <w:tcBorders>
              <w:tl2br w:val="nil"/>
              <w:tr2bl w:val="nil"/>
            </w:tcBorders>
            <w:vAlign w:val="center"/>
          </w:tcPr>
          <w:p>
            <w:pPr>
              <w:adjustRightInd w:val="0"/>
              <w:snapToGrid w:val="0"/>
              <w:jc w:val="left"/>
              <w:rPr>
                <w:rFonts w:hint="default" w:ascii="Times New Roman" w:hAnsi="Times New Roman" w:cs="Times New Roman"/>
                <w:color w:val="auto"/>
              </w:rPr>
            </w:pPr>
            <w:r>
              <w:rPr>
                <w:rFonts w:hint="default" w:ascii="Times New Roman" w:hAnsi="Times New Roman" w:cs="Times New Roman"/>
                <w:color w:val="auto"/>
              </w:rPr>
              <w:t>⑴ 施工人员是否利用水上作业之便捕捞水生动物。</w:t>
            </w:r>
          </w:p>
          <w:p>
            <w:pPr>
              <w:adjustRightInd w:val="0"/>
              <w:snapToGrid w:val="0"/>
              <w:jc w:val="left"/>
              <w:rPr>
                <w:rFonts w:hint="default" w:ascii="Times New Roman" w:hAnsi="Times New Roman" w:cs="Times New Roman"/>
                <w:color w:val="auto"/>
              </w:rPr>
            </w:pPr>
            <w:r>
              <w:rPr>
                <w:rFonts w:hint="default" w:ascii="Times New Roman" w:hAnsi="Times New Roman" w:cs="Times New Roman"/>
                <w:color w:val="auto"/>
              </w:rPr>
              <w:t>⑵ 工程水下施工是否避开了珍稀保护水生动物的洄游高峰期。</w:t>
            </w:r>
          </w:p>
          <w:p>
            <w:pPr>
              <w:pStyle w:val="325"/>
              <w:tabs>
                <w:tab w:val="right" w:leader="dot" w:pos="9070"/>
              </w:tabs>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⑶ 钻渣泥沙是否合理处置。</w:t>
            </w:r>
          </w:p>
        </w:tc>
      </w:tr>
    </w:tbl>
    <w:p>
      <w:pPr>
        <w:pStyle w:val="325"/>
        <w:tabs>
          <w:tab w:val="right" w:leader="dot" w:pos="9070"/>
        </w:tabs>
        <w:adjustRightInd w:val="0"/>
        <w:snapToGrid w:val="0"/>
        <w:spacing w:line="360" w:lineRule="auto"/>
        <w:jc w:val="both"/>
        <w:rPr>
          <w:rFonts w:hint="default" w:ascii="Times New Roman" w:hAnsi="Times New Roman" w:cs="Times New Roman"/>
          <w:color w:val="auto"/>
        </w:rPr>
      </w:pPr>
    </w:p>
    <w:p>
      <w:pPr>
        <w:pStyle w:val="3"/>
        <w:ind w:left="578" w:hanging="578"/>
        <w:rPr>
          <w:rFonts w:hint="default" w:ascii="Times New Roman" w:hAnsi="Times New Roman" w:cs="Times New Roman" w:eastAsiaTheme="minorEastAsia"/>
          <w:b/>
          <w:color w:val="auto"/>
        </w:rPr>
      </w:pPr>
      <w:bookmarkStart w:id="156" w:name="_Toc25269"/>
      <w:bookmarkStart w:id="157" w:name="_Toc423004655"/>
      <w:bookmarkStart w:id="158" w:name="_Toc111702151"/>
      <w:bookmarkStart w:id="159" w:name="_Toc293642759"/>
      <w:r>
        <w:rPr>
          <w:rFonts w:hint="default" w:ascii="Times New Roman" w:hAnsi="Times New Roman" w:cs="Times New Roman" w:eastAsiaTheme="minorEastAsia"/>
          <w:b/>
          <w:color w:val="auto"/>
        </w:rPr>
        <w:t>“三同时”验收内容及进度计划表</w:t>
      </w:r>
      <w:bookmarkEnd w:id="156"/>
      <w:bookmarkEnd w:id="157"/>
      <w:bookmarkEnd w:id="158"/>
      <w:bookmarkEnd w:id="159"/>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根据本</w:t>
      </w:r>
      <w:r>
        <w:rPr>
          <w:rFonts w:hint="eastAsia" w:ascii="Times New Roman" w:hAnsi="Times New Roman" w:cs="Times New Roman" w:eastAsiaTheme="minorEastAsia"/>
          <w:color w:val="auto"/>
          <w:kern w:val="0"/>
          <w:sz w:val="24"/>
          <w:szCs w:val="24"/>
          <w:lang w:eastAsia="zh-CN"/>
        </w:rPr>
        <w:t>项目</w:t>
      </w:r>
      <w:r>
        <w:rPr>
          <w:rFonts w:hint="default" w:ascii="Times New Roman" w:hAnsi="Times New Roman" w:cs="Times New Roman" w:eastAsiaTheme="minorEastAsia"/>
          <w:color w:val="auto"/>
          <w:kern w:val="0"/>
          <w:sz w:val="24"/>
          <w:szCs w:val="24"/>
        </w:rPr>
        <w:t>实际情况，将该工程的环保措施具体工作分为施工期和运行期两个阶段，分别对两个阶段中的水质保护、水土保持、人群健康保护、土地资源保护、声环境保护、大气环境保护、固体废弃物处理等工作进度作了具体安排，详见表1</w:t>
      </w:r>
      <w:r>
        <w:rPr>
          <w:rFonts w:hint="eastAsia" w:ascii="Times New Roman" w:hAnsi="Times New Roman" w:cs="Times New Roman" w:eastAsiaTheme="minorEastAsia"/>
          <w:color w:val="auto"/>
          <w:kern w:val="0"/>
          <w:sz w:val="24"/>
          <w:szCs w:val="24"/>
          <w:lang w:val="en-US" w:eastAsia="zh-CN"/>
        </w:rPr>
        <w:t>1</w:t>
      </w:r>
      <w:r>
        <w:rPr>
          <w:rFonts w:hint="default" w:ascii="Times New Roman" w:hAnsi="Times New Roman" w:cs="Times New Roman" w:eastAsiaTheme="minorEastAsia"/>
          <w:color w:val="auto"/>
          <w:kern w:val="0"/>
          <w:sz w:val="24"/>
          <w:szCs w:val="24"/>
        </w:rPr>
        <w:t>.4-1。</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w:t>
      </w:r>
      <w:r>
        <w:rPr>
          <w:rFonts w:hint="eastAsia" w:ascii="Times New Roman" w:hAnsi="Times New Roman" w:cs="Times New Roman" w:eastAsiaTheme="minorEastAsia"/>
          <w:b/>
          <w:bCs/>
          <w:color w:val="auto"/>
          <w:kern w:val="0"/>
          <w:sz w:val="24"/>
          <w:szCs w:val="24"/>
          <w:lang w:val="en-US" w:eastAsia="zh-CN"/>
        </w:rPr>
        <w:t>1</w:t>
      </w:r>
      <w:r>
        <w:rPr>
          <w:rFonts w:hint="default" w:ascii="Times New Roman" w:hAnsi="Times New Roman" w:cs="Times New Roman" w:eastAsiaTheme="minorEastAsia"/>
          <w:b/>
          <w:bCs/>
          <w:color w:val="auto"/>
          <w:kern w:val="0"/>
          <w:sz w:val="24"/>
          <w:szCs w:val="24"/>
        </w:rPr>
        <w:t>.4-1  “三同时”验收内容及工作进度</w:t>
      </w:r>
    </w:p>
    <w:tbl>
      <w:tblPr>
        <w:tblStyle w:val="7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62"/>
        <w:gridCol w:w="668"/>
        <w:gridCol w:w="539"/>
        <w:gridCol w:w="3743"/>
        <w:gridCol w:w="1730"/>
        <w:gridCol w:w="1624"/>
        <w:gridCol w:w="5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1" w:hRule="atLeast"/>
          <w:tblHeader/>
          <w:jc w:val="center"/>
        </w:trPr>
        <w:tc>
          <w:tcPr>
            <w:tcW w:w="149"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序号</w:t>
            </w:r>
          </w:p>
        </w:tc>
        <w:tc>
          <w:tcPr>
            <w:tcW w:w="371"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项目</w:t>
            </w:r>
          </w:p>
        </w:tc>
        <w:tc>
          <w:tcPr>
            <w:tcW w:w="301"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数量/单位</w:t>
            </w:r>
          </w:p>
        </w:tc>
        <w:tc>
          <w:tcPr>
            <w:tcW w:w="2062"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报告书提出的环保措施</w:t>
            </w:r>
          </w:p>
        </w:tc>
        <w:tc>
          <w:tcPr>
            <w:tcW w:w="922"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执行标准/要求</w:t>
            </w:r>
          </w:p>
        </w:tc>
        <w:tc>
          <w:tcPr>
            <w:tcW w:w="897"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应验收主要内容</w:t>
            </w:r>
          </w:p>
        </w:tc>
        <w:tc>
          <w:tcPr>
            <w:tcW w:w="295" w:type="pct"/>
            <w:tcBorders>
              <w:tl2br w:val="nil"/>
              <w:tr2bl w:val="nil"/>
            </w:tcBorders>
            <w:shd w:val="clear" w:color="auto" w:fill="auto"/>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验收</w:t>
            </w:r>
          </w:p>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50" w:hRule="atLeast"/>
          <w:jc w:val="center"/>
        </w:trPr>
        <w:tc>
          <w:tcPr>
            <w:tcW w:w="149"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w:t>
            </w: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隔油池</w:t>
            </w:r>
          </w:p>
        </w:tc>
        <w:tc>
          <w:tcPr>
            <w:tcW w:w="30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1个</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施工营地应设置集中干厕，粪便污水经化粪池集中收集处理</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GB8978-1996一级标准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检查码头施工期的生活污水处理情况，检查施工营地、施工生产区的设置情况</w:t>
            </w:r>
          </w:p>
        </w:tc>
        <w:tc>
          <w:tcPr>
            <w:tcW w:w="295"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eastAsia="zh-CN"/>
              </w:rPr>
              <w:t>泥浆</w:t>
            </w:r>
            <w:r>
              <w:rPr>
                <w:rFonts w:hint="default" w:ascii="Times New Roman" w:hAnsi="Times New Roman" w:cs="Times New Roman"/>
                <w:color w:val="auto"/>
                <w:sz w:val="21"/>
                <w:szCs w:val="21"/>
                <w:u w:val="single"/>
              </w:rPr>
              <w:t>池</w:t>
            </w:r>
          </w:p>
        </w:tc>
        <w:tc>
          <w:tcPr>
            <w:tcW w:w="30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1个</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b/>
                <w:color w:val="auto"/>
                <w:sz w:val="21"/>
                <w:szCs w:val="21"/>
                <w:u w:val="single"/>
              </w:rPr>
            </w:pPr>
            <w:r>
              <w:rPr>
                <w:rFonts w:hint="default" w:ascii="Times New Roman" w:hAnsi="Times New Roman" w:cs="Times New Roman"/>
                <w:color w:val="auto"/>
                <w:sz w:val="21"/>
                <w:szCs w:val="21"/>
                <w:u w:val="single"/>
              </w:rPr>
              <w:t>施工挖泥船舶安装油水分离器，车辆冲洗废水、含油废水，钻渣、泥浆经平流沉淀池处理达标后用于施工现场洒水抑尘</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GB8978-1996一级标准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检查码头施工期的污水处理设施情况</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废气</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spacing w:line="240" w:lineRule="exact"/>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施工车辆进入施工区域时，向轮胎部位喷水，运送散装含尘物料的车辆，应用蓬布遮盖；配备专职保洁员，负责对施工道路和扬尘易产生的地方进行洒水，以及对进出工地的车辆进行冲洗</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（GB3095-2012）中的二级标准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针对扬尘污染防治措施；检查是否配备专人进行洒水、路面清扫工作</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固废</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pStyle w:val="6"/>
              <w:spacing w:after="0" w:line="240" w:lineRule="exact"/>
              <w:ind w:firstLine="0" w:firstLineChars="0"/>
              <w:contextualSpacing/>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及时清运生活垃圾，港池疏浚物及时运至后方储罐区做为陆域填方</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集中收集、统一处理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固废集中收集及处理情况</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3" w:hRule="atLeast"/>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噪声</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施工单位和建设单位应加强施工过程的管理；尽量选用低噪声的施工机械设备</w:t>
            </w:r>
          </w:p>
        </w:tc>
        <w:tc>
          <w:tcPr>
            <w:tcW w:w="922" w:type="pct"/>
            <w:tcBorders>
              <w:tl2br w:val="nil"/>
              <w:tr2bl w:val="nil"/>
            </w:tcBorders>
            <w:noWrap w:val="0"/>
            <w:vAlign w:val="center"/>
          </w:tcPr>
          <w:p>
            <w:pPr>
              <w:adjustRightInd w:val="0"/>
              <w:snapToGrid w:val="0"/>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《建筑施工场界环境噪声排放标准》（GB12523</w:t>
            </w:r>
            <w:r>
              <w:rPr>
                <w:rFonts w:hint="default" w:ascii="Times New Roman" w:hAnsi="Times New Roman" w:cs="Times New Roman"/>
                <w:color w:val="auto"/>
                <w:sz w:val="21"/>
                <w:szCs w:val="21"/>
                <w:u w:val="single"/>
                <w:lang w:val="en-US" w:eastAsia="zh-CN"/>
              </w:rPr>
              <w:t>-</w:t>
            </w:r>
            <w:r>
              <w:rPr>
                <w:rFonts w:hint="default" w:ascii="Times New Roman" w:hAnsi="Times New Roman" w:cs="Times New Roman"/>
                <w:color w:val="auto"/>
                <w:sz w:val="21"/>
                <w:szCs w:val="21"/>
                <w:u w:val="single"/>
              </w:rPr>
              <w:t>2011）</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施工期噪声满足标准要求</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营运期</w:t>
            </w: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噪声</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建议采取加强设备的维护、保养，减少重复作业次数</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（GB3096</w:t>
            </w:r>
            <w:r>
              <w:rPr>
                <w:rFonts w:hint="default" w:ascii="Times New Roman" w:hAnsi="Times New Roman" w:cs="Times New Roman"/>
                <w:color w:val="auto"/>
                <w:sz w:val="21"/>
                <w:szCs w:val="21"/>
                <w:u w:val="single"/>
                <w:lang w:val="en-US" w:eastAsia="zh-CN"/>
              </w:rPr>
              <w:t>-</w:t>
            </w:r>
            <w:r>
              <w:rPr>
                <w:rFonts w:hint="default" w:ascii="Times New Roman" w:hAnsi="Times New Roman" w:cs="Times New Roman"/>
                <w:color w:val="auto"/>
                <w:sz w:val="21"/>
                <w:szCs w:val="21"/>
                <w:u w:val="single"/>
              </w:rPr>
              <w:t>2008）中4a/2类</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营运期噪声满足标准要求。</w:t>
            </w:r>
          </w:p>
        </w:tc>
        <w:tc>
          <w:tcPr>
            <w:tcW w:w="295"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营运期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0" w:hRule="atLeast"/>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大气</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spacing w:line="240" w:lineRule="exact"/>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禁止进出港船舶在</w:t>
            </w:r>
            <w:r>
              <w:rPr>
                <w:rFonts w:hint="default" w:ascii="Times New Roman" w:hAnsi="Times New Roman" w:cs="Times New Roman"/>
                <w:color w:val="auto"/>
                <w:sz w:val="21"/>
                <w:szCs w:val="21"/>
                <w:u w:val="single"/>
                <w:lang w:eastAsia="zh-CN"/>
              </w:rPr>
              <w:t>加注平台</w:t>
            </w:r>
            <w:r>
              <w:rPr>
                <w:rFonts w:hint="default" w:ascii="Times New Roman" w:hAnsi="Times New Roman" w:cs="Times New Roman"/>
                <w:color w:val="auto"/>
                <w:sz w:val="21"/>
                <w:szCs w:val="21"/>
                <w:u w:val="single"/>
              </w:rPr>
              <w:t>区域进行洗（清）舱、驱气或者置换</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透气系统排放口的位置应符合规定，装卸过程中发生任何滴漏时</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要用吸附材料吸附后密封装袋暂存交港区指定接受船处理</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（GB3095-2012）中的二级标准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减少化学品装卸过程中无组织排放的措施是否达到要求</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0" w:hRule="atLeast"/>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水（污水管道）</w:t>
            </w:r>
          </w:p>
        </w:tc>
        <w:tc>
          <w:tcPr>
            <w:tcW w:w="30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1</w:t>
            </w:r>
          </w:p>
        </w:tc>
        <w:tc>
          <w:tcPr>
            <w:tcW w:w="2062" w:type="pct"/>
            <w:tcBorders>
              <w:tl2br w:val="nil"/>
              <w:tr2bl w:val="nil"/>
            </w:tcBorders>
            <w:noWrap w:val="0"/>
            <w:vAlign w:val="center"/>
          </w:tcPr>
          <w:p>
            <w:pPr>
              <w:spacing w:line="240" w:lineRule="exact"/>
              <w:rPr>
                <w:rFonts w:hint="default" w:ascii="Times New Roman" w:hAnsi="Times New Roman" w:cs="Times New Roman"/>
                <w:color w:val="auto"/>
                <w:sz w:val="21"/>
                <w:szCs w:val="21"/>
                <w:u w:val="single"/>
                <w:lang w:eastAsia="zh-CN"/>
              </w:rPr>
            </w:pPr>
            <w:r>
              <w:rPr>
                <w:rFonts w:hint="default" w:ascii="Times New Roman" w:hAnsi="Times New Roman" w:cs="Times New Roman"/>
                <w:color w:val="auto"/>
                <w:sz w:val="21"/>
                <w:szCs w:val="21"/>
                <w:u w:val="single"/>
              </w:rPr>
              <w:t>禁止废水排入长江，营运期产生的污水经集污舱收集后经泵抽油管道输送到后方</w:t>
            </w:r>
            <w:r>
              <w:rPr>
                <w:rFonts w:hint="default" w:ascii="Times New Roman" w:hAnsi="Times New Roman" w:cs="Times New Roman"/>
                <w:color w:val="auto"/>
                <w:sz w:val="21"/>
                <w:szCs w:val="21"/>
                <w:u w:val="single"/>
                <w:lang w:eastAsia="zh-CN"/>
              </w:rPr>
              <w:t>罐区</w:t>
            </w:r>
            <w:r>
              <w:rPr>
                <w:rFonts w:hint="default" w:ascii="Times New Roman" w:hAnsi="Times New Roman" w:cs="Times New Roman"/>
                <w:color w:val="auto"/>
                <w:sz w:val="21"/>
                <w:szCs w:val="21"/>
                <w:u w:val="single"/>
              </w:rPr>
              <w:t>处理</w:t>
            </w:r>
            <w:r>
              <w:rPr>
                <w:rFonts w:hint="default" w:ascii="Times New Roman" w:hAnsi="Times New Roman" w:cs="Times New Roman"/>
                <w:color w:val="auto"/>
                <w:sz w:val="21"/>
                <w:szCs w:val="21"/>
                <w:u w:val="single"/>
                <w:lang w:eastAsia="zh-CN"/>
              </w:rPr>
              <w:t>；</w:t>
            </w:r>
          </w:p>
          <w:p>
            <w:pPr>
              <w:spacing w:line="240" w:lineRule="exact"/>
              <w:rPr>
                <w:rFonts w:hint="default" w:ascii="Times New Roman" w:hAnsi="Times New Roman" w:cs="Times New Roman"/>
                <w:color w:val="auto"/>
                <w:sz w:val="21"/>
                <w:szCs w:val="21"/>
                <w:u w:val="single"/>
                <w:lang w:eastAsia="zh-CN"/>
              </w:rPr>
            </w:pPr>
            <w:r>
              <w:rPr>
                <w:rFonts w:hint="default" w:ascii="Times New Roman" w:hAnsi="Times New Roman" w:cs="Times New Roman"/>
                <w:color w:val="auto"/>
                <w:sz w:val="21"/>
                <w:szCs w:val="21"/>
                <w:u w:val="single"/>
                <w:lang w:val="en-US" w:eastAsia="zh-CN"/>
              </w:rPr>
              <w:t>本项目生产过程主要产生的机修</w:t>
            </w:r>
            <w:r>
              <w:rPr>
                <w:rFonts w:hint="default" w:ascii="Times New Roman" w:hAnsi="Times New Roman" w:cs="Times New Roman"/>
                <w:color w:val="auto"/>
                <w:sz w:val="21"/>
                <w:szCs w:val="21"/>
                <w:u w:val="single"/>
              </w:rPr>
              <w:t>含油污水</w:t>
            </w:r>
            <w:r>
              <w:rPr>
                <w:rFonts w:hint="default" w:ascii="Times New Roman" w:hAnsi="Times New Roman" w:cs="Times New Roman"/>
                <w:color w:val="auto"/>
                <w:sz w:val="21"/>
                <w:szCs w:val="21"/>
                <w:u w:val="single"/>
                <w:lang w:val="en-US" w:eastAsia="zh-CN"/>
              </w:rPr>
              <w:t>及</w:t>
            </w:r>
            <w:r>
              <w:rPr>
                <w:rFonts w:hint="default" w:ascii="Times New Roman" w:hAnsi="Times New Roman" w:cs="Times New Roman"/>
                <w:color w:val="auto"/>
                <w:sz w:val="21"/>
                <w:szCs w:val="21"/>
                <w:u w:val="single"/>
              </w:rPr>
              <w:t>部分事故残液和事故消防液经</w:t>
            </w:r>
            <w:r>
              <w:rPr>
                <w:rFonts w:hint="default" w:ascii="Times New Roman" w:hAnsi="Times New Roman" w:cs="Times New Roman"/>
                <w:color w:val="auto"/>
                <w:sz w:val="21"/>
                <w:szCs w:val="21"/>
                <w:u w:val="single"/>
                <w:lang w:eastAsia="zh-CN"/>
              </w:rPr>
              <w:t>污水收集箱</w:t>
            </w:r>
            <w:r>
              <w:rPr>
                <w:rFonts w:hint="default" w:ascii="Times New Roman" w:hAnsi="Times New Roman" w:cs="Times New Roman"/>
                <w:color w:val="auto"/>
                <w:sz w:val="21"/>
                <w:szCs w:val="21"/>
                <w:u w:val="single"/>
              </w:rPr>
              <w:t>收集后，达到一定量后，通过</w:t>
            </w:r>
            <w:r>
              <w:rPr>
                <w:rFonts w:hint="default" w:ascii="Times New Roman" w:hAnsi="Times New Roman" w:cs="Times New Roman"/>
                <w:color w:val="auto"/>
                <w:sz w:val="21"/>
                <w:szCs w:val="21"/>
                <w:u w:val="single"/>
                <w:lang w:val="en-US" w:eastAsia="zh-CN"/>
              </w:rPr>
              <w:t>专业</w:t>
            </w:r>
            <w:r>
              <w:rPr>
                <w:rFonts w:hint="default" w:ascii="Times New Roman" w:hAnsi="Times New Roman" w:cs="Times New Roman"/>
                <w:color w:val="auto"/>
                <w:sz w:val="21"/>
                <w:szCs w:val="21"/>
                <w:u w:val="single"/>
              </w:rPr>
              <w:t>泵车外运至君山区第二污水处理厂处置，尾水处理达到《城镇污水处理厂污染物排放标准》（GB18918-2002）中一级B标准后沿柳毅西路排入长江</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GB8978-1996一级标准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管道设置情况、污水处理与情况</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6" w:hRule="atLeast"/>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固废</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spacing w:line="240" w:lineRule="exact"/>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eastAsia="zh-CN"/>
              </w:rPr>
              <w:t>加注平台</w:t>
            </w:r>
            <w:r>
              <w:rPr>
                <w:rFonts w:hint="default" w:ascii="Times New Roman" w:hAnsi="Times New Roman" w:cs="Times New Roman"/>
                <w:color w:val="auto"/>
                <w:sz w:val="21"/>
                <w:szCs w:val="21"/>
                <w:u w:val="single"/>
              </w:rPr>
              <w:t>上设置垃圾箱收集垃圾，在</w:t>
            </w:r>
            <w:r>
              <w:rPr>
                <w:rFonts w:hint="default" w:ascii="Times New Roman" w:hAnsi="Times New Roman" w:cs="Times New Roman"/>
                <w:color w:val="auto"/>
                <w:sz w:val="21"/>
                <w:szCs w:val="21"/>
                <w:u w:val="single"/>
                <w:lang w:val="en-US" w:eastAsia="zh-CN"/>
              </w:rPr>
              <w:t>LNG</w:t>
            </w:r>
            <w:r>
              <w:rPr>
                <w:rFonts w:hint="default" w:ascii="Times New Roman" w:hAnsi="Times New Roman" w:cs="Times New Roman"/>
                <w:color w:val="auto"/>
                <w:sz w:val="21"/>
                <w:szCs w:val="21"/>
                <w:u w:val="single"/>
              </w:rPr>
              <w:t>装卸作业区的适当地点设置收集箱，机修废油集中处理，因船舶、设备维修产生的含油布之类的生产垃圾集中存放，交港区指定接受船处理</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集中收集、统一处理</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固废收集情况</w:t>
            </w:r>
          </w:p>
        </w:tc>
        <w:tc>
          <w:tcPr>
            <w:tcW w:w="295"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1" w:type="pct"/>
            <w:gridSpan w:val="2"/>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水土保持</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在本项目的设计、施工和营运过程中，应采取有效的水土保持措施；水土保持的工作重点是设置挡土板，修建临时排水沟，挖土质沉淀沙池，铺防尘网，种植草皮等</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严格按水保措施执行</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施工区恢复情况及边坡防护工程采取的措施及效果，水土流失治理情况</w:t>
            </w:r>
          </w:p>
        </w:tc>
        <w:tc>
          <w:tcPr>
            <w:tcW w:w="29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施工期营运期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生态保护</w:t>
            </w:r>
          </w:p>
        </w:tc>
        <w:tc>
          <w:tcPr>
            <w:tcW w:w="37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eastAsia="zh-CN"/>
              </w:rPr>
            </w:pPr>
            <w:r>
              <w:rPr>
                <w:rFonts w:hint="default" w:ascii="Times New Roman" w:hAnsi="Times New Roman" w:cs="Times New Roman"/>
                <w:color w:val="auto"/>
                <w:sz w:val="21"/>
                <w:szCs w:val="21"/>
                <w:u w:val="single"/>
                <w:lang w:eastAsia="zh-CN"/>
              </w:rPr>
              <w:t>港区绿化</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港区顺岸一带积极种植防护林带，种植灌草覆盖所有裸露地面</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对所有因工程开挖及临时占地的裸地进行植被恢复</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施工临建区的植被恢复情况</w:t>
            </w:r>
          </w:p>
        </w:tc>
        <w:tc>
          <w:tcPr>
            <w:tcW w:w="29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施工期营运期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种质资源保护区</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284.5万元</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在</w:t>
            </w:r>
            <w:r>
              <w:rPr>
                <w:rFonts w:hint="default" w:ascii="Times New Roman" w:hAnsi="Times New Roman" w:cs="Times New Roman"/>
                <w:color w:val="auto"/>
                <w:sz w:val="21"/>
                <w:szCs w:val="21"/>
                <w:u w:val="single"/>
                <w:lang w:eastAsia="zh-CN"/>
              </w:rPr>
              <w:t>长江监利段四大家鱼</w:t>
            </w:r>
            <w:r>
              <w:rPr>
                <w:rFonts w:hint="default" w:ascii="Times New Roman" w:hAnsi="Times New Roman" w:cs="Times New Roman"/>
                <w:color w:val="auto"/>
                <w:sz w:val="21"/>
                <w:szCs w:val="21"/>
                <w:u w:val="single"/>
              </w:rPr>
              <w:t>种质资源保护区进行水生态修复</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鱼类增殖放流</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水生生物监测</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渔政监督管理</w:t>
            </w:r>
            <w:r>
              <w:rPr>
                <w:rFonts w:hint="default" w:ascii="Times New Roman" w:hAnsi="Times New Roman" w:cs="Times New Roman"/>
                <w:color w:val="auto"/>
                <w:sz w:val="21"/>
                <w:szCs w:val="21"/>
                <w:u w:val="single"/>
                <w:lang w:eastAsia="zh-CN"/>
              </w:rPr>
              <w:t>。</w:t>
            </w:r>
            <w:r>
              <w:rPr>
                <w:rFonts w:hint="default" w:ascii="Times New Roman" w:hAnsi="Times New Roman" w:cs="Times New Roman"/>
                <w:color w:val="auto"/>
                <w:sz w:val="21"/>
                <w:szCs w:val="21"/>
                <w:u w:val="single"/>
              </w:rPr>
              <w:t>按保护区特别保护期的管理要求，在特别保护期内禁止一切渔业活动，其他时期也应严格控制各江段捕捞强度，加强管理</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减缓工程对种质资源保护区内鱼类及其他水生生物的影响，尽量维持其原有生态环境</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施工工艺的选择、施工时间的安排以及对鱼类的保护和对渔业资源的补偿</w:t>
            </w:r>
          </w:p>
        </w:tc>
        <w:tc>
          <w:tcPr>
            <w:tcW w:w="29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施工期营运期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p>
        </w:tc>
        <w:tc>
          <w:tcPr>
            <w:tcW w:w="37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东洞庭湖国家级自然保护区</w:t>
            </w:r>
          </w:p>
        </w:tc>
        <w:tc>
          <w:tcPr>
            <w:tcW w:w="30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200万元</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主要用于营造特种用途林、种植野生水草并建设保护鸟类栖息地、建设环境监测设施、动植物保护设施建设等</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减缓工程对东洞庭湖国家级自然保护区的影响</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是否对环境质量要素、植被、国家重点保护动植物种等进行监测、是否对项目施工进行监管</w:t>
            </w:r>
          </w:p>
        </w:tc>
        <w:tc>
          <w:tcPr>
            <w:tcW w:w="29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施工期</w:t>
            </w:r>
          </w:p>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营运期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21" w:type="pct"/>
            <w:gridSpan w:val="2"/>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风险防范</w:t>
            </w:r>
          </w:p>
        </w:tc>
        <w:tc>
          <w:tcPr>
            <w:tcW w:w="301"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100</w:t>
            </w:r>
            <w:r>
              <w:rPr>
                <w:rFonts w:hint="default" w:ascii="Times New Roman" w:hAnsi="Times New Roman" w:cs="Times New Roman"/>
                <w:color w:val="auto"/>
                <w:sz w:val="21"/>
                <w:szCs w:val="21"/>
                <w:u w:val="single"/>
              </w:rPr>
              <w:t>万元</w:t>
            </w:r>
          </w:p>
        </w:tc>
        <w:tc>
          <w:tcPr>
            <w:tcW w:w="206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溢油事故应急设备、LNG泄漏防范设备（围油栏、吸油毡、收油机、溢油分散剂、溢油分散剂喷洒装置、轻便储油罐、监控设施、可燃气体报警仪、应急人员防护装备等）</w:t>
            </w:r>
          </w:p>
        </w:tc>
        <w:tc>
          <w:tcPr>
            <w:tcW w:w="922"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降低风险发生概率、减缓风险对环境的影响</w:t>
            </w:r>
          </w:p>
        </w:tc>
        <w:tc>
          <w:tcPr>
            <w:tcW w:w="897"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设置情况</w:t>
            </w:r>
          </w:p>
        </w:tc>
        <w:tc>
          <w:tcPr>
            <w:tcW w:w="29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营运期</w:t>
            </w:r>
          </w:p>
        </w:tc>
      </w:tr>
    </w:tbl>
    <w:p>
      <w:pPr>
        <w:pStyle w:val="325"/>
        <w:tabs>
          <w:tab w:val="right" w:leader="dot" w:pos="9070"/>
        </w:tabs>
        <w:adjustRightInd w:val="0"/>
        <w:snapToGrid w:val="0"/>
        <w:spacing w:line="360" w:lineRule="auto"/>
        <w:jc w:val="both"/>
        <w:rPr>
          <w:rFonts w:hint="default" w:ascii="Times New Roman" w:hAnsi="Times New Roman" w:cs="Times New Roman"/>
          <w:color w:val="auto"/>
        </w:rPr>
      </w:pPr>
    </w:p>
    <w:p>
      <w:pPr>
        <w:adjustRightInd w:val="0"/>
        <w:snapToGrid w:val="0"/>
        <w:spacing w:line="360" w:lineRule="auto"/>
        <w:rPr>
          <w:rFonts w:hint="default" w:ascii="Times New Roman" w:hAnsi="Times New Roman" w:cs="Times New Roman" w:eastAsiaTheme="minorEastAsia"/>
          <w:b/>
          <w:color w:val="auto"/>
          <w:sz w:val="24"/>
          <w:szCs w:val="24"/>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60" w:name="_Toc24214"/>
      <w:bookmarkStart w:id="161" w:name="_Toc24147"/>
      <w:r>
        <w:rPr>
          <w:rFonts w:hint="default" w:ascii="Times New Roman" w:hAnsi="Times New Roman" w:cs="Times New Roman" w:eastAsiaTheme="minorEastAsia"/>
          <w:b/>
          <w:color w:val="auto"/>
          <w:sz w:val="32"/>
          <w:szCs w:val="32"/>
        </w:rPr>
        <w:t>环境影响经济损益分析</w:t>
      </w:r>
      <w:bookmarkEnd w:id="160"/>
      <w:bookmarkEnd w:id="161"/>
    </w:p>
    <w:p>
      <w:pPr>
        <w:pStyle w:val="3"/>
        <w:ind w:left="578" w:hanging="578"/>
        <w:rPr>
          <w:rFonts w:hint="default" w:ascii="Times New Roman" w:hAnsi="Times New Roman" w:cs="Times New Roman" w:eastAsiaTheme="minorEastAsia"/>
          <w:b/>
          <w:color w:val="auto"/>
        </w:rPr>
      </w:pPr>
      <w:bookmarkStart w:id="162" w:name="_Toc21608"/>
      <w:bookmarkStart w:id="163" w:name="_Toc14451"/>
      <w:r>
        <w:rPr>
          <w:rFonts w:hint="default" w:ascii="Times New Roman" w:hAnsi="Times New Roman" w:cs="Times New Roman" w:eastAsiaTheme="minorEastAsia"/>
          <w:b/>
          <w:color w:val="auto"/>
        </w:rPr>
        <w:t>项目环境损失分析</w:t>
      </w:r>
      <w:bookmarkEnd w:id="162"/>
      <w:bookmarkEnd w:id="163"/>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项目建设带来的环境损失主要表现在如下几方面：</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1、施工期</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施工期施工悬浮泥沙、粉尘、机械噪声将会对局部区域环境造成影响。</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2、营运期</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工程营运期间，化学品储运过程挥发的气体会对当地环境空气带来一定的污染影响。营运期各种泵的机械噪声将造成区域声级增高。</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工程发生风险事故概率极低，但一旦发生事故，将对区域大气、水环境带来较大的影响。</w:t>
      </w:r>
    </w:p>
    <w:p>
      <w:pPr>
        <w:pStyle w:val="3"/>
        <w:ind w:left="578" w:hanging="578"/>
        <w:rPr>
          <w:rFonts w:hint="default" w:ascii="Times New Roman" w:hAnsi="Times New Roman" w:cs="Times New Roman" w:eastAsiaTheme="minorEastAsia"/>
          <w:b/>
          <w:color w:val="auto"/>
        </w:rPr>
      </w:pPr>
      <w:bookmarkStart w:id="164" w:name="_Toc23588"/>
      <w:bookmarkStart w:id="165" w:name="_Toc3674"/>
      <w:r>
        <w:rPr>
          <w:rFonts w:hint="default" w:ascii="Times New Roman" w:hAnsi="Times New Roman" w:cs="Times New Roman" w:eastAsiaTheme="minorEastAsia"/>
          <w:b/>
          <w:color w:val="auto"/>
        </w:rPr>
        <w:t>工程社会和经济效益分析</w:t>
      </w:r>
      <w:bookmarkEnd w:id="164"/>
      <w:bookmarkEnd w:id="165"/>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建设是积极促进船舶应用LNG燃料，推进水运行业节能减排、转型升级和优化用能结构的有效措施。符合《长江干线京杭运河西江航运干线液化天然加注码头布局方案》，填补了岳阳港LNG加注码头的空白，进一步完善了岳阳港的功能；提升了区域经济竞争力，具有良好的经济与社会效益。</w:t>
      </w:r>
    </w:p>
    <w:p>
      <w:pPr>
        <w:pStyle w:val="3"/>
        <w:ind w:left="578" w:hanging="578"/>
        <w:rPr>
          <w:rFonts w:hint="default" w:ascii="Times New Roman" w:hAnsi="Times New Roman" w:cs="Times New Roman" w:eastAsiaTheme="minorEastAsia"/>
          <w:b/>
          <w:color w:val="auto"/>
        </w:rPr>
      </w:pPr>
      <w:bookmarkStart w:id="166" w:name="_Toc2119"/>
      <w:bookmarkStart w:id="167" w:name="_Toc15941"/>
      <w:r>
        <w:rPr>
          <w:rFonts w:hint="default" w:ascii="Times New Roman" w:hAnsi="Times New Roman" w:cs="Times New Roman" w:eastAsiaTheme="minorEastAsia"/>
          <w:b/>
          <w:color w:val="auto"/>
        </w:rPr>
        <w:t>环境影响经济损益分析</w:t>
      </w:r>
      <w:bookmarkEnd w:id="166"/>
      <w:bookmarkEnd w:id="167"/>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环保投资估算</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根据本项目拟采取的环境保护措施和对策，本项目用于环境保护的投资费用主要是排水、隔声设施及事故应急等。工程的环保投资估算见表10.4-1。</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本项目总投资13490.29万元。环保总投资</w:t>
      </w:r>
      <w:r>
        <w:rPr>
          <w:rFonts w:hint="eastAsia" w:ascii="Times New Roman" w:hAnsi="Times New Roman" w:cs="Times New Roman" w:eastAsiaTheme="minorEastAsia"/>
          <w:color w:val="auto"/>
          <w:kern w:val="0"/>
          <w:sz w:val="24"/>
          <w:szCs w:val="24"/>
          <w:lang w:val="en-US" w:eastAsia="zh-CN"/>
        </w:rPr>
        <w:t>792.225</w:t>
      </w:r>
      <w:r>
        <w:rPr>
          <w:rFonts w:hint="default" w:ascii="Times New Roman" w:hAnsi="Times New Roman" w:cs="Times New Roman" w:eastAsiaTheme="minorEastAsia"/>
          <w:color w:val="auto"/>
          <w:kern w:val="0"/>
          <w:sz w:val="24"/>
          <w:szCs w:val="24"/>
        </w:rPr>
        <w:t>万元，占工程总投资的</w:t>
      </w:r>
      <w:r>
        <w:rPr>
          <w:rFonts w:hint="eastAsia" w:ascii="Times New Roman" w:hAnsi="Times New Roman" w:cs="Times New Roman" w:eastAsiaTheme="minorEastAsia"/>
          <w:color w:val="auto"/>
          <w:kern w:val="0"/>
          <w:sz w:val="24"/>
          <w:szCs w:val="24"/>
          <w:lang w:val="en-US" w:eastAsia="zh-CN"/>
        </w:rPr>
        <w:t>5.87%</w:t>
      </w:r>
      <w:r>
        <w:rPr>
          <w:rFonts w:hint="default" w:ascii="Times New Roman" w:hAnsi="Times New Roman" w:cs="Times New Roman" w:eastAsiaTheme="minorEastAsia"/>
          <w:color w:val="auto"/>
          <w:kern w:val="0"/>
          <w:sz w:val="24"/>
          <w:szCs w:val="24"/>
        </w:rPr>
        <w:t>。与国内同类项目比较，其环保投资额度是合理的。</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环境影响经济损益分析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工程施工对区域环境会带来短暂的影响，通过控制采取适当的方法、文明施工，加强施工监理等措施减缓影响。</w:t>
      </w:r>
    </w:p>
    <w:p>
      <w:pPr>
        <w:adjustRightInd w:val="0"/>
        <w:snapToGrid w:val="0"/>
        <w:spacing w:line="360" w:lineRule="auto"/>
        <w:ind w:firstLine="480" w:firstLineChars="200"/>
        <w:rPr>
          <w:rFonts w:hint="eastAsia" w:ascii="Times New Roman" w:hAnsi="Times New Roman" w:cs="Times New Roman" w:eastAsiaTheme="minorEastAsia"/>
          <w:color w:val="auto"/>
          <w:kern w:val="0"/>
          <w:sz w:val="24"/>
          <w:szCs w:val="24"/>
          <w:lang w:val="en-US" w:eastAsia="zh-CN"/>
        </w:rPr>
      </w:pPr>
      <w:r>
        <w:rPr>
          <w:rFonts w:hint="default" w:ascii="Times New Roman" w:hAnsi="Times New Roman" w:cs="Times New Roman" w:eastAsiaTheme="minorEastAsia"/>
          <w:color w:val="auto"/>
          <w:kern w:val="0"/>
          <w:sz w:val="24"/>
          <w:szCs w:val="24"/>
        </w:rPr>
        <w:t>⑵ 生活污水</w:t>
      </w:r>
      <w:r>
        <w:rPr>
          <w:rFonts w:hint="eastAsia" w:ascii="Times New Roman" w:hAnsi="Times New Roman" w:cs="Times New Roman" w:eastAsiaTheme="minorEastAsia"/>
          <w:color w:val="auto"/>
          <w:kern w:val="0"/>
          <w:sz w:val="24"/>
          <w:szCs w:val="24"/>
          <w:lang w:eastAsia="zh-CN"/>
        </w:rPr>
        <w:t>、</w:t>
      </w:r>
      <w:r>
        <w:rPr>
          <w:rFonts w:hint="eastAsia" w:ascii="Times New Roman" w:hAnsi="Times New Roman" w:cs="Times New Roman" w:eastAsiaTheme="minorEastAsia"/>
          <w:color w:val="auto"/>
          <w:kern w:val="0"/>
          <w:sz w:val="24"/>
          <w:szCs w:val="24"/>
          <w:lang w:val="en-US" w:eastAsia="zh-CN"/>
        </w:rPr>
        <w:t>初期雨水收集后泵送至后方陆域的污水处理站，处理达标后用作厂区绿化，不外排。机修含油污水及</w:t>
      </w:r>
      <w:r>
        <w:rPr>
          <w:rFonts w:hint="default" w:ascii="Times New Roman" w:hAnsi="Times New Roman" w:cs="Times New Roman" w:eastAsiaTheme="minorEastAsia"/>
          <w:color w:val="auto"/>
          <w:kern w:val="0"/>
          <w:sz w:val="24"/>
          <w:szCs w:val="24"/>
          <w:lang w:val="en-US" w:eastAsia="zh-CN"/>
        </w:rPr>
        <w:t>部分事故残液和事故消防液</w:t>
      </w:r>
      <w:r>
        <w:rPr>
          <w:rFonts w:hint="default" w:ascii="Times New Roman" w:hAnsi="Times New Roman" w:cs="Times New Roman" w:eastAsiaTheme="minorEastAsia"/>
          <w:color w:val="auto"/>
          <w:kern w:val="0"/>
          <w:sz w:val="24"/>
          <w:szCs w:val="24"/>
        </w:rPr>
        <w:t>经污水收集箱收集后，通过</w:t>
      </w:r>
      <w:r>
        <w:rPr>
          <w:rFonts w:hint="eastAsia" w:ascii="Times New Roman" w:hAnsi="Times New Roman" w:cs="Times New Roman" w:eastAsiaTheme="minorEastAsia"/>
          <w:color w:val="auto"/>
          <w:kern w:val="0"/>
          <w:sz w:val="24"/>
          <w:szCs w:val="24"/>
          <w:lang w:val="en-US" w:eastAsia="zh-CN"/>
        </w:rPr>
        <w:t>专业</w:t>
      </w:r>
      <w:r>
        <w:rPr>
          <w:rFonts w:hint="default" w:ascii="Times New Roman" w:hAnsi="Times New Roman" w:cs="Times New Roman" w:eastAsiaTheme="minorEastAsia"/>
          <w:color w:val="auto"/>
          <w:kern w:val="0"/>
          <w:sz w:val="24"/>
          <w:szCs w:val="24"/>
        </w:rPr>
        <w:t>泵车外运至君山区第二污水处理厂处置</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采取的各种降噪、隔声措施可降低噪声设备的声级，减少噪声对厂界的影响，同时改善工作环境，保护了劳动者的身心健康。</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⑷ 固体废物在采取合理的处理处置措施后，不产生二次污染，基本不对周边环境产生危害。</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本项目在采取切实可行的环保措施后，可以大幅度减少污染物的排放量。项目环境经济效益估算见表12.3-1。</w:t>
      </w:r>
    </w:p>
    <w:p>
      <w:pPr>
        <w:adjustRightInd w:val="0"/>
        <w:snapToGrid w:val="0"/>
        <w:spacing w:line="276" w:lineRule="auto"/>
        <w:jc w:val="center"/>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表12.3-1  项目环境经济效益估算</w:t>
      </w:r>
    </w:p>
    <w:tbl>
      <w:tblPr>
        <w:tblStyle w:val="7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85"/>
        <w:gridCol w:w="3481"/>
        <w:gridCol w:w="2333"/>
        <w:gridCol w:w="27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序号</w:t>
            </w:r>
          </w:p>
        </w:tc>
        <w:tc>
          <w:tcPr>
            <w:tcW w:w="191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投资目的</w:t>
            </w:r>
          </w:p>
        </w:tc>
        <w:tc>
          <w:tcPr>
            <w:tcW w:w="1282"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估算挽回费用（万元）</w:t>
            </w:r>
          </w:p>
        </w:tc>
        <w:tc>
          <w:tcPr>
            <w:tcW w:w="1537" w:type="pct"/>
            <w:tcBorders>
              <w:tl2br w:val="nil"/>
              <w:tr2bl w:val="nil"/>
            </w:tcBorders>
            <w:vAlign w:val="center"/>
          </w:tcPr>
          <w:p>
            <w:pPr>
              <w:adjustRightInd w:val="0"/>
              <w:snapToGrid w:val="0"/>
              <w:jc w:val="center"/>
              <w:rPr>
                <w:rFonts w:hint="default" w:ascii="Times New Roman" w:hAnsi="Times New Roman" w:cs="Times New Roman" w:eastAsiaTheme="minorEastAsia"/>
                <w:b/>
                <w:bCs/>
                <w:color w:val="auto"/>
                <w:kern w:val="0"/>
              </w:rPr>
            </w:pPr>
            <w:r>
              <w:rPr>
                <w:rFonts w:hint="default" w:ascii="Times New Roman" w:hAnsi="Times New Roman" w:cs="Times New Roman" w:eastAsiaTheme="minorEastAsia"/>
                <w:b/>
                <w:bCs/>
                <w:color w:val="auto"/>
                <w:kern w:val="0"/>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1</w:t>
            </w:r>
          </w:p>
        </w:tc>
        <w:tc>
          <w:tcPr>
            <w:tcW w:w="191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降低废气排放，减少对人健康影响</w:t>
            </w:r>
          </w:p>
        </w:tc>
        <w:tc>
          <w:tcPr>
            <w:tcW w:w="128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30</w:t>
            </w:r>
          </w:p>
        </w:tc>
        <w:tc>
          <w:tcPr>
            <w:tcW w:w="15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2</w:t>
            </w:r>
          </w:p>
        </w:tc>
        <w:tc>
          <w:tcPr>
            <w:tcW w:w="191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生产、生活污水处理</w:t>
            </w:r>
          </w:p>
        </w:tc>
        <w:tc>
          <w:tcPr>
            <w:tcW w:w="128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40</w:t>
            </w:r>
          </w:p>
        </w:tc>
        <w:tc>
          <w:tcPr>
            <w:tcW w:w="15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w:t>
            </w:r>
          </w:p>
        </w:tc>
        <w:tc>
          <w:tcPr>
            <w:tcW w:w="191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杜绝事故发生，避免对环境污染</w:t>
            </w:r>
          </w:p>
        </w:tc>
        <w:tc>
          <w:tcPr>
            <w:tcW w:w="128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300</w:t>
            </w:r>
          </w:p>
        </w:tc>
        <w:tc>
          <w:tcPr>
            <w:tcW w:w="15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按发生一次事故溢液损失计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80" w:type="pct"/>
            <w:gridSpan w:val="2"/>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合计</w:t>
            </w:r>
          </w:p>
        </w:tc>
        <w:tc>
          <w:tcPr>
            <w:tcW w:w="128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r>
              <w:rPr>
                <w:rFonts w:hint="default" w:ascii="Times New Roman" w:hAnsi="Times New Roman" w:cs="Times New Roman" w:eastAsiaTheme="minorEastAsia"/>
                <w:color w:val="auto"/>
                <w:kern w:val="0"/>
              </w:rPr>
              <w:t>370</w:t>
            </w:r>
          </w:p>
        </w:tc>
        <w:tc>
          <w:tcPr>
            <w:tcW w:w="1537"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0"/>
              </w:rPr>
            </w:pPr>
          </w:p>
        </w:tc>
      </w:tr>
    </w:tbl>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结合本项目带来的环境损失、产生的经济效益和社会效益以及工程的环保投入和产生的环境效益进行综合分析和比较，本项目的建设在创造良好经济效益和社会效益的同时，对环境的影响有限，经采取污染防治措施后，能够使工程带来的环境损失得到较大限度的控制。</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环境影响经济损益分析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环保措施的经济损益分析可由年环保费用的经济效益来表示，计算公式如下：</w:t>
      </w:r>
    </w:p>
    <w:p>
      <w:pPr>
        <w:adjustRightInd w:val="0"/>
        <w:snapToGrid w:val="0"/>
        <w:spacing w:line="360" w:lineRule="auto"/>
        <w:jc w:val="center"/>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E = S/H</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式中：E——环保费用的经济效益；</w:t>
      </w:r>
    </w:p>
    <w:p>
      <w:pPr>
        <w:adjustRightInd w:val="0"/>
        <w:snapToGrid w:val="0"/>
        <w:spacing w:line="360" w:lineRule="auto"/>
        <w:ind w:firstLine="1200" w:firstLineChars="5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S——采取环保措施后每年可挽回的经济损失；</w:t>
      </w:r>
    </w:p>
    <w:p>
      <w:pPr>
        <w:adjustRightInd w:val="0"/>
        <w:snapToGrid w:val="0"/>
        <w:spacing w:line="360" w:lineRule="auto"/>
        <w:ind w:firstLine="1200" w:firstLineChars="5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H——年均环保投资费用。</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本项目每年可挽回经济损失370万元，每年（折算营运期20年）用于环保的直接费用为43.8万元，环保费用的经济效益E=390/43.8=8.45，较为合理。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工程环境经济投入、环境经济效益和环境损益比较合理，具有良好的社会效益和经济效益。</w:t>
      </w:r>
    </w:p>
    <w:p>
      <w:pPr>
        <w:adjustRightInd w:val="0"/>
        <w:snapToGrid w:val="0"/>
        <w:spacing w:line="360" w:lineRule="auto"/>
        <w:jc w:val="left"/>
        <w:rPr>
          <w:rFonts w:hint="default" w:ascii="Times New Roman" w:hAnsi="Times New Roman" w:cs="Times New Roman"/>
          <w:color w:val="auto"/>
        </w:rPr>
      </w:pPr>
    </w:p>
    <w:p>
      <w:pPr>
        <w:pStyle w:val="2"/>
        <w:rPr>
          <w:rFonts w:hint="default" w:ascii="Times New Roman" w:hAnsi="Times New Roman" w:cs="Times New Roman"/>
          <w:color w:val="auto"/>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pPr>
    </w:p>
    <w:p>
      <w:pPr>
        <w:pStyle w:val="2"/>
        <w:ind w:left="0" w:hanging="431"/>
        <w:jc w:val="center"/>
        <w:rPr>
          <w:rFonts w:hint="default" w:ascii="Times New Roman" w:hAnsi="Times New Roman" w:cs="Times New Roman" w:eastAsiaTheme="minorEastAsia"/>
          <w:b/>
          <w:color w:val="auto"/>
          <w:sz w:val="32"/>
          <w:szCs w:val="32"/>
        </w:rPr>
      </w:pPr>
      <w:bookmarkStart w:id="168" w:name="_Toc10676"/>
      <w:bookmarkStart w:id="169" w:name="_Toc24769"/>
      <w:r>
        <w:rPr>
          <w:rFonts w:hint="default" w:ascii="Times New Roman" w:hAnsi="Times New Roman" w:cs="Times New Roman" w:eastAsiaTheme="minorEastAsia"/>
          <w:b/>
          <w:color w:val="auto"/>
          <w:sz w:val="32"/>
          <w:szCs w:val="32"/>
        </w:rPr>
        <w:t>结论与建议</w:t>
      </w:r>
      <w:bookmarkEnd w:id="168"/>
      <w:bookmarkEnd w:id="169"/>
    </w:p>
    <w:p>
      <w:pPr>
        <w:pStyle w:val="3"/>
        <w:ind w:left="578" w:hanging="578"/>
        <w:rPr>
          <w:rFonts w:hint="default" w:ascii="Times New Roman" w:hAnsi="Times New Roman" w:cs="Times New Roman" w:eastAsiaTheme="minorEastAsia"/>
          <w:b/>
          <w:color w:val="auto"/>
        </w:rPr>
      </w:pPr>
      <w:bookmarkStart w:id="170" w:name="_Toc24467"/>
      <w:bookmarkStart w:id="171" w:name="_Toc23539"/>
      <w:r>
        <w:rPr>
          <w:rFonts w:hint="default" w:ascii="Times New Roman" w:hAnsi="Times New Roman" w:cs="Times New Roman" w:eastAsiaTheme="minorEastAsia"/>
          <w:b/>
          <w:color w:val="auto"/>
        </w:rPr>
        <w:t>建设项目概况</w:t>
      </w:r>
      <w:bookmarkEnd w:id="170"/>
      <w:bookmarkEnd w:id="171"/>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⑴</w:t>
      </w:r>
      <w:r>
        <w:rPr>
          <w:rFonts w:hint="default" w:ascii="Times New Roman" w:hAnsi="Times New Roman" w:cs="Times New Roman" w:eastAsiaTheme="minorEastAsia"/>
          <w:color w:val="auto"/>
          <w:kern w:val="0"/>
          <w:sz w:val="24"/>
          <w:szCs w:val="24"/>
          <w:lang w:bidi="ar"/>
        </w:rPr>
        <w:t xml:space="preserve"> 项目名称：岳阳港君山港区LNG加注站项目</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 xml:space="preserve">⑵ </w:t>
      </w:r>
      <w:r>
        <w:rPr>
          <w:rFonts w:hint="default" w:ascii="Times New Roman" w:hAnsi="Times New Roman" w:cs="Times New Roman" w:eastAsiaTheme="minorEastAsia"/>
          <w:color w:val="auto"/>
          <w:kern w:val="0"/>
          <w:sz w:val="24"/>
          <w:szCs w:val="24"/>
          <w:lang w:bidi="ar"/>
        </w:rPr>
        <w:t>项目性质：新建项目</w:t>
      </w:r>
    </w:p>
    <w:p>
      <w:pPr>
        <w:adjustRightInd w:val="0"/>
        <w:snapToGrid w:val="0"/>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⑶ 建设单位：</w:t>
      </w:r>
      <w:r>
        <w:rPr>
          <w:rFonts w:hint="default" w:ascii="Times New Roman" w:hAnsi="Times New Roman" w:cs="Times New Roman"/>
          <w:color w:val="auto"/>
          <w:kern w:val="0"/>
          <w:sz w:val="24"/>
          <w:szCs w:val="24"/>
        </w:rPr>
        <w:t>岳阳液化天然气有限公司</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color w:val="auto"/>
          <w:kern w:val="0"/>
          <w:sz w:val="24"/>
          <w:szCs w:val="24"/>
          <w:lang w:bidi="ar"/>
        </w:rPr>
        <w:t xml:space="preserve">⑷ </w:t>
      </w:r>
      <w:r>
        <w:rPr>
          <w:rFonts w:hint="default" w:ascii="Times New Roman" w:hAnsi="Times New Roman" w:cs="Times New Roman" w:eastAsiaTheme="minorEastAsia"/>
          <w:color w:val="auto"/>
          <w:kern w:val="0"/>
          <w:sz w:val="24"/>
          <w:szCs w:val="24"/>
          <w:lang w:bidi="ar"/>
        </w:rPr>
        <w:t>建设地点：</w:t>
      </w:r>
      <w:r>
        <w:rPr>
          <w:rFonts w:hint="default" w:ascii="Times New Roman" w:hAnsi="Times New Roman" w:cs="Times New Roman"/>
          <w:color w:val="auto"/>
          <w:kern w:val="0"/>
          <w:sz w:val="24"/>
          <w:szCs w:val="24"/>
        </w:rPr>
        <w:t>湖南省岳阳市君山区</w:t>
      </w:r>
      <w:r>
        <w:rPr>
          <w:rFonts w:hint="default" w:ascii="Times New Roman" w:hAnsi="Times New Roman" w:cs="Times New Roman"/>
          <w:bCs/>
          <w:color w:val="auto"/>
          <w:sz w:val="24"/>
        </w:rPr>
        <w:t>广兴洲镇</w:t>
      </w:r>
    </w:p>
    <w:p>
      <w:pPr>
        <w:adjustRightInd w:val="0"/>
        <w:snapToGrid w:val="0"/>
        <w:spacing w:line="360" w:lineRule="auto"/>
        <w:ind w:firstLine="480" w:firstLineChars="200"/>
        <w:jc w:val="both"/>
        <w:rPr>
          <w:rFonts w:hint="default" w:ascii="Times New Roman" w:hAnsi="Times New Roman" w:cs="Times New Roman" w:eastAsiaTheme="minorEastAsia"/>
          <w:color w:val="auto"/>
          <w:spacing w:val="4"/>
          <w:kern w:val="0"/>
          <w:sz w:val="24"/>
          <w:szCs w:val="24"/>
          <w:lang w:val="zh-CN"/>
        </w:rPr>
      </w:pPr>
      <w:r>
        <w:rPr>
          <w:rFonts w:hint="default" w:ascii="Times New Roman" w:hAnsi="Times New Roman" w:cs="Times New Roman" w:eastAsiaTheme="minorEastAsia"/>
          <w:color w:val="auto"/>
          <w:kern w:val="0"/>
          <w:sz w:val="24"/>
          <w:szCs w:val="24"/>
          <w:lang w:bidi="ar"/>
        </w:rPr>
        <w:t>⑸ 建设内容及建设规模：本项目拟新建2座5000吨级LNG加注泊位（码头结构按停靠10000吨级船舶设计），布置于规划LNG泊位区的下游端部，</w:t>
      </w:r>
      <w:r>
        <w:rPr>
          <w:rFonts w:hint="default" w:ascii="Times New Roman" w:hAnsi="Times New Roman" w:cs="Times New Roman" w:eastAsiaTheme="minorEastAsia"/>
          <w:color w:val="auto"/>
          <w:kern w:val="0"/>
          <w:sz w:val="24"/>
          <w:szCs w:val="24"/>
          <w:lang w:val="zh-CN" w:bidi="ar"/>
        </w:rPr>
        <w:t>年吞吐量</w:t>
      </w:r>
      <w:r>
        <w:rPr>
          <w:rFonts w:hint="default" w:ascii="Times New Roman" w:hAnsi="Times New Roman" w:cs="Times New Roman" w:eastAsiaTheme="minorEastAsia"/>
          <w:color w:val="auto"/>
          <w:kern w:val="0"/>
          <w:sz w:val="24"/>
          <w:szCs w:val="24"/>
          <w:lang w:bidi="ar"/>
        </w:rPr>
        <w:t>2.6</w:t>
      </w:r>
      <w:r>
        <w:rPr>
          <w:rFonts w:hint="default" w:ascii="Times New Roman" w:hAnsi="Times New Roman" w:cs="Times New Roman" w:eastAsiaTheme="minorEastAsia"/>
          <w:color w:val="auto"/>
          <w:kern w:val="0"/>
          <w:sz w:val="24"/>
          <w:szCs w:val="24"/>
          <w:lang w:val="zh-CN" w:bidi="ar"/>
        </w:rPr>
        <w:t>万t（</w:t>
      </w:r>
      <w:r>
        <w:rPr>
          <w:rFonts w:hint="default" w:ascii="Times New Roman" w:hAnsi="Times New Roman" w:cs="Times New Roman" w:eastAsiaTheme="minorEastAsia"/>
          <w:color w:val="auto"/>
          <w:kern w:val="0"/>
          <w:sz w:val="24"/>
          <w:szCs w:val="24"/>
          <w:lang w:val="en-US" w:eastAsia="zh-CN" w:bidi="ar"/>
        </w:rPr>
        <w:t>均为出口量</w:t>
      </w:r>
      <w:r>
        <w:rPr>
          <w:rFonts w:hint="default" w:ascii="Times New Roman" w:hAnsi="Times New Roman" w:cs="Times New Roman" w:eastAsiaTheme="minorEastAsia"/>
          <w:color w:val="auto"/>
          <w:kern w:val="0"/>
          <w:sz w:val="24"/>
          <w:szCs w:val="24"/>
          <w:lang w:val="zh-CN" w:bidi="ar"/>
        </w:rPr>
        <w:t>），设计年通过能力</w:t>
      </w:r>
      <w:r>
        <w:rPr>
          <w:rFonts w:hint="default" w:ascii="Times New Roman" w:hAnsi="Times New Roman" w:cs="Times New Roman" w:eastAsiaTheme="minorEastAsia"/>
          <w:color w:val="auto"/>
          <w:kern w:val="0"/>
          <w:sz w:val="24"/>
          <w:szCs w:val="24"/>
          <w:lang w:bidi="ar"/>
        </w:rPr>
        <w:t>3.1</w:t>
      </w:r>
      <w:r>
        <w:rPr>
          <w:rFonts w:hint="default" w:ascii="Times New Roman" w:hAnsi="Times New Roman" w:cs="Times New Roman" w:eastAsiaTheme="minorEastAsia"/>
          <w:color w:val="auto"/>
          <w:kern w:val="0"/>
          <w:sz w:val="24"/>
          <w:szCs w:val="24"/>
          <w:lang w:val="zh-CN" w:bidi="ar"/>
        </w:rPr>
        <w:t>万t，占用长江岸线</w:t>
      </w:r>
      <w:r>
        <w:rPr>
          <w:rFonts w:hint="default" w:ascii="Times New Roman" w:hAnsi="Times New Roman" w:cs="Times New Roman" w:eastAsiaTheme="minorEastAsia"/>
          <w:color w:val="auto"/>
          <w:kern w:val="0"/>
          <w:sz w:val="24"/>
          <w:szCs w:val="24"/>
          <w:lang w:bidi="ar"/>
        </w:rPr>
        <w:t>31</w:t>
      </w:r>
      <w:r>
        <w:rPr>
          <w:rFonts w:hint="default" w:ascii="Times New Roman" w:hAnsi="Times New Roman" w:cs="Times New Roman" w:eastAsiaTheme="minorEastAsia"/>
          <w:color w:val="auto"/>
          <w:kern w:val="0"/>
          <w:sz w:val="24"/>
          <w:szCs w:val="24"/>
          <w:lang w:val="zh-CN" w:bidi="ar"/>
        </w:rPr>
        <w:t>5m。本</w:t>
      </w:r>
      <w:r>
        <w:rPr>
          <w:rFonts w:hint="default" w:ascii="Times New Roman" w:hAnsi="Times New Roman" w:cs="Times New Roman" w:eastAsiaTheme="minorEastAsia"/>
          <w:color w:val="auto"/>
          <w:kern w:val="0"/>
          <w:sz w:val="24"/>
          <w:szCs w:val="24"/>
          <w:lang w:bidi="ar"/>
        </w:rPr>
        <w:t>项目LNG加注方式采用LNG罐箱或槽车通过卸车撬直接对船舶进行加注，</w:t>
      </w:r>
      <w:r>
        <w:rPr>
          <w:rFonts w:hint="default" w:ascii="Times New Roman" w:hAnsi="Times New Roman" w:cs="Times New Roman" w:eastAsiaTheme="minorEastAsia"/>
          <w:color w:val="auto"/>
          <w:kern w:val="0"/>
          <w:sz w:val="24"/>
          <w:szCs w:val="24"/>
          <w:lang w:val="zh-CN" w:bidi="ar"/>
        </w:rPr>
        <w:t>加注对象主要为</w:t>
      </w:r>
      <w:r>
        <w:rPr>
          <w:rFonts w:hint="default" w:ascii="Times New Roman" w:hAnsi="Times New Roman" w:cs="Times New Roman" w:eastAsiaTheme="minorEastAsia"/>
          <w:color w:val="auto"/>
          <w:kern w:val="0"/>
          <w:sz w:val="24"/>
          <w:szCs w:val="24"/>
          <w:lang w:bidi="ar"/>
        </w:rPr>
        <w:t>1</w:t>
      </w:r>
      <w:r>
        <w:rPr>
          <w:rFonts w:hint="default" w:ascii="Times New Roman" w:hAnsi="Times New Roman" w:cs="Times New Roman" w:eastAsiaTheme="minorEastAsia"/>
          <w:color w:val="auto"/>
          <w:kern w:val="0"/>
          <w:sz w:val="24"/>
          <w:szCs w:val="24"/>
          <w:lang w:val="zh-CN" w:bidi="ar"/>
        </w:rPr>
        <w:t>000</w:t>
      </w:r>
      <w:r>
        <w:rPr>
          <w:rFonts w:hint="default" w:ascii="Times New Roman" w:hAnsi="Times New Roman" w:cs="Times New Roman" w:eastAsiaTheme="minorEastAsia"/>
          <w:color w:val="auto"/>
          <w:kern w:val="0"/>
          <w:sz w:val="24"/>
          <w:szCs w:val="24"/>
          <w:lang w:bidi="ar"/>
        </w:rPr>
        <w:t>~10</w:t>
      </w:r>
      <w:r>
        <w:rPr>
          <w:rFonts w:hint="default" w:ascii="Times New Roman" w:hAnsi="Times New Roman" w:cs="Times New Roman" w:eastAsiaTheme="minorEastAsia"/>
          <w:color w:val="auto"/>
          <w:kern w:val="0"/>
          <w:sz w:val="24"/>
          <w:szCs w:val="24"/>
          <w:lang w:val="zh-CN" w:bidi="ar"/>
        </w:rPr>
        <w:t>000t级内河船舶。本项目不含</w:t>
      </w:r>
      <w:r>
        <w:rPr>
          <w:rFonts w:hint="default" w:ascii="Times New Roman" w:hAnsi="Times New Roman" w:cs="Times New Roman" w:eastAsiaTheme="minorEastAsia"/>
          <w:color w:val="auto"/>
          <w:sz w:val="24"/>
        </w:rPr>
        <w:t>LNG接收站（储备中心）的码头、罐区及后方相关</w:t>
      </w:r>
      <w:r>
        <w:rPr>
          <w:rFonts w:hint="eastAsia" w:ascii="Times New Roman" w:hAnsi="Times New Roman" w:cs="Times New Roman" w:eastAsiaTheme="minorEastAsia"/>
          <w:color w:val="auto"/>
          <w:sz w:val="24"/>
          <w:lang w:val="en-US" w:eastAsia="zh-CN"/>
        </w:rPr>
        <w:t>辅助</w:t>
      </w:r>
      <w:r>
        <w:rPr>
          <w:rFonts w:hint="default" w:ascii="Times New Roman" w:hAnsi="Times New Roman" w:cs="Times New Roman" w:eastAsiaTheme="minorEastAsia"/>
          <w:color w:val="auto"/>
          <w:sz w:val="24"/>
        </w:rPr>
        <w:t>配套工程。</w:t>
      </w:r>
    </w:p>
    <w:p>
      <w:pPr>
        <w:adjustRightInd w:val="0"/>
        <w:snapToGrid w:val="0"/>
        <w:spacing w:line="360" w:lineRule="auto"/>
        <w:ind w:firstLine="480" w:firstLineChars="200"/>
        <w:jc w:val="both"/>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⑹ 岸线利用：接卸泊位占用岸线长度315m，泊位利用率60%。</w:t>
      </w:r>
    </w:p>
    <w:p>
      <w:pPr>
        <w:adjustRightInd w:val="0"/>
        <w:snapToGrid w:val="0"/>
        <w:spacing w:line="360" w:lineRule="auto"/>
        <w:ind w:firstLine="480" w:firstLineChars="200"/>
        <w:jc w:val="both"/>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⑺ 服务对象、货种及吞吐量：本项目</w:t>
      </w:r>
      <w:r>
        <w:rPr>
          <w:rFonts w:hint="default" w:ascii="Times New Roman" w:hAnsi="Times New Roman" w:cs="Times New Roman"/>
          <w:color w:val="auto"/>
          <w:sz w:val="24"/>
        </w:rPr>
        <w:t>服务于长江干线途经和停靠岳阳港的LNG动力船舶、洞庭湖区LNG动力船舶、湖南省内河LNG动力船舶，其中包括荆州煤炭储备基地所用船舶</w:t>
      </w:r>
      <w:r>
        <w:rPr>
          <w:rFonts w:hint="default" w:ascii="Times New Roman" w:hAnsi="Times New Roman" w:cs="Times New Roman"/>
          <w:color w:val="auto"/>
          <w:kern w:val="0"/>
          <w:sz w:val="24"/>
          <w:szCs w:val="24"/>
          <w:lang w:bidi="ar"/>
        </w:rPr>
        <w:t>，</w:t>
      </w:r>
      <w:r>
        <w:rPr>
          <w:rFonts w:hint="default" w:ascii="Times New Roman" w:hAnsi="Times New Roman" w:cs="Times New Roman"/>
          <w:color w:val="auto"/>
          <w:sz w:val="24"/>
        </w:rPr>
        <w:t>LNG设计年加注</w:t>
      </w:r>
      <w:r>
        <w:rPr>
          <w:rFonts w:hint="default" w:ascii="Times New Roman" w:hAnsi="Times New Roman" w:cs="Times New Roman"/>
          <w:color w:val="auto"/>
          <w:kern w:val="0"/>
          <w:sz w:val="24"/>
          <w:szCs w:val="24"/>
          <w:lang w:bidi="ar"/>
        </w:rPr>
        <w:t>量3.1万吨/年。</w:t>
      </w:r>
    </w:p>
    <w:p>
      <w:pPr>
        <w:adjustRightInd w:val="0"/>
        <w:snapToGrid w:val="0"/>
        <w:spacing w:line="360" w:lineRule="auto"/>
        <w:ind w:firstLine="480" w:firstLineChars="200"/>
        <w:jc w:val="both"/>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⑻ 港区定员：18人。</w:t>
      </w:r>
    </w:p>
    <w:p>
      <w:pPr>
        <w:adjustRightInd w:val="0"/>
        <w:snapToGrid w:val="0"/>
        <w:spacing w:line="360" w:lineRule="auto"/>
        <w:ind w:firstLine="480" w:firstLineChars="200"/>
        <w:jc w:val="both"/>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⑼ 总投资：13490.29万元，</w:t>
      </w:r>
      <w:r>
        <w:rPr>
          <w:rFonts w:hint="default" w:ascii="Times New Roman" w:hAnsi="Times New Roman" w:cs="Times New Roman"/>
          <w:color w:val="auto"/>
          <w:sz w:val="24"/>
          <w:szCs w:val="24"/>
        </w:rPr>
        <w:t>按30%自筹资金，70%银行贷款</w:t>
      </w:r>
      <w:r>
        <w:rPr>
          <w:rFonts w:hint="default" w:ascii="Times New Roman" w:hAnsi="Times New Roman" w:cs="Times New Roman"/>
          <w:color w:val="auto"/>
          <w:kern w:val="0"/>
          <w:sz w:val="24"/>
          <w:szCs w:val="24"/>
          <w:lang w:bidi="ar"/>
        </w:rPr>
        <w:t>。</w:t>
      </w:r>
    </w:p>
    <w:p>
      <w:pPr>
        <w:adjustRightInd w:val="0"/>
        <w:snapToGrid w:val="0"/>
        <w:spacing w:line="360" w:lineRule="auto"/>
        <w:ind w:firstLine="480" w:firstLineChars="200"/>
        <w:jc w:val="both"/>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⑽ 建设期限：建设工期12个月，工程施工拟于</w:t>
      </w:r>
      <w:r>
        <w:rPr>
          <w:rFonts w:hint="default" w:ascii="Times New Roman" w:hAnsi="Times New Roman" w:cs="Times New Roman" w:eastAsiaTheme="minorEastAsia"/>
          <w:color w:val="auto"/>
          <w:sz w:val="24"/>
          <w:szCs w:val="24"/>
        </w:rPr>
        <w:t>2021年1月初开工，2021年12月底</w:t>
      </w:r>
      <w:r>
        <w:rPr>
          <w:rFonts w:hint="default" w:ascii="Times New Roman" w:hAnsi="Times New Roman" w:cs="Times New Roman"/>
          <w:color w:val="auto"/>
          <w:kern w:val="0"/>
          <w:sz w:val="24"/>
          <w:szCs w:val="24"/>
          <w:lang w:bidi="ar"/>
        </w:rPr>
        <w:t>初竣工投产。</w:t>
      </w:r>
    </w:p>
    <w:p>
      <w:pPr>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lang w:eastAsia="zh-CN"/>
        </w:rPr>
      </w:pPr>
      <w:r>
        <w:rPr>
          <w:rFonts w:hint="default" w:ascii="Times New Roman" w:hAnsi="Times New Roman" w:cs="Times New Roman"/>
          <w:color w:val="auto"/>
          <w:sz w:val="24"/>
          <w:lang w:val="zh-CN"/>
        </w:rPr>
        <w:t>⑾</w:t>
      </w:r>
      <w:r>
        <w:rPr>
          <w:rFonts w:hint="default" w:ascii="Times New Roman" w:hAnsi="Times New Roman" w:cs="Times New Roman"/>
          <w:color w:val="auto"/>
          <w:sz w:val="24"/>
        </w:rPr>
        <w:t xml:space="preserve"> 功能定位：项目将作为LNG输出气源节点，为途径和停靠岳阳的长江干线LNG动力船、洞庭湖区和湖南省内河LNG动力船船舶加气，推动LNG动力船的发展，打造低碳物流、绿色交通，大大促进湖南省洞庭湖生态经济区建设</w:t>
      </w:r>
      <w:r>
        <w:rPr>
          <w:rFonts w:hint="default" w:ascii="Times New Roman" w:hAnsi="Times New Roman" w:cs="Times New Roman"/>
          <w:color w:val="auto"/>
          <w:sz w:val="24"/>
          <w:lang w:eastAsia="zh-CN"/>
        </w:rPr>
        <w:t>。</w:t>
      </w:r>
    </w:p>
    <w:p>
      <w:pPr>
        <w:pStyle w:val="3"/>
        <w:ind w:left="578" w:hanging="578"/>
        <w:rPr>
          <w:rFonts w:hint="default" w:ascii="Times New Roman" w:hAnsi="Times New Roman" w:cs="Times New Roman" w:eastAsiaTheme="minorEastAsia"/>
          <w:b/>
          <w:color w:val="auto"/>
        </w:rPr>
      </w:pPr>
      <w:bookmarkStart w:id="172" w:name="_Toc9264"/>
      <w:bookmarkStart w:id="173" w:name="_Toc13378"/>
      <w:r>
        <w:rPr>
          <w:rFonts w:hint="default" w:ascii="Times New Roman" w:hAnsi="Times New Roman" w:cs="Times New Roman" w:eastAsiaTheme="minorEastAsia"/>
          <w:b/>
          <w:color w:val="auto"/>
        </w:rPr>
        <w:t>环境质量现状评价结论</w:t>
      </w:r>
      <w:bookmarkEnd w:id="172"/>
      <w:bookmarkEnd w:id="173"/>
    </w:p>
    <w:p>
      <w:pPr>
        <w:adjustRightInd w:val="0"/>
        <w:snapToGrid w:val="0"/>
        <w:spacing w:line="360" w:lineRule="auto"/>
        <w:ind w:firstLine="482"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b/>
          <w:color w:val="auto"/>
          <w:kern w:val="0"/>
          <w:sz w:val="24"/>
        </w:rPr>
        <w:t>1、环境空气</w:t>
      </w:r>
    </w:p>
    <w:p>
      <w:pPr>
        <w:adjustRightInd w:val="0"/>
        <w:snapToGrid w:val="0"/>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eastAsiaTheme="minorEastAsia"/>
          <w:color w:val="auto"/>
          <w:kern w:val="0"/>
          <w:sz w:val="24"/>
          <w:szCs w:val="24"/>
        </w:rPr>
        <w:t>根据《岳阳市2019年度环境质量公报》，</w:t>
      </w:r>
      <w:r>
        <w:rPr>
          <w:rFonts w:hint="default" w:ascii="Times New Roman" w:hAnsi="Times New Roman" w:cs="Times New Roman"/>
          <w:color w:val="auto"/>
          <w:sz w:val="24"/>
          <w:szCs w:val="24"/>
        </w:rPr>
        <w:t>2019年岳阳市大气环境质量主要指标中SO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年均浓度、NO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年均浓度、PM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年平均浓度和CO 24小时平均第95百分位数浓度均能满足《环境空气质量标准》（GB3095-2012）中的二级标准限值，PM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年平均浓度和O</w:t>
      </w:r>
      <w:r>
        <w:rPr>
          <w:rFonts w:hint="default" w:ascii="Times New Roman" w:hAnsi="Times New Roman" w:cs="Times New Roman"/>
          <w:color w:val="auto"/>
          <w:sz w:val="24"/>
          <w:szCs w:val="24"/>
          <w:vertAlign w:val="subscript"/>
        </w:rPr>
        <w:t xml:space="preserve">3 </w:t>
      </w:r>
      <w:r>
        <w:rPr>
          <w:rFonts w:hint="default" w:ascii="Times New Roman" w:hAnsi="Times New Roman" w:cs="Times New Roman"/>
          <w:color w:val="auto"/>
          <w:sz w:val="24"/>
          <w:szCs w:val="24"/>
        </w:rPr>
        <w:t>8小时平均第90百分位数浓度均不能满足《环境空气质量标准》（GB3095-2012）中的二级标准限值，故本项目所在区域2019年为环境空气质量不达标区，</w:t>
      </w:r>
      <w:r>
        <w:rPr>
          <w:rFonts w:hint="default" w:ascii="Times New Roman" w:hAnsi="Times New Roman" w:cs="Times New Roman"/>
          <w:color w:val="auto"/>
          <w:sz w:val="24"/>
          <w:szCs w:val="22"/>
        </w:rPr>
        <w:t>超标因子为PM</w:t>
      </w:r>
      <w:r>
        <w:rPr>
          <w:rFonts w:hint="default" w:ascii="Times New Roman" w:hAnsi="Times New Roman" w:cs="Times New Roman"/>
          <w:color w:val="auto"/>
          <w:sz w:val="24"/>
          <w:szCs w:val="22"/>
          <w:vertAlign w:val="subscript"/>
        </w:rPr>
        <w:t>2.5</w:t>
      </w:r>
      <w:r>
        <w:rPr>
          <w:rFonts w:hint="default" w:ascii="Times New Roman" w:hAnsi="Times New Roman" w:cs="Times New Roman"/>
          <w:color w:val="auto"/>
          <w:sz w:val="24"/>
          <w:szCs w:val="22"/>
        </w:rPr>
        <w:t>和O</w:t>
      </w:r>
      <w:r>
        <w:rPr>
          <w:rFonts w:hint="default" w:ascii="Times New Roman" w:hAnsi="Times New Roman" w:cs="Times New Roman"/>
          <w:color w:val="auto"/>
          <w:sz w:val="24"/>
          <w:szCs w:val="22"/>
          <w:vertAlign w:val="subscript"/>
        </w:rPr>
        <w:t>3</w:t>
      </w:r>
      <w:r>
        <w:rPr>
          <w:rFonts w:hint="default" w:ascii="Times New Roman" w:hAnsi="Times New Roman" w:cs="Times New Roman"/>
          <w:color w:val="auto"/>
          <w:sz w:val="24"/>
          <w:szCs w:val="24"/>
        </w:rPr>
        <w:t>。</w:t>
      </w:r>
    </w:p>
    <w:p>
      <w:pPr>
        <w:adjustRightInd w:val="0"/>
        <w:snapToGrid w:val="0"/>
        <w:spacing w:line="360" w:lineRule="auto"/>
        <w:ind w:firstLine="480" w:firstLineChars="200"/>
        <w:jc w:val="both"/>
        <w:rPr>
          <w:rFonts w:hint="default" w:ascii="Times New Roman" w:hAnsi="Times New Roman" w:cs="Times New Roman"/>
          <w:color w:val="auto"/>
          <w:sz w:val="24"/>
          <w:szCs w:val="22"/>
        </w:rPr>
      </w:pPr>
      <w:r>
        <w:rPr>
          <w:rFonts w:hint="default" w:ascii="Times New Roman" w:hAnsi="Times New Roman" w:cs="Times New Roman"/>
          <w:color w:val="auto"/>
          <w:sz w:val="24"/>
          <w:szCs w:val="22"/>
          <w:u w:val="single"/>
        </w:rPr>
        <w:t>本次评价引用了湖南华环检测技术有限公司于2019年7月15日~7月21日对“岳阳LNG接收站（储备中心）项目工程（一期）”进行了一期监测数据，场址和项目下风向5km两个监测点的TVOC均满足《环境影响评价技术导则 大气环境》（HJ2.2-2018）中的附录D中8h平均值。</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color w:val="auto"/>
          <w:sz w:val="24"/>
          <w:szCs w:val="22"/>
        </w:rPr>
        <w:t>此外，进行了一期现状补充监测，</w:t>
      </w:r>
      <w:r>
        <w:rPr>
          <w:rFonts w:hint="default" w:ascii="Times New Roman" w:hAnsi="Times New Roman" w:cs="Times New Roman" w:eastAsiaTheme="minorEastAsia"/>
          <w:color w:val="auto"/>
          <w:sz w:val="24"/>
        </w:rPr>
        <w:t>项目所在区域监测点位的非甲烷总烃满足《大气污染物综合排放标准详解》（GB16297-1996）标准要求，项目拟建地环境空气中的特征污染物环境本底浓度均未超标，具有一定的环境容量</w:t>
      </w:r>
      <w:r>
        <w:rPr>
          <w:rFonts w:hint="default" w:ascii="Times New Roman" w:hAnsi="Times New Roman" w:cs="Times New Roman" w:eastAsiaTheme="minorEastAsia"/>
          <w:color w:val="auto"/>
          <w:kern w:val="0"/>
          <w:sz w:val="24"/>
          <w:szCs w:val="24"/>
        </w:rPr>
        <w:t>。</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2、地表水</w:t>
      </w:r>
    </w:p>
    <w:p>
      <w:pPr>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涉及的水体为长江岳阳段渔业用水区。本评价收集了《岳阳市2019年度环境质量公报》，根据质量公报：长江干流岳阳段共布设5个监测断面，分别为天字一号、君山长江取水口、荆江口、城陵矶、陆城断面，2019年水质均为Ⅱ类。</w:t>
      </w:r>
    </w:p>
    <w:p>
      <w:pPr>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2"/>
        </w:rPr>
        <w:t>本次评价引用了湖南华环检测技术有限公司于2019年7月19日~7月21日对“岳阳LNG接收站（储备中心）项目工程（一期）”进行了一期监测数据。</w:t>
      </w:r>
      <w:r>
        <w:rPr>
          <w:rFonts w:hint="default" w:ascii="Times New Roman" w:hAnsi="Times New Roman" w:cs="Times New Roman" w:eastAsiaTheme="minorEastAsia"/>
          <w:color w:val="auto"/>
          <w:sz w:val="24"/>
          <w:szCs w:val="24"/>
        </w:rPr>
        <w:t>除粪大肠菌群外，其余监测因子监测值均可满足《地表水环境质量标准》（GB3838-2002）中Ⅲ类</w:t>
      </w:r>
      <w:r>
        <w:rPr>
          <w:rFonts w:hint="default" w:ascii="Times New Roman" w:hAnsi="Times New Roman" w:cs="Times New Roman" w:eastAsiaTheme="minorEastAsia"/>
          <w:color w:val="auto"/>
          <w:sz w:val="24"/>
          <w:szCs w:val="24"/>
          <w:lang w:val="en-US" w:eastAsia="zh-CN"/>
        </w:rPr>
        <w:t>水质考核</w:t>
      </w:r>
      <w:r>
        <w:rPr>
          <w:rFonts w:hint="default" w:ascii="Times New Roman" w:hAnsi="Times New Roman" w:cs="Times New Roman" w:eastAsiaTheme="minorEastAsia"/>
          <w:color w:val="auto"/>
          <w:sz w:val="24"/>
          <w:szCs w:val="24"/>
        </w:rPr>
        <w:t>标准要求。</w:t>
      </w:r>
      <w:r>
        <w:rPr>
          <w:rFonts w:hint="default" w:ascii="Times New Roman" w:hAnsi="Times New Roman" w:cs="Times New Roman" w:eastAsiaTheme="minorEastAsia"/>
          <w:color w:val="auto"/>
          <w:sz w:val="24"/>
          <w:szCs w:val="24"/>
          <w:lang w:val="en-US" w:eastAsia="zh-CN"/>
        </w:rPr>
        <w:t>除</w:t>
      </w:r>
      <w:r>
        <w:rPr>
          <w:rFonts w:hint="default" w:ascii="Times New Roman" w:hAnsi="Times New Roman" w:cs="Times New Roman" w:eastAsiaTheme="minorEastAsia"/>
          <w:color w:val="auto"/>
          <w:sz w:val="24"/>
          <w:szCs w:val="24"/>
        </w:rPr>
        <w:t>总磷</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粪大肠菌群</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汞</w:t>
      </w:r>
      <w:r>
        <w:rPr>
          <w:rFonts w:hint="default" w:ascii="Times New Roman" w:hAnsi="Times New Roman" w:cs="Times New Roman" w:eastAsiaTheme="minorEastAsia"/>
          <w:color w:val="auto"/>
          <w:sz w:val="24"/>
          <w:szCs w:val="24"/>
          <w:lang w:val="en-US" w:eastAsia="zh-CN"/>
        </w:rPr>
        <w:t>外，其</w:t>
      </w:r>
      <w:r>
        <w:rPr>
          <w:rFonts w:hint="default" w:ascii="Times New Roman" w:hAnsi="Times New Roman" w:cs="Times New Roman" w:eastAsiaTheme="minorEastAsia"/>
          <w:color w:val="auto"/>
          <w:sz w:val="24"/>
          <w:szCs w:val="24"/>
        </w:rPr>
        <w:t>余监测因子监测值均可满足《地表水环境质量标准》（GB3838-2002）中</w:t>
      </w:r>
      <w:r>
        <w:rPr>
          <w:rFonts w:hint="default" w:ascii="Times New Roman" w:hAnsi="Times New Roman" w:cs="Times New Roman" w:eastAsiaTheme="minorEastAsia"/>
          <w:color w:val="auto"/>
          <w:sz w:val="24"/>
          <w:szCs w:val="24"/>
          <w:lang w:val="en-US" w:eastAsia="zh-CN"/>
        </w:rPr>
        <w:t>Ⅰ</w:t>
      </w:r>
      <w:r>
        <w:rPr>
          <w:rFonts w:hint="default" w:ascii="Times New Roman" w:hAnsi="Times New Roman" w:cs="Times New Roman" w:eastAsiaTheme="minorEastAsia"/>
          <w:color w:val="auto"/>
          <w:sz w:val="24"/>
          <w:szCs w:val="24"/>
        </w:rPr>
        <w:t>类标准</w:t>
      </w:r>
      <w:r>
        <w:rPr>
          <w:rFonts w:hint="default" w:ascii="Times New Roman" w:hAnsi="Times New Roman" w:cs="Times New Roman" w:eastAsiaTheme="minorEastAsia"/>
          <w:color w:val="auto"/>
          <w:sz w:val="24"/>
          <w:szCs w:val="24"/>
          <w:lang w:eastAsia="zh-CN"/>
        </w:rPr>
        <w:t>。</w:t>
      </w:r>
    </w:p>
    <w:p>
      <w:pPr>
        <w:adjustRightInd w:val="0"/>
        <w:snapToGrid w:val="0"/>
        <w:spacing w:line="360" w:lineRule="auto"/>
        <w:ind w:firstLine="480" w:firstLineChars="200"/>
        <w:jc w:val="both"/>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此外，进行了一期现状补充监测，</w:t>
      </w:r>
      <w:r>
        <w:rPr>
          <w:rFonts w:hint="default" w:ascii="Times New Roman" w:hAnsi="Times New Roman" w:cs="Times New Roman" w:eastAsiaTheme="minorEastAsia"/>
          <w:b w:val="0"/>
          <w:bCs w:val="0"/>
          <w:color w:val="auto"/>
          <w:kern w:val="0"/>
          <w:sz w:val="24"/>
          <w:szCs w:val="24"/>
        </w:rPr>
        <w:t>各监测断面中</w:t>
      </w:r>
      <w:r>
        <w:rPr>
          <w:rFonts w:hint="default" w:ascii="Times New Roman" w:hAnsi="Times New Roman" w:cs="Times New Roman" w:eastAsiaTheme="minorEastAsia"/>
          <w:b w:val="0"/>
          <w:bCs w:val="0"/>
          <w:color w:val="auto"/>
          <w:sz w:val="24"/>
          <w:szCs w:val="24"/>
        </w:rPr>
        <w:t>DO、高锰酸盐指数、COD、BOD</w:t>
      </w:r>
      <w:r>
        <w:rPr>
          <w:rFonts w:hint="default" w:ascii="Times New Roman" w:hAnsi="Times New Roman" w:cs="Times New Roman" w:eastAsiaTheme="minorEastAsia"/>
          <w:b w:val="0"/>
          <w:bCs w:val="0"/>
          <w:color w:val="auto"/>
          <w:sz w:val="24"/>
          <w:szCs w:val="24"/>
          <w:vertAlign w:val="subscript"/>
        </w:rPr>
        <w:t>5</w:t>
      </w:r>
      <w:r>
        <w:rPr>
          <w:rFonts w:hint="default" w:ascii="Times New Roman" w:hAnsi="Times New Roman" w:cs="Times New Roman" w:eastAsiaTheme="minorEastAsia"/>
          <w:b w:val="0"/>
          <w:bCs w:val="0"/>
          <w:color w:val="auto"/>
          <w:kern w:val="0"/>
          <w:sz w:val="24"/>
          <w:szCs w:val="24"/>
        </w:rPr>
        <w:t>、</w:t>
      </w:r>
      <w:r>
        <w:rPr>
          <w:rFonts w:hint="default" w:ascii="Times New Roman" w:hAnsi="Times New Roman" w:cs="Times New Roman" w:eastAsiaTheme="minorEastAsia"/>
          <w:b w:val="0"/>
          <w:bCs w:val="0"/>
          <w:color w:val="auto"/>
          <w:sz w:val="24"/>
          <w:szCs w:val="24"/>
        </w:rPr>
        <w:t>NH</w:t>
      </w:r>
      <w:r>
        <w:rPr>
          <w:rFonts w:hint="default" w:ascii="Times New Roman" w:hAnsi="Times New Roman" w:cs="Times New Roman" w:eastAsiaTheme="minorEastAsia"/>
          <w:b w:val="0"/>
          <w:bCs w:val="0"/>
          <w:color w:val="auto"/>
          <w:sz w:val="24"/>
          <w:szCs w:val="24"/>
          <w:vertAlign w:val="subscript"/>
        </w:rPr>
        <w:t>3</w:t>
      </w:r>
      <w:r>
        <w:rPr>
          <w:rFonts w:hint="default" w:ascii="Times New Roman" w:hAnsi="Times New Roman" w:cs="Times New Roman" w:eastAsiaTheme="minorEastAsia"/>
          <w:b w:val="0"/>
          <w:bCs w:val="0"/>
          <w:color w:val="auto"/>
          <w:sz w:val="24"/>
          <w:szCs w:val="24"/>
        </w:rPr>
        <w:t>-N、石油类</w:t>
      </w:r>
      <w:r>
        <w:rPr>
          <w:rFonts w:hint="default" w:ascii="Times New Roman" w:hAnsi="Times New Roman" w:cs="Times New Roman" w:eastAsiaTheme="minorEastAsia"/>
          <w:b w:val="0"/>
          <w:bCs w:val="0"/>
          <w:color w:val="auto"/>
          <w:kern w:val="0"/>
          <w:sz w:val="24"/>
          <w:szCs w:val="24"/>
        </w:rPr>
        <w:t>指标均能</w:t>
      </w:r>
      <w:r>
        <w:rPr>
          <w:rFonts w:hint="default" w:ascii="Times New Roman" w:hAnsi="Times New Roman" w:cs="Times New Roman" w:eastAsiaTheme="minorEastAsia"/>
          <w:b w:val="0"/>
          <w:bCs w:val="0"/>
          <w:color w:val="auto"/>
          <w:sz w:val="24"/>
          <w:szCs w:val="24"/>
        </w:rPr>
        <w:t>满足《地表水环境质量标准》（GB3838-2002）</w:t>
      </w:r>
      <w:r>
        <w:rPr>
          <w:rFonts w:hint="default" w:ascii="Times New Roman" w:hAnsi="Times New Roman" w:cs="Times New Roman"/>
          <w:b w:val="0"/>
          <w:bCs w:val="0"/>
          <w:color w:val="auto"/>
          <w:sz w:val="24"/>
          <w:szCs w:val="24"/>
          <w:lang w:val="en-US" w:eastAsia="zh-CN"/>
        </w:rPr>
        <w:t>Ⅲ类</w:t>
      </w:r>
      <w:r>
        <w:rPr>
          <w:rFonts w:hint="default" w:ascii="Times New Roman" w:hAnsi="Times New Roman" w:cs="Times New Roman" w:eastAsiaTheme="minorEastAsia"/>
          <w:b w:val="0"/>
          <w:bCs w:val="0"/>
          <w:color w:val="auto"/>
          <w:sz w:val="24"/>
          <w:szCs w:val="24"/>
        </w:rPr>
        <w:t>水质</w:t>
      </w:r>
      <w:r>
        <w:rPr>
          <w:rFonts w:hint="default" w:ascii="Times New Roman" w:hAnsi="Times New Roman" w:cs="Times New Roman" w:eastAsiaTheme="minorEastAsia"/>
          <w:b w:val="0"/>
          <w:bCs w:val="0"/>
          <w:color w:val="auto"/>
          <w:sz w:val="24"/>
          <w:szCs w:val="24"/>
          <w:lang w:val="en-US" w:eastAsia="zh-CN"/>
        </w:rPr>
        <w:t>考核</w:t>
      </w:r>
      <w:r>
        <w:rPr>
          <w:rFonts w:hint="default" w:ascii="Times New Roman" w:hAnsi="Times New Roman" w:cs="Times New Roman" w:eastAsiaTheme="minorEastAsia"/>
          <w:b w:val="0"/>
          <w:bCs w:val="0"/>
          <w:color w:val="auto"/>
          <w:sz w:val="24"/>
          <w:szCs w:val="24"/>
        </w:rPr>
        <w:t>标准，</w:t>
      </w:r>
      <w:r>
        <w:rPr>
          <w:rFonts w:hint="default" w:ascii="Times New Roman" w:hAnsi="Times New Roman" w:cs="Times New Roman" w:eastAsiaTheme="minorEastAsia"/>
          <w:b w:val="0"/>
          <w:bCs w:val="0"/>
          <w:color w:val="auto"/>
          <w:kern w:val="0"/>
          <w:sz w:val="24"/>
          <w:szCs w:val="24"/>
        </w:rPr>
        <w:t>各监测断面中</w:t>
      </w:r>
      <w:r>
        <w:rPr>
          <w:rFonts w:hint="default" w:ascii="Times New Roman" w:hAnsi="Times New Roman" w:cs="Times New Roman" w:eastAsiaTheme="minorEastAsia"/>
          <w:b w:val="0"/>
          <w:bCs w:val="0"/>
          <w:color w:val="auto"/>
          <w:sz w:val="24"/>
          <w:szCs w:val="24"/>
        </w:rPr>
        <w:t>SS</w:t>
      </w:r>
      <w:r>
        <w:rPr>
          <w:rFonts w:hint="default" w:ascii="Times New Roman" w:hAnsi="Times New Roman" w:cs="Times New Roman" w:eastAsiaTheme="minorEastAsia"/>
          <w:b w:val="0"/>
          <w:bCs w:val="0"/>
          <w:color w:val="auto"/>
          <w:kern w:val="0"/>
          <w:sz w:val="24"/>
          <w:szCs w:val="24"/>
        </w:rPr>
        <w:t>指标未能满足</w:t>
      </w:r>
      <w:r>
        <w:rPr>
          <w:rFonts w:hint="default" w:ascii="Times New Roman" w:hAnsi="Times New Roman" w:cs="Times New Roman" w:eastAsiaTheme="minorEastAsia"/>
          <w:b w:val="0"/>
          <w:bCs w:val="0"/>
          <w:color w:val="auto"/>
          <w:sz w:val="24"/>
          <w:szCs w:val="24"/>
        </w:rPr>
        <w:t>《地表水资源质量标准》（SL63-94）的</w:t>
      </w:r>
      <w:r>
        <w:rPr>
          <w:rFonts w:hint="eastAsia" w:ascii="Times New Roman" w:hAnsi="Times New Roman" w:cs="Times New Roman"/>
          <w:b w:val="0"/>
          <w:bCs w:val="0"/>
          <w:color w:val="auto"/>
          <w:sz w:val="24"/>
          <w:szCs w:val="24"/>
          <w:lang w:val="en-US" w:eastAsia="zh-CN"/>
        </w:rPr>
        <w:t>三级</w:t>
      </w:r>
      <w:r>
        <w:rPr>
          <w:rFonts w:hint="default" w:ascii="Times New Roman" w:hAnsi="Times New Roman" w:cs="Times New Roman" w:eastAsiaTheme="minorEastAsia"/>
          <w:b w:val="0"/>
          <w:bCs w:val="0"/>
          <w:color w:val="auto"/>
          <w:sz w:val="24"/>
          <w:szCs w:val="24"/>
        </w:rPr>
        <w:t>标准。</w:t>
      </w:r>
      <w:r>
        <w:rPr>
          <w:rFonts w:hint="default" w:ascii="Times New Roman" w:hAnsi="Times New Roman" w:cs="Times New Roman" w:eastAsiaTheme="minorEastAsia"/>
          <w:b w:val="0"/>
          <w:bCs w:val="0"/>
          <w:color w:val="auto"/>
          <w:sz w:val="24"/>
          <w:szCs w:val="24"/>
          <w:lang w:val="en-US" w:eastAsia="zh-CN"/>
        </w:rPr>
        <w:t>除氨氮</w:t>
      </w:r>
      <w:r>
        <w:rPr>
          <w:rFonts w:hint="default" w:ascii="Times New Roman" w:hAnsi="Times New Roman" w:cs="Times New Roman" w:eastAsiaTheme="minorEastAsia"/>
          <w:b w:val="0"/>
          <w:bCs w:val="0"/>
          <w:color w:val="auto"/>
          <w:sz w:val="24"/>
          <w:szCs w:val="24"/>
          <w:lang w:eastAsia="zh-CN"/>
        </w:rPr>
        <w:t>、</w:t>
      </w:r>
      <w:r>
        <w:rPr>
          <w:rFonts w:hint="default" w:ascii="Times New Roman" w:hAnsi="Times New Roman" w:cs="Times New Roman" w:eastAsiaTheme="minorEastAsia"/>
          <w:b w:val="0"/>
          <w:bCs w:val="0"/>
          <w:color w:val="auto"/>
          <w:sz w:val="24"/>
          <w:szCs w:val="24"/>
          <w:lang w:val="en-US" w:eastAsia="zh-CN"/>
        </w:rPr>
        <w:t>石油类外，其</w:t>
      </w:r>
      <w:r>
        <w:rPr>
          <w:rFonts w:hint="default" w:ascii="Times New Roman" w:hAnsi="Times New Roman" w:cs="Times New Roman" w:eastAsiaTheme="minorEastAsia"/>
          <w:b w:val="0"/>
          <w:bCs w:val="0"/>
          <w:color w:val="auto"/>
          <w:sz w:val="24"/>
          <w:szCs w:val="24"/>
        </w:rPr>
        <w:t>余监测因子监测值均</w:t>
      </w:r>
      <w:r>
        <w:rPr>
          <w:rFonts w:hint="default" w:ascii="Times New Roman" w:hAnsi="Times New Roman" w:cs="Times New Roman" w:eastAsiaTheme="minorEastAsia"/>
          <w:b w:val="0"/>
          <w:bCs w:val="0"/>
          <w:color w:val="auto"/>
          <w:sz w:val="24"/>
          <w:szCs w:val="24"/>
          <w:lang w:val="en-US" w:eastAsia="zh-CN"/>
        </w:rPr>
        <w:t>不</w:t>
      </w:r>
      <w:r>
        <w:rPr>
          <w:rFonts w:hint="default" w:ascii="Times New Roman" w:hAnsi="Times New Roman" w:cs="Times New Roman" w:eastAsiaTheme="minorEastAsia"/>
          <w:b w:val="0"/>
          <w:bCs w:val="0"/>
          <w:color w:val="auto"/>
          <w:sz w:val="24"/>
          <w:szCs w:val="24"/>
        </w:rPr>
        <w:t>满足《地表水环境质量标准》（GB3838-2002）中</w:t>
      </w:r>
      <w:r>
        <w:rPr>
          <w:rFonts w:hint="default" w:ascii="Times New Roman" w:hAnsi="Times New Roman" w:cs="Times New Roman" w:eastAsiaTheme="minorEastAsia"/>
          <w:b w:val="0"/>
          <w:bCs w:val="0"/>
          <w:color w:val="auto"/>
          <w:sz w:val="24"/>
          <w:szCs w:val="24"/>
          <w:lang w:val="en-US" w:eastAsia="zh-CN"/>
        </w:rPr>
        <w:t>Ⅰ</w:t>
      </w:r>
      <w:r>
        <w:rPr>
          <w:rFonts w:hint="default" w:ascii="Times New Roman" w:hAnsi="Times New Roman" w:cs="Times New Roman" w:eastAsiaTheme="minorEastAsia"/>
          <w:b w:val="0"/>
          <w:bCs w:val="0"/>
          <w:color w:val="auto"/>
          <w:sz w:val="24"/>
          <w:szCs w:val="24"/>
        </w:rPr>
        <w:t>类水质标准</w:t>
      </w:r>
      <w:r>
        <w:rPr>
          <w:rFonts w:hint="default" w:ascii="Times New Roman" w:hAnsi="Times New Roman" w:cs="Times New Roman" w:eastAsiaTheme="minorEastAsia"/>
          <w:b w:val="0"/>
          <w:bCs w:val="0"/>
          <w:color w:val="auto"/>
          <w:sz w:val="24"/>
          <w:szCs w:val="24"/>
          <w:lang w:eastAsia="zh-CN"/>
        </w:rPr>
        <w:t>。</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3、河流底泥</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sz w:val="24"/>
          <w:szCs w:val="24"/>
        </w:rPr>
        <w:t>本项目所在地水域底泥各个监测指标均可满足《土壤环境质量</w:t>
      </w:r>
      <w:r>
        <w:rPr>
          <w:rFonts w:hint="eastAsia" w:ascii="Times New Roman" w:hAnsi="Times New Roman" w:cs="Times New Roman" w:eastAsiaTheme="minorEastAsia"/>
          <w:color w:val="auto"/>
          <w:sz w:val="24"/>
          <w:szCs w:val="24"/>
          <w:lang w:val="en-US" w:eastAsia="zh-CN"/>
        </w:rPr>
        <w:t xml:space="preserve"> </w:t>
      </w:r>
      <w:r>
        <w:rPr>
          <w:rFonts w:hint="default" w:ascii="Times New Roman" w:hAnsi="Times New Roman" w:cs="Times New Roman" w:eastAsiaTheme="minorEastAsia"/>
          <w:color w:val="auto"/>
          <w:sz w:val="24"/>
          <w:szCs w:val="24"/>
        </w:rPr>
        <w:t>建设用地土壤污染风险管控标准》（GB36600-2018）中第二类用地风险筛选值要求和《土壤环境质量</w:t>
      </w:r>
      <w:r>
        <w:rPr>
          <w:rFonts w:hint="eastAsia" w:ascii="Times New Roman" w:hAnsi="Times New Roman" w:cs="Times New Roman" w:eastAsiaTheme="minorEastAsia"/>
          <w:color w:val="auto"/>
          <w:sz w:val="24"/>
          <w:szCs w:val="24"/>
          <w:lang w:val="en-US" w:eastAsia="zh-CN"/>
        </w:rPr>
        <w:t xml:space="preserve"> </w:t>
      </w:r>
      <w:r>
        <w:rPr>
          <w:rFonts w:hint="default" w:ascii="Times New Roman" w:hAnsi="Times New Roman" w:cs="Times New Roman" w:eastAsiaTheme="minorEastAsia"/>
          <w:color w:val="auto"/>
          <w:sz w:val="24"/>
          <w:szCs w:val="24"/>
        </w:rPr>
        <w:t>农用地土壤污染风险管控标准》（GB 15618-2018）中用地筛选值限值要求，项目所在地水域底泥环境较好。</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4、声环境</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sz w:val="24"/>
          <w:szCs w:val="24"/>
        </w:rPr>
        <w:t>本项目设置的测点昼间噪声值符合《声环境质量标准》（GB3096-2008）中2类标准要求。目前声环境现状良好。</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5、生态环境</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sz w:val="24"/>
        </w:rPr>
        <w:t>本项目位于湖南东洞庭湖国家级自然保护区和长江监利段四大家鱼国家级水产种质资源保护区的实验区，远离缓冲区和核心区。均已开展了相关专题报告的审查工作，在环境影响制约因素得到有效解决后，本项目将不存在严重制约项目建设和运行</w:t>
      </w:r>
      <w:r>
        <w:rPr>
          <w:rFonts w:hint="default" w:ascii="Times New Roman" w:hAnsi="Times New Roman" w:cs="Times New Roman" w:eastAsiaTheme="minorEastAsia"/>
          <w:color w:val="auto"/>
          <w:kern w:val="0"/>
          <w:sz w:val="24"/>
          <w:szCs w:val="24"/>
        </w:rPr>
        <w:t>的环境问题。</w:t>
      </w:r>
    </w:p>
    <w:p>
      <w:pPr>
        <w:pStyle w:val="3"/>
        <w:ind w:left="578" w:hanging="578"/>
        <w:rPr>
          <w:rFonts w:hint="default" w:ascii="Times New Roman" w:hAnsi="Times New Roman" w:cs="Times New Roman" w:eastAsiaTheme="minorEastAsia"/>
          <w:b/>
          <w:color w:val="auto"/>
        </w:rPr>
      </w:pPr>
      <w:bookmarkStart w:id="174" w:name="_Toc5508"/>
      <w:bookmarkStart w:id="175" w:name="_Toc14768"/>
      <w:r>
        <w:rPr>
          <w:rFonts w:hint="default" w:ascii="Times New Roman" w:hAnsi="Times New Roman" w:cs="Times New Roman" w:eastAsiaTheme="minorEastAsia"/>
          <w:b/>
          <w:color w:val="auto"/>
        </w:rPr>
        <w:t>施工期环境影响结论</w:t>
      </w:r>
      <w:bookmarkEnd w:id="174"/>
      <w:bookmarkEnd w:id="175"/>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大气环境</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本项目建设期间，伴随着装卸和运输等施工活动，其扬尘将给附近的大气环境带来些微不利的影响。若不采取抑尘措施，其影响范围为下风向150m。</w:t>
      </w:r>
    </w:p>
    <w:p>
      <w:pPr>
        <w:pStyle w:val="325"/>
        <w:tabs>
          <w:tab w:val="right" w:leader="dot" w:pos="9070"/>
        </w:tabs>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本项目400m内没有大气环境保护目标，施工对其不利影响很小，并且施工期较短，影响是暂时性的；为了最大限度地减轻施工期的大气污染，应在施工场地和进出道路采取定期洒水等抑尘措施。</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本项目灌注桩桩基采用钻孔施工方式，</w:t>
      </w:r>
      <w:r>
        <w:rPr>
          <w:rFonts w:hint="eastAsia" w:ascii="Times New Roman" w:hAnsi="Times New Roman" w:cs="Times New Roman" w:eastAsiaTheme="minorEastAsia"/>
          <w:color w:val="auto"/>
          <w:sz w:val="24"/>
          <w:lang w:val="en-US" w:eastAsia="zh-CN"/>
        </w:rPr>
        <w:t>在桩基附件设置泥浆池对泥浆进行沉淀。采用钢护筒</w:t>
      </w:r>
      <w:r>
        <w:rPr>
          <w:rFonts w:hint="default" w:ascii="Times New Roman" w:hAnsi="Times New Roman" w:cs="Times New Roman" w:eastAsiaTheme="minorEastAsia"/>
          <w:color w:val="auto"/>
          <w:sz w:val="24"/>
        </w:rPr>
        <w:t>，在钻孔作业时，防止地面径流雨污水或雨水进入泥浆池后造成的废水溢出。在泥浆池设置溢流口并在溢流口布设土工布，降低由于暴雨等因素造成泥浆废水溢出带来的SS污染。</w:t>
      </w:r>
    </w:p>
    <w:p>
      <w:pPr>
        <w:adjustRightInd w:val="0"/>
        <w:snapToGri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工程施工期间禁止施工船舶在码头水域排放船舶舱底油污水，施工船舶如需排放舱底油污水，应向海事部门提出申请，由海事部门认定的船舶污染物接收船有偿接收处理，不会对周边水环境造成污染。</w:t>
      </w:r>
    </w:p>
    <w:p>
      <w:pPr>
        <w:adjustRightInd w:val="0"/>
        <w:snapToGrid w:val="0"/>
        <w:ind w:firstLine="480" w:firstLineChars="20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sz w:val="24"/>
        </w:rPr>
        <w:t>施工废水、冲洗废水通过设置隔油沉淀池，废水经沉淀后用于施工现场洒水，不排放。</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声环境</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施工期间单台机械作业时，除打桩船外，昼间施工在距离施工机械56m处噪声可满足《建筑施工场界环境噪声排放标准》（GB 12523-2011）昼间70dB(A)的标准的要求，夜间施工在距离施工机械316m处可以满足夜间55dB(A)标准的要求。打桩船白天施工机械超标范围为316m以内，夜间打桩机禁止施工作业。</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本项目400m范围内无居民区等声环境敏感目标分布，因此施工噪声不会带来扰民等环境影响。</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生态环境</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本项目码头前沿水深不能满足设计代表船型的吃水要求，无需进行港池疏浚作业。码头桩基施工底栖生物生物损失量较少。桩基施工会使局部水域内浮游生物的数量减少，码头水域施工时间短暂，施工作业产生的悬浮物对水生生物的影响只是局部的和暂时的。</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⑵ 由于本项目码头基本不阻挡鱼类的行走通道，除施工期间可能对浮游生物和洄游鱼类带来短暂影响外，营运期对浮游生物和洄游鱼类的影响较小。</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⑶ 在工程建设过程中，通过工程区内的绿化建设，使工程建设对陆域生态造成的损失得到一定的恢复。</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固废</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施工期间将涉及到材料运输、基础工程等工程，在此期间将有一定数量的废弃建筑材料如砂石、石灰、混凝土等。施工单位不得随意抛弃建筑材料、旧料和其它杂物。</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工程建设期间，施工现场应设置垃圾集中堆放场地，施工人员生活垃圾和施工船舶上的生活垃圾均集中收集到该地，经车辆定期运送至城市垃圾处理场处理。</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施工期产生的固体废物经上述措施处理后对周围环境影响不明显。</w:t>
      </w:r>
    </w:p>
    <w:p>
      <w:pPr>
        <w:pStyle w:val="3"/>
        <w:ind w:left="578" w:hanging="578"/>
        <w:rPr>
          <w:rFonts w:hint="default" w:ascii="Times New Roman" w:hAnsi="Times New Roman" w:cs="Times New Roman" w:eastAsiaTheme="minorEastAsia"/>
          <w:b/>
          <w:color w:val="auto"/>
        </w:rPr>
      </w:pPr>
      <w:bookmarkStart w:id="176" w:name="_Toc7036"/>
      <w:bookmarkStart w:id="177" w:name="_Toc19773"/>
      <w:r>
        <w:rPr>
          <w:rFonts w:hint="default" w:ascii="Times New Roman" w:hAnsi="Times New Roman" w:cs="Times New Roman" w:eastAsiaTheme="minorEastAsia"/>
          <w:b/>
          <w:color w:val="auto"/>
        </w:rPr>
        <w:t>营运期环境影响评价结论</w:t>
      </w:r>
      <w:bookmarkEnd w:id="176"/>
      <w:bookmarkEnd w:id="177"/>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大气环境</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项目营运期带来的环境影响主要为挥发的LNG，主要来自设备及管道、法兰接口处的挥发所废气带来的污染。</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根据周边现场勘查，本项目400m范围内无环境保护目标，不会对周边环境空气保护目标产生污染影响。</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水环境</w:t>
      </w:r>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u w:val="none"/>
        </w:rPr>
      </w:pPr>
      <w:r>
        <w:rPr>
          <w:rFonts w:hint="default" w:ascii="Times New Roman" w:hAnsi="Times New Roman" w:cs="Times New Roman" w:eastAsiaTheme="minorEastAsia"/>
          <w:color w:val="auto"/>
          <w:sz w:val="24"/>
          <w:szCs w:val="24"/>
          <w:u w:val="none"/>
        </w:rPr>
        <w:t>本项目生活污水、初期雨水经污水</w:t>
      </w:r>
      <w:r>
        <w:rPr>
          <w:rFonts w:hint="eastAsia" w:ascii="Times New Roman" w:hAnsi="Times New Roman" w:cs="Times New Roman" w:eastAsiaTheme="minorEastAsia"/>
          <w:color w:val="auto"/>
          <w:sz w:val="24"/>
          <w:szCs w:val="24"/>
          <w:u w:val="none"/>
          <w:lang w:val="en-US" w:eastAsia="zh-CN"/>
        </w:rPr>
        <w:t>收集</w:t>
      </w:r>
      <w:r>
        <w:rPr>
          <w:rFonts w:hint="default" w:ascii="Times New Roman" w:hAnsi="Times New Roman" w:cs="Times New Roman" w:eastAsiaTheme="minorEastAsia"/>
          <w:color w:val="auto"/>
          <w:sz w:val="24"/>
          <w:szCs w:val="24"/>
          <w:u w:val="none"/>
        </w:rPr>
        <w:t>箱</w:t>
      </w:r>
      <w:r>
        <w:rPr>
          <w:rFonts w:hint="eastAsia" w:ascii="Times New Roman" w:hAnsi="Times New Roman" w:cs="Times New Roman" w:eastAsiaTheme="minorEastAsia"/>
          <w:color w:val="auto"/>
          <w:sz w:val="24"/>
          <w:szCs w:val="24"/>
          <w:u w:val="none"/>
          <w:lang w:val="en-US" w:eastAsia="zh-CN"/>
        </w:rPr>
        <w:t>收集</w:t>
      </w:r>
      <w:r>
        <w:rPr>
          <w:rFonts w:hint="default" w:ascii="Times New Roman" w:hAnsi="Times New Roman" w:cs="Times New Roman" w:eastAsiaTheme="minorEastAsia"/>
          <w:color w:val="auto"/>
          <w:sz w:val="24"/>
          <w:szCs w:val="24"/>
          <w:u w:val="none"/>
        </w:rPr>
        <w:t>后，再泵送至</w:t>
      </w:r>
      <w:r>
        <w:rPr>
          <w:rFonts w:hint="default" w:ascii="Times New Roman" w:hAnsi="Times New Roman" w:cs="Times New Roman" w:eastAsiaTheme="minorEastAsia"/>
          <w:color w:val="auto"/>
          <w:sz w:val="24"/>
          <w:u w:val="none"/>
        </w:rPr>
        <w:t>岳阳LNG接收站（储备中心）项目</w:t>
      </w:r>
      <w:r>
        <w:rPr>
          <w:rFonts w:hint="eastAsia" w:ascii="Times New Roman" w:hAnsi="Times New Roman" w:cs="Times New Roman" w:eastAsiaTheme="minorEastAsia"/>
          <w:color w:val="auto"/>
          <w:sz w:val="24"/>
          <w:u w:val="none"/>
          <w:lang w:val="en-US" w:eastAsia="zh-CN"/>
        </w:rPr>
        <w:t>一期工程</w:t>
      </w:r>
      <w:r>
        <w:rPr>
          <w:rFonts w:hint="default" w:ascii="Times New Roman" w:hAnsi="Times New Roman" w:cs="Times New Roman" w:eastAsiaTheme="minorEastAsia"/>
          <w:color w:val="auto"/>
          <w:sz w:val="24"/>
          <w:szCs w:val="24"/>
          <w:u w:val="none"/>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sz w:val="24"/>
          <w:szCs w:val="24"/>
          <w:u w:val="none"/>
          <w:lang w:val="en-US" w:eastAsia="zh-CN"/>
        </w:rPr>
        <w:t>不外排</w:t>
      </w:r>
      <w:r>
        <w:rPr>
          <w:rFonts w:hint="default" w:ascii="Times New Roman" w:hAnsi="Times New Roman" w:cs="Times New Roman" w:eastAsiaTheme="minorEastAsia"/>
          <w:color w:val="auto"/>
          <w:sz w:val="24"/>
          <w:szCs w:val="24"/>
          <w:u w:val="none"/>
        </w:rPr>
        <w:t>。</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u w:val="none"/>
        </w:rPr>
      </w:pPr>
      <w:r>
        <w:rPr>
          <w:rFonts w:hint="default" w:ascii="Times New Roman" w:hAnsi="Times New Roman" w:cs="Times New Roman" w:eastAsiaTheme="minorEastAsia"/>
          <w:color w:val="auto"/>
          <w:sz w:val="24"/>
          <w:szCs w:val="24"/>
          <w:u w:val="none"/>
        </w:rPr>
        <w:t>本项目产生的</w:t>
      </w:r>
      <w:r>
        <w:rPr>
          <w:rFonts w:hint="eastAsia" w:ascii="Times New Roman" w:hAnsi="Times New Roman" w:cs="Times New Roman" w:eastAsiaTheme="minorEastAsia"/>
          <w:color w:val="auto"/>
          <w:sz w:val="24"/>
          <w:szCs w:val="24"/>
          <w:u w:val="none"/>
          <w:lang w:val="en-US" w:eastAsia="zh-CN"/>
        </w:rPr>
        <w:t>机修</w:t>
      </w:r>
      <w:r>
        <w:rPr>
          <w:rFonts w:hint="default" w:ascii="Times New Roman" w:hAnsi="Times New Roman" w:cs="Times New Roman" w:eastAsiaTheme="minorEastAsia"/>
          <w:color w:val="auto"/>
          <w:sz w:val="24"/>
          <w:szCs w:val="24"/>
          <w:u w:val="none"/>
        </w:rPr>
        <w:t>含</w:t>
      </w:r>
      <w:r>
        <w:rPr>
          <w:rFonts w:hint="default" w:ascii="Times New Roman" w:hAnsi="Times New Roman" w:cs="Times New Roman" w:eastAsiaTheme="minorEastAsia"/>
          <w:color w:val="auto"/>
          <w:sz w:val="24"/>
          <w:szCs w:val="24"/>
          <w:u w:val="none"/>
          <w:lang w:val="en-US" w:eastAsia="zh-CN"/>
        </w:rPr>
        <w:t>油污水</w:t>
      </w:r>
      <w:r>
        <w:rPr>
          <w:rFonts w:hint="eastAsia" w:ascii="Times New Roman" w:hAnsi="Times New Roman" w:cs="Times New Roman" w:eastAsiaTheme="minorEastAsia"/>
          <w:color w:val="auto"/>
          <w:sz w:val="24"/>
          <w:szCs w:val="24"/>
          <w:u w:val="none"/>
          <w:lang w:val="en-US" w:eastAsia="zh-CN"/>
        </w:rPr>
        <w:t>及</w:t>
      </w:r>
      <w:r>
        <w:rPr>
          <w:rFonts w:hint="default" w:ascii="Times New Roman" w:hAnsi="Times New Roman" w:cs="Times New Roman" w:eastAsiaTheme="minorEastAsia"/>
          <w:color w:val="auto"/>
          <w:sz w:val="24"/>
          <w:szCs w:val="24"/>
          <w:u w:val="none"/>
          <w:lang w:val="en-US" w:eastAsia="zh-CN"/>
        </w:rPr>
        <w:t>部分事故残液和事故消防液</w:t>
      </w:r>
      <w:r>
        <w:rPr>
          <w:rFonts w:hint="default" w:ascii="Times New Roman" w:hAnsi="Times New Roman" w:cs="Times New Roman" w:eastAsiaTheme="minorEastAsia"/>
          <w:color w:val="auto"/>
          <w:sz w:val="24"/>
          <w:szCs w:val="24"/>
          <w:u w:val="none"/>
        </w:rPr>
        <w:t>经污水收集箱收集后，达到一定量后，通过</w:t>
      </w:r>
      <w:r>
        <w:rPr>
          <w:rFonts w:hint="eastAsia" w:ascii="Times New Roman" w:hAnsi="Times New Roman" w:cs="Times New Roman" w:eastAsiaTheme="minorEastAsia"/>
          <w:color w:val="auto"/>
          <w:sz w:val="24"/>
          <w:szCs w:val="24"/>
          <w:u w:val="none"/>
          <w:lang w:val="en-US" w:eastAsia="zh-CN"/>
        </w:rPr>
        <w:t>专业</w:t>
      </w:r>
      <w:r>
        <w:rPr>
          <w:rFonts w:hint="default" w:ascii="Times New Roman" w:hAnsi="Times New Roman" w:cs="Times New Roman" w:eastAsiaTheme="minorEastAsia"/>
          <w:color w:val="auto"/>
          <w:sz w:val="24"/>
          <w:szCs w:val="24"/>
          <w:u w:val="none"/>
        </w:rPr>
        <w:t>泵车外运至君山区第二污水处理厂处置，本项目采用泵车运输含油废水的次数约2~3次/年，尾水处理达到《城镇污水处理厂污染物排放标准》（GB18918-2002）中一级B标准后沿柳毅西路排入长江。</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声环境</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本项目排放的噪声对各测点周围声环境影响不明显，厂界</w:t>
      </w:r>
      <w:r>
        <w:rPr>
          <w:rFonts w:hint="eastAsia" w:ascii="Times New Roman" w:hAnsi="Times New Roman" w:cs="Times New Roman" w:eastAsiaTheme="minorEastAsia"/>
          <w:color w:val="auto"/>
          <w:kern w:val="0"/>
          <w:sz w:val="24"/>
          <w:szCs w:val="24"/>
          <w:lang w:val="en-US" w:eastAsia="zh-CN"/>
        </w:rPr>
        <w:t>内</w:t>
      </w:r>
      <w:r>
        <w:rPr>
          <w:rFonts w:hint="default" w:ascii="Times New Roman" w:hAnsi="Times New Roman" w:cs="Times New Roman" w:eastAsiaTheme="minorEastAsia"/>
          <w:color w:val="auto"/>
          <w:kern w:val="0"/>
          <w:sz w:val="24"/>
          <w:szCs w:val="24"/>
        </w:rPr>
        <w:t>噪声排放均能够达到《工业企业厂界噪声排放标准》（GB12348-2008）中</w:t>
      </w:r>
      <w:r>
        <w:rPr>
          <w:rFonts w:hint="eastAsia" w:ascii="Times New Roman" w:hAnsi="Times New Roman" w:cs="Times New Roman" w:eastAsiaTheme="minorEastAsia"/>
          <w:color w:val="auto"/>
          <w:kern w:val="0"/>
          <w:sz w:val="24"/>
          <w:szCs w:val="24"/>
          <w:lang w:val="en-US" w:eastAsia="zh-CN"/>
        </w:rPr>
        <w:t>4</w:t>
      </w:r>
      <w:r>
        <w:rPr>
          <w:rFonts w:hint="default" w:ascii="Times New Roman" w:hAnsi="Times New Roman" w:cs="Times New Roman" w:eastAsiaTheme="minorEastAsia"/>
          <w:color w:val="auto"/>
          <w:kern w:val="0"/>
          <w:sz w:val="24"/>
          <w:szCs w:val="24"/>
        </w:rPr>
        <w:t>类标准要求</w:t>
      </w:r>
      <w:r>
        <w:rPr>
          <w:rFonts w:hint="eastAsia" w:ascii="Times New Roman" w:hAnsi="Times New Roman" w:cs="Times New Roman" w:eastAsiaTheme="minorEastAsia"/>
          <w:color w:val="auto"/>
          <w:kern w:val="0"/>
          <w:sz w:val="24"/>
          <w:szCs w:val="24"/>
          <w:lang w:eastAsia="zh-CN"/>
        </w:rPr>
        <w:t>，</w:t>
      </w:r>
      <w:r>
        <w:rPr>
          <w:rFonts w:hint="default" w:ascii="Times New Roman" w:hAnsi="Times New Roman" w:cs="Times New Roman" w:eastAsiaTheme="minorEastAsia"/>
          <w:color w:val="auto"/>
          <w:kern w:val="0"/>
          <w:sz w:val="24"/>
          <w:szCs w:val="24"/>
        </w:rPr>
        <w:t>厂界</w:t>
      </w:r>
      <w:r>
        <w:rPr>
          <w:rFonts w:hint="eastAsia" w:ascii="Times New Roman" w:hAnsi="Times New Roman" w:cs="Times New Roman" w:eastAsiaTheme="minorEastAsia"/>
          <w:color w:val="auto"/>
          <w:kern w:val="0"/>
          <w:sz w:val="24"/>
          <w:szCs w:val="24"/>
          <w:lang w:val="en-US" w:eastAsia="zh-CN"/>
        </w:rPr>
        <w:t>外</w:t>
      </w:r>
      <w:r>
        <w:rPr>
          <w:rFonts w:hint="default" w:ascii="Times New Roman" w:hAnsi="Times New Roman" w:cs="Times New Roman" w:eastAsiaTheme="minorEastAsia"/>
          <w:color w:val="auto"/>
          <w:kern w:val="0"/>
          <w:sz w:val="24"/>
          <w:szCs w:val="24"/>
        </w:rPr>
        <w:t>噪声排放均能够达到《工业企业厂界噪声排放标准》（GB12348-2008）中</w:t>
      </w:r>
      <w:r>
        <w:rPr>
          <w:rFonts w:hint="eastAsia" w:ascii="Times New Roman" w:hAnsi="Times New Roman" w:cs="Times New Roman" w:eastAsiaTheme="minorEastAsia"/>
          <w:color w:val="auto"/>
          <w:kern w:val="0"/>
          <w:sz w:val="24"/>
          <w:szCs w:val="24"/>
          <w:lang w:val="en-US" w:eastAsia="zh-CN"/>
        </w:rPr>
        <w:t>2</w:t>
      </w:r>
      <w:r>
        <w:rPr>
          <w:rFonts w:hint="default" w:ascii="Times New Roman" w:hAnsi="Times New Roman" w:cs="Times New Roman" w:eastAsiaTheme="minorEastAsia"/>
          <w:color w:val="auto"/>
          <w:kern w:val="0"/>
          <w:sz w:val="24"/>
          <w:szCs w:val="24"/>
        </w:rPr>
        <w:t>类标准要求。</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固废</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营运期新增固体废物包括生活垃圾和生产垃圾，生活垃圾以有机污染物为主，生产垃圾主要为工程擦洗用的含油棉纱、抹布等，可混入生活垃圾一并处理。并由岳阳市海事部门指定有资质的污染物接收船接收处置，禁止随意排放，陆域生活垃圾收集后送城市垃圾处理厂统一处理，疫区船舶生活垃圾如需岸上接收，需经卫生防疫主管部门检疫后并经海事部门批准，由污染物接收船接收送至指定的焚烧厂处理。</w:t>
      </w:r>
    </w:p>
    <w:p>
      <w:pPr>
        <w:pStyle w:val="3"/>
        <w:ind w:left="578" w:hanging="578"/>
        <w:rPr>
          <w:rFonts w:hint="default" w:ascii="Times New Roman" w:hAnsi="Times New Roman" w:cs="Times New Roman" w:eastAsiaTheme="minorEastAsia"/>
          <w:b/>
          <w:color w:val="auto"/>
        </w:rPr>
      </w:pPr>
      <w:bookmarkStart w:id="178" w:name="_Toc2146"/>
      <w:bookmarkStart w:id="179" w:name="_Toc26431"/>
      <w:r>
        <w:rPr>
          <w:rFonts w:hint="default" w:ascii="Times New Roman" w:hAnsi="Times New Roman" w:cs="Times New Roman" w:eastAsiaTheme="minorEastAsia"/>
          <w:b/>
          <w:color w:val="auto"/>
        </w:rPr>
        <w:t>环境风险评价结论</w:t>
      </w:r>
      <w:bookmarkEnd w:id="178"/>
      <w:bookmarkEnd w:id="179"/>
    </w:p>
    <w:p>
      <w:pPr>
        <w:adjustRightInd w:val="0"/>
        <w:snapToGrid w:val="0"/>
        <w:spacing w:line="360" w:lineRule="auto"/>
        <w:ind w:firstLine="482"/>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在采取可靠的设计方案和合理的风险防范措施与应急措施的前提下，本项目装卸货物泄漏和溢出入江事故都不会对事故发生地点周边人群造成明显危害，只是对周边环境空气和码头所在江段上下游一定范围内的水环境造成一定的污染影响。本项目实施后的环境风险在可接受水平</w:t>
      </w:r>
      <w:r>
        <w:rPr>
          <w:rFonts w:hint="default" w:ascii="Times New Roman" w:hAnsi="Times New Roman" w:cs="Times New Roman" w:eastAsiaTheme="minorEastAsia"/>
          <w:color w:val="auto"/>
          <w:sz w:val="24"/>
          <w:szCs w:val="24"/>
        </w:rPr>
        <w:t>。</w:t>
      </w:r>
    </w:p>
    <w:p>
      <w:pPr>
        <w:pStyle w:val="3"/>
        <w:ind w:left="578" w:hanging="578"/>
        <w:rPr>
          <w:rFonts w:hint="default" w:ascii="Times New Roman" w:hAnsi="Times New Roman" w:cs="Times New Roman" w:eastAsiaTheme="minorEastAsia"/>
          <w:b/>
          <w:color w:val="auto"/>
        </w:rPr>
      </w:pPr>
      <w:bookmarkStart w:id="180" w:name="_Toc24384"/>
      <w:bookmarkStart w:id="181" w:name="_Toc6821"/>
      <w:r>
        <w:rPr>
          <w:rFonts w:hint="default" w:ascii="Times New Roman" w:hAnsi="Times New Roman" w:cs="Times New Roman" w:eastAsiaTheme="minorEastAsia"/>
          <w:b/>
          <w:color w:val="auto"/>
        </w:rPr>
        <w:t>污染治理措施分析结论</w:t>
      </w:r>
      <w:bookmarkEnd w:id="180"/>
      <w:bookmarkEnd w:id="181"/>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施工期防治污染和减缓影响的措施</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1、大气污染防治措施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对施工现场实行合理化管理，使砂石料统一堆放，水泥应设专门库房堆放，并尽量减少搬运环节，防止包装袋破裂；严禁施工运输车辆装载过满，并采取土工布遮盖措施。施工现场的运输道路定期洒水。及时清扫施工垃圾，尽快外运处理，临时堆放时做好覆盖等抑尘措施。风速过大时立即停止钻孔等产尘施工作业，及时检查建筑材料、施工垃圾堆放场所的覆盖措施并加固。</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2、水环境污染防治措施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钻孔施工时应在泥浆池四周修建围堰并在溢出口加铺土工布，泥浆池上方设置简易遮盖装置，防止因降雨而造成的悬浮泥沙对工程长江段水体的污染。严格管理施工船舶和施工机械，严禁油料泄漏或倾倒废油料，严禁施工船舶向水域排放未经过处理的机舱水。施工船舶船舶舱底油污水应申请海事部门船舶接收。施工时若发现洄游性鱼类和珍稀水生动物，应采取敲拍船舷驱赶和回避，禁止非法捕捞。</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3、声环境污染防治措施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高噪声机械（如钻孔机）在夜间22:00~06:00尽量停止作业；在钻孔机械等相对固定的噪声源四周设置简易声屏障；施工机械和运输车辆配备降噪设备。</w:t>
      </w:r>
    </w:p>
    <w:p>
      <w:pPr>
        <w:adjustRightInd w:val="0"/>
        <w:snapToGrid w:val="0"/>
        <w:spacing w:line="360" w:lineRule="auto"/>
        <w:ind w:firstLine="482" w:firstLineChars="200"/>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4、固废污染防治措施</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设置垃圾集中堆放场地，施工人员生活垃圾和施工船舶上的生活垃圾均集中收集到该地，用车辆定期运送至城市垃圾处理场处理。施工期间建筑垃圾及钻渣可用于</w:t>
      </w:r>
      <w:r>
        <w:rPr>
          <w:rFonts w:hint="eastAsia" w:ascii="Times New Roman" w:hAnsi="Times New Roman" w:cs="Times New Roman" w:eastAsiaTheme="minorEastAsia"/>
          <w:color w:val="auto"/>
          <w:kern w:val="0"/>
          <w:sz w:val="24"/>
          <w:szCs w:val="24"/>
          <w:lang w:val="en-US" w:eastAsia="zh-CN"/>
        </w:rPr>
        <w:t>三期</w:t>
      </w:r>
      <w:r>
        <w:rPr>
          <w:rFonts w:hint="default" w:ascii="Times New Roman" w:hAnsi="Times New Roman" w:cs="Times New Roman" w:eastAsiaTheme="minorEastAsia"/>
          <w:color w:val="auto"/>
          <w:kern w:val="0"/>
          <w:sz w:val="24"/>
          <w:szCs w:val="24"/>
        </w:rPr>
        <w:t>工程建设回填土方。建设工程竣工后，施工单位应尽快将工地上剩余的不能回用的建筑垃圾、工程渣土等处理干净，建设单位负责督促。</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营运期防治污染和减缓影响的措施</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1、大气污染防治措施</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val="en-US" w:eastAsia="zh-CN"/>
        </w:rPr>
        <w:t>加注作业</w:t>
      </w:r>
      <w:r>
        <w:rPr>
          <w:rFonts w:hint="default" w:ascii="Times New Roman" w:hAnsi="Times New Roman" w:cs="Times New Roman" w:eastAsiaTheme="minorEastAsia"/>
          <w:color w:val="auto"/>
          <w:kern w:val="0"/>
          <w:sz w:val="24"/>
          <w:szCs w:val="24"/>
        </w:rPr>
        <w:t>时，尽量降低装船过程废气排放量。采用优质产品与材料，确保阀门、法兰片、管道之间的密封；加强监测，杜绝意外泄漏事故造成的污染；在槽罐车与码头、引桥与陆域之间，每根管线均设置紧急切断阀，以控制突发泄漏事故的扩散。</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配备可燃气体监测仪，一旦发现物料泄漏可迅速采取相应的措施。加强装卸作业现场管理，制定有效的装卸作业制度，采取有效措施减少物料滴漏量。如：装卸作业前检查管线密封性，杜绝跑冒滴漏，确保拆卸软管中无残留物料等，减少装卸过程中因物料跑冒滴漏而产生的物料挥发废气。</w:t>
      </w:r>
    </w:p>
    <w:p>
      <w:pPr>
        <w:adjustRightInd w:val="0"/>
        <w:snapToGrid w:val="0"/>
        <w:spacing w:line="360" w:lineRule="auto"/>
        <w:ind w:firstLine="482" w:firstLineChars="200"/>
        <w:jc w:val="both"/>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2、水环境污染防治措施</w:t>
      </w:r>
    </w:p>
    <w:p>
      <w:pPr>
        <w:adjustRightInd w:val="0"/>
        <w:snapToGrid w:val="0"/>
        <w:spacing w:line="360" w:lineRule="auto"/>
        <w:ind w:firstLine="480" w:firstLineChars="200"/>
        <w:jc w:val="both"/>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水域不得排放船舶污水，需要排放的船舶需向海事部门申请，由海事部门认定的污染物收集船舶收集后送指定地点接收处理。在码头平台上面设置收集坎，收集码头作业区的初期雨水和部分事故溢液。在码头及引桥管线接头处及接卸点处设积液槽（盒），及时收集跑、冒、滴、漏产生的残液并作回收处理。本项目拟设置500m长围油栏及配套的防污设施。对于比重比水轻、且不溶于水的物料可采取设置围油栏方式防止物料扩散。在</w:t>
      </w:r>
      <w:r>
        <w:rPr>
          <w:rFonts w:hint="eastAsia" w:ascii="Times New Roman" w:hAnsi="Times New Roman" w:cs="Times New Roman" w:eastAsiaTheme="minorEastAsia"/>
          <w:color w:val="auto"/>
          <w:kern w:val="0"/>
          <w:sz w:val="24"/>
          <w:szCs w:val="24"/>
          <w:lang w:val="en-US" w:eastAsia="zh-CN"/>
        </w:rPr>
        <w:t>加注平台</w:t>
      </w:r>
      <w:r>
        <w:rPr>
          <w:rFonts w:hint="default" w:ascii="Times New Roman" w:hAnsi="Times New Roman" w:cs="Times New Roman" w:eastAsiaTheme="minorEastAsia"/>
          <w:color w:val="auto"/>
          <w:kern w:val="0"/>
          <w:sz w:val="24"/>
          <w:szCs w:val="24"/>
        </w:rPr>
        <w:t>下设污水箱（</w:t>
      </w:r>
      <w:r>
        <w:rPr>
          <w:rFonts w:hint="eastAsia" w:ascii="Times New Roman" w:hAnsi="Times New Roman" w:cs="Times New Roman" w:eastAsiaTheme="minorEastAsia"/>
          <w:color w:val="auto"/>
          <w:kern w:val="0"/>
          <w:sz w:val="24"/>
          <w:szCs w:val="24"/>
          <w:lang w:val="en-US" w:eastAsia="zh-CN"/>
        </w:rPr>
        <w:t>15</w:t>
      </w:r>
      <w:r>
        <w:rPr>
          <w:rFonts w:hint="default" w:ascii="Times New Roman" w:hAnsi="Times New Roman" w:cs="Times New Roman" w:eastAsiaTheme="minorEastAsia"/>
          <w:color w:val="auto"/>
          <w:kern w:val="0"/>
          <w:sz w:val="24"/>
          <w:szCs w:val="24"/>
        </w:rPr>
        <w:t>m</w:t>
      </w:r>
      <w:r>
        <w:rPr>
          <w:rFonts w:hint="default" w:ascii="Times New Roman" w:hAnsi="Times New Roman" w:cs="Times New Roman" w:eastAsiaTheme="minorEastAsia"/>
          <w:color w:val="auto"/>
          <w:kern w:val="0"/>
          <w:sz w:val="24"/>
          <w:szCs w:val="24"/>
          <w:vertAlign w:val="superscript"/>
        </w:rPr>
        <w:t>3</w:t>
      </w:r>
      <w:r>
        <w:rPr>
          <w:rFonts w:hint="default" w:ascii="Times New Roman" w:hAnsi="Times New Roman" w:cs="Times New Roman" w:eastAsiaTheme="minorEastAsia"/>
          <w:color w:val="auto"/>
          <w:kern w:val="0"/>
          <w:sz w:val="24"/>
          <w:szCs w:val="24"/>
        </w:rPr>
        <w:t>）</w:t>
      </w:r>
      <w:r>
        <w:rPr>
          <w:rFonts w:hint="eastAsia" w:ascii="Times New Roman" w:hAnsi="Times New Roman" w:cs="Times New Roman" w:eastAsiaTheme="minorEastAsia"/>
          <w:color w:val="auto"/>
          <w:kern w:val="0"/>
          <w:sz w:val="24"/>
          <w:szCs w:val="24"/>
          <w:lang w:val="en-US" w:eastAsia="zh-CN"/>
        </w:rPr>
        <w:t>分别</w:t>
      </w:r>
      <w:r>
        <w:rPr>
          <w:rFonts w:hint="default" w:ascii="Times New Roman" w:hAnsi="Times New Roman" w:cs="Times New Roman" w:eastAsiaTheme="minorEastAsia"/>
          <w:color w:val="auto"/>
          <w:kern w:val="0"/>
          <w:sz w:val="24"/>
          <w:szCs w:val="24"/>
        </w:rPr>
        <w:t>用于临时存放初期雨水</w:t>
      </w:r>
      <w:r>
        <w:rPr>
          <w:rFonts w:hint="eastAsia" w:ascii="Times New Roman" w:hAnsi="Times New Roman" w:cs="Times New Roman" w:eastAsiaTheme="minorEastAsia"/>
          <w:color w:val="auto"/>
          <w:kern w:val="0"/>
          <w:sz w:val="24"/>
          <w:szCs w:val="24"/>
          <w:lang w:val="en-US" w:eastAsia="zh-CN"/>
        </w:rPr>
        <w:t>和生活污水、机修含油污水及</w:t>
      </w:r>
      <w:r>
        <w:rPr>
          <w:rFonts w:hint="default" w:ascii="Times New Roman" w:hAnsi="Times New Roman" w:cs="Times New Roman" w:eastAsiaTheme="minorEastAsia"/>
          <w:color w:val="auto"/>
          <w:kern w:val="0"/>
          <w:sz w:val="24"/>
          <w:szCs w:val="24"/>
        </w:rPr>
        <w:t>部分事故残液和事故消防液。</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3、声环境污染防治措施</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采用宏观管理控制车、船的鸣号声；设备采用低噪声产品，到港船舶尽量减少鸣笛。对于噪声污染在设计中尽量选用低噪声设备，机泵应置于室内，机泵底座设置减振垫等弹性减振设置。</w:t>
      </w:r>
    </w:p>
    <w:p>
      <w:pPr>
        <w:adjustRightInd w:val="0"/>
        <w:snapToGrid w:val="0"/>
        <w:spacing w:line="360" w:lineRule="auto"/>
        <w:ind w:firstLine="482" w:firstLineChars="200"/>
        <w:jc w:val="left"/>
        <w:rPr>
          <w:rFonts w:hint="default" w:ascii="Times New Roman" w:hAnsi="Times New Roman" w:cs="Times New Roman" w:eastAsiaTheme="minorEastAsia"/>
          <w:b/>
          <w:bCs/>
          <w:color w:val="auto"/>
          <w:kern w:val="0"/>
          <w:sz w:val="24"/>
          <w:szCs w:val="24"/>
        </w:rPr>
      </w:pPr>
      <w:r>
        <w:rPr>
          <w:rFonts w:hint="default" w:ascii="Times New Roman" w:hAnsi="Times New Roman" w:cs="Times New Roman" w:eastAsiaTheme="minorEastAsia"/>
          <w:b/>
          <w:bCs/>
          <w:color w:val="auto"/>
          <w:kern w:val="0"/>
          <w:sz w:val="24"/>
          <w:szCs w:val="24"/>
        </w:rPr>
        <w:t>4、固体废物处理</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码头陆域生产废物、生活垃圾采用垃圾桶收集后集中送至城市垃圾处理场处理。工程擦洗用的含油棉纱、抹布等，可混入生活垃圾一并处理。停靠码头的船舶垃圾禁止随意排放，由岳阳市地方海事局等部门认可的收集船后焚烧处理。</w:t>
      </w:r>
    </w:p>
    <w:p>
      <w:pPr>
        <w:pStyle w:val="3"/>
        <w:ind w:left="578" w:hanging="578"/>
        <w:rPr>
          <w:rFonts w:hint="default" w:ascii="Times New Roman" w:hAnsi="Times New Roman" w:cs="Times New Roman" w:eastAsiaTheme="minorEastAsia"/>
          <w:b/>
          <w:color w:val="auto"/>
        </w:rPr>
      </w:pPr>
      <w:bookmarkStart w:id="182" w:name="_Toc28002"/>
      <w:bookmarkStart w:id="183" w:name="_Toc17572"/>
      <w:r>
        <w:rPr>
          <w:rFonts w:hint="default" w:ascii="Times New Roman" w:hAnsi="Times New Roman" w:cs="Times New Roman" w:eastAsiaTheme="minorEastAsia"/>
          <w:b/>
          <w:color w:val="auto"/>
        </w:rPr>
        <w:t>清洁生产分析和总量控制</w:t>
      </w:r>
      <w:bookmarkEnd w:id="182"/>
      <w:bookmarkEnd w:id="183"/>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清洁生产评价</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本项目装卸储运工艺达到国内本行业先进水平；项目自动化控制技术水平较高；拟建项目污染较小，在落实设计和本评价提出的污染防治措施后，项目能够完全做到达标排放，满足清洁生产要求。</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val="en-US" w:eastAsia="zh-CN"/>
        </w:rPr>
        <w:t>本项目</w:t>
      </w:r>
      <w:r>
        <w:rPr>
          <w:rFonts w:hint="default" w:ascii="Times New Roman" w:hAnsi="Times New Roman" w:cs="Times New Roman" w:eastAsiaTheme="minorEastAsia"/>
          <w:color w:val="auto"/>
          <w:kern w:val="0"/>
          <w:sz w:val="24"/>
          <w:szCs w:val="24"/>
        </w:rPr>
        <w:t>清洁生产评定为国内先进水平。</w:t>
      </w:r>
    </w:p>
    <w:p>
      <w:pPr>
        <w:pStyle w:val="4"/>
        <w:ind w:left="578" w:hanging="578"/>
        <w:rPr>
          <w:rFonts w:hint="default" w:ascii="Times New Roman" w:hAnsi="Times New Roman" w:cs="Times New Roman"/>
          <w:color w:val="auto"/>
        </w:rPr>
      </w:pPr>
      <w:r>
        <w:rPr>
          <w:rFonts w:hint="default" w:ascii="Times New Roman" w:hAnsi="Times New Roman" w:cs="Times New Roman"/>
          <w:color w:val="auto"/>
        </w:rPr>
        <w:t>总量控制</w:t>
      </w:r>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eastAsia" w:ascii="Times New Roman" w:hAnsi="Times New Roman" w:cs="Times New Roman" w:eastAsiaTheme="minorEastAsia"/>
          <w:color w:val="auto"/>
          <w:kern w:val="0"/>
          <w:sz w:val="24"/>
          <w:szCs w:val="24"/>
          <w:lang w:val="en-US" w:eastAsia="zh-CN"/>
        </w:rPr>
        <w:t>本项目</w:t>
      </w:r>
      <w:r>
        <w:rPr>
          <w:rFonts w:hint="default" w:ascii="Times New Roman" w:hAnsi="Times New Roman" w:cs="Times New Roman" w:eastAsiaTheme="minorEastAsia"/>
          <w:color w:val="auto"/>
          <w:kern w:val="0"/>
          <w:sz w:val="24"/>
          <w:szCs w:val="24"/>
        </w:rPr>
        <w:t>废气基本为无组织排放，废气不考虑控制总量。生活污水、初期雨水经污水</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箱</w:t>
      </w:r>
      <w:r>
        <w:rPr>
          <w:rFonts w:hint="eastAsia" w:ascii="Times New Roman" w:hAnsi="Times New Roman" w:cs="Times New Roman" w:eastAsiaTheme="minorEastAsia"/>
          <w:color w:val="auto"/>
          <w:kern w:val="0"/>
          <w:sz w:val="24"/>
          <w:szCs w:val="24"/>
          <w:lang w:val="en-US" w:eastAsia="zh-CN"/>
        </w:rPr>
        <w:t>收集</w:t>
      </w:r>
      <w:r>
        <w:rPr>
          <w:rFonts w:hint="default" w:ascii="Times New Roman" w:hAnsi="Times New Roman" w:cs="Times New Roman" w:eastAsiaTheme="minorEastAsia"/>
          <w:color w:val="auto"/>
          <w:kern w:val="0"/>
          <w:sz w:val="24"/>
          <w:szCs w:val="24"/>
        </w:rPr>
        <w:t>后，再泵送至岳阳LNG接收站（储备中心）项目</w:t>
      </w:r>
      <w:r>
        <w:rPr>
          <w:rFonts w:hint="eastAsia" w:ascii="Times New Roman" w:hAnsi="Times New Roman" w:cs="Times New Roman" w:eastAsiaTheme="minorEastAsia"/>
          <w:color w:val="auto"/>
          <w:kern w:val="0"/>
          <w:sz w:val="24"/>
          <w:szCs w:val="24"/>
          <w:lang w:val="en-US" w:eastAsia="zh-CN"/>
        </w:rPr>
        <w:t>一期工程</w:t>
      </w:r>
      <w:r>
        <w:rPr>
          <w:rFonts w:hint="default" w:ascii="Times New Roman" w:hAnsi="Times New Roman" w:cs="Times New Roman" w:eastAsiaTheme="minorEastAsia"/>
          <w:color w:val="auto"/>
          <w:kern w:val="0"/>
          <w:sz w:val="24"/>
          <w:szCs w:val="24"/>
        </w:rPr>
        <w:t>陆域罐区污水处理站，处理达到《城市污水再生利用 城市杂用水水质》（GB/T18920-2002）城市绿化用水要求，用作厂区绿化，</w:t>
      </w:r>
      <w:r>
        <w:rPr>
          <w:rFonts w:hint="eastAsia" w:ascii="Times New Roman" w:hAnsi="Times New Roman" w:cs="Times New Roman" w:eastAsiaTheme="minorEastAsia"/>
          <w:color w:val="auto"/>
          <w:kern w:val="0"/>
          <w:sz w:val="24"/>
          <w:szCs w:val="24"/>
          <w:lang w:val="en-US" w:eastAsia="zh-CN"/>
        </w:rPr>
        <w:t>不外排</w:t>
      </w:r>
      <w:r>
        <w:rPr>
          <w:rFonts w:hint="default" w:ascii="Times New Roman" w:hAnsi="Times New Roman" w:cs="Times New Roman" w:eastAsiaTheme="minorEastAsia"/>
          <w:color w:val="auto"/>
          <w:kern w:val="0"/>
          <w:sz w:val="24"/>
          <w:szCs w:val="24"/>
        </w:rPr>
        <w:t>。本项目产生的</w:t>
      </w:r>
      <w:r>
        <w:rPr>
          <w:rFonts w:hint="eastAsia" w:ascii="Times New Roman" w:hAnsi="Times New Roman" w:cs="Times New Roman" w:eastAsiaTheme="minorEastAsia"/>
          <w:color w:val="auto"/>
          <w:kern w:val="0"/>
          <w:sz w:val="24"/>
          <w:szCs w:val="24"/>
          <w:lang w:val="en-US" w:eastAsia="zh-CN"/>
        </w:rPr>
        <w:t>机修</w:t>
      </w:r>
      <w:r>
        <w:rPr>
          <w:rFonts w:hint="default" w:ascii="Times New Roman" w:hAnsi="Times New Roman" w:cs="Times New Roman" w:eastAsiaTheme="minorEastAsia"/>
          <w:color w:val="auto"/>
          <w:kern w:val="0"/>
          <w:sz w:val="24"/>
          <w:szCs w:val="24"/>
        </w:rPr>
        <w:t>含油污水</w:t>
      </w:r>
      <w:r>
        <w:rPr>
          <w:rFonts w:hint="eastAsia" w:ascii="Times New Roman" w:hAnsi="Times New Roman" w:cs="Times New Roman" w:eastAsiaTheme="minorEastAsia"/>
          <w:color w:val="auto"/>
          <w:kern w:val="0"/>
          <w:sz w:val="24"/>
          <w:szCs w:val="24"/>
          <w:lang w:val="en-US" w:eastAsia="zh-CN"/>
        </w:rPr>
        <w:t>及</w:t>
      </w:r>
      <w:r>
        <w:rPr>
          <w:rFonts w:hint="default" w:ascii="Times New Roman" w:hAnsi="Times New Roman" w:cs="Times New Roman" w:eastAsiaTheme="minorEastAsia"/>
          <w:color w:val="auto"/>
          <w:kern w:val="0"/>
          <w:sz w:val="24"/>
          <w:szCs w:val="24"/>
        </w:rPr>
        <w:t>部分事故残液和事故消防液经污水收集箱收集后，通过</w:t>
      </w:r>
      <w:r>
        <w:rPr>
          <w:rFonts w:hint="eastAsia" w:ascii="Times New Roman" w:hAnsi="Times New Roman" w:cs="Times New Roman" w:eastAsiaTheme="minorEastAsia"/>
          <w:color w:val="auto"/>
          <w:kern w:val="0"/>
          <w:sz w:val="24"/>
          <w:szCs w:val="24"/>
          <w:lang w:val="en-US" w:eastAsia="zh-CN"/>
        </w:rPr>
        <w:t>专业</w:t>
      </w:r>
      <w:r>
        <w:rPr>
          <w:rFonts w:hint="default" w:ascii="Times New Roman" w:hAnsi="Times New Roman" w:cs="Times New Roman" w:eastAsiaTheme="minorEastAsia"/>
          <w:color w:val="auto"/>
          <w:kern w:val="0"/>
          <w:sz w:val="24"/>
          <w:szCs w:val="24"/>
        </w:rPr>
        <w:t>泵车外运至君山区第二污水处理厂处置，纳入污水处理厂总量中予以平衡。本项目各类固废全部综合利用或无害化处置，符合总量控制要求。</w:t>
      </w:r>
    </w:p>
    <w:p>
      <w:pPr>
        <w:pStyle w:val="3"/>
        <w:ind w:left="578" w:hanging="578"/>
        <w:rPr>
          <w:rFonts w:hint="default" w:ascii="Times New Roman" w:hAnsi="Times New Roman" w:cs="Times New Roman" w:eastAsiaTheme="minorEastAsia"/>
          <w:b/>
          <w:color w:val="auto"/>
        </w:rPr>
      </w:pPr>
      <w:bookmarkStart w:id="184" w:name="_Toc20079"/>
      <w:bookmarkStart w:id="185" w:name="_Toc6858"/>
      <w:r>
        <w:rPr>
          <w:rFonts w:hint="default" w:ascii="Times New Roman" w:hAnsi="Times New Roman" w:cs="Times New Roman" w:eastAsiaTheme="minorEastAsia"/>
          <w:b/>
          <w:color w:val="auto"/>
        </w:rPr>
        <w:t>工程环保投资</w:t>
      </w:r>
      <w:bookmarkEnd w:id="184"/>
      <w:bookmarkEnd w:id="185"/>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本项目总投资13490.29万元。环保总投资</w:t>
      </w:r>
      <w:r>
        <w:rPr>
          <w:rFonts w:hint="eastAsia" w:ascii="Times New Roman" w:hAnsi="Times New Roman" w:cs="Times New Roman" w:eastAsiaTheme="minorEastAsia"/>
          <w:color w:val="auto"/>
          <w:kern w:val="0"/>
          <w:sz w:val="24"/>
          <w:szCs w:val="24"/>
          <w:lang w:val="en-US" w:eastAsia="zh-CN"/>
        </w:rPr>
        <w:t>792.225</w:t>
      </w:r>
      <w:r>
        <w:rPr>
          <w:rFonts w:hint="default" w:ascii="Times New Roman" w:hAnsi="Times New Roman" w:cs="Times New Roman" w:eastAsiaTheme="minorEastAsia"/>
          <w:color w:val="auto"/>
          <w:kern w:val="0"/>
          <w:sz w:val="24"/>
          <w:szCs w:val="24"/>
        </w:rPr>
        <w:t>万元，占工程总投资的</w:t>
      </w:r>
      <w:r>
        <w:rPr>
          <w:rFonts w:hint="eastAsia" w:ascii="Times New Roman" w:hAnsi="Times New Roman" w:cs="Times New Roman" w:eastAsiaTheme="minorEastAsia"/>
          <w:color w:val="auto"/>
          <w:kern w:val="0"/>
          <w:sz w:val="24"/>
          <w:szCs w:val="24"/>
          <w:lang w:val="en-US" w:eastAsia="zh-CN"/>
        </w:rPr>
        <w:t>5.87</w:t>
      </w:r>
      <w:r>
        <w:rPr>
          <w:rFonts w:hint="default" w:ascii="Times New Roman" w:hAnsi="Times New Roman" w:cs="Times New Roman" w:eastAsiaTheme="minorEastAsia"/>
          <w:color w:val="auto"/>
          <w:kern w:val="0"/>
          <w:sz w:val="24"/>
          <w:szCs w:val="24"/>
          <w:lang w:val="en-US" w:eastAsia="zh-CN"/>
        </w:rPr>
        <w:t xml:space="preserve">% </w:t>
      </w:r>
      <w:r>
        <w:rPr>
          <w:rFonts w:hint="default" w:ascii="Times New Roman" w:hAnsi="Times New Roman" w:cs="Times New Roman" w:eastAsiaTheme="minorEastAsia"/>
          <w:color w:val="auto"/>
          <w:kern w:val="0"/>
          <w:sz w:val="24"/>
          <w:szCs w:val="24"/>
        </w:rPr>
        <w:t>。</w:t>
      </w:r>
    </w:p>
    <w:p>
      <w:pPr>
        <w:pStyle w:val="3"/>
        <w:ind w:left="578" w:hanging="578"/>
        <w:rPr>
          <w:rFonts w:hint="default" w:ascii="Times New Roman" w:hAnsi="Times New Roman" w:cs="Times New Roman" w:eastAsiaTheme="minorEastAsia"/>
          <w:b/>
          <w:color w:val="auto"/>
        </w:rPr>
      </w:pPr>
      <w:bookmarkStart w:id="186" w:name="_Toc7271"/>
      <w:bookmarkStart w:id="187" w:name="_Toc23383"/>
      <w:r>
        <w:rPr>
          <w:rFonts w:hint="default" w:ascii="Times New Roman" w:hAnsi="Times New Roman" w:cs="Times New Roman" w:eastAsiaTheme="minorEastAsia"/>
          <w:b/>
          <w:color w:val="auto"/>
        </w:rPr>
        <w:t>环境可行性分析结论</w:t>
      </w:r>
      <w:bookmarkEnd w:id="186"/>
      <w:bookmarkEnd w:id="187"/>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1、产业政策符合性分析</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根据《产业结构调整指导目录（2019年本）》中内容，本项目属于“第一类鼓励类”的“二十五、水运”中的“1.深水泊位（沿海万吨级、内河千吨级及以上）建设”项目；液化石油气与石油和天然气一样，是化石燃料。在生产及消费过程中对生态环境的污染减少，包括使用低污染的化石能源（如天然气等）和利用清洁能源技术处理过的化石能源，都是清洁能源中的非再生能源。本项目的建设符合国家产业政策和国家清洁能源行动实施方案的要求。</w:t>
      </w:r>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2、相关法规、规划符合性分析</w:t>
      </w:r>
    </w:p>
    <w:p>
      <w:pPr>
        <w:adjustRightInd w:val="0"/>
        <w:snapToGrid w:val="0"/>
        <w:spacing w:line="360" w:lineRule="auto"/>
        <w:ind w:firstLine="480" w:firstLineChars="200"/>
        <w:rPr>
          <w:rFonts w:hint="default" w:ascii="Times New Roman" w:hAnsi="Times New Roman" w:cs="Times New Roman" w:eastAsiaTheme="minorEastAsia"/>
          <w:bCs/>
          <w:color w:val="auto"/>
          <w:sz w:val="24"/>
          <w:szCs w:val="24"/>
        </w:rPr>
      </w:pPr>
      <w:r>
        <w:rPr>
          <w:rFonts w:hint="default" w:ascii="Times New Roman" w:hAnsi="Times New Roman" w:cs="Times New Roman" w:eastAsiaTheme="minorEastAsia"/>
          <w:bCs/>
          <w:color w:val="auto"/>
          <w:sz w:val="24"/>
          <w:szCs w:val="24"/>
        </w:rPr>
        <w:t>本项目的建设符合《湖南省内河水运发展规划》、《岳阳港总体规划》及规划环评、《长江经济带发展负面清单指南（试行）》、《长江经济带生态环境保护规划》、《岳阳市东洞庭湖国家级自然保护区条例》、《水产种质资源保护区管理暂行办法》、《长江干线京杭运河西江航运干线液化天然气加注码头布局方案》、《湖南省LNG水上加注站总体布局规划》、《湖南省“十三五”天然气发展规划》、</w:t>
      </w:r>
      <w:r>
        <w:rPr>
          <w:rFonts w:hint="default" w:ascii="Times New Roman" w:hAnsi="Times New Roman" w:cs="Times New Roman"/>
          <w:color w:val="auto"/>
          <w:sz w:val="24"/>
        </w:rPr>
        <w:t>《湖南省“十三五”能源发展规划》、</w:t>
      </w:r>
      <w:r>
        <w:rPr>
          <w:rFonts w:hint="default" w:ascii="Times New Roman" w:hAnsi="Times New Roman" w:cs="Times New Roman" w:eastAsiaTheme="minorEastAsia"/>
          <w:bCs/>
          <w:color w:val="auto"/>
          <w:sz w:val="24"/>
          <w:szCs w:val="24"/>
        </w:rPr>
        <w:t>《岳阳市城市总体规划（2008-2030</w:t>
      </w:r>
      <w:r>
        <w:rPr>
          <w:rFonts w:hint="eastAsia" w:ascii="Times New Roman" w:hAnsi="Times New Roman" w:cs="Times New Roman" w:eastAsiaTheme="minorEastAsia"/>
          <w:bCs/>
          <w:color w:val="auto"/>
          <w:sz w:val="24"/>
          <w:szCs w:val="24"/>
          <w:lang w:val="en-US" w:eastAsia="zh-CN"/>
        </w:rPr>
        <w:t>年</w:t>
      </w:r>
      <w:r>
        <w:rPr>
          <w:rFonts w:hint="default" w:ascii="Times New Roman" w:hAnsi="Times New Roman" w:cs="Times New Roman" w:eastAsiaTheme="minorEastAsia"/>
          <w:bCs/>
          <w:color w:val="auto"/>
          <w:sz w:val="24"/>
          <w:szCs w:val="24"/>
        </w:rPr>
        <w:t>）》等。</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本项目将作为长江干线中游地区重要的LNG输出气源节点，为沿江过往船舶提供加油加气服务，推动船用LNG发展，打造低碳物流、绿色交通。</w:t>
      </w:r>
    </w:p>
    <w:p>
      <w:pPr>
        <w:adjustRightInd w:val="0"/>
        <w:snapToGrid w:val="0"/>
        <w:spacing w:line="360" w:lineRule="auto"/>
        <w:ind w:firstLine="482" w:firstLineChars="200"/>
        <w:rPr>
          <w:rFonts w:hint="default" w:ascii="Times New Roman" w:hAnsi="Times New Roman" w:cs="Times New Roman" w:eastAsiaTheme="minorEastAsia"/>
          <w:b/>
          <w:color w:val="auto"/>
          <w:kern w:val="0"/>
          <w:sz w:val="24"/>
          <w:szCs w:val="24"/>
        </w:rPr>
      </w:pPr>
      <w:r>
        <w:rPr>
          <w:rFonts w:hint="default" w:ascii="Times New Roman" w:hAnsi="Times New Roman" w:cs="Times New Roman" w:eastAsiaTheme="minorEastAsia"/>
          <w:b/>
          <w:color w:val="auto"/>
          <w:kern w:val="0"/>
          <w:sz w:val="24"/>
          <w:szCs w:val="24"/>
        </w:rPr>
        <w:t>3、与“三线一单”符合性分析</w:t>
      </w:r>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不在生态保护红线范围内，项目的建设不会造成所在区域环境质量下降或恶化，符合资源利用上限中相关规定，未纳入《长江经济带发展负面清单指南（试行）》，且不属于港口岸线利用功能准入负面清单中所列明的禁止项目，与《岳阳港总体规划》及规划环评相符合。因此，本项目符合“三线一单”的要求。</w:t>
      </w:r>
    </w:p>
    <w:p>
      <w:pPr>
        <w:pStyle w:val="3"/>
        <w:ind w:left="578" w:hanging="578"/>
        <w:rPr>
          <w:rFonts w:hint="default" w:ascii="Times New Roman" w:hAnsi="Times New Roman" w:cs="Times New Roman" w:eastAsiaTheme="minorEastAsia"/>
          <w:b/>
          <w:color w:val="auto"/>
        </w:rPr>
      </w:pPr>
      <w:bookmarkStart w:id="188" w:name="_Toc18951"/>
      <w:bookmarkStart w:id="189" w:name="_Toc27961"/>
      <w:r>
        <w:rPr>
          <w:rFonts w:hint="default" w:ascii="Times New Roman" w:hAnsi="Times New Roman" w:cs="Times New Roman" w:eastAsiaTheme="minorEastAsia"/>
          <w:b/>
          <w:color w:val="auto"/>
        </w:rPr>
        <w:t>公众参与结论</w:t>
      </w:r>
      <w:bookmarkEnd w:id="188"/>
      <w:bookmarkEnd w:id="189"/>
    </w:p>
    <w:p>
      <w:pPr>
        <w:adjustRightInd w:val="0"/>
        <w:snapToGrid w:val="0"/>
        <w:spacing w:line="360" w:lineRule="auto"/>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根据公众参与调查结果，绝大多数人全面了解该项目的建设，本项目得到公众全部支持该项目的建设，该项目可以带动当地经济的发展，增加就业机会。被调查者希望本项目认真落实各项环境保护措施制度，尽可能减少对环境的污染。建设单位建设时应严格执行环保“三同时”制度，项目建成后加强管理，尽量减少污染物的排放对周围居民的影响。</w:t>
      </w:r>
    </w:p>
    <w:p>
      <w:pPr>
        <w:pStyle w:val="3"/>
        <w:ind w:left="578" w:hanging="578"/>
        <w:rPr>
          <w:rFonts w:hint="default" w:ascii="Times New Roman" w:hAnsi="Times New Roman" w:cs="Times New Roman" w:eastAsiaTheme="minorEastAsia"/>
          <w:b/>
          <w:color w:val="auto"/>
        </w:rPr>
      </w:pPr>
      <w:bookmarkStart w:id="190" w:name="_Toc31219"/>
      <w:bookmarkStart w:id="191" w:name="_Toc10099"/>
      <w:r>
        <w:rPr>
          <w:rFonts w:hint="default" w:ascii="Times New Roman" w:hAnsi="Times New Roman" w:cs="Times New Roman" w:eastAsiaTheme="minorEastAsia"/>
          <w:b/>
          <w:color w:val="auto"/>
        </w:rPr>
        <w:t>总结论</w:t>
      </w:r>
      <w:bookmarkEnd w:id="190"/>
      <w:bookmarkEnd w:id="191"/>
    </w:p>
    <w:p>
      <w:pPr>
        <w:adjustRightInd w:val="0"/>
        <w:snapToGrid w:val="0"/>
        <w:spacing w:line="360" w:lineRule="auto"/>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本项目符合国家产业政策，符合“三线一单”、</w:t>
      </w:r>
      <w:r>
        <w:rPr>
          <w:rFonts w:hint="default" w:ascii="Times New Roman" w:hAnsi="Times New Roman" w:cs="Times New Roman" w:eastAsiaTheme="minorEastAsia"/>
          <w:bCs/>
          <w:color w:val="auto"/>
          <w:sz w:val="24"/>
          <w:szCs w:val="24"/>
        </w:rPr>
        <w:t>《湖南省内河水运发展规划》、《岳阳港总体规划》及规划环评、《岳阳市东洞庭湖国家级自然保护区条例》、《水产种质资源保护区管理暂行办法》、《长江干线京杭运河西江航运干线液化天然气加注码头布局方案》、《湖南省LNG水上加注站总体布局规划》、《湖南省“十三五”天然气发展规划》、</w:t>
      </w:r>
      <w:r>
        <w:rPr>
          <w:rFonts w:hint="default" w:ascii="Times New Roman" w:hAnsi="Times New Roman" w:cs="Times New Roman"/>
          <w:color w:val="auto"/>
          <w:sz w:val="24"/>
        </w:rPr>
        <w:t>《湖南省“十三五”能源发展规划》、</w:t>
      </w:r>
      <w:r>
        <w:rPr>
          <w:rFonts w:hint="default" w:ascii="Times New Roman" w:hAnsi="Times New Roman" w:cs="Times New Roman" w:eastAsiaTheme="minorEastAsia"/>
          <w:bCs/>
          <w:color w:val="auto"/>
          <w:sz w:val="24"/>
          <w:szCs w:val="24"/>
        </w:rPr>
        <w:t>《岳阳市城市总体规划（2008-2030</w:t>
      </w:r>
      <w:r>
        <w:rPr>
          <w:rFonts w:hint="eastAsia" w:ascii="Times New Roman" w:hAnsi="Times New Roman" w:cs="Times New Roman" w:eastAsiaTheme="minorEastAsia"/>
          <w:bCs/>
          <w:color w:val="auto"/>
          <w:sz w:val="24"/>
          <w:szCs w:val="24"/>
          <w:lang w:val="en-US" w:eastAsia="zh-CN"/>
        </w:rPr>
        <w:t>年</w:t>
      </w:r>
      <w:r>
        <w:rPr>
          <w:rFonts w:hint="default" w:ascii="Times New Roman" w:hAnsi="Times New Roman" w:cs="Times New Roman" w:eastAsiaTheme="minorEastAsia"/>
          <w:bCs/>
          <w:color w:val="auto"/>
          <w:sz w:val="24"/>
          <w:szCs w:val="24"/>
        </w:rPr>
        <w:t>）》</w:t>
      </w:r>
      <w:r>
        <w:rPr>
          <w:rFonts w:hint="default" w:ascii="Times New Roman" w:hAnsi="Times New Roman" w:cs="Times New Roman" w:eastAsiaTheme="minorEastAsia"/>
          <w:color w:val="auto"/>
          <w:kern w:val="0"/>
          <w:sz w:val="24"/>
          <w:szCs w:val="24"/>
        </w:rPr>
        <w:t>。项目选址合理，项目“三废”排放量较小，落实工程设计和评价提出的污染防治措施后均可达标排放，清洁生产达到国内先进水平。工程在建设和投入营运后，必须采取有效的清洁生产技术和污染防治措施，减少由于本项目建设和营运造成的环境污染和生态破坏，在认真落实本报告书中拟定的各项措施前提下，项目对周围环境的影响是可以承受的，该项目的建设从环保角度上论证是可行的。</w:t>
      </w:r>
    </w:p>
    <w:p>
      <w:pPr>
        <w:pStyle w:val="3"/>
        <w:ind w:left="578" w:hanging="578"/>
        <w:rPr>
          <w:rFonts w:hint="default" w:ascii="Times New Roman" w:hAnsi="Times New Roman" w:cs="Times New Roman" w:eastAsiaTheme="minorEastAsia"/>
          <w:b/>
          <w:color w:val="auto"/>
        </w:rPr>
      </w:pPr>
      <w:bookmarkStart w:id="192" w:name="_Toc3895"/>
      <w:bookmarkStart w:id="193" w:name="_Toc7190"/>
      <w:r>
        <w:rPr>
          <w:rFonts w:hint="default" w:ascii="Times New Roman" w:hAnsi="Times New Roman" w:cs="Times New Roman" w:eastAsiaTheme="minorEastAsia"/>
          <w:b/>
          <w:color w:val="auto"/>
        </w:rPr>
        <w:t>建议</w:t>
      </w:r>
      <w:bookmarkEnd w:id="192"/>
      <w:bookmarkEnd w:id="193"/>
    </w:p>
    <w:p>
      <w:pPr>
        <w:adjustRightInd w:val="0"/>
        <w:snapToGrid w:val="0"/>
        <w:spacing w:line="360" w:lineRule="auto"/>
        <w:ind w:firstLine="480" w:firstLineChars="200"/>
        <w:jc w:val="left"/>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⑴ 建设单位应认真尽快落实本项目的各项治理措施，确保该项目的污染物排放量达标，并符合污染物排放总量控制指标的要求。</w:t>
      </w:r>
    </w:p>
    <w:p>
      <w:pPr>
        <w:adjustRightInd w:val="0"/>
        <w:snapToGrid w:val="0"/>
        <w:spacing w:line="360" w:lineRule="auto"/>
        <w:ind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rPr>
        <w:t>⑵ 建设单位应加强管理，努力杜绝非正常及事故情况下的污染物排放，以减少对周围环境的影响。</w:t>
      </w:r>
      <w:bookmarkStart w:id="194" w:name="_Toc298750356"/>
      <w:bookmarkEnd w:id="194"/>
      <w:bookmarkStart w:id="195" w:name="_Toc298750557"/>
      <w:bookmarkEnd w:id="195"/>
    </w:p>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monospace">
    <w:altName w:val="Segoe Print"/>
    <w:panose1 w:val="00000000000000000000"/>
    <w:charset w:val="00"/>
    <w:family w:val="auto"/>
    <w:pitch w:val="default"/>
    <w:sig w:usb0="00000000" w:usb1="00000000" w:usb2="00000000" w:usb3="00000000" w:csb0="00000001" w:csb1="00000000"/>
  </w:font>
  <w:font w:name="Tahoma">
    <w:panose1 w:val="020B0604030504040204"/>
    <w:charset w:val="00"/>
    <w:family w:val="auto"/>
    <w:pitch w:val="default"/>
    <w:sig w:usb0="E1002EFF" w:usb1="C000605B" w:usb2="00000029" w:usb3="00000000" w:csb0="200101FF" w:csb1="20280000"/>
  </w:font>
  <w:font w:name="CG Times (WN)">
    <w:altName w:val="Times New Roman"/>
    <w:panose1 w:val="00000000000000000000"/>
    <w:charset w:val="00"/>
    <w:family w:val="auto"/>
    <w:pitch w:val="default"/>
    <w:sig w:usb0="00000000" w:usb1="00000000" w:usb2="00000000" w:usb3="00000000" w:csb0="00000001" w:csb1="00000000"/>
  </w:font>
  <w:font w:name="Plotter">
    <w:altName w:val="Times New Roman"/>
    <w:panose1 w:val="00000000000000000000"/>
    <w:charset w:val="00"/>
    <w:family w:val="roman"/>
    <w:pitch w:val="default"/>
    <w:sig w:usb0="00000000" w:usb1="00000000" w:usb2="00000000" w:usb3="00000000" w:csb0="00040001" w:csb1="00000000"/>
  </w:font>
  <w:font w:name="Arial Unicode MS">
    <w:altName w:val="宋体"/>
    <w:panose1 w:val="020B0604020202020204"/>
    <w:charset w:val="86"/>
    <w:family w:val="auto"/>
    <w:pitch w:val="default"/>
    <w:sig w:usb0="00000000" w:usb1="00000000" w:usb2="0000003F" w:usb3="00000000" w:csb0="603F01FF" w:csb1="FFFF0000"/>
  </w:font>
  <w:font w:name="新宋体">
    <w:panose1 w:val="02010609030101010101"/>
    <w:charset w:val="86"/>
    <w:family w:val="modern"/>
    <w:pitch w:val="default"/>
    <w:sig w:usb0="00000003" w:usb1="288F0000" w:usb2="00000006" w:usb3="00000000" w:csb0="00040001" w:csb1="00000000"/>
  </w:font>
  <w:font w:name="Tms Rmn">
    <w:altName w:val="Segoe Print"/>
    <w:panose1 w:val="00000000000000000000"/>
    <w:charset w:val="4D"/>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 w:name="Verdana">
    <w:panose1 w:val="020B0604030504040204"/>
    <w:charset w:val="00"/>
    <w:family w:val="auto"/>
    <w:pitch w:val="default"/>
    <w:sig w:usb0="A10006FF" w:usb1="4000205B" w:usb2="00000010" w:usb3="00000000" w:csb0="2000019F" w:csb1="00000000"/>
  </w:font>
  <w:font w:name="Swis721 Lt BT">
    <w:panose1 w:val="020B0403020202020204"/>
    <w:charset w:val="00"/>
    <w:family w:val="swiss"/>
    <w:pitch w:val="default"/>
    <w:sig w:usb0="00000000" w:usb1="00000000" w:usb2="00000000" w:usb3="00000000" w:csb0="00000000" w:csb1="00000000"/>
  </w:font>
  <w:font w:name="方正小标宋简体">
    <w:altName w:val="宋体"/>
    <w:panose1 w:val="00000000000000000000"/>
    <w:charset w:val="86"/>
    <w:family w:val="auto"/>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行书体">
    <w:altName w:val="宋体"/>
    <w:panose1 w:val="00000000000000000000"/>
    <w:charset w:val="86"/>
    <w:family w:val="modern"/>
    <w:pitch w:val="default"/>
    <w:sig w:usb0="00000000" w:usb1="00000000" w:usb2="00000010" w:usb3="00000000" w:csb0="00040000" w:csb1="00000000"/>
  </w:font>
  <w:font w:name="CIDFont+F3">
    <w:altName w:val="宋体"/>
    <w:panose1 w:val="00000000000000000000"/>
    <w:charset w:val="86"/>
    <w:family w:val="auto"/>
    <w:pitch w:val="default"/>
    <w:sig w:usb0="00000000" w:usb1="00000000" w:usb2="00000000" w:usb3="00000000" w:csb0="00040000" w:csb1="00000000"/>
  </w:font>
  <w:font w:name="Cambria Math">
    <w:panose1 w:val="02040503050406030204"/>
    <w:charset w:val="00"/>
    <w:family w:val="auto"/>
    <w:pitch w:val="default"/>
    <w:sig w:usb0="E00002FF" w:usb1="420024FF" w:usb2="00000000" w:usb3="00000000" w:csb0="2000019F" w:csb1="00000000"/>
  </w:font>
  <w:font w:name="TimesNewRomanPSMT">
    <w:altName w:val="Times New Roman"/>
    <w:panose1 w:val="00000000000000000000"/>
    <w:charset w:val="86"/>
    <w:family w:val="auto"/>
    <w:pitch w:val="default"/>
    <w:sig w:usb0="00000000" w:usb1="00000000" w:usb2="00000000" w:usb3="00000000" w:csb0="00040000" w:csb1="00000000"/>
  </w:font>
  <w:font w:name="CIDFont+F1">
    <w:altName w:val="MS Mincho"/>
    <w:panose1 w:val="00000000000000000000"/>
    <w:charset w:val="80"/>
    <w:family w:val="auto"/>
    <w:pitch w:val="default"/>
    <w:sig w:usb0="00000000" w:usb1="00000000" w:usb2="00000000" w:usb3="00000000" w:csb0="00020000" w:csb1="00000000"/>
  </w:font>
  <w:font w:name="CIDFon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adjustRightInd w:val="0"/>
      <w:spacing w:before="120" w:beforeLines="5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85</w:t>
    </w:r>
    <w:r>
      <w:rPr>
        <w:rFonts w:ascii="Times New Roman" w:hAnsi="Times New Roman" w:cs="Times New Roman"/>
      </w:rPr>
      <w:fldChar w:fldCharType="end"/>
    </w:r>
  </w:p>
  <w:p>
    <w:pPr>
      <w:pStyle w:val="42"/>
      <w:jc w:val="right"/>
      <w:rPr>
        <w:rFonts w:ascii="Times New Roman" w:hAnsi="Times New Roman" w:cs="Times New Roman"/>
      </w:rPr>
    </w:pPr>
    <w:r>
      <w:rPr>
        <w:rFonts w:hint="eastAsia"/>
      </w:rPr>
      <w:t>湖南葆华环保有限公司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3"/>
    </w:pPr>
    <w:r>
      <w:rPr>
        <w:rFonts w:ascii="Times New Roman" w:hAnsi="Times New Roman" w:cs="Times New Roman"/>
        <w:color w:val="000000"/>
      </w:rPr>
      <w:t>岳</w:t>
    </w:r>
    <w:r>
      <w:rPr>
        <w:rFonts w:ascii="Times New Roman" w:hAnsi="Times New Roman" w:cs="Times New Roman"/>
      </w:rPr>
      <w:t>阳港君山港区LNG加注站项目环境影响报告书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3"/>
    </w:pPr>
    <w:r>
      <w:rPr>
        <w:rFonts w:hint="eastAsia"/>
      </w:rPr>
      <w:t>中国石化集团资产经营管理有限公司长岭分公司港口部码头提质改造工程环境影响报告书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3"/>
    </w:pPr>
    <w:r>
      <w:rPr>
        <w:rFonts w:hint="eastAsia"/>
      </w:rPr>
      <w:t>岳</w:t>
    </w:r>
    <w:r>
      <w:rPr>
        <w:rFonts w:ascii="Times New Roman" w:hAnsi="Times New Roman" w:cs="Times New Roman"/>
      </w:rPr>
      <w:t>阳港君山港区LNG加注站</w:t>
    </w:r>
    <w:r>
      <w:rPr>
        <w:rFonts w:hint="eastAsia"/>
      </w:rPr>
      <w:t>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3"/>
    </w:pPr>
    <w:r>
      <w:rPr>
        <w:rFonts w:hint="eastAsia"/>
      </w:rPr>
      <w:t>岳阳港君山港</w:t>
    </w:r>
    <w:r>
      <w:drawing>
        <wp:inline distT="0" distB="0" distL="114300" distR="114300">
          <wp:extent cx="0" cy="0"/>
          <wp:effectExtent l="0" t="0" r="0" b="0"/>
          <wp:docPr id="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1"/>
                  <a:stretch>
                    <a:fillRect/>
                  </a:stretch>
                </pic:blipFill>
                <pic:spPr>
                  <a:xfrm>
                    <a:off x="0" y="0"/>
                    <a:ext cx="0" cy="0"/>
                  </a:xfrm>
                  <a:prstGeom prst="rect">
                    <a:avLst/>
                  </a:prstGeom>
                  <a:noFill/>
                  <a:ln>
                    <a:noFill/>
                  </a:ln>
                </pic:spPr>
              </pic:pic>
            </a:graphicData>
          </a:graphic>
        </wp:inline>
      </w:drawing>
    </w:r>
    <w:r>
      <w:rPr>
        <w:rFonts w:ascii="Times New Roman" w:hAnsi="Times New Roman" w:cs="Times New Roman"/>
      </w:rPr>
      <w:t>区LNG加注</w:t>
    </w:r>
    <w:r>
      <w:rPr>
        <w:rFonts w:hint="eastAsia"/>
      </w:rPr>
      <w:t>站项目环境影响报告书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8412BE"/>
    <w:multiLevelType w:val="singleLevel"/>
    <w:tmpl w:val="888412BE"/>
    <w:lvl w:ilvl="0" w:tentative="0">
      <w:start w:val="2"/>
      <w:numFmt w:val="decimal"/>
      <w:suff w:val="nothing"/>
      <w:lvlText w:val="%1、"/>
      <w:lvlJc w:val="left"/>
    </w:lvl>
  </w:abstractNum>
  <w:abstractNum w:abstractNumId="1">
    <w:nsid w:val="FFFFFF89"/>
    <w:multiLevelType w:val="singleLevel"/>
    <w:tmpl w:val="FFFFFF89"/>
    <w:lvl w:ilvl="0" w:tentative="0">
      <w:start w:val="1"/>
      <w:numFmt w:val="bullet"/>
      <w:pStyle w:val="21"/>
      <w:lvlText w:val=""/>
      <w:lvlJc w:val="left"/>
      <w:pPr>
        <w:tabs>
          <w:tab w:val="left" w:pos="360"/>
        </w:tabs>
        <w:ind w:left="360" w:hanging="360"/>
      </w:pPr>
      <w:rPr>
        <w:rFonts w:hint="default" w:ascii="Wingdings" w:hAnsi="Wingdings"/>
      </w:rPr>
    </w:lvl>
  </w:abstractNum>
  <w:abstractNum w:abstractNumId="2">
    <w:nsid w:val="09D3C6EA"/>
    <w:multiLevelType w:val="multilevel"/>
    <w:tmpl w:val="09D3C6EA"/>
    <w:lvl w:ilvl="0" w:tentative="0">
      <w:start w:val="1"/>
      <w:numFmt w:val="decimal"/>
      <w:pStyle w:val="2"/>
      <w:lvlText w:val="%1"/>
      <w:lvlJc w:val="left"/>
      <w:pPr>
        <w:ind w:left="432" w:hanging="432"/>
      </w:pPr>
      <w:rPr>
        <w:rFonts w:hint="eastAsia"/>
      </w:rPr>
    </w:lvl>
    <w:lvl w:ilvl="1" w:tentative="0">
      <w:start w:val="1"/>
      <w:numFmt w:val="decimal"/>
      <w:pStyle w:val="3"/>
      <w:lvlText w:val="%1.%2"/>
      <w:lvlJc w:val="left"/>
      <w:pPr>
        <w:ind w:left="576" w:hanging="576"/>
      </w:pPr>
      <w:rPr>
        <w:rFonts w:hint="eastAsia"/>
      </w:rPr>
    </w:lvl>
    <w:lvl w:ilvl="2" w:tentative="0">
      <w:start w:val="1"/>
      <w:numFmt w:val="decimal"/>
      <w:pStyle w:val="4"/>
      <w:lvlText w:val="%1.%2.%3"/>
      <w:lvlJc w:val="left"/>
      <w:pPr>
        <w:ind w:left="72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5"/>
      <w:lvlText w:val="%1.%2.%3.%4"/>
      <w:lvlJc w:val="left"/>
      <w:pPr>
        <w:ind w:left="864" w:hanging="864"/>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pStyle w:val="9"/>
      <w:lvlText w:val="%1.%2.%3.%4.%5"/>
      <w:lvlJc w:val="left"/>
      <w:pPr>
        <w:ind w:left="1008" w:hanging="1008"/>
      </w:pPr>
      <w:rPr>
        <w:rFonts w:hint="eastAsia"/>
      </w:rPr>
    </w:lvl>
    <w:lvl w:ilvl="5" w:tentative="0">
      <w:start w:val="1"/>
      <w:numFmt w:val="decimal"/>
      <w:pStyle w:val="10"/>
      <w:lvlText w:val="%1.%2.%3.%4.%5.%6"/>
      <w:lvlJc w:val="left"/>
      <w:pPr>
        <w:ind w:left="1152" w:hanging="1152"/>
      </w:pPr>
      <w:rPr>
        <w:rFonts w:hint="eastAsia"/>
      </w:rPr>
    </w:lvl>
    <w:lvl w:ilvl="6" w:tentative="0">
      <w:start w:val="1"/>
      <w:numFmt w:val="decimal"/>
      <w:pStyle w:val="11"/>
      <w:lvlText w:val="%1.%2.%3.%4.%5.%6.%7"/>
      <w:lvlJc w:val="left"/>
      <w:pPr>
        <w:ind w:left="2005" w:hanging="1296"/>
      </w:pPr>
      <w:rPr>
        <w:rFonts w:hint="eastAsia"/>
      </w:rPr>
    </w:lvl>
    <w:lvl w:ilvl="7" w:tentative="0">
      <w:start w:val="1"/>
      <w:numFmt w:val="decimal"/>
      <w:pStyle w:val="12"/>
      <w:lvlText w:val="%1.%2.%3.%4.%5.%6.%7.%8"/>
      <w:lvlJc w:val="left"/>
      <w:pPr>
        <w:ind w:left="1440" w:hanging="1440"/>
      </w:pPr>
      <w:rPr>
        <w:rFonts w:hint="eastAsia"/>
      </w:rPr>
    </w:lvl>
    <w:lvl w:ilvl="8" w:tentative="0">
      <w:start w:val="1"/>
      <w:numFmt w:val="decimal"/>
      <w:pStyle w:val="13"/>
      <w:lvlText w:val="%1.%2.%3.%4.%5.%6.%7.%8.%9"/>
      <w:lvlJc w:val="left"/>
      <w:pPr>
        <w:ind w:left="1584" w:hanging="1584"/>
      </w:pPr>
      <w:rPr>
        <w:rFonts w:hint="eastAsia"/>
      </w:rPr>
    </w:lvl>
  </w:abstractNum>
  <w:abstractNum w:abstractNumId="3">
    <w:nsid w:val="0F7DB468"/>
    <w:multiLevelType w:val="singleLevel"/>
    <w:tmpl w:val="0F7DB468"/>
    <w:lvl w:ilvl="0" w:tentative="0">
      <w:start w:val="1"/>
      <w:numFmt w:val="upperLetter"/>
      <w:suff w:val="space"/>
      <w:lvlText w:val="%1."/>
      <w:lvlJc w:val="left"/>
    </w:lvl>
  </w:abstractNum>
  <w:abstractNum w:abstractNumId="4">
    <w:nsid w:val="2E670226"/>
    <w:multiLevelType w:val="singleLevel"/>
    <w:tmpl w:val="2E670226"/>
    <w:lvl w:ilvl="0" w:tentative="0">
      <w:start w:val="1"/>
      <w:numFmt w:val="lowerLetter"/>
      <w:suff w:val="nothing"/>
      <w:lvlText w:val="（%1）"/>
      <w:lvlJc w:val="left"/>
    </w:lvl>
  </w:abstractNum>
  <w:abstractNum w:abstractNumId="5">
    <w:nsid w:val="4F302902"/>
    <w:multiLevelType w:val="multilevel"/>
    <w:tmpl w:val="4F302902"/>
    <w:lvl w:ilvl="0" w:tentative="0">
      <w:start w:val="1"/>
      <w:numFmt w:val="none"/>
      <w:pStyle w:val="367"/>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52FF3823"/>
    <w:multiLevelType w:val="multilevel"/>
    <w:tmpl w:val="52FF3823"/>
    <w:lvl w:ilvl="0" w:tentative="0">
      <w:start w:val="1"/>
      <w:numFmt w:val="decimal"/>
      <w:pStyle w:val="318"/>
      <w:lvlText w:val="%1"/>
      <w:lvlJc w:val="left"/>
      <w:pPr>
        <w:tabs>
          <w:tab w:val="left" w:pos="851"/>
        </w:tabs>
        <w:ind w:left="851" w:hanging="454"/>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317"/>
      <w:lvlText w:val="%3."/>
      <w:lvlJc w:val="right"/>
      <w:pPr>
        <w:tabs>
          <w:tab w:val="left" w:pos="1260"/>
        </w:tabs>
        <w:ind w:left="1260" w:hanging="420"/>
      </w:pPr>
    </w:lvl>
    <w:lvl w:ilvl="3" w:tentative="0">
      <w:start w:val="1"/>
      <w:numFmt w:val="decimal"/>
      <w:pStyle w:val="316"/>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5CE87392"/>
    <w:multiLevelType w:val="singleLevel"/>
    <w:tmpl w:val="5CE87392"/>
    <w:lvl w:ilvl="0" w:tentative="0">
      <w:start w:val="1"/>
      <w:numFmt w:val="decimal"/>
      <w:pStyle w:val="320"/>
      <w:lvlText w:val="(%1)"/>
      <w:lvlJc w:val="left"/>
      <w:pPr>
        <w:tabs>
          <w:tab w:val="left" w:pos="851"/>
        </w:tabs>
        <w:ind w:left="851" w:hanging="454"/>
      </w:pPr>
      <w:rPr>
        <w:rFonts w:hint="eastAsia"/>
        <w:sz w:val="24"/>
        <w:szCs w:val="24"/>
      </w:rPr>
    </w:lvl>
  </w:abstractNum>
  <w:abstractNum w:abstractNumId="8">
    <w:nsid w:val="64487BCB"/>
    <w:multiLevelType w:val="singleLevel"/>
    <w:tmpl w:val="64487BCB"/>
    <w:lvl w:ilvl="0" w:tentative="0">
      <w:start w:val="1"/>
      <w:numFmt w:val="upperLetter"/>
      <w:suff w:val="space"/>
      <w:lvlText w:val="%1."/>
      <w:lvlJc w:val="left"/>
    </w:lvl>
  </w:abstractNum>
  <w:num w:numId="1">
    <w:abstractNumId w:val="2"/>
  </w:num>
  <w:num w:numId="2">
    <w:abstractNumId w:val="1"/>
  </w:num>
  <w:num w:numId="3">
    <w:abstractNumId w:val="6"/>
  </w:num>
  <w:num w:numId="4">
    <w:abstractNumId w:val="7"/>
  </w:num>
  <w:num w:numId="5">
    <w:abstractNumId w:val="5"/>
  </w:num>
  <w:num w:numId="6">
    <w:abstractNumId w:val="0"/>
  </w:num>
  <w:num w:numId="7">
    <w:abstractNumId w:val="4"/>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bordersDoNotSurroundHeader w:val="0"/>
  <w:bordersDoNotSurroundFooter w:val="0"/>
  <w:hideSpellingErrors/>
  <w:hideGrammatical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21EA"/>
    <w:rsid w:val="0000238B"/>
    <w:rsid w:val="00002818"/>
    <w:rsid w:val="0000427C"/>
    <w:rsid w:val="00005873"/>
    <w:rsid w:val="00005914"/>
    <w:rsid w:val="00007365"/>
    <w:rsid w:val="0000741E"/>
    <w:rsid w:val="00010FAB"/>
    <w:rsid w:val="000118FB"/>
    <w:rsid w:val="00011E94"/>
    <w:rsid w:val="000124E4"/>
    <w:rsid w:val="00012C63"/>
    <w:rsid w:val="000133AA"/>
    <w:rsid w:val="000134C6"/>
    <w:rsid w:val="00013D13"/>
    <w:rsid w:val="000146B7"/>
    <w:rsid w:val="00014EE2"/>
    <w:rsid w:val="0001679D"/>
    <w:rsid w:val="00017FAB"/>
    <w:rsid w:val="00022929"/>
    <w:rsid w:val="00023C07"/>
    <w:rsid w:val="0002520F"/>
    <w:rsid w:val="00025AE4"/>
    <w:rsid w:val="000269B1"/>
    <w:rsid w:val="00026BC7"/>
    <w:rsid w:val="0003066E"/>
    <w:rsid w:val="00030799"/>
    <w:rsid w:val="000311EC"/>
    <w:rsid w:val="000334CE"/>
    <w:rsid w:val="00033DD6"/>
    <w:rsid w:val="00034989"/>
    <w:rsid w:val="00034FBC"/>
    <w:rsid w:val="0003544F"/>
    <w:rsid w:val="00037E7D"/>
    <w:rsid w:val="00041173"/>
    <w:rsid w:val="00042F8A"/>
    <w:rsid w:val="0004502B"/>
    <w:rsid w:val="00045AC1"/>
    <w:rsid w:val="0004637A"/>
    <w:rsid w:val="000501F9"/>
    <w:rsid w:val="00051622"/>
    <w:rsid w:val="00053AC7"/>
    <w:rsid w:val="00055818"/>
    <w:rsid w:val="00055F61"/>
    <w:rsid w:val="00057865"/>
    <w:rsid w:val="00057BFF"/>
    <w:rsid w:val="00057F31"/>
    <w:rsid w:val="00060621"/>
    <w:rsid w:val="000608DC"/>
    <w:rsid w:val="0006192F"/>
    <w:rsid w:val="000654DD"/>
    <w:rsid w:val="000656F8"/>
    <w:rsid w:val="00065AD0"/>
    <w:rsid w:val="00067934"/>
    <w:rsid w:val="00071636"/>
    <w:rsid w:val="000728AF"/>
    <w:rsid w:val="00073473"/>
    <w:rsid w:val="00075285"/>
    <w:rsid w:val="00076086"/>
    <w:rsid w:val="000768E5"/>
    <w:rsid w:val="00077DE3"/>
    <w:rsid w:val="0008020F"/>
    <w:rsid w:val="00081F6D"/>
    <w:rsid w:val="00082134"/>
    <w:rsid w:val="00082474"/>
    <w:rsid w:val="0008387C"/>
    <w:rsid w:val="00084069"/>
    <w:rsid w:val="00084315"/>
    <w:rsid w:val="00085004"/>
    <w:rsid w:val="00086D05"/>
    <w:rsid w:val="0008730D"/>
    <w:rsid w:val="00090250"/>
    <w:rsid w:val="00090DB1"/>
    <w:rsid w:val="000922A3"/>
    <w:rsid w:val="00092562"/>
    <w:rsid w:val="00093879"/>
    <w:rsid w:val="00093DFE"/>
    <w:rsid w:val="000965FD"/>
    <w:rsid w:val="0009718F"/>
    <w:rsid w:val="000A20C6"/>
    <w:rsid w:val="000A2542"/>
    <w:rsid w:val="000A2592"/>
    <w:rsid w:val="000A2C0C"/>
    <w:rsid w:val="000A327E"/>
    <w:rsid w:val="000A4609"/>
    <w:rsid w:val="000A4C37"/>
    <w:rsid w:val="000A506F"/>
    <w:rsid w:val="000A5861"/>
    <w:rsid w:val="000A6913"/>
    <w:rsid w:val="000A7766"/>
    <w:rsid w:val="000B04AA"/>
    <w:rsid w:val="000B06E7"/>
    <w:rsid w:val="000B1F82"/>
    <w:rsid w:val="000B23B8"/>
    <w:rsid w:val="000B452D"/>
    <w:rsid w:val="000B4ACB"/>
    <w:rsid w:val="000B54B0"/>
    <w:rsid w:val="000B5633"/>
    <w:rsid w:val="000B5F31"/>
    <w:rsid w:val="000B76EB"/>
    <w:rsid w:val="000B7FC4"/>
    <w:rsid w:val="000C1684"/>
    <w:rsid w:val="000C1887"/>
    <w:rsid w:val="000C1AE7"/>
    <w:rsid w:val="000C242B"/>
    <w:rsid w:val="000C47C9"/>
    <w:rsid w:val="000C5554"/>
    <w:rsid w:val="000C61EF"/>
    <w:rsid w:val="000C6BD5"/>
    <w:rsid w:val="000C77AC"/>
    <w:rsid w:val="000D079D"/>
    <w:rsid w:val="000D1D10"/>
    <w:rsid w:val="000D222C"/>
    <w:rsid w:val="000D2962"/>
    <w:rsid w:val="000D2EF7"/>
    <w:rsid w:val="000D5E5E"/>
    <w:rsid w:val="000D643F"/>
    <w:rsid w:val="000D657F"/>
    <w:rsid w:val="000D7662"/>
    <w:rsid w:val="000E191E"/>
    <w:rsid w:val="000E25FB"/>
    <w:rsid w:val="000E43E8"/>
    <w:rsid w:val="000E548C"/>
    <w:rsid w:val="000E5890"/>
    <w:rsid w:val="000E6B9D"/>
    <w:rsid w:val="000F0073"/>
    <w:rsid w:val="000F0B27"/>
    <w:rsid w:val="000F312C"/>
    <w:rsid w:val="000F314C"/>
    <w:rsid w:val="000F74E8"/>
    <w:rsid w:val="000F750D"/>
    <w:rsid w:val="00102BF2"/>
    <w:rsid w:val="00103FA6"/>
    <w:rsid w:val="0010420A"/>
    <w:rsid w:val="0010452D"/>
    <w:rsid w:val="00104E7E"/>
    <w:rsid w:val="00105131"/>
    <w:rsid w:val="00105CDE"/>
    <w:rsid w:val="0010718C"/>
    <w:rsid w:val="001111C2"/>
    <w:rsid w:val="00111476"/>
    <w:rsid w:val="001147D4"/>
    <w:rsid w:val="00114B89"/>
    <w:rsid w:val="001160A9"/>
    <w:rsid w:val="001162B3"/>
    <w:rsid w:val="0011635A"/>
    <w:rsid w:val="001170F3"/>
    <w:rsid w:val="0012007B"/>
    <w:rsid w:val="0012138E"/>
    <w:rsid w:val="0012258F"/>
    <w:rsid w:val="0012285E"/>
    <w:rsid w:val="00122A92"/>
    <w:rsid w:val="001239C5"/>
    <w:rsid w:val="0012665B"/>
    <w:rsid w:val="00126B72"/>
    <w:rsid w:val="00130E7C"/>
    <w:rsid w:val="00131558"/>
    <w:rsid w:val="001322CD"/>
    <w:rsid w:val="00132EF5"/>
    <w:rsid w:val="00133394"/>
    <w:rsid w:val="00134332"/>
    <w:rsid w:val="00136650"/>
    <w:rsid w:val="0013694D"/>
    <w:rsid w:val="00136F80"/>
    <w:rsid w:val="001371BB"/>
    <w:rsid w:val="001373D2"/>
    <w:rsid w:val="00137F4F"/>
    <w:rsid w:val="00140AFA"/>
    <w:rsid w:val="00141286"/>
    <w:rsid w:val="00141F40"/>
    <w:rsid w:val="00143DBF"/>
    <w:rsid w:val="00144A25"/>
    <w:rsid w:val="00145769"/>
    <w:rsid w:val="0014591C"/>
    <w:rsid w:val="001459A3"/>
    <w:rsid w:val="00146855"/>
    <w:rsid w:val="00147A2E"/>
    <w:rsid w:val="001511AC"/>
    <w:rsid w:val="00151EE4"/>
    <w:rsid w:val="001522EC"/>
    <w:rsid w:val="001539D8"/>
    <w:rsid w:val="00154D6B"/>
    <w:rsid w:val="00157C8D"/>
    <w:rsid w:val="0016049A"/>
    <w:rsid w:val="0016277F"/>
    <w:rsid w:val="00162F8B"/>
    <w:rsid w:val="001656A7"/>
    <w:rsid w:val="00165D83"/>
    <w:rsid w:val="0016756B"/>
    <w:rsid w:val="00170C8E"/>
    <w:rsid w:val="00170FAA"/>
    <w:rsid w:val="00171DA2"/>
    <w:rsid w:val="001726E4"/>
    <w:rsid w:val="00172A27"/>
    <w:rsid w:val="0017341C"/>
    <w:rsid w:val="001735D5"/>
    <w:rsid w:val="00173732"/>
    <w:rsid w:val="00173744"/>
    <w:rsid w:val="00173952"/>
    <w:rsid w:val="00174508"/>
    <w:rsid w:val="00175AE9"/>
    <w:rsid w:val="00175BE8"/>
    <w:rsid w:val="00176CD0"/>
    <w:rsid w:val="00177AEC"/>
    <w:rsid w:val="0018137B"/>
    <w:rsid w:val="0018213F"/>
    <w:rsid w:val="00183FA7"/>
    <w:rsid w:val="00183FA9"/>
    <w:rsid w:val="00184050"/>
    <w:rsid w:val="001865D0"/>
    <w:rsid w:val="00187089"/>
    <w:rsid w:val="00191744"/>
    <w:rsid w:val="00192DEE"/>
    <w:rsid w:val="00192FE3"/>
    <w:rsid w:val="00194814"/>
    <w:rsid w:val="00196470"/>
    <w:rsid w:val="0019713E"/>
    <w:rsid w:val="001A1307"/>
    <w:rsid w:val="001A4672"/>
    <w:rsid w:val="001A4B9A"/>
    <w:rsid w:val="001A5CDF"/>
    <w:rsid w:val="001A65E0"/>
    <w:rsid w:val="001B0233"/>
    <w:rsid w:val="001B2EC0"/>
    <w:rsid w:val="001B4B9C"/>
    <w:rsid w:val="001B740C"/>
    <w:rsid w:val="001B7F1D"/>
    <w:rsid w:val="001C142C"/>
    <w:rsid w:val="001C17D7"/>
    <w:rsid w:val="001C33A1"/>
    <w:rsid w:val="001C4237"/>
    <w:rsid w:val="001C4E35"/>
    <w:rsid w:val="001C5001"/>
    <w:rsid w:val="001C569B"/>
    <w:rsid w:val="001C625D"/>
    <w:rsid w:val="001C6649"/>
    <w:rsid w:val="001C788E"/>
    <w:rsid w:val="001D1545"/>
    <w:rsid w:val="001D4762"/>
    <w:rsid w:val="001D47CB"/>
    <w:rsid w:val="001D5A74"/>
    <w:rsid w:val="001D5B2B"/>
    <w:rsid w:val="001D6BC4"/>
    <w:rsid w:val="001D7C28"/>
    <w:rsid w:val="001E065D"/>
    <w:rsid w:val="001E1632"/>
    <w:rsid w:val="001E1C1C"/>
    <w:rsid w:val="001E2E40"/>
    <w:rsid w:val="001E30CF"/>
    <w:rsid w:val="001E5096"/>
    <w:rsid w:val="001E5D0A"/>
    <w:rsid w:val="001E5DFB"/>
    <w:rsid w:val="001E65A9"/>
    <w:rsid w:val="001E694E"/>
    <w:rsid w:val="001F1973"/>
    <w:rsid w:val="001F1989"/>
    <w:rsid w:val="001F202C"/>
    <w:rsid w:val="001F28BB"/>
    <w:rsid w:val="001F30C3"/>
    <w:rsid w:val="001F3E82"/>
    <w:rsid w:val="001F488E"/>
    <w:rsid w:val="001F5764"/>
    <w:rsid w:val="001F67D6"/>
    <w:rsid w:val="001F68B7"/>
    <w:rsid w:val="001F72E4"/>
    <w:rsid w:val="0020046A"/>
    <w:rsid w:val="00200F99"/>
    <w:rsid w:val="002029B5"/>
    <w:rsid w:val="00203168"/>
    <w:rsid w:val="00204AA6"/>
    <w:rsid w:val="00204E20"/>
    <w:rsid w:val="0020580A"/>
    <w:rsid w:val="00206A8F"/>
    <w:rsid w:val="00206EF5"/>
    <w:rsid w:val="00210424"/>
    <w:rsid w:val="00211F17"/>
    <w:rsid w:val="00212634"/>
    <w:rsid w:val="002130FE"/>
    <w:rsid w:val="00213F38"/>
    <w:rsid w:val="002152AC"/>
    <w:rsid w:val="00215834"/>
    <w:rsid w:val="00216437"/>
    <w:rsid w:val="00216BA3"/>
    <w:rsid w:val="00217989"/>
    <w:rsid w:val="00220EAF"/>
    <w:rsid w:val="0022181A"/>
    <w:rsid w:val="002239AD"/>
    <w:rsid w:val="002241B8"/>
    <w:rsid w:val="002244C4"/>
    <w:rsid w:val="00230198"/>
    <w:rsid w:val="00231049"/>
    <w:rsid w:val="00233188"/>
    <w:rsid w:val="00233A91"/>
    <w:rsid w:val="00234C8F"/>
    <w:rsid w:val="00235CB0"/>
    <w:rsid w:val="00236BB6"/>
    <w:rsid w:val="00236CC9"/>
    <w:rsid w:val="002378F9"/>
    <w:rsid w:val="00240586"/>
    <w:rsid w:val="00241926"/>
    <w:rsid w:val="002428B7"/>
    <w:rsid w:val="00242E5C"/>
    <w:rsid w:val="002441C4"/>
    <w:rsid w:val="00246833"/>
    <w:rsid w:val="002503DA"/>
    <w:rsid w:val="002504D0"/>
    <w:rsid w:val="002504D2"/>
    <w:rsid w:val="002513C5"/>
    <w:rsid w:val="00251E19"/>
    <w:rsid w:val="002535B8"/>
    <w:rsid w:val="00253E75"/>
    <w:rsid w:val="00254056"/>
    <w:rsid w:val="00254284"/>
    <w:rsid w:val="002553D7"/>
    <w:rsid w:val="00256750"/>
    <w:rsid w:val="00256C1D"/>
    <w:rsid w:val="002572AF"/>
    <w:rsid w:val="00260506"/>
    <w:rsid w:val="002618AA"/>
    <w:rsid w:val="00261966"/>
    <w:rsid w:val="002624BA"/>
    <w:rsid w:val="00262D9E"/>
    <w:rsid w:val="00264AA4"/>
    <w:rsid w:val="00265547"/>
    <w:rsid w:val="00267BEC"/>
    <w:rsid w:val="00270694"/>
    <w:rsid w:val="00270EF3"/>
    <w:rsid w:val="002731D3"/>
    <w:rsid w:val="002732EA"/>
    <w:rsid w:val="00273A2B"/>
    <w:rsid w:val="00275E6B"/>
    <w:rsid w:val="0027783C"/>
    <w:rsid w:val="00277A10"/>
    <w:rsid w:val="00280ED4"/>
    <w:rsid w:val="002811DB"/>
    <w:rsid w:val="002821FC"/>
    <w:rsid w:val="00282663"/>
    <w:rsid w:val="002836F2"/>
    <w:rsid w:val="00287832"/>
    <w:rsid w:val="00291056"/>
    <w:rsid w:val="00292D2B"/>
    <w:rsid w:val="00293D72"/>
    <w:rsid w:val="0029488A"/>
    <w:rsid w:val="002965CB"/>
    <w:rsid w:val="00296C0B"/>
    <w:rsid w:val="002974EB"/>
    <w:rsid w:val="002A0C1E"/>
    <w:rsid w:val="002A2B70"/>
    <w:rsid w:val="002A5815"/>
    <w:rsid w:val="002B0E1C"/>
    <w:rsid w:val="002B148D"/>
    <w:rsid w:val="002B1977"/>
    <w:rsid w:val="002B3819"/>
    <w:rsid w:val="002B4433"/>
    <w:rsid w:val="002B5196"/>
    <w:rsid w:val="002C0089"/>
    <w:rsid w:val="002C0A6B"/>
    <w:rsid w:val="002C11A7"/>
    <w:rsid w:val="002C1D2E"/>
    <w:rsid w:val="002C2096"/>
    <w:rsid w:val="002C2D59"/>
    <w:rsid w:val="002C3B16"/>
    <w:rsid w:val="002C4A6C"/>
    <w:rsid w:val="002C556A"/>
    <w:rsid w:val="002C5685"/>
    <w:rsid w:val="002C67E1"/>
    <w:rsid w:val="002C6869"/>
    <w:rsid w:val="002D081D"/>
    <w:rsid w:val="002D173D"/>
    <w:rsid w:val="002D20E8"/>
    <w:rsid w:val="002D2C29"/>
    <w:rsid w:val="002D57FD"/>
    <w:rsid w:val="002E0738"/>
    <w:rsid w:val="002E19E4"/>
    <w:rsid w:val="002E1C52"/>
    <w:rsid w:val="002E43E8"/>
    <w:rsid w:val="002E473D"/>
    <w:rsid w:val="002E521B"/>
    <w:rsid w:val="002F2E8D"/>
    <w:rsid w:val="002F38E6"/>
    <w:rsid w:val="002F4239"/>
    <w:rsid w:val="002F5B62"/>
    <w:rsid w:val="002F5F31"/>
    <w:rsid w:val="002F72FB"/>
    <w:rsid w:val="003030AA"/>
    <w:rsid w:val="0030362D"/>
    <w:rsid w:val="003041AB"/>
    <w:rsid w:val="0030494E"/>
    <w:rsid w:val="003049E8"/>
    <w:rsid w:val="0030513B"/>
    <w:rsid w:val="00305FB6"/>
    <w:rsid w:val="003072A4"/>
    <w:rsid w:val="0031016A"/>
    <w:rsid w:val="0031121E"/>
    <w:rsid w:val="00311A6C"/>
    <w:rsid w:val="00311B40"/>
    <w:rsid w:val="00311E9F"/>
    <w:rsid w:val="00314C04"/>
    <w:rsid w:val="0031537D"/>
    <w:rsid w:val="003161C8"/>
    <w:rsid w:val="0031633D"/>
    <w:rsid w:val="00316FA1"/>
    <w:rsid w:val="00317F0D"/>
    <w:rsid w:val="00320770"/>
    <w:rsid w:val="003213B6"/>
    <w:rsid w:val="00322EA9"/>
    <w:rsid w:val="003241A1"/>
    <w:rsid w:val="003241E9"/>
    <w:rsid w:val="00326448"/>
    <w:rsid w:val="00326CEE"/>
    <w:rsid w:val="00330EFD"/>
    <w:rsid w:val="00331EAF"/>
    <w:rsid w:val="00332142"/>
    <w:rsid w:val="00332D1D"/>
    <w:rsid w:val="003331CC"/>
    <w:rsid w:val="003332D3"/>
    <w:rsid w:val="003345D8"/>
    <w:rsid w:val="003349DE"/>
    <w:rsid w:val="00335B10"/>
    <w:rsid w:val="00337647"/>
    <w:rsid w:val="003403D5"/>
    <w:rsid w:val="00341FBE"/>
    <w:rsid w:val="00343592"/>
    <w:rsid w:val="003435C6"/>
    <w:rsid w:val="00343D40"/>
    <w:rsid w:val="0034483E"/>
    <w:rsid w:val="00344D49"/>
    <w:rsid w:val="003450C4"/>
    <w:rsid w:val="00346C2A"/>
    <w:rsid w:val="0034738B"/>
    <w:rsid w:val="0035008E"/>
    <w:rsid w:val="00353F09"/>
    <w:rsid w:val="0035409F"/>
    <w:rsid w:val="0035433C"/>
    <w:rsid w:val="00354F52"/>
    <w:rsid w:val="0035541C"/>
    <w:rsid w:val="00355FC1"/>
    <w:rsid w:val="003563AB"/>
    <w:rsid w:val="003578E5"/>
    <w:rsid w:val="00357DB8"/>
    <w:rsid w:val="003606B6"/>
    <w:rsid w:val="00360C31"/>
    <w:rsid w:val="0036280F"/>
    <w:rsid w:val="003629DA"/>
    <w:rsid w:val="00362BEB"/>
    <w:rsid w:val="00362C32"/>
    <w:rsid w:val="003643C9"/>
    <w:rsid w:val="0036790E"/>
    <w:rsid w:val="00370352"/>
    <w:rsid w:val="00372A75"/>
    <w:rsid w:val="003731CC"/>
    <w:rsid w:val="003751AE"/>
    <w:rsid w:val="00375607"/>
    <w:rsid w:val="00381291"/>
    <w:rsid w:val="003812FF"/>
    <w:rsid w:val="00381919"/>
    <w:rsid w:val="0038241A"/>
    <w:rsid w:val="00382F76"/>
    <w:rsid w:val="00384AF9"/>
    <w:rsid w:val="00385146"/>
    <w:rsid w:val="00385907"/>
    <w:rsid w:val="00385F6D"/>
    <w:rsid w:val="00387214"/>
    <w:rsid w:val="00390395"/>
    <w:rsid w:val="00390DF6"/>
    <w:rsid w:val="0039318B"/>
    <w:rsid w:val="003936E2"/>
    <w:rsid w:val="00393DCD"/>
    <w:rsid w:val="00393F97"/>
    <w:rsid w:val="00394C17"/>
    <w:rsid w:val="003961F3"/>
    <w:rsid w:val="00396DAE"/>
    <w:rsid w:val="003A1036"/>
    <w:rsid w:val="003A21BD"/>
    <w:rsid w:val="003A2F4F"/>
    <w:rsid w:val="003A54EE"/>
    <w:rsid w:val="003A7682"/>
    <w:rsid w:val="003B4B84"/>
    <w:rsid w:val="003B5EB2"/>
    <w:rsid w:val="003C1DFA"/>
    <w:rsid w:val="003C3CBB"/>
    <w:rsid w:val="003C4746"/>
    <w:rsid w:val="003C4FF6"/>
    <w:rsid w:val="003C57CF"/>
    <w:rsid w:val="003C62BF"/>
    <w:rsid w:val="003C66BA"/>
    <w:rsid w:val="003C6DD3"/>
    <w:rsid w:val="003C7A6F"/>
    <w:rsid w:val="003D18D4"/>
    <w:rsid w:val="003D1EC9"/>
    <w:rsid w:val="003D1FBC"/>
    <w:rsid w:val="003D5249"/>
    <w:rsid w:val="003D55D9"/>
    <w:rsid w:val="003D6D72"/>
    <w:rsid w:val="003E0BC3"/>
    <w:rsid w:val="003E11BB"/>
    <w:rsid w:val="003E1726"/>
    <w:rsid w:val="003E32AA"/>
    <w:rsid w:val="003E41ED"/>
    <w:rsid w:val="003E66FB"/>
    <w:rsid w:val="003E6702"/>
    <w:rsid w:val="003E70EE"/>
    <w:rsid w:val="003F029F"/>
    <w:rsid w:val="003F0D9E"/>
    <w:rsid w:val="003F23F1"/>
    <w:rsid w:val="003F2857"/>
    <w:rsid w:val="003F5910"/>
    <w:rsid w:val="003F5EAA"/>
    <w:rsid w:val="003F7199"/>
    <w:rsid w:val="003F7DFA"/>
    <w:rsid w:val="0040302C"/>
    <w:rsid w:val="00403982"/>
    <w:rsid w:val="0040398B"/>
    <w:rsid w:val="00404251"/>
    <w:rsid w:val="00405241"/>
    <w:rsid w:val="004052CF"/>
    <w:rsid w:val="00406C38"/>
    <w:rsid w:val="004108FF"/>
    <w:rsid w:val="004116DA"/>
    <w:rsid w:val="004135F3"/>
    <w:rsid w:val="0041482C"/>
    <w:rsid w:val="004159B5"/>
    <w:rsid w:val="00416225"/>
    <w:rsid w:val="00416B3E"/>
    <w:rsid w:val="0041734D"/>
    <w:rsid w:val="00417FEF"/>
    <w:rsid w:val="004205CF"/>
    <w:rsid w:val="00420632"/>
    <w:rsid w:val="00420CBB"/>
    <w:rsid w:val="00420EA1"/>
    <w:rsid w:val="004219E1"/>
    <w:rsid w:val="00421AF0"/>
    <w:rsid w:val="004224B5"/>
    <w:rsid w:val="00422A39"/>
    <w:rsid w:val="00423ED4"/>
    <w:rsid w:val="00424676"/>
    <w:rsid w:val="00425698"/>
    <w:rsid w:val="0042761D"/>
    <w:rsid w:val="00431333"/>
    <w:rsid w:val="00431738"/>
    <w:rsid w:val="0043499D"/>
    <w:rsid w:val="0043755B"/>
    <w:rsid w:val="004414CE"/>
    <w:rsid w:val="0044254E"/>
    <w:rsid w:val="00442BB0"/>
    <w:rsid w:val="00442C77"/>
    <w:rsid w:val="00446458"/>
    <w:rsid w:val="00446C82"/>
    <w:rsid w:val="00447649"/>
    <w:rsid w:val="00450CE1"/>
    <w:rsid w:val="00450FBB"/>
    <w:rsid w:val="0045142A"/>
    <w:rsid w:val="00451AB0"/>
    <w:rsid w:val="00451EA1"/>
    <w:rsid w:val="00451EDD"/>
    <w:rsid w:val="0045250D"/>
    <w:rsid w:val="00452E6A"/>
    <w:rsid w:val="0045313A"/>
    <w:rsid w:val="00453E0F"/>
    <w:rsid w:val="004557EE"/>
    <w:rsid w:val="00455917"/>
    <w:rsid w:val="00455BEE"/>
    <w:rsid w:val="00455F73"/>
    <w:rsid w:val="0045619B"/>
    <w:rsid w:val="004561D2"/>
    <w:rsid w:val="0045729A"/>
    <w:rsid w:val="004573B2"/>
    <w:rsid w:val="0045740E"/>
    <w:rsid w:val="00460BCA"/>
    <w:rsid w:val="0046394E"/>
    <w:rsid w:val="00466178"/>
    <w:rsid w:val="0046672A"/>
    <w:rsid w:val="00467BC8"/>
    <w:rsid w:val="00471AF2"/>
    <w:rsid w:val="00471C1B"/>
    <w:rsid w:val="00472327"/>
    <w:rsid w:val="00473100"/>
    <w:rsid w:val="0047340F"/>
    <w:rsid w:val="004742AB"/>
    <w:rsid w:val="0047475E"/>
    <w:rsid w:val="004753FE"/>
    <w:rsid w:val="0047540A"/>
    <w:rsid w:val="004775EE"/>
    <w:rsid w:val="004814EA"/>
    <w:rsid w:val="00481BDF"/>
    <w:rsid w:val="00481ED2"/>
    <w:rsid w:val="00482CA9"/>
    <w:rsid w:val="0048317C"/>
    <w:rsid w:val="00483712"/>
    <w:rsid w:val="004839C4"/>
    <w:rsid w:val="00483DA8"/>
    <w:rsid w:val="004849EA"/>
    <w:rsid w:val="00486010"/>
    <w:rsid w:val="00486031"/>
    <w:rsid w:val="004871A5"/>
    <w:rsid w:val="004871C3"/>
    <w:rsid w:val="00487D31"/>
    <w:rsid w:val="00490B98"/>
    <w:rsid w:val="004910DB"/>
    <w:rsid w:val="00493619"/>
    <w:rsid w:val="00493D2D"/>
    <w:rsid w:val="00493FDC"/>
    <w:rsid w:val="0049524C"/>
    <w:rsid w:val="00496136"/>
    <w:rsid w:val="00497902"/>
    <w:rsid w:val="004A148E"/>
    <w:rsid w:val="004A28D9"/>
    <w:rsid w:val="004A2D44"/>
    <w:rsid w:val="004A452D"/>
    <w:rsid w:val="004A4774"/>
    <w:rsid w:val="004A4D84"/>
    <w:rsid w:val="004A4F74"/>
    <w:rsid w:val="004A52CE"/>
    <w:rsid w:val="004A5ECA"/>
    <w:rsid w:val="004A7E27"/>
    <w:rsid w:val="004B0086"/>
    <w:rsid w:val="004B01E5"/>
    <w:rsid w:val="004B0ADA"/>
    <w:rsid w:val="004B2896"/>
    <w:rsid w:val="004B2ED9"/>
    <w:rsid w:val="004B45EB"/>
    <w:rsid w:val="004B58E1"/>
    <w:rsid w:val="004C047A"/>
    <w:rsid w:val="004C0618"/>
    <w:rsid w:val="004C1086"/>
    <w:rsid w:val="004C1F26"/>
    <w:rsid w:val="004C3247"/>
    <w:rsid w:val="004D0027"/>
    <w:rsid w:val="004D0DC3"/>
    <w:rsid w:val="004D0EF6"/>
    <w:rsid w:val="004D162B"/>
    <w:rsid w:val="004D1893"/>
    <w:rsid w:val="004D24A6"/>
    <w:rsid w:val="004D2BBC"/>
    <w:rsid w:val="004D37CD"/>
    <w:rsid w:val="004D48E6"/>
    <w:rsid w:val="004E0398"/>
    <w:rsid w:val="004E2A19"/>
    <w:rsid w:val="004E2BFF"/>
    <w:rsid w:val="004E3EE1"/>
    <w:rsid w:val="004E3F4B"/>
    <w:rsid w:val="004E45DA"/>
    <w:rsid w:val="004E46C3"/>
    <w:rsid w:val="004E4A48"/>
    <w:rsid w:val="004E4C6A"/>
    <w:rsid w:val="004E549C"/>
    <w:rsid w:val="004E5A0A"/>
    <w:rsid w:val="004E68F2"/>
    <w:rsid w:val="004E783F"/>
    <w:rsid w:val="004E7B60"/>
    <w:rsid w:val="004F13E6"/>
    <w:rsid w:val="004F24C2"/>
    <w:rsid w:val="004F4CDC"/>
    <w:rsid w:val="004F5771"/>
    <w:rsid w:val="004F59A8"/>
    <w:rsid w:val="004F5BF3"/>
    <w:rsid w:val="004F6A2E"/>
    <w:rsid w:val="005008E7"/>
    <w:rsid w:val="00501597"/>
    <w:rsid w:val="00501AEB"/>
    <w:rsid w:val="005030C9"/>
    <w:rsid w:val="00503B11"/>
    <w:rsid w:val="00504C64"/>
    <w:rsid w:val="00505587"/>
    <w:rsid w:val="0050792D"/>
    <w:rsid w:val="005103B4"/>
    <w:rsid w:val="005105F6"/>
    <w:rsid w:val="00511CB4"/>
    <w:rsid w:val="0051264C"/>
    <w:rsid w:val="00512CB9"/>
    <w:rsid w:val="00512F78"/>
    <w:rsid w:val="0051306F"/>
    <w:rsid w:val="00517AF6"/>
    <w:rsid w:val="005205AE"/>
    <w:rsid w:val="0052160A"/>
    <w:rsid w:val="00522F46"/>
    <w:rsid w:val="00524359"/>
    <w:rsid w:val="00526550"/>
    <w:rsid w:val="00531A11"/>
    <w:rsid w:val="00532AC1"/>
    <w:rsid w:val="005343C7"/>
    <w:rsid w:val="00535531"/>
    <w:rsid w:val="005365D0"/>
    <w:rsid w:val="0053759F"/>
    <w:rsid w:val="005376D9"/>
    <w:rsid w:val="00540EF6"/>
    <w:rsid w:val="0054105C"/>
    <w:rsid w:val="005426B7"/>
    <w:rsid w:val="00542A5B"/>
    <w:rsid w:val="00543BBE"/>
    <w:rsid w:val="00545019"/>
    <w:rsid w:val="005453CD"/>
    <w:rsid w:val="005467EA"/>
    <w:rsid w:val="00546C90"/>
    <w:rsid w:val="005510DF"/>
    <w:rsid w:val="0055146F"/>
    <w:rsid w:val="00553C37"/>
    <w:rsid w:val="0055725B"/>
    <w:rsid w:val="005573DE"/>
    <w:rsid w:val="00557EBF"/>
    <w:rsid w:val="00562C78"/>
    <w:rsid w:val="00564216"/>
    <w:rsid w:val="00564C65"/>
    <w:rsid w:val="00565339"/>
    <w:rsid w:val="005657F7"/>
    <w:rsid w:val="0056737C"/>
    <w:rsid w:val="00571D29"/>
    <w:rsid w:val="00571D89"/>
    <w:rsid w:val="00573230"/>
    <w:rsid w:val="00574C55"/>
    <w:rsid w:val="0057590E"/>
    <w:rsid w:val="00576748"/>
    <w:rsid w:val="00582E64"/>
    <w:rsid w:val="0058371B"/>
    <w:rsid w:val="00584572"/>
    <w:rsid w:val="00584719"/>
    <w:rsid w:val="00584CE2"/>
    <w:rsid w:val="005852BF"/>
    <w:rsid w:val="00585313"/>
    <w:rsid w:val="005866B7"/>
    <w:rsid w:val="00586740"/>
    <w:rsid w:val="00586925"/>
    <w:rsid w:val="00587EA9"/>
    <w:rsid w:val="00594004"/>
    <w:rsid w:val="00594AEC"/>
    <w:rsid w:val="00596893"/>
    <w:rsid w:val="005971F5"/>
    <w:rsid w:val="005975DC"/>
    <w:rsid w:val="005A421C"/>
    <w:rsid w:val="005A571F"/>
    <w:rsid w:val="005A6F7F"/>
    <w:rsid w:val="005A71C4"/>
    <w:rsid w:val="005B12E6"/>
    <w:rsid w:val="005B2A4F"/>
    <w:rsid w:val="005B2C55"/>
    <w:rsid w:val="005B3437"/>
    <w:rsid w:val="005B40EF"/>
    <w:rsid w:val="005C0A65"/>
    <w:rsid w:val="005C0F02"/>
    <w:rsid w:val="005C2DAF"/>
    <w:rsid w:val="005C3DA5"/>
    <w:rsid w:val="005C5A24"/>
    <w:rsid w:val="005C7BDB"/>
    <w:rsid w:val="005D034F"/>
    <w:rsid w:val="005D251A"/>
    <w:rsid w:val="005D2702"/>
    <w:rsid w:val="005D374B"/>
    <w:rsid w:val="005D41EC"/>
    <w:rsid w:val="005D64C1"/>
    <w:rsid w:val="005E1AE7"/>
    <w:rsid w:val="005E2732"/>
    <w:rsid w:val="005E3744"/>
    <w:rsid w:val="005E3C11"/>
    <w:rsid w:val="005E3C25"/>
    <w:rsid w:val="005E41DE"/>
    <w:rsid w:val="005F167D"/>
    <w:rsid w:val="005F1960"/>
    <w:rsid w:val="005F29CF"/>
    <w:rsid w:val="005F3013"/>
    <w:rsid w:val="005F41D4"/>
    <w:rsid w:val="005F4B38"/>
    <w:rsid w:val="005F5C35"/>
    <w:rsid w:val="005F764B"/>
    <w:rsid w:val="00600308"/>
    <w:rsid w:val="00600ECF"/>
    <w:rsid w:val="00601273"/>
    <w:rsid w:val="00601E20"/>
    <w:rsid w:val="006021E4"/>
    <w:rsid w:val="00602903"/>
    <w:rsid w:val="00604A69"/>
    <w:rsid w:val="0060636A"/>
    <w:rsid w:val="00606B92"/>
    <w:rsid w:val="006122A8"/>
    <w:rsid w:val="00613257"/>
    <w:rsid w:val="006160FB"/>
    <w:rsid w:val="006163FD"/>
    <w:rsid w:val="00617D8F"/>
    <w:rsid w:val="006203E3"/>
    <w:rsid w:val="006208E7"/>
    <w:rsid w:val="0062347A"/>
    <w:rsid w:val="00623733"/>
    <w:rsid w:val="00626BF9"/>
    <w:rsid w:val="00626D59"/>
    <w:rsid w:val="0062727B"/>
    <w:rsid w:val="00631900"/>
    <w:rsid w:val="00633AAF"/>
    <w:rsid w:val="006348D7"/>
    <w:rsid w:val="0063551B"/>
    <w:rsid w:val="006366ED"/>
    <w:rsid w:val="00636C89"/>
    <w:rsid w:val="00640467"/>
    <w:rsid w:val="0064063B"/>
    <w:rsid w:val="00641B62"/>
    <w:rsid w:val="00641D17"/>
    <w:rsid w:val="00641F19"/>
    <w:rsid w:val="00643C9F"/>
    <w:rsid w:val="00643DFE"/>
    <w:rsid w:val="00644BBB"/>
    <w:rsid w:val="006456BC"/>
    <w:rsid w:val="00646716"/>
    <w:rsid w:val="006532F2"/>
    <w:rsid w:val="00653A8F"/>
    <w:rsid w:val="0065555C"/>
    <w:rsid w:val="00657B69"/>
    <w:rsid w:val="006608F1"/>
    <w:rsid w:val="00663EBF"/>
    <w:rsid w:val="0066419A"/>
    <w:rsid w:val="00664611"/>
    <w:rsid w:val="006651DF"/>
    <w:rsid w:val="0066691B"/>
    <w:rsid w:val="00667FC0"/>
    <w:rsid w:val="006700CA"/>
    <w:rsid w:val="006701DD"/>
    <w:rsid w:val="006702E6"/>
    <w:rsid w:val="006716A4"/>
    <w:rsid w:val="00672CB5"/>
    <w:rsid w:val="00673031"/>
    <w:rsid w:val="00674039"/>
    <w:rsid w:val="00676067"/>
    <w:rsid w:val="006761BE"/>
    <w:rsid w:val="00676411"/>
    <w:rsid w:val="00676D88"/>
    <w:rsid w:val="0067775F"/>
    <w:rsid w:val="00677B50"/>
    <w:rsid w:val="00681527"/>
    <w:rsid w:val="00682804"/>
    <w:rsid w:val="006833F2"/>
    <w:rsid w:val="00684D7A"/>
    <w:rsid w:val="00686605"/>
    <w:rsid w:val="00687055"/>
    <w:rsid w:val="00690155"/>
    <w:rsid w:val="0069017F"/>
    <w:rsid w:val="006909A4"/>
    <w:rsid w:val="00690C97"/>
    <w:rsid w:val="00692DEA"/>
    <w:rsid w:val="006A04A2"/>
    <w:rsid w:val="006A0B87"/>
    <w:rsid w:val="006A1F25"/>
    <w:rsid w:val="006A24FD"/>
    <w:rsid w:val="006A3395"/>
    <w:rsid w:val="006A3CD2"/>
    <w:rsid w:val="006A4A81"/>
    <w:rsid w:val="006A4DCB"/>
    <w:rsid w:val="006A5852"/>
    <w:rsid w:val="006A64CA"/>
    <w:rsid w:val="006A6C5F"/>
    <w:rsid w:val="006A7106"/>
    <w:rsid w:val="006A726C"/>
    <w:rsid w:val="006A78F4"/>
    <w:rsid w:val="006A7FF9"/>
    <w:rsid w:val="006B0A80"/>
    <w:rsid w:val="006B0C37"/>
    <w:rsid w:val="006B27BC"/>
    <w:rsid w:val="006B32D9"/>
    <w:rsid w:val="006B3754"/>
    <w:rsid w:val="006B3C43"/>
    <w:rsid w:val="006B4299"/>
    <w:rsid w:val="006B4DD9"/>
    <w:rsid w:val="006B5E3D"/>
    <w:rsid w:val="006B6939"/>
    <w:rsid w:val="006B7CCD"/>
    <w:rsid w:val="006C0D0C"/>
    <w:rsid w:val="006C2628"/>
    <w:rsid w:val="006C2CA7"/>
    <w:rsid w:val="006C46A5"/>
    <w:rsid w:val="006C535C"/>
    <w:rsid w:val="006C5E2C"/>
    <w:rsid w:val="006C6025"/>
    <w:rsid w:val="006C6E2A"/>
    <w:rsid w:val="006C7E9F"/>
    <w:rsid w:val="006D007F"/>
    <w:rsid w:val="006D00A2"/>
    <w:rsid w:val="006D139A"/>
    <w:rsid w:val="006D3621"/>
    <w:rsid w:val="006D39AF"/>
    <w:rsid w:val="006D3E2E"/>
    <w:rsid w:val="006D3F87"/>
    <w:rsid w:val="006D5FFC"/>
    <w:rsid w:val="006D6151"/>
    <w:rsid w:val="006D6ECC"/>
    <w:rsid w:val="006D6F58"/>
    <w:rsid w:val="006D7782"/>
    <w:rsid w:val="006E0137"/>
    <w:rsid w:val="006E2116"/>
    <w:rsid w:val="006E4C80"/>
    <w:rsid w:val="006E67FD"/>
    <w:rsid w:val="006F246D"/>
    <w:rsid w:val="006F2AFF"/>
    <w:rsid w:val="006F36A7"/>
    <w:rsid w:val="006F4579"/>
    <w:rsid w:val="006F4815"/>
    <w:rsid w:val="006F5373"/>
    <w:rsid w:val="006F568D"/>
    <w:rsid w:val="006F6077"/>
    <w:rsid w:val="006F6548"/>
    <w:rsid w:val="007002AE"/>
    <w:rsid w:val="00702A4E"/>
    <w:rsid w:val="0070451A"/>
    <w:rsid w:val="00707FFC"/>
    <w:rsid w:val="0071507A"/>
    <w:rsid w:val="00715740"/>
    <w:rsid w:val="007169C9"/>
    <w:rsid w:val="00716B18"/>
    <w:rsid w:val="00717AFA"/>
    <w:rsid w:val="00717EDF"/>
    <w:rsid w:val="0072368D"/>
    <w:rsid w:val="00724E59"/>
    <w:rsid w:val="0072521C"/>
    <w:rsid w:val="007262A5"/>
    <w:rsid w:val="007266FA"/>
    <w:rsid w:val="00730178"/>
    <w:rsid w:val="0073098D"/>
    <w:rsid w:val="0073389B"/>
    <w:rsid w:val="00735285"/>
    <w:rsid w:val="00735A47"/>
    <w:rsid w:val="00736BD9"/>
    <w:rsid w:val="00740FB6"/>
    <w:rsid w:val="00741A4B"/>
    <w:rsid w:val="00743BFB"/>
    <w:rsid w:val="00743CDD"/>
    <w:rsid w:val="00744F9F"/>
    <w:rsid w:val="00746C7D"/>
    <w:rsid w:val="00752FD8"/>
    <w:rsid w:val="00753AC3"/>
    <w:rsid w:val="00754415"/>
    <w:rsid w:val="00754918"/>
    <w:rsid w:val="007561BC"/>
    <w:rsid w:val="007562C0"/>
    <w:rsid w:val="0075649D"/>
    <w:rsid w:val="00756B22"/>
    <w:rsid w:val="0076054A"/>
    <w:rsid w:val="007631D6"/>
    <w:rsid w:val="00765425"/>
    <w:rsid w:val="00766987"/>
    <w:rsid w:val="00766F71"/>
    <w:rsid w:val="007707E5"/>
    <w:rsid w:val="00770E3E"/>
    <w:rsid w:val="00771A85"/>
    <w:rsid w:val="007735D2"/>
    <w:rsid w:val="00773DB2"/>
    <w:rsid w:val="00773ED7"/>
    <w:rsid w:val="007762A0"/>
    <w:rsid w:val="00777DC9"/>
    <w:rsid w:val="007800E3"/>
    <w:rsid w:val="00781C00"/>
    <w:rsid w:val="007825BD"/>
    <w:rsid w:val="00782D2E"/>
    <w:rsid w:val="00783839"/>
    <w:rsid w:val="00783C60"/>
    <w:rsid w:val="00784E05"/>
    <w:rsid w:val="00785124"/>
    <w:rsid w:val="00786CAC"/>
    <w:rsid w:val="00790249"/>
    <w:rsid w:val="00790EE8"/>
    <w:rsid w:val="007912A9"/>
    <w:rsid w:val="00792E6D"/>
    <w:rsid w:val="00794430"/>
    <w:rsid w:val="00794930"/>
    <w:rsid w:val="00796330"/>
    <w:rsid w:val="00797C15"/>
    <w:rsid w:val="00797CED"/>
    <w:rsid w:val="007A1432"/>
    <w:rsid w:val="007A144C"/>
    <w:rsid w:val="007A15CC"/>
    <w:rsid w:val="007A2254"/>
    <w:rsid w:val="007A238B"/>
    <w:rsid w:val="007A371D"/>
    <w:rsid w:val="007A48B6"/>
    <w:rsid w:val="007A4C91"/>
    <w:rsid w:val="007A4DD9"/>
    <w:rsid w:val="007A52A7"/>
    <w:rsid w:val="007A6487"/>
    <w:rsid w:val="007B056B"/>
    <w:rsid w:val="007B12B5"/>
    <w:rsid w:val="007B23A6"/>
    <w:rsid w:val="007B4B07"/>
    <w:rsid w:val="007B51F7"/>
    <w:rsid w:val="007B556D"/>
    <w:rsid w:val="007B5787"/>
    <w:rsid w:val="007B60DB"/>
    <w:rsid w:val="007B70C7"/>
    <w:rsid w:val="007C104E"/>
    <w:rsid w:val="007C1396"/>
    <w:rsid w:val="007C390C"/>
    <w:rsid w:val="007C6F36"/>
    <w:rsid w:val="007C7385"/>
    <w:rsid w:val="007C7C8D"/>
    <w:rsid w:val="007D08E0"/>
    <w:rsid w:val="007D21F8"/>
    <w:rsid w:val="007D22FD"/>
    <w:rsid w:val="007D35A4"/>
    <w:rsid w:val="007D3F11"/>
    <w:rsid w:val="007D4FD8"/>
    <w:rsid w:val="007D511D"/>
    <w:rsid w:val="007D6BCE"/>
    <w:rsid w:val="007D735A"/>
    <w:rsid w:val="007D7EAD"/>
    <w:rsid w:val="007E185D"/>
    <w:rsid w:val="007E3839"/>
    <w:rsid w:val="007E4036"/>
    <w:rsid w:val="007E4A24"/>
    <w:rsid w:val="007E677E"/>
    <w:rsid w:val="007E787F"/>
    <w:rsid w:val="007E7CF7"/>
    <w:rsid w:val="007F0A62"/>
    <w:rsid w:val="007F0CFB"/>
    <w:rsid w:val="007F11E6"/>
    <w:rsid w:val="007F1EE2"/>
    <w:rsid w:val="007F53A2"/>
    <w:rsid w:val="007F7EB0"/>
    <w:rsid w:val="008020EF"/>
    <w:rsid w:val="00803C3D"/>
    <w:rsid w:val="00803EA7"/>
    <w:rsid w:val="008048A1"/>
    <w:rsid w:val="0080520D"/>
    <w:rsid w:val="008054D3"/>
    <w:rsid w:val="00807588"/>
    <w:rsid w:val="008107FD"/>
    <w:rsid w:val="008123A8"/>
    <w:rsid w:val="00815748"/>
    <w:rsid w:val="008170A5"/>
    <w:rsid w:val="00817C39"/>
    <w:rsid w:val="00820D26"/>
    <w:rsid w:val="00820EDB"/>
    <w:rsid w:val="00821E44"/>
    <w:rsid w:val="0082384E"/>
    <w:rsid w:val="00824582"/>
    <w:rsid w:val="008248B8"/>
    <w:rsid w:val="00826E0D"/>
    <w:rsid w:val="0082755B"/>
    <w:rsid w:val="00830B3B"/>
    <w:rsid w:val="00830CFE"/>
    <w:rsid w:val="00834BFC"/>
    <w:rsid w:val="00837DB4"/>
    <w:rsid w:val="00842808"/>
    <w:rsid w:val="00842992"/>
    <w:rsid w:val="00842E04"/>
    <w:rsid w:val="008435D2"/>
    <w:rsid w:val="00850068"/>
    <w:rsid w:val="00850980"/>
    <w:rsid w:val="00850EA7"/>
    <w:rsid w:val="008519B1"/>
    <w:rsid w:val="00852A9D"/>
    <w:rsid w:val="00852D70"/>
    <w:rsid w:val="008547E4"/>
    <w:rsid w:val="00854A51"/>
    <w:rsid w:val="0085512A"/>
    <w:rsid w:val="00856A77"/>
    <w:rsid w:val="00856D0C"/>
    <w:rsid w:val="008574E1"/>
    <w:rsid w:val="00860297"/>
    <w:rsid w:val="008654E5"/>
    <w:rsid w:val="00866100"/>
    <w:rsid w:val="00866CEC"/>
    <w:rsid w:val="00866F94"/>
    <w:rsid w:val="0086736B"/>
    <w:rsid w:val="00867A2C"/>
    <w:rsid w:val="00872A20"/>
    <w:rsid w:val="00876107"/>
    <w:rsid w:val="00880675"/>
    <w:rsid w:val="008826EE"/>
    <w:rsid w:val="00883CB4"/>
    <w:rsid w:val="00883DAC"/>
    <w:rsid w:val="00884336"/>
    <w:rsid w:val="00884ED7"/>
    <w:rsid w:val="00885410"/>
    <w:rsid w:val="00886A09"/>
    <w:rsid w:val="008877E6"/>
    <w:rsid w:val="00891BC9"/>
    <w:rsid w:val="008925E0"/>
    <w:rsid w:val="00892CD5"/>
    <w:rsid w:val="00895F85"/>
    <w:rsid w:val="00897E7F"/>
    <w:rsid w:val="008A1774"/>
    <w:rsid w:val="008A1F90"/>
    <w:rsid w:val="008A2954"/>
    <w:rsid w:val="008A31C2"/>
    <w:rsid w:val="008A389E"/>
    <w:rsid w:val="008A4054"/>
    <w:rsid w:val="008A7B0E"/>
    <w:rsid w:val="008B1078"/>
    <w:rsid w:val="008B308F"/>
    <w:rsid w:val="008B3314"/>
    <w:rsid w:val="008B37A7"/>
    <w:rsid w:val="008B569B"/>
    <w:rsid w:val="008B5FF5"/>
    <w:rsid w:val="008B7BC8"/>
    <w:rsid w:val="008C1617"/>
    <w:rsid w:val="008C2AED"/>
    <w:rsid w:val="008C3887"/>
    <w:rsid w:val="008C4BE0"/>
    <w:rsid w:val="008C502A"/>
    <w:rsid w:val="008C5B81"/>
    <w:rsid w:val="008C6752"/>
    <w:rsid w:val="008D06EC"/>
    <w:rsid w:val="008D0EE0"/>
    <w:rsid w:val="008D35B4"/>
    <w:rsid w:val="008D5D60"/>
    <w:rsid w:val="008D6049"/>
    <w:rsid w:val="008D68A2"/>
    <w:rsid w:val="008E2442"/>
    <w:rsid w:val="008E54C6"/>
    <w:rsid w:val="008E627E"/>
    <w:rsid w:val="008E7358"/>
    <w:rsid w:val="008E7637"/>
    <w:rsid w:val="008F0FDA"/>
    <w:rsid w:val="008F183E"/>
    <w:rsid w:val="008F26DF"/>
    <w:rsid w:val="008F399A"/>
    <w:rsid w:val="008F4A20"/>
    <w:rsid w:val="008F5E17"/>
    <w:rsid w:val="008F6380"/>
    <w:rsid w:val="008F7723"/>
    <w:rsid w:val="008F7FFB"/>
    <w:rsid w:val="00900A3F"/>
    <w:rsid w:val="00900B41"/>
    <w:rsid w:val="00900C0A"/>
    <w:rsid w:val="0090144B"/>
    <w:rsid w:val="00901A5A"/>
    <w:rsid w:val="009020DE"/>
    <w:rsid w:val="00904943"/>
    <w:rsid w:val="00904CF3"/>
    <w:rsid w:val="00905D56"/>
    <w:rsid w:val="00907CBB"/>
    <w:rsid w:val="00911664"/>
    <w:rsid w:val="00912DE4"/>
    <w:rsid w:val="00914581"/>
    <w:rsid w:val="0091614C"/>
    <w:rsid w:val="009169EA"/>
    <w:rsid w:val="00920517"/>
    <w:rsid w:val="00920A68"/>
    <w:rsid w:val="0092139E"/>
    <w:rsid w:val="009239E4"/>
    <w:rsid w:val="00923B8C"/>
    <w:rsid w:val="00924048"/>
    <w:rsid w:val="00924757"/>
    <w:rsid w:val="00925EA7"/>
    <w:rsid w:val="00926C09"/>
    <w:rsid w:val="0093572E"/>
    <w:rsid w:val="0093750D"/>
    <w:rsid w:val="009403DB"/>
    <w:rsid w:val="00941353"/>
    <w:rsid w:val="009414F1"/>
    <w:rsid w:val="0094165B"/>
    <w:rsid w:val="00941894"/>
    <w:rsid w:val="00944504"/>
    <w:rsid w:val="009447EA"/>
    <w:rsid w:val="0094547A"/>
    <w:rsid w:val="00947B77"/>
    <w:rsid w:val="00947E83"/>
    <w:rsid w:val="0095047E"/>
    <w:rsid w:val="0095059F"/>
    <w:rsid w:val="00950B48"/>
    <w:rsid w:val="00951477"/>
    <w:rsid w:val="0095158D"/>
    <w:rsid w:val="009552F2"/>
    <w:rsid w:val="00956173"/>
    <w:rsid w:val="00956C2B"/>
    <w:rsid w:val="00957021"/>
    <w:rsid w:val="009613C1"/>
    <w:rsid w:val="00961944"/>
    <w:rsid w:val="00962115"/>
    <w:rsid w:val="009632B9"/>
    <w:rsid w:val="00964708"/>
    <w:rsid w:val="0096488F"/>
    <w:rsid w:val="0096501A"/>
    <w:rsid w:val="00965521"/>
    <w:rsid w:val="009710DD"/>
    <w:rsid w:val="009710E5"/>
    <w:rsid w:val="009719FA"/>
    <w:rsid w:val="00971D99"/>
    <w:rsid w:val="00972A56"/>
    <w:rsid w:val="00975622"/>
    <w:rsid w:val="00980FEB"/>
    <w:rsid w:val="0098172F"/>
    <w:rsid w:val="00982242"/>
    <w:rsid w:val="009824D2"/>
    <w:rsid w:val="00982BA1"/>
    <w:rsid w:val="00983A88"/>
    <w:rsid w:val="00984CD5"/>
    <w:rsid w:val="00984E40"/>
    <w:rsid w:val="009854A2"/>
    <w:rsid w:val="00985950"/>
    <w:rsid w:val="0098694D"/>
    <w:rsid w:val="009871A1"/>
    <w:rsid w:val="00987596"/>
    <w:rsid w:val="0099167A"/>
    <w:rsid w:val="00991DE0"/>
    <w:rsid w:val="00992214"/>
    <w:rsid w:val="00992485"/>
    <w:rsid w:val="009927EA"/>
    <w:rsid w:val="009947AC"/>
    <w:rsid w:val="00995821"/>
    <w:rsid w:val="00997A62"/>
    <w:rsid w:val="009A1332"/>
    <w:rsid w:val="009A3D70"/>
    <w:rsid w:val="009A5399"/>
    <w:rsid w:val="009A5E44"/>
    <w:rsid w:val="009A729D"/>
    <w:rsid w:val="009A7D4B"/>
    <w:rsid w:val="009B3C65"/>
    <w:rsid w:val="009C04F1"/>
    <w:rsid w:val="009C3085"/>
    <w:rsid w:val="009C36DD"/>
    <w:rsid w:val="009C3FF7"/>
    <w:rsid w:val="009C4EEE"/>
    <w:rsid w:val="009C5D2E"/>
    <w:rsid w:val="009D057B"/>
    <w:rsid w:val="009D0971"/>
    <w:rsid w:val="009D17EE"/>
    <w:rsid w:val="009D1D00"/>
    <w:rsid w:val="009D1E69"/>
    <w:rsid w:val="009D24B2"/>
    <w:rsid w:val="009D320D"/>
    <w:rsid w:val="009D32B5"/>
    <w:rsid w:val="009D331B"/>
    <w:rsid w:val="009D4229"/>
    <w:rsid w:val="009D5675"/>
    <w:rsid w:val="009D5FE7"/>
    <w:rsid w:val="009D65B9"/>
    <w:rsid w:val="009D6A6E"/>
    <w:rsid w:val="009D6D71"/>
    <w:rsid w:val="009E0CDF"/>
    <w:rsid w:val="009E154F"/>
    <w:rsid w:val="009E27C8"/>
    <w:rsid w:val="009E2A60"/>
    <w:rsid w:val="009E3D40"/>
    <w:rsid w:val="009E5614"/>
    <w:rsid w:val="009E6A93"/>
    <w:rsid w:val="009F079D"/>
    <w:rsid w:val="009F0AC5"/>
    <w:rsid w:val="009F0BBE"/>
    <w:rsid w:val="009F110F"/>
    <w:rsid w:val="009F1BA0"/>
    <w:rsid w:val="009F3404"/>
    <w:rsid w:val="009F432B"/>
    <w:rsid w:val="009F4A21"/>
    <w:rsid w:val="009F5350"/>
    <w:rsid w:val="009F5874"/>
    <w:rsid w:val="009F5A1D"/>
    <w:rsid w:val="009F621F"/>
    <w:rsid w:val="009F6976"/>
    <w:rsid w:val="00A005BB"/>
    <w:rsid w:val="00A02365"/>
    <w:rsid w:val="00A039BB"/>
    <w:rsid w:val="00A040CF"/>
    <w:rsid w:val="00A0483D"/>
    <w:rsid w:val="00A04CDC"/>
    <w:rsid w:val="00A05E6E"/>
    <w:rsid w:val="00A06DEC"/>
    <w:rsid w:val="00A12E0E"/>
    <w:rsid w:val="00A13000"/>
    <w:rsid w:val="00A138E9"/>
    <w:rsid w:val="00A13F66"/>
    <w:rsid w:val="00A15A29"/>
    <w:rsid w:val="00A17032"/>
    <w:rsid w:val="00A17B4F"/>
    <w:rsid w:val="00A17E22"/>
    <w:rsid w:val="00A20A82"/>
    <w:rsid w:val="00A2135D"/>
    <w:rsid w:val="00A21FF0"/>
    <w:rsid w:val="00A22433"/>
    <w:rsid w:val="00A22CC7"/>
    <w:rsid w:val="00A2369B"/>
    <w:rsid w:val="00A23CBF"/>
    <w:rsid w:val="00A2477B"/>
    <w:rsid w:val="00A274C4"/>
    <w:rsid w:val="00A27786"/>
    <w:rsid w:val="00A27967"/>
    <w:rsid w:val="00A32D7C"/>
    <w:rsid w:val="00A32EF0"/>
    <w:rsid w:val="00A35458"/>
    <w:rsid w:val="00A36465"/>
    <w:rsid w:val="00A365F0"/>
    <w:rsid w:val="00A36A68"/>
    <w:rsid w:val="00A37C4C"/>
    <w:rsid w:val="00A41ACD"/>
    <w:rsid w:val="00A420B6"/>
    <w:rsid w:val="00A45708"/>
    <w:rsid w:val="00A459CC"/>
    <w:rsid w:val="00A46919"/>
    <w:rsid w:val="00A508AE"/>
    <w:rsid w:val="00A50AAF"/>
    <w:rsid w:val="00A50CFC"/>
    <w:rsid w:val="00A51012"/>
    <w:rsid w:val="00A510B8"/>
    <w:rsid w:val="00A52439"/>
    <w:rsid w:val="00A525FC"/>
    <w:rsid w:val="00A5262D"/>
    <w:rsid w:val="00A5677D"/>
    <w:rsid w:val="00A56860"/>
    <w:rsid w:val="00A60986"/>
    <w:rsid w:val="00A60DE8"/>
    <w:rsid w:val="00A60E8B"/>
    <w:rsid w:val="00A61EFE"/>
    <w:rsid w:val="00A63100"/>
    <w:rsid w:val="00A64366"/>
    <w:rsid w:val="00A64B08"/>
    <w:rsid w:val="00A65085"/>
    <w:rsid w:val="00A65F60"/>
    <w:rsid w:val="00A666B1"/>
    <w:rsid w:val="00A728BB"/>
    <w:rsid w:val="00A72F89"/>
    <w:rsid w:val="00A75E39"/>
    <w:rsid w:val="00A76738"/>
    <w:rsid w:val="00A814EC"/>
    <w:rsid w:val="00A81849"/>
    <w:rsid w:val="00A818B7"/>
    <w:rsid w:val="00A82131"/>
    <w:rsid w:val="00A83B11"/>
    <w:rsid w:val="00A84B67"/>
    <w:rsid w:val="00A859C7"/>
    <w:rsid w:val="00A87D34"/>
    <w:rsid w:val="00A901AD"/>
    <w:rsid w:val="00A9091D"/>
    <w:rsid w:val="00A91640"/>
    <w:rsid w:val="00A92D01"/>
    <w:rsid w:val="00A94C8E"/>
    <w:rsid w:val="00A94CF1"/>
    <w:rsid w:val="00A9672D"/>
    <w:rsid w:val="00A97C92"/>
    <w:rsid w:val="00AA29E1"/>
    <w:rsid w:val="00AA2F21"/>
    <w:rsid w:val="00AA41BA"/>
    <w:rsid w:val="00AA41D7"/>
    <w:rsid w:val="00AA4C91"/>
    <w:rsid w:val="00AA57D6"/>
    <w:rsid w:val="00AA5845"/>
    <w:rsid w:val="00AA5CCD"/>
    <w:rsid w:val="00AA6428"/>
    <w:rsid w:val="00AA6463"/>
    <w:rsid w:val="00AA74F2"/>
    <w:rsid w:val="00AB0538"/>
    <w:rsid w:val="00AB4987"/>
    <w:rsid w:val="00AB4F8B"/>
    <w:rsid w:val="00AB73FB"/>
    <w:rsid w:val="00AC0974"/>
    <w:rsid w:val="00AC0C2C"/>
    <w:rsid w:val="00AC258F"/>
    <w:rsid w:val="00AC2D91"/>
    <w:rsid w:val="00AD0158"/>
    <w:rsid w:val="00AD0593"/>
    <w:rsid w:val="00AD0E11"/>
    <w:rsid w:val="00AD11A4"/>
    <w:rsid w:val="00AD1556"/>
    <w:rsid w:val="00AD1562"/>
    <w:rsid w:val="00AD2495"/>
    <w:rsid w:val="00AD253C"/>
    <w:rsid w:val="00AD2E1F"/>
    <w:rsid w:val="00AD3443"/>
    <w:rsid w:val="00AD346A"/>
    <w:rsid w:val="00AD653A"/>
    <w:rsid w:val="00AD744D"/>
    <w:rsid w:val="00AE1600"/>
    <w:rsid w:val="00AE161E"/>
    <w:rsid w:val="00AE2233"/>
    <w:rsid w:val="00AE3620"/>
    <w:rsid w:val="00AE4E87"/>
    <w:rsid w:val="00AE55FC"/>
    <w:rsid w:val="00AF1204"/>
    <w:rsid w:val="00AF16BD"/>
    <w:rsid w:val="00AF1923"/>
    <w:rsid w:val="00AF371D"/>
    <w:rsid w:val="00AF3CE1"/>
    <w:rsid w:val="00AF4594"/>
    <w:rsid w:val="00AF4928"/>
    <w:rsid w:val="00AF4A60"/>
    <w:rsid w:val="00AF4B6F"/>
    <w:rsid w:val="00AF4C00"/>
    <w:rsid w:val="00AF50E7"/>
    <w:rsid w:val="00AF7244"/>
    <w:rsid w:val="00AF74DA"/>
    <w:rsid w:val="00B002BF"/>
    <w:rsid w:val="00B025DF"/>
    <w:rsid w:val="00B02748"/>
    <w:rsid w:val="00B033D4"/>
    <w:rsid w:val="00B04C3F"/>
    <w:rsid w:val="00B11261"/>
    <w:rsid w:val="00B118EC"/>
    <w:rsid w:val="00B11D50"/>
    <w:rsid w:val="00B122DC"/>
    <w:rsid w:val="00B12374"/>
    <w:rsid w:val="00B13085"/>
    <w:rsid w:val="00B1361E"/>
    <w:rsid w:val="00B14156"/>
    <w:rsid w:val="00B15F7D"/>
    <w:rsid w:val="00B17D18"/>
    <w:rsid w:val="00B223FE"/>
    <w:rsid w:val="00B226B2"/>
    <w:rsid w:val="00B22B06"/>
    <w:rsid w:val="00B22C89"/>
    <w:rsid w:val="00B2587A"/>
    <w:rsid w:val="00B26107"/>
    <w:rsid w:val="00B26E12"/>
    <w:rsid w:val="00B27D64"/>
    <w:rsid w:val="00B317FA"/>
    <w:rsid w:val="00B321CE"/>
    <w:rsid w:val="00B32996"/>
    <w:rsid w:val="00B3378F"/>
    <w:rsid w:val="00B34F30"/>
    <w:rsid w:val="00B35D1A"/>
    <w:rsid w:val="00B35DED"/>
    <w:rsid w:val="00B36BE1"/>
    <w:rsid w:val="00B37CEA"/>
    <w:rsid w:val="00B406EB"/>
    <w:rsid w:val="00B415FE"/>
    <w:rsid w:val="00B4203D"/>
    <w:rsid w:val="00B42098"/>
    <w:rsid w:val="00B42C4B"/>
    <w:rsid w:val="00B42FC4"/>
    <w:rsid w:val="00B44530"/>
    <w:rsid w:val="00B44B0B"/>
    <w:rsid w:val="00B47132"/>
    <w:rsid w:val="00B4727F"/>
    <w:rsid w:val="00B50D6F"/>
    <w:rsid w:val="00B52F6A"/>
    <w:rsid w:val="00B5425C"/>
    <w:rsid w:val="00B55E74"/>
    <w:rsid w:val="00B57BB9"/>
    <w:rsid w:val="00B57C78"/>
    <w:rsid w:val="00B613A8"/>
    <w:rsid w:val="00B6143F"/>
    <w:rsid w:val="00B6222A"/>
    <w:rsid w:val="00B62C9F"/>
    <w:rsid w:val="00B6558A"/>
    <w:rsid w:val="00B65856"/>
    <w:rsid w:val="00B66C2C"/>
    <w:rsid w:val="00B66C2D"/>
    <w:rsid w:val="00B7024F"/>
    <w:rsid w:val="00B70AC9"/>
    <w:rsid w:val="00B7319D"/>
    <w:rsid w:val="00B73AB9"/>
    <w:rsid w:val="00B803CD"/>
    <w:rsid w:val="00B80943"/>
    <w:rsid w:val="00B8191C"/>
    <w:rsid w:val="00B821B7"/>
    <w:rsid w:val="00B82888"/>
    <w:rsid w:val="00B837B4"/>
    <w:rsid w:val="00B8529B"/>
    <w:rsid w:val="00B85B5E"/>
    <w:rsid w:val="00B8645D"/>
    <w:rsid w:val="00B8659E"/>
    <w:rsid w:val="00B86774"/>
    <w:rsid w:val="00B86B96"/>
    <w:rsid w:val="00B872A0"/>
    <w:rsid w:val="00B87343"/>
    <w:rsid w:val="00B878A5"/>
    <w:rsid w:val="00B91CBA"/>
    <w:rsid w:val="00B91DA0"/>
    <w:rsid w:val="00B94311"/>
    <w:rsid w:val="00B94D26"/>
    <w:rsid w:val="00B950CF"/>
    <w:rsid w:val="00B9524E"/>
    <w:rsid w:val="00B970B6"/>
    <w:rsid w:val="00B97B3A"/>
    <w:rsid w:val="00BA111A"/>
    <w:rsid w:val="00BA78A5"/>
    <w:rsid w:val="00BA78FE"/>
    <w:rsid w:val="00BA7B56"/>
    <w:rsid w:val="00BB0704"/>
    <w:rsid w:val="00BB0CF2"/>
    <w:rsid w:val="00BB159C"/>
    <w:rsid w:val="00BB1D9F"/>
    <w:rsid w:val="00BB212B"/>
    <w:rsid w:val="00BB3891"/>
    <w:rsid w:val="00BB4C41"/>
    <w:rsid w:val="00BB52FC"/>
    <w:rsid w:val="00BB6451"/>
    <w:rsid w:val="00BB66EF"/>
    <w:rsid w:val="00BB68B9"/>
    <w:rsid w:val="00BC15C7"/>
    <w:rsid w:val="00BC174B"/>
    <w:rsid w:val="00BC30B2"/>
    <w:rsid w:val="00BC55BC"/>
    <w:rsid w:val="00BC596F"/>
    <w:rsid w:val="00BD082F"/>
    <w:rsid w:val="00BD0A95"/>
    <w:rsid w:val="00BD30A8"/>
    <w:rsid w:val="00BD4949"/>
    <w:rsid w:val="00BD5B7F"/>
    <w:rsid w:val="00BD676C"/>
    <w:rsid w:val="00BD7038"/>
    <w:rsid w:val="00BE07BE"/>
    <w:rsid w:val="00BE30EB"/>
    <w:rsid w:val="00BE7ABB"/>
    <w:rsid w:val="00BE7B07"/>
    <w:rsid w:val="00BF04BD"/>
    <w:rsid w:val="00BF08BE"/>
    <w:rsid w:val="00BF14CE"/>
    <w:rsid w:val="00BF2627"/>
    <w:rsid w:val="00BF39A8"/>
    <w:rsid w:val="00BF3DEB"/>
    <w:rsid w:val="00BF58B7"/>
    <w:rsid w:val="00BF5A0C"/>
    <w:rsid w:val="00BF60DD"/>
    <w:rsid w:val="00BF7EC1"/>
    <w:rsid w:val="00C00708"/>
    <w:rsid w:val="00C018AE"/>
    <w:rsid w:val="00C02813"/>
    <w:rsid w:val="00C02DC9"/>
    <w:rsid w:val="00C032BC"/>
    <w:rsid w:val="00C050C8"/>
    <w:rsid w:val="00C0691D"/>
    <w:rsid w:val="00C1059F"/>
    <w:rsid w:val="00C11110"/>
    <w:rsid w:val="00C11997"/>
    <w:rsid w:val="00C13138"/>
    <w:rsid w:val="00C1451F"/>
    <w:rsid w:val="00C14E86"/>
    <w:rsid w:val="00C15BE3"/>
    <w:rsid w:val="00C1601A"/>
    <w:rsid w:val="00C225EA"/>
    <w:rsid w:val="00C24904"/>
    <w:rsid w:val="00C24DB3"/>
    <w:rsid w:val="00C252C7"/>
    <w:rsid w:val="00C25478"/>
    <w:rsid w:val="00C25488"/>
    <w:rsid w:val="00C25F25"/>
    <w:rsid w:val="00C27AF8"/>
    <w:rsid w:val="00C34008"/>
    <w:rsid w:val="00C34374"/>
    <w:rsid w:val="00C355E4"/>
    <w:rsid w:val="00C36A24"/>
    <w:rsid w:val="00C36A30"/>
    <w:rsid w:val="00C40852"/>
    <w:rsid w:val="00C44BCA"/>
    <w:rsid w:val="00C45079"/>
    <w:rsid w:val="00C45DC2"/>
    <w:rsid w:val="00C46023"/>
    <w:rsid w:val="00C46EFB"/>
    <w:rsid w:val="00C47B51"/>
    <w:rsid w:val="00C51B31"/>
    <w:rsid w:val="00C53306"/>
    <w:rsid w:val="00C542A7"/>
    <w:rsid w:val="00C5497C"/>
    <w:rsid w:val="00C574DC"/>
    <w:rsid w:val="00C600CB"/>
    <w:rsid w:val="00C60FC9"/>
    <w:rsid w:val="00C62FE1"/>
    <w:rsid w:val="00C632A7"/>
    <w:rsid w:val="00C63A98"/>
    <w:rsid w:val="00C66087"/>
    <w:rsid w:val="00C67F7B"/>
    <w:rsid w:val="00C70440"/>
    <w:rsid w:val="00C716A8"/>
    <w:rsid w:val="00C73136"/>
    <w:rsid w:val="00C73A37"/>
    <w:rsid w:val="00C74DC9"/>
    <w:rsid w:val="00C75503"/>
    <w:rsid w:val="00C764A8"/>
    <w:rsid w:val="00C76D05"/>
    <w:rsid w:val="00C81FFD"/>
    <w:rsid w:val="00C825DD"/>
    <w:rsid w:val="00C82970"/>
    <w:rsid w:val="00C82EF5"/>
    <w:rsid w:val="00C82FE1"/>
    <w:rsid w:val="00C84074"/>
    <w:rsid w:val="00C84357"/>
    <w:rsid w:val="00C85869"/>
    <w:rsid w:val="00C860E2"/>
    <w:rsid w:val="00C87A00"/>
    <w:rsid w:val="00C87C67"/>
    <w:rsid w:val="00C9271E"/>
    <w:rsid w:val="00C9272C"/>
    <w:rsid w:val="00C92C3A"/>
    <w:rsid w:val="00C9334A"/>
    <w:rsid w:val="00C93DF4"/>
    <w:rsid w:val="00C951D7"/>
    <w:rsid w:val="00C95555"/>
    <w:rsid w:val="00C96093"/>
    <w:rsid w:val="00C97D58"/>
    <w:rsid w:val="00CA022F"/>
    <w:rsid w:val="00CA222B"/>
    <w:rsid w:val="00CA36A2"/>
    <w:rsid w:val="00CA494F"/>
    <w:rsid w:val="00CA655A"/>
    <w:rsid w:val="00CA75D9"/>
    <w:rsid w:val="00CA780F"/>
    <w:rsid w:val="00CA7FCC"/>
    <w:rsid w:val="00CB0610"/>
    <w:rsid w:val="00CB0BE2"/>
    <w:rsid w:val="00CB2238"/>
    <w:rsid w:val="00CB362E"/>
    <w:rsid w:val="00CB4A54"/>
    <w:rsid w:val="00CB52F8"/>
    <w:rsid w:val="00CB606A"/>
    <w:rsid w:val="00CB63A4"/>
    <w:rsid w:val="00CC0542"/>
    <w:rsid w:val="00CC1DB6"/>
    <w:rsid w:val="00CC239D"/>
    <w:rsid w:val="00CC595E"/>
    <w:rsid w:val="00CC7C3F"/>
    <w:rsid w:val="00CD1BE0"/>
    <w:rsid w:val="00CD3716"/>
    <w:rsid w:val="00CD3C1A"/>
    <w:rsid w:val="00CD6468"/>
    <w:rsid w:val="00CE2DFD"/>
    <w:rsid w:val="00CE42C7"/>
    <w:rsid w:val="00CE430A"/>
    <w:rsid w:val="00CE4E85"/>
    <w:rsid w:val="00CE67D9"/>
    <w:rsid w:val="00CE69EA"/>
    <w:rsid w:val="00CF0390"/>
    <w:rsid w:val="00CF26F3"/>
    <w:rsid w:val="00CF3C7C"/>
    <w:rsid w:val="00CF413D"/>
    <w:rsid w:val="00CF7C62"/>
    <w:rsid w:val="00D00F85"/>
    <w:rsid w:val="00D0178F"/>
    <w:rsid w:val="00D029C6"/>
    <w:rsid w:val="00D04607"/>
    <w:rsid w:val="00D04C67"/>
    <w:rsid w:val="00D068BD"/>
    <w:rsid w:val="00D10238"/>
    <w:rsid w:val="00D1043E"/>
    <w:rsid w:val="00D14531"/>
    <w:rsid w:val="00D15970"/>
    <w:rsid w:val="00D15C11"/>
    <w:rsid w:val="00D172BB"/>
    <w:rsid w:val="00D201DC"/>
    <w:rsid w:val="00D20A78"/>
    <w:rsid w:val="00D21175"/>
    <w:rsid w:val="00D21AF5"/>
    <w:rsid w:val="00D23259"/>
    <w:rsid w:val="00D23869"/>
    <w:rsid w:val="00D238DE"/>
    <w:rsid w:val="00D24B49"/>
    <w:rsid w:val="00D24F7D"/>
    <w:rsid w:val="00D2553D"/>
    <w:rsid w:val="00D25CF2"/>
    <w:rsid w:val="00D31235"/>
    <w:rsid w:val="00D3212F"/>
    <w:rsid w:val="00D3322D"/>
    <w:rsid w:val="00D34590"/>
    <w:rsid w:val="00D36FFD"/>
    <w:rsid w:val="00D370B2"/>
    <w:rsid w:val="00D37301"/>
    <w:rsid w:val="00D40B47"/>
    <w:rsid w:val="00D40E0D"/>
    <w:rsid w:val="00D420B2"/>
    <w:rsid w:val="00D422CF"/>
    <w:rsid w:val="00D423CB"/>
    <w:rsid w:val="00D449AE"/>
    <w:rsid w:val="00D45405"/>
    <w:rsid w:val="00D46EA9"/>
    <w:rsid w:val="00D4735B"/>
    <w:rsid w:val="00D5243C"/>
    <w:rsid w:val="00D52AF4"/>
    <w:rsid w:val="00D5393C"/>
    <w:rsid w:val="00D55CC2"/>
    <w:rsid w:val="00D5648F"/>
    <w:rsid w:val="00D5655C"/>
    <w:rsid w:val="00D56C8A"/>
    <w:rsid w:val="00D57E6C"/>
    <w:rsid w:val="00D62EB4"/>
    <w:rsid w:val="00D63274"/>
    <w:rsid w:val="00D66A93"/>
    <w:rsid w:val="00D672D3"/>
    <w:rsid w:val="00D7050A"/>
    <w:rsid w:val="00D72B33"/>
    <w:rsid w:val="00D72CFC"/>
    <w:rsid w:val="00D7353D"/>
    <w:rsid w:val="00D753D7"/>
    <w:rsid w:val="00D757C2"/>
    <w:rsid w:val="00D75F90"/>
    <w:rsid w:val="00D761B5"/>
    <w:rsid w:val="00D76360"/>
    <w:rsid w:val="00D77EA3"/>
    <w:rsid w:val="00D828F3"/>
    <w:rsid w:val="00D82B46"/>
    <w:rsid w:val="00D82D96"/>
    <w:rsid w:val="00D83728"/>
    <w:rsid w:val="00D837E0"/>
    <w:rsid w:val="00D85735"/>
    <w:rsid w:val="00D87122"/>
    <w:rsid w:val="00D8749E"/>
    <w:rsid w:val="00D87644"/>
    <w:rsid w:val="00D9191C"/>
    <w:rsid w:val="00D9350B"/>
    <w:rsid w:val="00D947F5"/>
    <w:rsid w:val="00D96DC3"/>
    <w:rsid w:val="00D97465"/>
    <w:rsid w:val="00D9774D"/>
    <w:rsid w:val="00D97E26"/>
    <w:rsid w:val="00DA17CB"/>
    <w:rsid w:val="00DA2E53"/>
    <w:rsid w:val="00DA3629"/>
    <w:rsid w:val="00DA4A1C"/>
    <w:rsid w:val="00DA59A9"/>
    <w:rsid w:val="00DA5EDA"/>
    <w:rsid w:val="00DA659B"/>
    <w:rsid w:val="00DA6620"/>
    <w:rsid w:val="00DA7D0F"/>
    <w:rsid w:val="00DB0537"/>
    <w:rsid w:val="00DB0C7C"/>
    <w:rsid w:val="00DB172F"/>
    <w:rsid w:val="00DB27F7"/>
    <w:rsid w:val="00DB2A63"/>
    <w:rsid w:val="00DB2C0A"/>
    <w:rsid w:val="00DB3084"/>
    <w:rsid w:val="00DB34BA"/>
    <w:rsid w:val="00DB3763"/>
    <w:rsid w:val="00DB4F5D"/>
    <w:rsid w:val="00DB53D7"/>
    <w:rsid w:val="00DB66B5"/>
    <w:rsid w:val="00DB77DD"/>
    <w:rsid w:val="00DC0481"/>
    <w:rsid w:val="00DC05D6"/>
    <w:rsid w:val="00DC165A"/>
    <w:rsid w:val="00DC2A47"/>
    <w:rsid w:val="00DC2BDA"/>
    <w:rsid w:val="00DC5125"/>
    <w:rsid w:val="00DC572E"/>
    <w:rsid w:val="00DC5DDB"/>
    <w:rsid w:val="00DC6999"/>
    <w:rsid w:val="00DC6E3F"/>
    <w:rsid w:val="00DD0275"/>
    <w:rsid w:val="00DD09DB"/>
    <w:rsid w:val="00DD3B01"/>
    <w:rsid w:val="00DD5624"/>
    <w:rsid w:val="00DD5D14"/>
    <w:rsid w:val="00DD6693"/>
    <w:rsid w:val="00DD6B6A"/>
    <w:rsid w:val="00DD76B1"/>
    <w:rsid w:val="00DD76BA"/>
    <w:rsid w:val="00DE04F9"/>
    <w:rsid w:val="00DE164D"/>
    <w:rsid w:val="00DE3892"/>
    <w:rsid w:val="00DE5242"/>
    <w:rsid w:val="00DE57A1"/>
    <w:rsid w:val="00DE68B1"/>
    <w:rsid w:val="00DF1919"/>
    <w:rsid w:val="00DF1C0E"/>
    <w:rsid w:val="00DF3720"/>
    <w:rsid w:val="00DF39A5"/>
    <w:rsid w:val="00DF4146"/>
    <w:rsid w:val="00DF4531"/>
    <w:rsid w:val="00DF47E6"/>
    <w:rsid w:val="00DF5E91"/>
    <w:rsid w:val="00DF7947"/>
    <w:rsid w:val="00E00E29"/>
    <w:rsid w:val="00E00EB6"/>
    <w:rsid w:val="00E011D0"/>
    <w:rsid w:val="00E015AC"/>
    <w:rsid w:val="00E03FB0"/>
    <w:rsid w:val="00E040B3"/>
    <w:rsid w:val="00E06382"/>
    <w:rsid w:val="00E12642"/>
    <w:rsid w:val="00E14384"/>
    <w:rsid w:val="00E1721A"/>
    <w:rsid w:val="00E174F6"/>
    <w:rsid w:val="00E2186F"/>
    <w:rsid w:val="00E218DA"/>
    <w:rsid w:val="00E22A51"/>
    <w:rsid w:val="00E23D39"/>
    <w:rsid w:val="00E23F56"/>
    <w:rsid w:val="00E240B2"/>
    <w:rsid w:val="00E25197"/>
    <w:rsid w:val="00E25EDC"/>
    <w:rsid w:val="00E27A78"/>
    <w:rsid w:val="00E27EE9"/>
    <w:rsid w:val="00E30657"/>
    <w:rsid w:val="00E32111"/>
    <w:rsid w:val="00E3222D"/>
    <w:rsid w:val="00E32D91"/>
    <w:rsid w:val="00E32E3B"/>
    <w:rsid w:val="00E34078"/>
    <w:rsid w:val="00E34F5E"/>
    <w:rsid w:val="00E354FA"/>
    <w:rsid w:val="00E35519"/>
    <w:rsid w:val="00E35C7A"/>
    <w:rsid w:val="00E361F3"/>
    <w:rsid w:val="00E366BA"/>
    <w:rsid w:val="00E36D42"/>
    <w:rsid w:val="00E419F5"/>
    <w:rsid w:val="00E43058"/>
    <w:rsid w:val="00E432FB"/>
    <w:rsid w:val="00E43810"/>
    <w:rsid w:val="00E43ABD"/>
    <w:rsid w:val="00E446E8"/>
    <w:rsid w:val="00E44E4B"/>
    <w:rsid w:val="00E456BA"/>
    <w:rsid w:val="00E46368"/>
    <w:rsid w:val="00E504C7"/>
    <w:rsid w:val="00E522AB"/>
    <w:rsid w:val="00E5312B"/>
    <w:rsid w:val="00E549C7"/>
    <w:rsid w:val="00E5543F"/>
    <w:rsid w:val="00E55865"/>
    <w:rsid w:val="00E563D2"/>
    <w:rsid w:val="00E57109"/>
    <w:rsid w:val="00E5763A"/>
    <w:rsid w:val="00E60358"/>
    <w:rsid w:val="00E6095C"/>
    <w:rsid w:val="00E636C3"/>
    <w:rsid w:val="00E647A7"/>
    <w:rsid w:val="00E66C15"/>
    <w:rsid w:val="00E70F31"/>
    <w:rsid w:val="00E71AE3"/>
    <w:rsid w:val="00E71D64"/>
    <w:rsid w:val="00E728B4"/>
    <w:rsid w:val="00E7563F"/>
    <w:rsid w:val="00E80639"/>
    <w:rsid w:val="00E817B4"/>
    <w:rsid w:val="00E82CCD"/>
    <w:rsid w:val="00E83236"/>
    <w:rsid w:val="00E86028"/>
    <w:rsid w:val="00E87044"/>
    <w:rsid w:val="00E87A33"/>
    <w:rsid w:val="00E9004E"/>
    <w:rsid w:val="00E90533"/>
    <w:rsid w:val="00E90C02"/>
    <w:rsid w:val="00E922D6"/>
    <w:rsid w:val="00E923C8"/>
    <w:rsid w:val="00E92545"/>
    <w:rsid w:val="00E925B0"/>
    <w:rsid w:val="00E926D9"/>
    <w:rsid w:val="00E92CC3"/>
    <w:rsid w:val="00E936A5"/>
    <w:rsid w:val="00E93C0C"/>
    <w:rsid w:val="00E95180"/>
    <w:rsid w:val="00E951FB"/>
    <w:rsid w:val="00E96CB3"/>
    <w:rsid w:val="00E97891"/>
    <w:rsid w:val="00EA10FD"/>
    <w:rsid w:val="00EA1BEF"/>
    <w:rsid w:val="00EA3193"/>
    <w:rsid w:val="00EA36BB"/>
    <w:rsid w:val="00EA36F0"/>
    <w:rsid w:val="00EB19CA"/>
    <w:rsid w:val="00EB1C28"/>
    <w:rsid w:val="00EB2C88"/>
    <w:rsid w:val="00EB4664"/>
    <w:rsid w:val="00EB777C"/>
    <w:rsid w:val="00EC093D"/>
    <w:rsid w:val="00EC0B83"/>
    <w:rsid w:val="00EC15E4"/>
    <w:rsid w:val="00EC1889"/>
    <w:rsid w:val="00EC2B44"/>
    <w:rsid w:val="00EC33DC"/>
    <w:rsid w:val="00EC4BB1"/>
    <w:rsid w:val="00EC627A"/>
    <w:rsid w:val="00EC6BCF"/>
    <w:rsid w:val="00ED071D"/>
    <w:rsid w:val="00ED13A3"/>
    <w:rsid w:val="00ED29DF"/>
    <w:rsid w:val="00ED4865"/>
    <w:rsid w:val="00ED4A4A"/>
    <w:rsid w:val="00ED5EFF"/>
    <w:rsid w:val="00ED6FB4"/>
    <w:rsid w:val="00ED73DD"/>
    <w:rsid w:val="00ED7FB6"/>
    <w:rsid w:val="00EE00D6"/>
    <w:rsid w:val="00EE1E23"/>
    <w:rsid w:val="00EE2D15"/>
    <w:rsid w:val="00EE40EA"/>
    <w:rsid w:val="00EE439D"/>
    <w:rsid w:val="00EE706C"/>
    <w:rsid w:val="00EE7410"/>
    <w:rsid w:val="00EE7FC1"/>
    <w:rsid w:val="00EE7FF9"/>
    <w:rsid w:val="00EF0712"/>
    <w:rsid w:val="00EF3333"/>
    <w:rsid w:val="00EF3F11"/>
    <w:rsid w:val="00EF523C"/>
    <w:rsid w:val="00EF600A"/>
    <w:rsid w:val="00F01217"/>
    <w:rsid w:val="00F04909"/>
    <w:rsid w:val="00F04922"/>
    <w:rsid w:val="00F06487"/>
    <w:rsid w:val="00F06605"/>
    <w:rsid w:val="00F1030C"/>
    <w:rsid w:val="00F12CEE"/>
    <w:rsid w:val="00F13785"/>
    <w:rsid w:val="00F139EE"/>
    <w:rsid w:val="00F16085"/>
    <w:rsid w:val="00F17035"/>
    <w:rsid w:val="00F201AD"/>
    <w:rsid w:val="00F2043B"/>
    <w:rsid w:val="00F22A38"/>
    <w:rsid w:val="00F23C05"/>
    <w:rsid w:val="00F23CDC"/>
    <w:rsid w:val="00F26680"/>
    <w:rsid w:val="00F30284"/>
    <w:rsid w:val="00F305DE"/>
    <w:rsid w:val="00F31682"/>
    <w:rsid w:val="00F31A4C"/>
    <w:rsid w:val="00F321BB"/>
    <w:rsid w:val="00F33AA6"/>
    <w:rsid w:val="00F356EF"/>
    <w:rsid w:val="00F35A37"/>
    <w:rsid w:val="00F36400"/>
    <w:rsid w:val="00F37196"/>
    <w:rsid w:val="00F379A3"/>
    <w:rsid w:val="00F40042"/>
    <w:rsid w:val="00F40343"/>
    <w:rsid w:val="00F405A4"/>
    <w:rsid w:val="00F40CFF"/>
    <w:rsid w:val="00F42BB3"/>
    <w:rsid w:val="00F43D8B"/>
    <w:rsid w:val="00F43E46"/>
    <w:rsid w:val="00F44193"/>
    <w:rsid w:val="00F45196"/>
    <w:rsid w:val="00F45D17"/>
    <w:rsid w:val="00F46350"/>
    <w:rsid w:val="00F46559"/>
    <w:rsid w:val="00F46DA0"/>
    <w:rsid w:val="00F47D48"/>
    <w:rsid w:val="00F47DE2"/>
    <w:rsid w:val="00F52D26"/>
    <w:rsid w:val="00F53786"/>
    <w:rsid w:val="00F5590D"/>
    <w:rsid w:val="00F57548"/>
    <w:rsid w:val="00F57F77"/>
    <w:rsid w:val="00F6214E"/>
    <w:rsid w:val="00F6297A"/>
    <w:rsid w:val="00F654FB"/>
    <w:rsid w:val="00F662F9"/>
    <w:rsid w:val="00F6777F"/>
    <w:rsid w:val="00F70077"/>
    <w:rsid w:val="00F7024D"/>
    <w:rsid w:val="00F70ABE"/>
    <w:rsid w:val="00F70D93"/>
    <w:rsid w:val="00F72369"/>
    <w:rsid w:val="00F731F2"/>
    <w:rsid w:val="00F73619"/>
    <w:rsid w:val="00F7413E"/>
    <w:rsid w:val="00F75719"/>
    <w:rsid w:val="00F75F01"/>
    <w:rsid w:val="00F76DA0"/>
    <w:rsid w:val="00F773A2"/>
    <w:rsid w:val="00F8236C"/>
    <w:rsid w:val="00F83772"/>
    <w:rsid w:val="00F84B61"/>
    <w:rsid w:val="00F87A7E"/>
    <w:rsid w:val="00F87F79"/>
    <w:rsid w:val="00F9036D"/>
    <w:rsid w:val="00F90985"/>
    <w:rsid w:val="00F91BA9"/>
    <w:rsid w:val="00F9582B"/>
    <w:rsid w:val="00FA0695"/>
    <w:rsid w:val="00FA1335"/>
    <w:rsid w:val="00FA17F5"/>
    <w:rsid w:val="00FA18EE"/>
    <w:rsid w:val="00FA2A36"/>
    <w:rsid w:val="00FA2AD2"/>
    <w:rsid w:val="00FA4E01"/>
    <w:rsid w:val="00FA530C"/>
    <w:rsid w:val="00FA54BF"/>
    <w:rsid w:val="00FA5B82"/>
    <w:rsid w:val="00FA7F34"/>
    <w:rsid w:val="00FB0B46"/>
    <w:rsid w:val="00FB1944"/>
    <w:rsid w:val="00FB23EE"/>
    <w:rsid w:val="00FB2677"/>
    <w:rsid w:val="00FB29B2"/>
    <w:rsid w:val="00FB2C15"/>
    <w:rsid w:val="00FB304F"/>
    <w:rsid w:val="00FB3411"/>
    <w:rsid w:val="00FB4AED"/>
    <w:rsid w:val="00FB625B"/>
    <w:rsid w:val="00FB6275"/>
    <w:rsid w:val="00FB6AFE"/>
    <w:rsid w:val="00FC1343"/>
    <w:rsid w:val="00FC2236"/>
    <w:rsid w:val="00FC5769"/>
    <w:rsid w:val="00FC6190"/>
    <w:rsid w:val="00FC6F07"/>
    <w:rsid w:val="00FD0567"/>
    <w:rsid w:val="00FD2039"/>
    <w:rsid w:val="00FD25AC"/>
    <w:rsid w:val="00FD3753"/>
    <w:rsid w:val="00FD4990"/>
    <w:rsid w:val="00FD5317"/>
    <w:rsid w:val="00FE0144"/>
    <w:rsid w:val="00FE09A1"/>
    <w:rsid w:val="00FE102B"/>
    <w:rsid w:val="00FE1432"/>
    <w:rsid w:val="00FE2407"/>
    <w:rsid w:val="00FE2A4B"/>
    <w:rsid w:val="00FE2EAF"/>
    <w:rsid w:val="00FE39A1"/>
    <w:rsid w:val="00FE4933"/>
    <w:rsid w:val="00FE5554"/>
    <w:rsid w:val="00FE670B"/>
    <w:rsid w:val="00FF1692"/>
    <w:rsid w:val="00FF1A2F"/>
    <w:rsid w:val="00FF1ADA"/>
    <w:rsid w:val="00FF1DD8"/>
    <w:rsid w:val="00FF2D06"/>
    <w:rsid w:val="00FF3660"/>
    <w:rsid w:val="00FF36F7"/>
    <w:rsid w:val="00FF3AC6"/>
    <w:rsid w:val="00FF43FA"/>
    <w:rsid w:val="00FF5155"/>
    <w:rsid w:val="00FF63C2"/>
    <w:rsid w:val="010D56F6"/>
    <w:rsid w:val="011C6C96"/>
    <w:rsid w:val="016109F9"/>
    <w:rsid w:val="01674F12"/>
    <w:rsid w:val="01B95202"/>
    <w:rsid w:val="022D5222"/>
    <w:rsid w:val="02AA5907"/>
    <w:rsid w:val="02AD2317"/>
    <w:rsid w:val="02C26676"/>
    <w:rsid w:val="02EF53FF"/>
    <w:rsid w:val="036C4781"/>
    <w:rsid w:val="036E4475"/>
    <w:rsid w:val="03864ACE"/>
    <w:rsid w:val="03C235DE"/>
    <w:rsid w:val="04670F3E"/>
    <w:rsid w:val="050B5EED"/>
    <w:rsid w:val="05620CAF"/>
    <w:rsid w:val="056445BF"/>
    <w:rsid w:val="056E04F4"/>
    <w:rsid w:val="05C0677D"/>
    <w:rsid w:val="05C513B3"/>
    <w:rsid w:val="065E02D4"/>
    <w:rsid w:val="06751294"/>
    <w:rsid w:val="068B548D"/>
    <w:rsid w:val="068F66EE"/>
    <w:rsid w:val="06EB03F8"/>
    <w:rsid w:val="077F5B7C"/>
    <w:rsid w:val="07A62BCA"/>
    <w:rsid w:val="07F76D0F"/>
    <w:rsid w:val="092B41DA"/>
    <w:rsid w:val="09417AAA"/>
    <w:rsid w:val="0A0657CE"/>
    <w:rsid w:val="0A1C3878"/>
    <w:rsid w:val="0A4309EC"/>
    <w:rsid w:val="0A96361D"/>
    <w:rsid w:val="0AA92F3C"/>
    <w:rsid w:val="0AB71D36"/>
    <w:rsid w:val="0ABB2AAC"/>
    <w:rsid w:val="0ACE0CE7"/>
    <w:rsid w:val="0AF1173E"/>
    <w:rsid w:val="0B5A64AE"/>
    <w:rsid w:val="0B813B6C"/>
    <w:rsid w:val="0BA41515"/>
    <w:rsid w:val="0BA45BD5"/>
    <w:rsid w:val="0BE84283"/>
    <w:rsid w:val="0C0A418C"/>
    <w:rsid w:val="0C504CE9"/>
    <w:rsid w:val="0C9A5E1F"/>
    <w:rsid w:val="0CF31EFD"/>
    <w:rsid w:val="0D313964"/>
    <w:rsid w:val="0D3C296E"/>
    <w:rsid w:val="0D3E11BD"/>
    <w:rsid w:val="0D5151A2"/>
    <w:rsid w:val="0DBF6C6F"/>
    <w:rsid w:val="0DD9188C"/>
    <w:rsid w:val="0DE22D31"/>
    <w:rsid w:val="0DFF1811"/>
    <w:rsid w:val="0E192FC0"/>
    <w:rsid w:val="0E4F41F1"/>
    <w:rsid w:val="0E581025"/>
    <w:rsid w:val="0F4B6CF6"/>
    <w:rsid w:val="0F9B6A7C"/>
    <w:rsid w:val="0FB37906"/>
    <w:rsid w:val="0FC32D00"/>
    <w:rsid w:val="100C32DF"/>
    <w:rsid w:val="10144369"/>
    <w:rsid w:val="10814812"/>
    <w:rsid w:val="11454682"/>
    <w:rsid w:val="11780129"/>
    <w:rsid w:val="11C450F1"/>
    <w:rsid w:val="11D752DC"/>
    <w:rsid w:val="12480963"/>
    <w:rsid w:val="12A42911"/>
    <w:rsid w:val="12B85A6A"/>
    <w:rsid w:val="12BE2EC3"/>
    <w:rsid w:val="12F94FEA"/>
    <w:rsid w:val="138A0588"/>
    <w:rsid w:val="139B15BC"/>
    <w:rsid w:val="13A75008"/>
    <w:rsid w:val="13BC0D30"/>
    <w:rsid w:val="13EF06E1"/>
    <w:rsid w:val="142928B3"/>
    <w:rsid w:val="1451472D"/>
    <w:rsid w:val="14850D85"/>
    <w:rsid w:val="14ED5F0F"/>
    <w:rsid w:val="152264A0"/>
    <w:rsid w:val="1538109F"/>
    <w:rsid w:val="15470661"/>
    <w:rsid w:val="15580BD1"/>
    <w:rsid w:val="15725FCC"/>
    <w:rsid w:val="15B0222F"/>
    <w:rsid w:val="15DD0FCD"/>
    <w:rsid w:val="15F97456"/>
    <w:rsid w:val="15FE19F1"/>
    <w:rsid w:val="16274A1C"/>
    <w:rsid w:val="163A46EF"/>
    <w:rsid w:val="166D63C4"/>
    <w:rsid w:val="16EF0D7B"/>
    <w:rsid w:val="177C2B39"/>
    <w:rsid w:val="17990006"/>
    <w:rsid w:val="17B57278"/>
    <w:rsid w:val="17DD456B"/>
    <w:rsid w:val="185571E6"/>
    <w:rsid w:val="189F0959"/>
    <w:rsid w:val="18A412A6"/>
    <w:rsid w:val="18B11BAE"/>
    <w:rsid w:val="18B218DC"/>
    <w:rsid w:val="193A7CBC"/>
    <w:rsid w:val="194E53D0"/>
    <w:rsid w:val="1A154859"/>
    <w:rsid w:val="1A297349"/>
    <w:rsid w:val="1A441638"/>
    <w:rsid w:val="1A7D59E4"/>
    <w:rsid w:val="1ABD21F7"/>
    <w:rsid w:val="1AC969B0"/>
    <w:rsid w:val="1B867718"/>
    <w:rsid w:val="1BD2436F"/>
    <w:rsid w:val="1BF13E80"/>
    <w:rsid w:val="1C26480E"/>
    <w:rsid w:val="1C354502"/>
    <w:rsid w:val="1C590B37"/>
    <w:rsid w:val="1C660FE6"/>
    <w:rsid w:val="1CDB35F9"/>
    <w:rsid w:val="1CFD2EBA"/>
    <w:rsid w:val="1D110E1F"/>
    <w:rsid w:val="1D2742B4"/>
    <w:rsid w:val="1D3344B4"/>
    <w:rsid w:val="1D7F1C41"/>
    <w:rsid w:val="1DE21A32"/>
    <w:rsid w:val="1DEA460B"/>
    <w:rsid w:val="1E451FF1"/>
    <w:rsid w:val="1E751CB0"/>
    <w:rsid w:val="1EE61B62"/>
    <w:rsid w:val="1F5549D2"/>
    <w:rsid w:val="1F5835EA"/>
    <w:rsid w:val="1F627C8E"/>
    <w:rsid w:val="1F692668"/>
    <w:rsid w:val="1F8033A4"/>
    <w:rsid w:val="1FDD1017"/>
    <w:rsid w:val="2003101C"/>
    <w:rsid w:val="206516DB"/>
    <w:rsid w:val="21A1484E"/>
    <w:rsid w:val="21AF21C4"/>
    <w:rsid w:val="21D811EE"/>
    <w:rsid w:val="21DE4F22"/>
    <w:rsid w:val="21E90FA6"/>
    <w:rsid w:val="2243752D"/>
    <w:rsid w:val="228B6274"/>
    <w:rsid w:val="22F40C4C"/>
    <w:rsid w:val="23314876"/>
    <w:rsid w:val="237136F2"/>
    <w:rsid w:val="239561C2"/>
    <w:rsid w:val="24676AAE"/>
    <w:rsid w:val="24831999"/>
    <w:rsid w:val="24BD4F9E"/>
    <w:rsid w:val="24DF4289"/>
    <w:rsid w:val="24E145B8"/>
    <w:rsid w:val="256E1B9A"/>
    <w:rsid w:val="25A96290"/>
    <w:rsid w:val="25AA4ACE"/>
    <w:rsid w:val="25D640EC"/>
    <w:rsid w:val="25DA196D"/>
    <w:rsid w:val="2640262B"/>
    <w:rsid w:val="26660ACC"/>
    <w:rsid w:val="26CF6D0D"/>
    <w:rsid w:val="27105D19"/>
    <w:rsid w:val="275E299B"/>
    <w:rsid w:val="27A84349"/>
    <w:rsid w:val="27AC39BE"/>
    <w:rsid w:val="27DA3B1D"/>
    <w:rsid w:val="281449FD"/>
    <w:rsid w:val="282A4288"/>
    <w:rsid w:val="2833459F"/>
    <w:rsid w:val="285A62E8"/>
    <w:rsid w:val="29A43147"/>
    <w:rsid w:val="29E14C6F"/>
    <w:rsid w:val="29E739F3"/>
    <w:rsid w:val="2A297DB1"/>
    <w:rsid w:val="2A4D6F54"/>
    <w:rsid w:val="2A993132"/>
    <w:rsid w:val="2B3577F1"/>
    <w:rsid w:val="2B58020F"/>
    <w:rsid w:val="2B9930A1"/>
    <w:rsid w:val="2BEA0143"/>
    <w:rsid w:val="2BF77149"/>
    <w:rsid w:val="2BFD7DB0"/>
    <w:rsid w:val="2C102BD3"/>
    <w:rsid w:val="2C201900"/>
    <w:rsid w:val="2C3B3037"/>
    <w:rsid w:val="2C56385E"/>
    <w:rsid w:val="2C8479E7"/>
    <w:rsid w:val="2CB272C8"/>
    <w:rsid w:val="2CB502E5"/>
    <w:rsid w:val="2CF3687A"/>
    <w:rsid w:val="2D2B23E0"/>
    <w:rsid w:val="2D2F58F3"/>
    <w:rsid w:val="2D784FE7"/>
    <w:rsid w:val="2D9B2F9A"/>
    <w:rsid w:val="2DC542C1"/>
    <w:rsid w:val="2E684801"/>
    <w:rsid w:val="2EA52367"/>
    <w:rsid w:val="2EAC3436"/>
    <w:rsid w:val="2EC23DBB"/>
    <w:rsid w:val="2ED2455D"/>
    <w:rsid w:val="2F12370E"/>
    <w:rsid w:val="2F156FB0"/>
    <w:rsid w:val="2F7E1B39"/>
    <w:rsid w:val="2FA2190A"/>
    <w:rsid w:val="2FF70596"/>
    <w:rsid w:val="2FFF0CE3"/>
    <w:rsid w:val="30383C45"/>
    <w:rsid w:val="30AB4443"/>
    <w:rsid w:val="30B310C4"/>
    <w:rsid w:val="30CB4551"/>
    <w:rsid w:val="31074DDC"/>
    <w:rsid w:val="31085C5D"/>
    <w:rsid w:val="313B6DCD"/>
    <w:rsid w:val="318522DE"/>
    <w:rsid w:val="31D26B3C"/>
    <w:rsid w:val="329B602E"/>
    <w:rsid w:val="32B5511A"/>
    <w:rsid w:val="32C11286"/>
    <w:rsid w:val="32C22FD0"/>
    <w:rsid w:val="3310087E"/>
    <w:rsid w:val="33780B8B"/>
    <w:rsid w:val="3389431D"/>
    <w:rsid w:val="33B647EC"/>
    <w:rsid w:val="340E5C01"/>
    <w:rsid w:val="34357298"/>
    <w:rsid w:val="344F3FD1"/>
    <w:rsid w:val="34F7370A"/>
    <w:rsid w:val="35343BB6"/>
    <w:rsid w:val="35412301"/>
    <w:rsid w:val="35840D36"/>
    <w:rsid w:val="358B320D"/>
    <w:rsid w:val="359579E2"/>
    <w:rsid w:val="35DD0E14"/>
    <w:rsid w:val="35F619D9"/>
    <w:rsid w:val="360D5E00"/>
    <w:rsid w:val="362C64CB"/>
    <w:rsid w:val="363139B1"/>
    <w:rsid w:val="371511D1"/>
    <w:rsid w:val="374C1E02"/>
    <w:rsid w:val="379154B7"/>
    <w:rsid w:val="37916109"/>
    <w:rsid w:val="37A51DD4"/>
    <w:rsid w:val="37EA06CE"/>
    <w:rsid w:val="37F04EED"/>
    <w:rsid w:val="384A488E"/>
    <w:rsid w:val="38D17128"/>
    <w:rsid w:val="38DC2FFA"/>
    <w:rsid w:val="39527DA9"/>
    <w:rsid w:val="39A063D8"/>
    <w:rsid w:val="39A60313"/>
    <w:rsid w:val="3A4203D5"/>
    <w:rsid w:val="3A497825"/>
    <w:rsid w:val="3A6825C4"/>
    <w:rsid w:val="3A9D2B7C"/>
    <w:rsid w:val="3AA91409"/>
    <w:rsid w:val="3AE310EF"/>
    <w:rsid w:val="3AFE3F5D"/>
    <w:rsid w:val="3B767359"/>
    <w:rsid w:val="3B7E5C19"/>
    <w:rsid w:val="3C35030C"/>
    <w:rsid w:val="3CFC7B37"/>
    <w:rsid w:val="3D1B3808"/>
    <w:rsid w:val="3D3F2C80"/>
    <w:rsid w:val="3E3878E7"/>
    <w:rsid w:val="3EAA5354"/>
    <w:rsid w:val="3EC01D26"/>
    <w:rsid w:val="3FAE6FDD"/>
    <w:rsid w:val="3FBA59B4"/>
    <w:rsid w:val="3FE93AD3"/>
    <w:rsid w:val="402708E0"/>
    <w:rsid w:val="403F3A2B"/>
    <w:rsid w:val="404729CE"/>
    <w:rsid w:val="406148FC"/>
    <w:rsid w:val="40912B20"/>
    <w:rsid w:val="40937DD5"/>
    <w:rsid w:val="40975AA3"/>
    <w:rsid w:val="413E24D7"/>
    <w:rsid w:val="418D2F4E"/>
    <w:rsid w:val="41997F9B"/>
    <w:rsid w:val="41BB6CFE"/>
    <w:rsid w:val="41D06A70"/>
    <w:rsid w:val="41EE707F"/>
    <w:rsid w:val="420607A3"/>
    <w:rsid w:val="42786FD6"/>
    <w:rsid w:val="42A86197"/>
    <w:rsid w:val="42B4704E"/>
    <w:rsid w:val="42E967CD"/>
    <w:rsid w:val="43644072"/>
    <w:rsid w:val="43DD0440"/>
    <w:rsid w:val="440032D1"/>
    <w:rsid w:val="44DD2D36"/>
    <w:rsid w:val="45214666"/>
    <w:rsid w:val="453643D7"/>
    <w:rsid w:val="456E2424"/>
    <w:rsid w:val="45743597"/>
    <w:rsid w:val="45983FEF"/>
    <w:rsid w:val="459A5B2F"/>
    <w:rsid w:val="46876507"/>
    <w:rsid w:val="46CB4655"/>
    <w:rsid w:val="47115E78"/>
    <w:rsid w:val="474E4474"/>
    <w:rsid w:val="47A9632D"/>
    <w:rsid w:val="47AD7126"/>
    <w:rsid w:val="47AE4EA9"/>
    <w:rsid w:val="484159A3"/>
    <w:rsid w:val="48435957"/>
    <w:rsid w:val="488D2220"/>
    <w:rsid w:val="48A04C5B"/>
    <w:rsid w:val="49141183"/>
    <w:rsid w:val="49A7374A"/>
    <w:rsid w:val="49E039C9"/>
    <w:rsid w:val="49F3182A"/>
    <w:rsid w:val="4A3046C0"/>
    <w:rsid w:val="4A964CD5"/>
    <w:rsid w:val="4AA62C84"/>
    <w:rsid w:val="4AAB2150"/>
    <w:rsid w:val="4AD03963"/>
    <w:rsid w:val="4B0B25E4"/>
    <w:rsid w:val="4B0E095E"/>
    <w:rsid w:val="4B8A4BA6"/>
    <w:rsid w:val="4C012C52"/>
    <w:rsid w:val="4C5E7A00"/>
    <w:rsid w:val="4C7D448F"/>
    <w:rsid w:val="4C7D6862"/>
    <w:rsid w:val="4C882AB7"/>
    <w:rsid w:val="4CAA289B"/>
    <w:rsid w:val="4CD40A76"/>
    <w:rsid w:val="4D233424"/>
    <w:rsid w:val="4D2F451A"/>
    <w:rsid w:val="4D38495C"/>
    <w:rsid w:val="4D9A7C68"/>
    <w:rsid w:val="4DDD4A81"/>
    <w:rsid w:val="4E055816"/>
    <w:rsid w:val="4E1A224C"/>
    <w:rsid w:val="4E537B23"/>
    <w:rsid w:val="4E727667"/>
    <w:rsid w:val="4E8B2D9A"/>
    <w:rsid w:val="4EB737CC"/>
    <w:rsid w:val="4EC54366"/>
    <w:rsid w:val="4F643BFF"/>
    <w:rsid w:val="4F715BB4"/>
    <w:rsid w:val="4FB775CF"/>
    <w:rsid w:val="4FEC0D32"/>
    <w:rsid w:val="50292D76"/>
    <w:rsid w:val="50A53401"/>
    <w:rsid w:val="50AE2508"/>
    <w:rsid w:val="50BF03A1"/>
    <w:rsid w:val="50DA037B"/>
    <w:rsid w:val="514F1D64"/>
    <w:rsid w:val="51565696"/>
    <w:rsid w:val="51A972AE"/>
    <w:rsid w:val="51DA3FDA"/>
    <w:rsid w:val="52870956"/>
    <w:rsid w:val="528D52C6"/>
    <w:rsid w:val="52A745ED"/>
    <w:rsid w:val="52B60C4B"/>
    <w:rsid w:val="52BF6E9E"/>
    <w:rsid w:val="5304324A"/>
    <w:rsid w:val="536A3CCC"/>
    <w:rsid w:val="537F0EC3"/>
    <w:rsid w:val="54007FA4"/>
    <w:rsid w:val="54021074"/>
    <w:rsid w:val="54341328"/>
    <w:rsid w:val="5459343F"/>
    <w:rsid w:val="54F60102"/>
    <w:rsid w:val="558473AD"/>
    <w:rsid w:val="55B74AE4"/>
    <w:rsid w:val="55CA3608"/>
    <w:rsid w:val="55CC631C"/>
    <w:rsid w:val="55EB6583"/>
    <w:rsid w:val="566C3905"/>
    <w:rsid w:val="568227B9"/>
    <w:rsid w:val="56C862E0"/>
    <w:rsid w:val="570C4A79"/>
    <w:rsid w:val="571C1CE3"/>
    <w:rsid w:val="57545E6F"/>
    <w:rsid w:val="57AD1029"/>
    <w:rsid w:val="57FF62F1"/>
    <w:rsid w:val="58275B9D"/>
    <w:rsid w:val="583F7AB7"/>
    <w:rsid w:val="584123BD"/>
    <w:rsid w:val="5929470B"/>
    <w:rsid w:val="5989178E"/>
    <w:rsid w:val="599844C5"/>
    <w:rsid w:val="59E26435"/>
    <w:rsid w:val="59ED03CE"/>
    <w:rsid w:val="59F82BF2"/>
    <w:rsid w:val="5B2D0F87"/>
    <w:rsid w:val="5B321DD4"/>
    <w:rsid w:val="5B6713F1"/>
    <w:rsid w:val="5B6C356E"/>
    <w:rsid w:val="5B882968"/>
    <w:rsid w:val="5BAB7D34"/>
    <w:rsid w:val="5BEF77D5"/>
    <w:rsid w:val="5C191F1D"/>
    <w:rsid w:val="5CBC3BF9"/>
    <w:rsid w:val="5CCD5006"/>
    <w:rsid w:val="5CE31AC5"/>
    <w:rsid w:val="5D113415"/>
    <w:rsid w:val="5D1751E8"/>
    <w:rsid w:val="5D1F36BC"/>
    <w:rsid w:val="5DF12F02"/>
    <w:rsid w:val="5E152749"/>
    <w:rsid w:val="5E254563"/>
    <w:rsid w:val="5E290B09"/>
    <w:rsid w:val="5EA9402D"/>
    <w:rsid w:val="5ED71FB3"/>
    <w:rsid w:val="5EE3524F"/>
    <w:rsid w:val="5F14325A"/>
    <w:rsid w:val="5FA81B24"/>
    <w:rsid w:val="5FE76120"/>
    <w:rsid w:val="60355A4F"/>
    <w:rsid w:val="60462BFF"/>
    <w:rsid w:val="60DF382F"/>
    <w:rsid w:val="60E93D80"/>
    <w:rsid w:val="610D750D"/>
    <w:rsid w:val="61144C7B"/>
    <w:rsid w:val="611C626E"/>
    <w:rsid w:val="613E28F2"/>
    <w:rsid w:val="61565891"/>
    <w:rsid w:val="6187276C"/>
    <w:rsid w:val="61F62B43"/>
    <w:rsid w:val="623321C6"/>
    <w:rsid w:val="62352B70"/>
    <w:rsid w:val="62D17D7B"/>
    <w:rsid w:val="62F963EF"/>
    <w:rsid w:val="636A2114"/>
    <w:rsid w:val="63CF0C0D"/>
    <w:rsid w:val="6419158E"/>
    <w:rsid w:val="64291701"/>
    <w:rsid w:val="64ED0DBE"/>
    <w:rsid w:val="64F54D04"/>
    <w:rsid w:val="656D1BFB"/>
    <w:rsid w:val="659706E2"/>
    <w:rsid w:val="65A272A8"/>
    <w:rsid w:val="65F539CC"/>
    <w:rsid w:val="664C29E9"/>
    <w:rsid w:val="66781968"/>
    <w:rsid w:val="668E216A"/>
    <w:rsid w:val="673254C1"/>
    <w:rsid w:val="673463BA"/>
    <w:rsid w:val="674F2FBF"/>
    <w:rsid w:val="67A55AE7"/>
    <w:rsid w:val="67C24F62"/>
    <w:rsid w:val="67CF3EF5"/>
    <w:rsid w:val="682D527B"/>
    <w:rsid w:val="686C407A"/>
    <w:rsid w:val="689B4E9C"/>
    <w:rsid w:val="68A92114"/>
    <w:rsid w:val="69131E4C"/>
    <w:rsid w:val="69257F0E"/>
    <w:rsid w:val="695224F5"/>
    <w:rsid w:val="69824F4B"/>
    <w:rsid w:val="69AC5C7F"/>
    <w:rsid w:val="6A0170EF"/>
    <w:rsid w:val="6AA92655"/>
    <w:rsid w:val="6AF1670D"/>
    <w:rsid w:val="6AFC78DD"/>
    <w:rsid w:val="6B495448"/>
    <w:rsid w:val="6BA36E2D"/>
    <w:rsid w:val="6C25681A"/>
    <w:rsid w:val="6C341007"/>
    <w:rsid w:val="6C88011A"/>
    <w:rsid w:val="6CEA596C"/>
    <w:rsid w:val="6D041821"/>
    <w:rsid w:val="6D062428"/>
    <w:rsid w:val="6D7A5CF5"/>
    <w:rsid w:val="6E067DCF"/>
    <w:rsid w:val="6E6F630F"/>
    <w:rsid w:val="6EA47519"/>
    <w:rsid w:val="6EBA47E0"/>
    <w:rsid w:val="6F0A727A"/>
    <w:rsid w:val="6F2F54F3"/>
    <w:rsid w:val="6FAA4DB2"/>
    <w:rsid w:val="703A154F"/>
    <w:rsid w:val="70877975"/>
    <w:rsid w:val="709157A7"/>
    <w:rsid w:val="70945E55"/>
    <w:rsid w:val="70B326D1"/>
    <w:rsid w:val="7188626A"/>
    <w:rsid w:val="71C15D09"/>
    <w:rsid w:val="72420AD4"/>
    <w:rsid w:val="72650DB9"/>
    <w:rsid w:val="72A515FC"/>
    <w:rsid w:val="73184F1F"/>
    <w:rsid w:val="736B0531"/>
    <w:rsid w:val="73E249D3"/>
    <w:rsid w:val="74313664"/>
    <w:rsid w:val="74502D77"/>
    <w:rsid w:val="74DF0339"/>
    <w:rsid w:val="75477BF5"/>
    <w:rsid w:val="757B4AA4"/>
    <w:rsid w:val="75AA0F0D"/>
    <w:rsid w:val="75AC3AF3"/>
    <w:rsid w:val="75DF44C6"/>
    <w:rsid w:val="764C4850"/>
    <w:rsid w:val="766E3476"/>
    <w:rsid w:val="769E612B"/>
    <w:rsid w:val="770C5601"/>
    <w:rsid w:val="77180F6C"/>
    <w:rsid w:val="774404AB"/>
    <w:rsid w:val="775E441A"/>
    <w:rsid w:val="7797093F"/>
    <w:rsid w:val="77AD6AC4"/>
    <w:rsid w:val="783E5513"/>
    <w:rsid w:val="78514D65"/>
    <w:rsid w:val="786A5E76"/>
    <w:rsid w:val="7885559A"/>
    <w:rsid w:val="791D6100"/>
    <w:rsid w:val="794D79B1"/>
    <w:rsid w:val="7A241E3D"/>
    <w:rsid w:val="7A241F39"/>
    <w:rsid w:val="7A7E1E9F"/>
    <w:rsid w:val="7A85352B"/>
    <w:rsid w:val="7B0060A6"/>
    <w:rsid w:val="7B2309D2"/>
    <w:rsid w:val="7B8234D4"/>
    <w:rsid w:val="7B862841"/>
    <w:rsid w:val="7B9336C4"/>
    <w:rsid w:val="7C547298"/>
    <w:rsid w:val="7C581EFA"/>
    <w:rsid w:val="7D0B101B"/>
    <w:rsid w:val="7D3B1B5E"/>
    <w:rsid w:val="7DA97969"/>
    <w:rsid w:val="7DE832FA"/>
    <w:rsid w:val="7E00552C"/>
    <w:rsid w:val="7E084F5B"/>
    <w:rsid w:val="7E5120C5"/>
    <w:rsid w:val="7E762F24"/>
    <w:rsid w:val="7E8A148E"/>
    <w:rsid w:val="7E8E7247"/>
    <w:rsid w:val="7E9F7559"/>
    <w:rsid w:val="7EA64D4D"/>
    <w:rsid w:val="7F6D4235"/>
    <w:rsid w:val="7FDB0D0A"/>
    <w:rsid w:val="7FDC680F"/>
    <w:rsid w:val="7FE977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nhideWhenUsed="0" w:uiPriority="0"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name="index heading"/>
    <w:lsdException w:qFormat="1" w:unhideWhenUsed="0" w:uiPriority="35" w:semiHidden="0" w:name="caption"/>
    <w:lsdException w:qFormat="1" w:unhideWhenUsed="0" w:uiPriority="0" w:name="table of figures"/>
    <w:lsdException w:uiPriority="99" w:name="envelope address"/>
    <w:lsdException w:uiPriority="99" w:name="envelope return"/>
    <w:lsdException w:qFormat="1" w:unhideWhenUsed="0" w:uiPriority="0" w:semiHidden="0" w:name="footnote reference"/>
    <w:lsdException w:qFormat="1" w:uiPriority="0"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qFormat="1" w:unhideWhenUsed="0" w:uiPriority="0" w:semiHidden="0" w:name="Signature"/>
    <w:lsdException w:qFormat="1" w:uiPriority="1" w:name="Default Paragraph Font"/>
    <w:lsdException w:qFormat="1" w:uiPriority="0" w:semiHidden="0" w:name="Body Text"/>
    <w:lsdException w:qFormat="1"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iPriority="0" w:semiHidden="0" w:name="Date"/>
    <w:lsdException w:qFormat="1"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0" w:semiHidden="0" w:name="FollowedHyperlink"/>
    <w:lsdException w:qFormat="1" w:unhideWhenUsed="0" w:uiPriority="22" w:semiHidden="0" w:name="Strong"/>
    <w:lsdException w:qFormat="1" w:unhideWhenUsed="0" w:uiPriority="20" w:semiHidden="0" w:name="Emphasis"/>
    <w:lsdException w:qFormat="1" w:unhideWhenUsed="0" w:uiPriority="0" w:name="Document Map"/>
    <w:lsdException w:qFormat="1" w:uiPriority="0" w:semiHidden="0" w:name="Plain Text"/>
    <w:lsdException w:uiPriority="99" w:name="E-mail Signature"/>
    <w:lsdException w:qFormat="1" w:uiPriority="99" w:semiHidden="0" w:name="Normal (Web)"/>
    <w:lsdException w:qFormat="1" w:uiPriority="99"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paragraph" w:styleId="2">
    <w:name w:val="heading 1"/>
    <w:basedOn w:val="1"/>
    <w:next w:val="1"/>
    <w:link w:val="91"/>
    <w:qFormat/>
    <w:uiPriority w:val="0"/>
    <w:pPr>
      <w:keepNext/>
      <w:keepLines/>
      <w:numPr>
        <w:ilvl w:val="0"/>
        <w:numId w:val="1"/>
      </w:numPr>
      <w:adjustRightInd w:val="0"/>
      <w:snapToGrid w:val="0"/>
      <w:spacing w:line="360" w:lineRule="auto"/>
      <w:outlineLvl w:val="0"/>
    </w:pPr>
    <w:rPr>
      <w:rFonts w:ascii="Times New Roman" w:hAnsi="Times New Roman" w:eastAsia="黑体"/>
      <w:bCs/>
      <w:kern w:val="44"/>
      <w:sz w:val="24"/>
      <w:szCs w:val="44"/>
    </w:rPr>
  </w:style>
  <w:style w:type="paragraph" w:styleId="3">
    <w:name w:val="heading 2"/>
    <w:basedOn w:val="1"/>
    <w:next w:val="1"/>
    <w:link w:val="92"/>
    <w:qFormat/>
    <w:uiPriority w:val="0"/>
    <w:pPr>
      <w:keepNext/>
      <w:keepLines/>
      <w:numPr>
        <w:ilvl w:val="1"/>
        <w:numId w:val="1"/>
      </w:numPr>
      <w:adjustRightInd w:val="0"/>
      <w:snapToGrid w:val="0"/>
      <w:spacing w:line="360" w:lineRule="auto"/>
      <w:outlineLvl w:val="1"/>
    </w:pPr>
    <w:rPr>
      <w:rFonts w:eastAsia="黑体"/>
      <w:bCs/>
      <w:kern w:val="0"/>
      <w:sz w:val="24"/>
      <w:szCs w:val="32"/>
    </w:rPr>
  </w:style>
  <w:style w:type="paragraph" w:styleId="4">
    <w:name w:val="heading 3"/>
    <w:basedOn w:val="1"/>
    <w:next w:val="1"/>
    <w:link w:val="93"/>
    <w:qFormat/>
    <w:uiPriority w:val="0"/>
    <w:pPr>
      <w:keepNext/>
      <w:keepLines/>
      <w:numPr>
        <w:ilvl w:val="2"/>
        <w:numId w:val="1"/>
      </w:numPr>
      <w:adjustRightInd w:val="0"/>
      <w:snapToGrid w:val="0"/>
      <w:spacing w:line="360" w:lineRule="auto"/>
      <w:outlineLvl w:val="2"/>
    </w:pPr>
    <w:rPr>
      <w:rFonts w:ascii="Times New Roman" w:hAnsi="Times New Roman"/>
      <w:b/>
      <w:bCs/>
      <w:kern w:val="0"/>
      <w:sz w:val="24"/>
      <w:szCs w:val="32"/>
    </w:rPr>
  </w:style>
  <w:style w:type="paragraph" w:styleId="5">
    <w:name w:val="heading 4"/>
    <w:basedOn w:val="1"/>
    <w:next w:val="6"/>
    <w:link w:val="94"/>
    <w:unhideWhenUsed/>
    <w:qFormat/>
    <w:uiPriority w:val="9"/>
    <w:pPr>
      <w:keepNext/>
      <w:keepLines/>
      <w:numPr>
        <w:ilvl w:val="3"/>
        <w:numId w:val="1"/>
      </w:numPr>
      <w:adjustRightInd w:val="0"/>
      <w:snapToGrid w:val="0"/>
      <w:spacing w:line="360" w:lineRule="auto"/>
      <w:outlineLvl w:val="3"/>
    </w:pPr>
    <w:rPr>
      <w:rFonts w:ascii="Times New Roman" w:hAnsi="Times New Roman" w:eastAsiaTheme="majorEastAsia"/>
      <w:b/>
      <w:bCs/>
      <w:color w:val="000000" w:themeColor="text1"/>
      <w:sz w:val="24"/>
      <w:szCs w:val="24"/>
      <w14:textFill>
        <w14:solidFill>
          <w14:schemeClr w14:val="tx1"/>
        </w14:solidFill>
      </w14:textFill>
    </w:rPr>
  </w:style>
  <w:style w:type="paragraph" w:styleId="9">
    <w:name w:val="heading 5"/>
    <w:basedOn w:val="1"/>
    <w:next w:val="1"/>
    <w:link w:val="95"/>
    <w:unhideWhenUsed/>
    <w:qFormat/>
    <w:uiPriority w:val="0"/>
    <w:pPr>
      <w:keepNext/>
      <w:keepLines/>
      <w:numPr>
        <w:ilvl w:val="4"/>
        <w:numId w:val="1"/>
      </w:numPr>
      <w:spacing w:before="280" w:after="290" w:line="376" w:lineRule="auto"/>
      <w:outlineLvl w:val="4"/>
    </w:pPr>
    <w:rPr>
      <w:b/>
      <w:bCs/>
      <w:sz w:val="28"/>
      <w:szCs w:val="28"/>
    </w:rPr>
  </w:style>
  <w:style w:type="paragraph" w:styleId="10">
    <w:name w:val="heading 6"/>
    <w:basedOn w:val="1"/>
    <w:next w:val="1"/>
    <w:link w:val="96"/>
    <w:unhideWhenUsed/>
    <w:qFormat/>
    <w:uiPriority w:val="0"/>
    <w:pPr>
      <w:keepNext/>
      <w:keepLines/>
      <w:numPr>
        <w:ilvl w:val="5"/>
        <w:numId w:val="1"/>
      </w:numPr>
      <w:spacing w:before="240" w:after="64" w:line="320" w:lineRule="auto"/>
      <w:outlineLvl w:val="5"/>
    </w:pPr>
    <w:rPr>
      <w:rFonts w:asciiTheme="majorHAnsi" w:hAnsiTheme="majorHAnsi" w:eastAsiaTheme="majorEastAsia" w:cstheme="majorBidi"/>
      <w:b/>
      <w:bCs/>
      <w:sz w:val="24"/>
      <w:szCs w:val="24"/>
    </w:rPr>
  </w:style>
  <w:style w:type="paragraph" w:styleId="11">
    <w:name w:val="heading 7"/>
    <w:basedOn w:val="1"/>
    <w:next w:val="1"/>
    <w:link w:val="97"/>
    <w:unhideWhenUsed/>
    <w:qFormat/>
    <w:uiPriority w:val="0"/>
    <w:pPr>
      <w:keepNext/>
      <w:keepLines/>
      <w:numPr>
        <w:ilvl w:val="6"/>
        <w:numId w:val="1"/>
      </w:numPr>
      <w:spacing w:before="240" w:after="64" w:line="320" w:lineRule="auto"/>
      <w:outlineLvl w:val="6"/>
    </w:pPr>
    <w:rPr>
      <w:b/>
      <w:bCs/>
      <w:sz w:val="24"/>
      <w:szCs w:val="24"/>
    </w:rPr>
  </w:style>
  <w:style w:type="paragraph" w:styleId="12">
    <w:name w:val="heading 8"/>
    <w:basedOn w:val="1"/>
    <w:next w:val="1"/>
    <w:link w:val="98"/>
    <w:unhideWhenUsed/>
    <w:qFormat/>
    <w:uiPriority w:val="0"/>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3">
    <w:name w:val="heading 9"/>
    <w:basedOn w:val="1"/>
    <w:next w:val="1"/>
    <w:link w:val="99"/>
    <w:unhideWhenUsed/>
    <w:qFormat/>
    <w:uiPriority w:val="0"/>
    <w:pPr>
      <w:keepNext/>
      <w:keepLines/>
      <w:numPr>
        <w:ilvl w:val="8"/>
        <w:numId w:val="1"/>
      </w:numPr>
      <w:spacing w:before="240" w:after="64" w:line="320" w:lineRule="auto"/>
      <w:outlineLvl w:val="8"/>
    </w:pPr>
    <w:rPr>
      <w:rFonts w:asciiTheme="majorHAnsi" w:hAnsiTheme="majorHAnsi" w:eastAsiaTheme="majorEastAsia" w:cstheme="majorBidi"/>
    </w:rPr>
  </w:style>
  <w:style w:type="character" w:default="1" w:styleId="74">
    <w:name w:val="Default Paragraph Font"/>
    <w:semiHidden/>
    <w:unhideWhenUsed/>
    <w:qFormat/>
    <w:uiPriority w:val="1"/>
  </w:style>
  <w:style w:type="table" w:default="1" w:styleId="71">
    <w:name w:val="Normal Table"/>
    <w:semiHidden/>
    <w:unhideWhenUsed/>
    <w:qFormat/>
    <w:uiPriority w:val="99"/>
    <w:tblPr>
      <w:tblCellMar>
        <w:top w:w="0" w:type="dxa"/>
        <w:left w:w="108" w:type="dxa"/>
        <w:bottom w:w="0" w:type="dxa"/>
        <w:right w:w="108" w:type="dxa"/>
      </w:tblCellMar>
    </w:tblPr>
  </w:style>
  <w:style w:type="paragraph" w:styleId="6">
    <w:name w:val="Body Text First Indent"/>
    <w:basedOn w:val="7"/>
    <w:next w:val="1"/>
    <w:link w:val="89"/>
    <w:unhideWhenUsed/>
    <w:qFormat/>
    <w:uiPriority w:val="0"/>
    <w:pPr>
      <w:adjustRightInd w:val="0"/>
      <w:snapToGrid w:val="0"/>
      <w:spacing w:after="0" w:line="360" w:lineRule="auto"/>
      <w:ind w:firstLine="200" w:firstLineChars="200"/>
    </w:pPr>
    <w:rPr>
      <w:rFonts w:ascii="Times New Roman" w:hAnsi="Times New Roman" w:cstheme="minorBidi"/>
      <w:sz w:val="24"/>
      <w:szCs w:val="22"/>
    </w:rPr>
  </w:style>
  <w:style w:type="paragraph" w:styleId="7">
    <w:name w:val="Body Text"/>
    <w:basedOn w:val="1"/>
    <w:next w:val="8"/>
    <w:link w:val="90"/>
    <w:unhideWhenUsed/>
    <w:qFormat/>
    <w:uiPriority w:val="0"/>
    <w:pPr>
      <w:spacing w:after="120"/>
    </w:pPr>
  </w:style>
  <w:style w:type="paragraph" w:customStyle="1" w:styleId="8">
    <w:name w:val="xl27"/>
    <w:basedOn w:val="1"/>
    <w:qFormat/>
    <w:uiPriority w:val="0"/>
    <w:pPr>
      <w:widowControl/>
      <w:spacing w:before="100" w:beforeAutospacing="1" w:after="100" w:afterAutospacing="1"/>
      <w:jc w:val="center"/>
      <w:textAlignment w:val="top"/>
    </w:pPr>
    <w:rPr>
      <w:rFonts w:ascii="宋体" w:hAnsi="宋体"/>
      <w:kern w:val="0"/>
    </w:rPr>
  </w:style>
  <w:style w:type="paragraph" w:styleId="14">
    <w:name w:val="List 3"/>
    <w:basedOn w:val="1"/>
    <w:qFormat/>
    <w:uiPriority w:val="0"/>
    <w:pPr>
      <w:ind w:left="100" w:leftChars="400" w:hanging="200" w:hangingChars="200"/>
    </w:pPr>
    <w:rPr>
      <w:rFonts w:ascii="Times New Roman" w:hAnsi="Times New Roman"/>
      <w:szCs w:val="24"/>
    </w:rPr>
  </w:style>
  <w:style w:type="paragraph" w:styleId="15">
    <w:name w:val="toc 7"/>
    <w:basedOn w:val="1"/>
    <w:next w:val="1"/>
    <w:unhideWhenUsed/>
    <w:qFormat/>
    <w:uiPriority w:val="0"/>
    <w:pPr>
      <w:ind w:left="2520" w:leftChars="1200"/>
    </w:pPr>
    <w:rPr>
      <w:rFonts w:asciiTheme="minorHAnsi" w:hAnsiTheme="minorHAnsi" w:eastAsiaTheme="minorEastAsia" w:cstheme="minorBidi"/>
      <w:szCs w:val="22"/>
    </w:rPr>
  </w:style>
  <w:style w:type="paragraph" w:styleId="16">
    <w:name w:val="index 8"/>
    <w:basedOn w:val="1"/>
    <w:next w:val="1"/>
    <w:semiHidden/>
    <w:qFormat/>
    <w:uiPriority w:val="0"/>
    <w:pPr>
      <w:spacing w:line="420" w:lineRule="exact"/>
      <w:ind w:left="1400" w:leftChars="1400"/>
    </w:pPr>
    <w:rPr>
      <w:rFonts w:ascii="Times New Roman" w:hAnsi="Times New Roman"/>
      <w:sz w:val="24"/>
      <w:szCs w:val="20"/>
    </w:rPr>
  </w:style>
  <w:style w:type="paragraph" w:styleId="17">
    <w:name w:val="List Number"/>
    <w:basedOn w:val="1"/>
    <w:qFormat/>
    <w:uiPriority w:val="0"/>
    <w:pPr>
      <w:tabs>
        <w:tab w:val="left" w:pos="360"/>
      </w:tabs>
      <w:ind w:left="360" w:hanging="360" w:hangingChars="200"/>
    </w:pPr>
    <w:rPr>
      <w:szCs w:val="22"/>
    </w:rPr>
  </w:style>
  <w:style w:type="paragraph" w:styleId="18">
    <w:name w:val="Normal Indent"/>
    <w:basedOn w:val="1"/>
    <w:link w:val="100"/>
    <w:unhideWhenUsed/>
    <w:qFormat/>
    <w:uiPriority w:val="0"/>
    <w:pPr>
      <w:ind w:firstLine="420" w:firstLineChars="200"/>
    </w:pPr>
  </w:style>
  <w:style w:type="paragraph" w:styleId="19">
    <w:name w:val="caption"/>
    <w:basedOn w:val="1"/>
    <w:next w:val="1"/>
    <w:link w:val="101"/>
    <w:qFormat/>
    <w:uiPriority w:val="35"/>
    <w:pPr>
      <w:adjustRightInd w:val="0"/>
      <w:snapToGrid w:val="0"/>
      <w:spacing w:line="20" w:lineRule="atLeast"/>
      <w:ind w:firstLine="510"/>
      <w:jc w:val="left"/>
      <w:textAlignment w:val="baseline"/>
    </w:pPr>
    <w:rPr>
      <w:rFonts w:eastAsia="楷体_GB2312" w:asciiTheme="minorHAnsi" w:hAnsiTheme="minorHAnsi" w:cstheme="minorBidi"/>
      <w:spacing w:val="8"/>
      <w:kern w:val="24"/>
      <w:sz w:val="15"/>
      <w:szCs w:val="22"/>
    </w:rPr>
  </w:style>
  <w:style w:type="paragraph" w:styleId="20">
    <w:name w:val="index 5"/>
    <w:basedOn w:val="1"/>
    <w:next w:val="1"/>
    <w:semiHidden/>
    <w:qFormat/>
    <w:uiPriority w:val="0"/>
    <w:pPr>
      <w:spacing w:line="420" w:lineRule="exact"/>
      <w:ind w:left="800" w:leftChars="800"/>
    </w:pPr>
    <w:rPr>
      <w:rFonts w:ascii="Times New Roman" w:hAnsi="Times New Roman"/>
      <w:sz w:val="24"/>
      <w:szCs w:val="20"/>
    </w:rPr>
  </w:style>
  <w:style w:type="paragraph" w:styleId="21">
    <w:name w:val="List Bullet"/>
    <w:basedOn w:val="1"/>
    <w:qFormat/>
    <w:uiPriority w:val="0"/>
    <w:pPr>
      <w:numPr>
        <w:ilvl w:val="0"/>
        <w:numId w:val="2"/>
      </w:numPr>
      <w:spacing w:line="490" w:lineRule="exact"/>
    </w:pPr>
    <w:rPr>
      <w:rFonts w:ascii="Times New Roman" w:hAnsi="Times New Roman" w:eastAsia="仿宋_GB2312"/>
      <w:sz w:val="28"/>
      <w:szCs w:val="20"/>
    </w:rPr>
  </w:style>
  <w:style w:type="paragraph" w:styleId="22">
    <w:name w:val="Document Map"/>
    <w:basedOn w:val="1"/>
    <w:link w:val="102"/>
    <w:semiHidden/>
    <w:qFormat/>
    <w:uiPriority w:val="0"/>
    <w:pPr>
      <w:shd w:val="clear" w:color="auto" w:fill="000080"/>
    </w:pPr>
    <w:rPr>
      <w:rFonts w:ascii="Times New Roman" w:hAnsi="Times New Roman"/>
      <w:szCs w:val="24"/>
    </w:rPr>
  </w:style>
  <w:style w:type="paragraph" w:styleId="23">
    <w:name w:val="annotation text"/>
    <w:basedOn w:val="1"/>
    <w:link w:val="103"/>
    <w:unhideWhenUsed/>
    <w:qFormat/>
    <w:uiPriority w:val="0"/>
    <w:pPr>
      <w:jc w:val="left"/>
    </w:pPr>
  </w:style>
  <w:style w:type="paragraph" w:styleId="24">
    <w:name w:val="index 6"/>
    <w:basedOn w:val="1"/>
    <w:next w:val="1"/>
    <w:semiHidden/>
    <w:qFormat/>
    <w:uiPriority w:val="0"/>
    <w:pPr>
      <w:spacing w:line="420" w:lineRule="exact"/>
      <w:ind w:left="1000" w:leftChars="1000"/>
    </w:pPr>
    <w:rPr>
      <w:rFonts w:ascii="Times New Roman" w:hAnsi="Times New Roman"/>
      <w:sz w:val="24"/>
      <w:szCs w:val="20"/>
    </w:rPr>
  </w:style>
  <w:style w:type="paragraph" w:styleId="25">
    <w:name w:val="Salutation"/>
    <w:basedOn w:val="1"/>
    <w:next w:val="1"/>
    <w:link w:val="104"/>
    <w:qFormat/>
    <w:uiPriority w:val="0"/>
    <w:rPr>
      <w:rFonts w:ascii="Times New Roman" w:hAnsi="Times New Roman"/>
      <w:szCs w:val="24"/>
    </w:rPr>
  </w:style>
  <w:style w:type="paragraph" w:styleId="26">
    <w:name w:val="Body Text 3"/>
    <w:basedOn w:val="1"/>
    <w:link w:val="105"/>
    <w:qFormat/>
    <w:uiPriority w:val="0"/>
    <w:pPr>
      <w:spacing w:after="120"/>
    </w:pPr>
    <w:rPr>
      <w:rFonts w:ascii="Times New Roman" w:hAnsi="Times New Roman"/>
      <w:kern w:val="0"/>
      <w:sz w:val="16"/>
      <w:szCs w:val="16"/>
    </w:rPr>
  </w:style>
  <w:style w:type="paragraph" w:styleId="27">
    <w:name w:val="List Bullet 3"/>
    <w:basedOn w:val="1"/>
    <w:qFormat/>
    <w:uiPriority w:val="0"/>
    <w:pPr>
      <w:tabs>
        <w:tab w:val="left" w:pos="907"/>
      </w:tabs>
      <w:ind w:left="907" w:hanging="397"/>
    </w:pPr>
    <w:rPr>
      <w:rFonts w:ascii="Times New Roman" w:hAnsi="Times New Roman"/>
      <w:szCs w:val="24"/>
    </w:rPr>
  </w:style>
  <w:style w:type="paragraph" w:styleId="28">
    <w:name w:val="Body Text Indent"/>
    <w:basedOn w:val="1"/>
    <w:link w:val="106"/>
    <w:unhideWhenUsed/>
    <w:qFormat/>
    <w:uiPriority w:val="99"/>
    <w:pPr>
      <w:spacing w:before="100" w:beforeAutospacing="1"/>
      <w:ind w:left="420" w:leftChars="200"/>
    </w:pPr>
    <w:rPr>
      <w:rFonts w:ascii="Times New Roman" w:hAnsi="Times New Roman"/>
    </w:rPr>
  </w:style>
  <w:style w:type="paragraph" w:styleId="29">
    <w:name w:val="List 2"/>
    <w:basedOn w:val="1"/>
    <w:qFormat/>
    <w:uiPriority w:val="0"/>
    <w:pPr>
      <w:ind w:left="100" w:leftChars="200" w:hanging="200" w:hangingChars="200"/>
    </w:pPr>
    <w:rPr>
      <w:rFonts w:ascii="Times New Roman" w:hAnsi="Times New Roman"/>
      <w:szCs w:val="24"/>
    </w:rPr>
  </w:style>
  <w:style w:type="paragraph" w:styleId="30">
    <w:name w:val="List Continue"/>
    <w:basedOn w:val="1"/>
    <w:qFormat/>
    <w:uiPriority w:val="0"/>
    <w:pPr>
      <w:spacing w:after="120"/>
      <w:ind w:left="420" w:leftChars="200"/>
    </w:pPr>
    <w:rPr>
      <w:rFonts w:ascii="Times New Roman" w:hAnsi="Times New Roman"/>
      <w:szCs w:val="24"/>
    </w:rPr>
  </w:style>
  <w:style w:type="paragraph" w:styleId="31">
    <w:name w:val="Block Text"/>
    <w:basedOn w:val="1"/>
    <w:qFormat/>
    <w:uiPriority w:val="0"/>
    <w:pPr>
      <w:spacing w:after="120"/>
      <w:ind w:left="1440" w:leftChars="700" w:right="1440" w:rightChars="700"/>
    </w:pPr>
    <w:rPr>
      <w:rFonts w:ascii="Times New Roman" w:hAnsi="Times New Roman"/>
      <w:szCs w:val="24"/>
    </w:rPr>
  </w:style>
  <w:style w:type="paragraph" w:styleId="32">
    <w:name w:val="List Bullet 2"/>
    <w:basedOn w:val="1"/>
    <w:qFormat/>
    <w:uiPriority w:val="0"/>
    <w:pPr>
      <w:tabs>
        <w:tab w:val="left" w:pos="780"/>
      </w:tabs>
      <w:ind w:left="780" w:leftChars="200" w:hanging="360" w:hangingChars="200"/>
    </w:pPr>
    <w:rPr>
      <w:rFonts w:ascii="Times New Roman" w:hAnsi="Times New Roman"/>
      <w:szCs w:val="24"/>
    </w:rPr>
  </w:style>
  <w:style w:type="paragraph" w:styleId="33">
    <w:name w:val="index 4"/>
    <w:basedOn w:val="1"/>
    <w:next w:val="1"/>
    <w:semiHidden/>
    <w:qFormat/>
    <w:uiPriority w:val="0"/>
    <w:pPr>
      <w:spacing w:line="420" w:lineRule="exact"/>
      <w:ind w:left="600" w:leftChars="600"/>
    </w:pPr>
    <w:rPr>
      <w:rFonts w:ascii="Times New Roman" w:hAnsi="Times New Roman"/>
      <w:sz w:val="24"/>
      <w:szCs w:val="20"/>
    </w:rPr>
  </w:style>
  <w:style w:type="paragraph" w:styleId="34">
    <w:name w:val="toc 5"/>
    <w:basedOn w:val="1"/>
    <w:next w:val="1"/>
    <w:unhideWhenUsed/>
    <w:qFormat/>
    <w:uiPriority w:val="0"/>
    <w:pPr>
      <w:ind w:left="1680" w:leftChars="800"/>
    </w:pPr>
    <w:rPr>
      <w:rFonts w:ascii="Times New Roman" w:hAnsi="Times New Roman"/>
      <w:szCs w:val="24"/>
    </w:rPr>
  </w:style>
  <w:style w:type="paragraph" w:styleId="35">
    <w:name w:val="toc 3"/>
    <w:basedOn w:val="1"/>
    <w:next w:val="1"/>
    <w:unhideWhenUsed/>
    <w:qFormat/>
    <w:uiPriority w:val="0"/>
    <w:pPr>
      <w:widowControl/>
      <w:spacing w:after="100" w:line="276" w:lineRule="auto"/>
      <w:ind w:left="440"/>
      <w:jc w:val="left"/>
    </w:pPr>
    <w:rPr>
      <w:kern w:val="0"/>
      <w:sz w:val="22"/>
      <w:szCs w:val="22"/>
    </w:rPr>
  </w:style>
  <w:style w:type="paragraph" w:styleId="36">
    <w:name w:val="Plain Text"/>
    <w:basedOn w:val="1"/>
    <w:link w:val="107"/>
    <w:unhideWhenUsed/>
    <w:qFormat/>
    <w:uiPriority w:val="0"/>
    <w:rPr>
      <w:rFonts w:ascii="宋体" w:hAnsi="Courier New" w:cs="宋体"/>
    </w:rPr>
  </w:style>
  <w:style w:type="paragraph" w:styleId="37">
    <w:name w:val="toc 8"/>
    <w:basedOn w:val="1"/>
    <w:next w:val="1"/>
    <w:unhideWhenUsed/>
    <w:qFormat/>
    <w:uiPriority w:val="0"/>
    <w:pPr>
      <w:ind w:left="2940" w:leftChars="1400"/>
    </w:pPr>
    <w:rPr>
      <w:rFonts w:asciiTheme="minorHAnsi" w:hAnsiTheme="minorHAnsi" w:eastAsiaTheme="minorEastAsia" w:cstheme="minorBidi"/>
      <w:szCs w:val="22"/>
    </w:rPr>
  </w:style>
  <w:style w:type="paragraph" w:styleId="38">
    <w:name w:val="index 3"/>
    <w:basedOn w:val="1"/>
    <w:next w:val="1"/>
    <w:semiHidden/>
    <w:qFormat/>
    <w:uiPriority w:val="0"/>
    <w:pPr>
      <w:spacing w:line="420" w:lineRule="exact"/>
      <w:ind w:left="400" w:leftChars="400"/>
    </w:pPr>
    <w:rPr>
      <w:rFonts w:ascii="Times New Roman" w:hAnsi="Times New Roman"/>
      <w:sz w:val="24"/>
      <w:szCs w:val="20"/>
    </w:rPr>
  </w:style>
  <w:style w:type="paragraph" w:styleId="39">
    <w:name w:val="Date"/>
    <w:basedOn w:val="1"/>
    <w:next w:val="1"/>
    <w:link w:val="108"/>
    <w:unhideWhenUsed/>
    <w:qFormat/>
    <w:uiPriority w:val="0"/>
    <w:pPr>
      <w:ind w:left="100" w:leftChars="2500"/>
    </w:pPr>
  </w:style>
  <w:style w:type="paragraph" w:styleId="40">
    <w:name w:val="Body Text Indent 2"/>
    <w:basedOn w:val="1"/>
    <w:link w:val="109"/>
    <w:unhideWhenUsed/>
    <w:qFormat/>
    <w:uiPriority w:val="0"/>
    <w:pPr>
      <w:spacing w:after="120" w:line="480" w:lineRule="auto"/>
      <w:ind w:left="420" w:leftChars="200"/>
    </w:pPr>
  </w:style>
  <w:style w:type="paragraph" w:styleId="41">
    <w:name w:val="Balloon Text"/>
    <w:basedOn w:val="1"/>
    <w:link w:val="110"/>
    <w:unhideWhenUsed/>
    <w:qFormat/>
    <w:uiPriority w:val="0"/>
    <w:rPr>
      <w:sz w:val="18"/>
      <w:szCs w:val="18"/>
    </w:rPr>
  </w:style>
  <w:style w:type="paragraph" w:styleId="42">
    <w:name w:val="footer"/>
    <w:basedOn w:val="1"/>
    <w:link w:val="111"/>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43">
    <w:name w:val="header"/>
    <w:basedOn w:val="1"/>
    <w:link w:val="112"/>
    <w:unhideWhenUsed/>
    <w:qFormat/>
    <w:uiPriority w:val="99"/>
    <w:pPr>
      <w:pBdr>
        <w:bottom w:val="single" w:color="auto" w:sz="6" w:space="1"/>
      </w:pBdr>
      <w:tabs>
        <w:tab w:val="center" w:pos="4153"/>
        <w:tab w:val="right" w:pos="8306"/>
      </w:tabs>
      <w:adjustRightInd w:val="0"/>
      <w:snapToGrid w:val="0"/>
      <w:jc w:val="center"/>
    </w:pPr>
    <w:rPr>
      <w:rFonts w:asciiTheme="minorHAnsi" w:hAnsiTheme="minorHAnsi" w:eastAsiaTheme="minorEastAsia" w:cstheme="minorBidi"/>
      <w:sz w:val="18"/>
      <w:szCs w:val="18"/>
    </w:rPr>
  </w:style>
  <w:style w:type="paragraph" w:styleId="44">
    <w:name w:val="Signature"/>
    <w:basedOn w:val="1"/>
    <w:link w:val="113"/>
    <w:qFormat/>
    <w:uiPriority w:val="0"/>
    <w:pPr>
      <w:ind w:left="100" w:leftChars="2100"/>
    </w:pPr>
    <w:rPr>
      <w:rFonts w:ascii="Times New Roman" w:hAnsi="Times New Roman"/>
      <w:kern w:val="0"/>
      <w:sz w:val="20"/>
      <w:szCs w:val="24"/>
    </w:rPr>
  </w:style>
  <w:style w:type="paragraph" w:styleId="45">
    <w:name w:val="toc 1"/>
    <w:basedOn w:val="1"/>
    <w:next w:val="1"/>
    <w:link w:val="114"/>
    <w:unhideWhenUsed/>
    <w:qFormat/>
    <w:uiPriority w:val="39"/>
    <w:pPr>
      <w:spacing w:before="120" w:after="120"/>
      <w:jc w:val="left"/>
    </w:pPr>
    <w:rPr>
      <w:rFonts w:eastAsiaTheme="minorEastAsia" w:cstheme="minorBidi"/>
      <w:b/>
      <w:bCs/>
      <w:caps/>
    </w:rPr>
  </w:style>
  <w:style w:type="paragraph" w:styleId="46">
    <w:name w:val="List Continue 4"/>
    <w:basedOn w:val="1"/>
    <w:qFormat/>
    <w:uiPriority w:val="0"/>
    <w:pPr>
      <w:spacing w:after="120"/>
      <w:ind w:left="1680" w:leftChars="800"/>
    </w:pPr>
    <w:rPr>
      <w:rFonts w:ascii="Times New Roman" w:hAnsi="Times New Roman"/>
      <w:szCs w:val="24"/>
    </w:rPr>
  </w:style>
  <w:style w:type="paragraph" w:styleId="47">
    <w:name w:val="toc 4"/>
    <w:basedOn w:val="1"/>
    <w:next w:val="1"/>
    <w:unhideWhenUsed/>
    <w:qFormat/>
    <w:uiPriority w:val="0"/>
    <w:pPr>
      <w:ind w:left="1260" w:leftChars="600"/>
    </w:pPr>
    <w:rPr>
      <w:rFonts w:ascii="Times New Roman" w:hAnsi="Times New Roman"/>
      <w:szCs w:val="24"/>
    </w:rPr>
  </w:style>
  <w:style w:type="paragraph" w:styleId="48">
    <w:name w:val="index heading"/>
    <w:basedOn w:val="1"/>
    <w:next w:val="49"/>
    <w:semiHidden/>
    <w:qFormat/>
    <w:uiPriority w:val="0"/>
    <w:rPr>
      <w:rFonts w:ascii="Times New Roman" w:hAnsi="Times New Roman"/>
      <w:szCs w:val="24"/>
    </w:rPr>
  </w:style>
  <w:style w:type="paragraph" w:styleId="49">
    <w:name w:val="index 1"/>
    <w:basedOn w:val="1"/>
    <w:next w:val="1"/>
    <w:semiHidden/>
    <w:unhideWhenUsed/>
    <w:qFormat/>
    <w:uiPriority w:val="0"/>
  </w:style>
  <w:style w:type="paragraph" w:styleId="50">
    <w:name w:val="Subtitle"/>
    <w:basedOn w:val="1"/>
    <w:link w:val="115"/>
    <w:qFormat/>
    <w:uiPriority w:val="0"/>
    <w:pPr>
      <w:spacing w:before="240" w:after="60" w:line="312" w:lineRule="auto"/>
      <w:jc w:val="center"/>
      <w:outlineLvl w:val="1"/>
    </w:pPr>
    <w:rPr>
      <w:rFonts w:ascii="Arial" w:hAnsi="Arial"/>
      <w:b/>
      <w:bCs/>
      <w:kern w:val="28"/>
      <w:sz w:val="32"/>
      <w:szCs w:val="32"/>
    </w:rPr>
  </w:style>
  <w:style w:type="paragraph" w:styleId="51">
    <w:name w:val="List"/>
    <w:basedOn w:val="1"/>
    <w:unhideWhenUsed/>
    <w:qFormat/>
    <w:uiPriority w:val="0"/>
    <w:pPr>
      <w:ind w:left="200" w:hanging="200" w:hangingChars="200"/>
      <w:contextualSpacing/>
    </w:pPr>
  </w:style>
  <w:style w:type="paragraph" w:styleId="52">
    <w:name w:val="footnote text"/>
    <w:basedOn w:val="1"/>
    <w:link w:val="116"/>
    <w:qFormat/>
    <w:uiPriority w:val="0"/>
    <w:pPr>
      <w:snapToGrid w:val="0"/>
      <w:spacing w:afterLines="20" w:line="400" w:lineRule="exact"/>
      <w:ind w:firstLine="480" w:firstLineChars="200"/>
      <w:jc w:val="left"/>
    </w:pPr>
    <w:rPr>
      <w:rFonts w:ascii="Times New Roman" w:hAnsi="Times New Roman"/>
      <w:kern w:val="0"/>
      <w:sz w:val="18"/>
      <w:szCs w:val="18"/>
    </w:rPr>
  </w:style>
  <w:style w:type="paragraph" w:styleId="53">
    <w:name w:val="toc 6"/>
    <w:basedOn w:val="1"/>
    <w:next w:val="1"/>
    <w:unhideWhenUsed/>
    <w:qFormat/>
    <w:uiPriority w:val="0"/>
    <w:pPr>
      <w:ind w:left="2100" w:leftChars="1000"/>
    </w:pPr>
    <w:rPr>
      <w:rFonts w:asciiTheme="minorHAnsi" w:hAnsiTheme="minorHAnsi" w:eastAsiaTheme="minorEastAsia" w:cstheme="minorBidi"/>
      <w:szCs w:val="22"/>
    </w:rPr>
  </w:style>
  <w:style w:type="paragraph" w:styleId="54">
    <w:name w:val="List 5"/>
    <w:basedOn w:val="1"/>
    <w:qFormat/>
    <w:uiPriority w:val="0"/>
    <w:pPr>
      <w:ind w:left="100" w:leftChars="800" w:hanging="200" w:hangingChars="200"/>
    </w:pPr>
    <w:rPr>
      <w:rFonts w:ascii="Times New Roman" w:hAnsi="Times New Roman"/>
      <w:sz w:val="28"/>
      <w:szCs w:val="20"/>
    </w:rPr>
  </w:style>
  <w:style w:type="paragraph" w:styleId="55">
    <w:name w:val="Body Text Indent 3"/>
    <w:basedOn w:val="1"/>
    <w:link w:val="117"/>
    <w:qFormat/>
    <w:uiPriority w:val="0"/>
    <w:pPr>
      <w:spacing w:after="120"/>
      <w:ind w:left="420" w:leftChars="200"/>
    </w:pPr>
    <w:rPr>
      <w:rFonts w:ascii="Times New Roman" w:hAnsi="Times New Roman"/>
      <w:sz w:val="16"/>
      <w:szCs w:val="16"/>
    </w:rPr>
  </w:style>
  <w:style w:type="paragraph" w:styleId="56">
    <w:name w:val="index 7"/>
    <w:basedOn w:val="1"/>
    <w:next w:val="1"/>
    <w:semiHidden/>
    <w:qFormat/>
    <w:uiPriority w:val="0"/>
    <w:pPr>
      <w:spacing w:line="420" w:lineRule="exact"/>
      <w:ind w:left="1200" w:leftChars="1200"/>
    </w:pPr>
    <w:rPr>
      <w:rFonts w:ascii="Times New Roman" w:hAnsi="Times New Roman"/>
      <w:sz w:val="24"/>
      <w:szCs w:val="20"/>
    </w:rPr>
  </w:style>
  <w:style w:type="paragraph" w:styleId="57">
    <w:name w:val="index 9"/>
    <w:basedOn w:val="1"/>
    <w:next w:val="1"/>
    <w:semiHidden/>
    <w:qFormat/>
    <w:uiPriority w:val="0"/>
    <w:pPr>
      <w:spacing w:line="420" w:lineRule="exact"/>
      <w:ind w:left="1600" w:leftChars="1600"/>
    </w:pPr>
    <w:rPr>
      <w:rFonts w:ascii="Times New Roman" w:hAnsi="Times New Roman"/>
      <w:sz w:val="24"/>
      <w:szCs w:val="20"/>
    </w:rPr>
  </w:style>
  <w:style w:type="paragraph" w:styleId="58">
    <w:name w:val="table of figures"/>
    <w:basedOn w:val="1"/>
    <w:next w:val="1"/>
    <w:semiHidden/>
    <w:qFormat/>
    <w:uiPriority w:val="0"/>
    <w:pPr>
      <w:spacing w:before="30" w:line="400" w:lineRule="exact"/>
      <w:ind w:left="200"/>
      <w:jc w:val="center"/>
    </w:pPr>
    <w:rPr>
      <w:rFonts w:ascii="Times New Roman" w:hAnsi="Times New Roman"/>
      <w:b/>
      <w:szCs w:val="20"/>
    </w:rPr>
  </w:style>
  <w:style w:type="paragraph" w:styleId="59">
    <w:name w:val="toc 2"/>
    <w:basedOn w:val="1"/>
    <w:next w:val="1"/>
    <w:unhideWhenUsed/>
    <w:qFormat/>
    <w:uiPriority w:val="39"/>
    <w:pPr>
      <w:ind w:left="210"/>
      <w:jc w:val="left"/>
    </w:pPr>
    <w:rPr>
      <w:smallCaps/>
    </w:rPr>
  </w:style>
  <w:style w:type="paragraph" w:styleId="60">
    <w:name w:val="toc 9"/>
    <w:basedOn w:val="1"/>
    <w:next w:val="1"/>
    <w:unhideWhenUsed/>
    <w:qFormat/>
    <w:uiPriority w:val="0"/>
    <w:pPr>
      <w:ind w:left="3360" w:leftChars="1600"/>
    </w:pPr>
    <w:rPr>
      <w:rFonts w:asciiTheme="minorHAnsi" w:hAnsiTheme="minorHAnsi" w:eastAsiaTheme="minorEastAsia" w:cstheme="minorBidi"/>
      <w:szCs w:val="22"/>
    </w:rPr>
  </w:style>
  <w:style w:type="paragraph" w:styleId="61">
    <w:name w:val="Body Text 2"/>
    <w:basedOn w:val="1"/>
    <w:link w:val="118"/>
    <w:qFormat/>
    <w:uiPriority w:val="0"/>
    <w:pPr>
      <w:adjustRightInd w:val="0"/>
      <w:spacing w:line="240" w:lineRule="exact"/>
      <w:textAlignment w:val="baseline"/>
    </w:pPr>
    <w:rPr>
      <w:rFonts w:ascii="Times New Roman" w:hAnsi="Times New Roman"/>
      <w:kern w:val="0"/>
      <w:sz w:val="24"/>
      <w:szCs w:val="20"/>
    </w:rPr>
  </w:style>
  <w:style w:type="paragraph" w:styleId="62">
    <w:name w:val="List 4"/>
    <w:basedOn w:val="1"/>
    <w:qFormat/>
    <w:uiPriority w:val="0"/>
    <w:pPr>
      <w:ind w:left="100" w:leftChars="600" w:hanging="200" w:hangingChars="200"/>
    </w:pPr>
    <w:rPr>
      <w:rFonts w:ascii="Times New Roman" w:hAnsi="Times New Roman"/>
      <w:kern w:val="0"/>
      <w:sz w:val="24"/>
      <w:szCs w:val="24"/>
    </w:rPr>
  </w:style>
  <w:style w:type="paragraph" w:styleId="63">
    <w:name w:val="List Continue 2"/>
    <w:basedOn w:val="1"/>
    <w:qFormat/>
    <w:uiPriority w:val="0"/>
    <w:pPr>
      <w:spacing w:after="120"/>
      <w:ind w:left="840" w:leftChars="400"/>
    </w:pPr>
    <w:rPr>
      <w:rFonts w:ascii="Times New Roman" w:hAnsi="Times New Roman"/>
      <w:szCs w:val="24"/>
    </w:rPr>
  </w:style>
  <w:style w:type="paragraph" w:styleId="64">
    <w:name w:val="HTML Preformatted"/>
    <w:basedOn w:val="1"/>
    <w:link w:val="119"/>
    <w:qFormat/>
    <w:uiPriority w:val="0"/>
    <w:rPr>
      <w:rFonts w:ascii="Courier New" w:hAnsi="Courier New" w:cs="Courier New"/>
      <w:szCs w:val="24"/>
    </w:rPr>
  </w:style>
  <w:style w:type="paragraph" w:styleId="65">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66">
    <w:name w:val="List Continue 3"/>
    <w:basedOn w:val="1"/>
    <w:qFormat/>
    <w:uiPriority w:val="0"/>
    <w:pPr>
      <w:spacing w:after="120"/>
      <w:ind w:left="1260" w:leftChars="600"/>
    </w:pPr>
    <w:rPr>
      <w:rFonts w:ascii="Times New Roman" w:hAnsi="Times New Roman"/>
      <w:sz w:val="28"/>
      <w:szCs w:val="20"/>
    </w:rPr>
  </w:style>
  <w:style w:type="paragraph" w:styleId="67">
    <w:name w:val="index 2"/>
    <w:basedOn w:val="1"/>
    <w:next w:val="1"/>
    <w:semiHidden/>
    <w:qFormat/>
    <w:uiPriority w:val="0"/>
    <w:pPr>
      <w:spacing w:line="420" w:lineRule="exact"/>
      <w:ind w:left="200" w:leftChars="200"/>
    </w:pPr>
    <w:rPr>
      <w:rFonts w:ascii="Times New Roman" w:hAnsi="Times New Roman"/>
      <w:sz w:val="24"/>
      <w:szCs w:val="20"/>
    </w:rPr>
  </w:style>
  <w:style w:type="paragraph" w:styleId="68">
    <w:name w:val="Title"/>
    <w:basedOn w:val="1"/>
    <w:next w:val="1"/>
    <w:link w:val="120"/>
    <w:qFormat/>
    <w:uiPriority w:val="0"/>
    <w:pPr>
      <w:spacing w:before="240" w:after="60"/>
      <w:jc w:val="center"/>
      <w:outlineLvl w:val="0"/>
    </w:pPr>
    <w:rPr>
      <w:rFonts w:ascii="Arial" w:hAnsi="Arial"/>
      <w:b/>
      <w:bCs/>
      <w:kern w:val="0"/>
      <w:sz w:val="32"/>
      <w:szCs w:val="32"/>
    </w:rPr>
  </w:style>
  <w:style w:type="paragraph" w:styleId="69">
    <w:name w:val="annotation subject"/>
    <w:basedOn w:val="23"/>
    <w:next w:val="23"/>
    <w:link w:val="121"/>
    <w:semiHidden/>
    <w:unhideWhenUsed/>
    <w:qFormat/>
    <w:uiPriority w:val="0"/>
    <w:rPr>
      <w:b/>
      <w:bCs/>
    </w:rPr>
  </w:style>
  <w:style w:type="paragraph" w:styleId="70">
    <w:name w:val="Body Text First Indent 2"/>
    <w:basedOn w:val="28"/>
    <w:link w:val="122"/>
    <w:qFormat/>
    <w:uiPriority w:val="0"/>
    <w:pPr>
      <w:spacing w:before="0" w:beforeAutospacing="0" w:after="120"/>
      <w:ind w:firstLine="420" w:firstLineChars="200"/>
    </w:pPr>
    <w:rPr>
      <w:szCs w:val="24"/>
    </w:rPr>
  </w:style>
  <w:style w:type="table" w:styleId="72">
    <w:name w:val="Table Grid"/>
    <w:basedOn w:val="71"/>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3">
    <w:name w:val="Table Elegant"/>
    <w:basedOn w:val="71"/>
    <w:qFormat/>
    <w:uiPriority w:val="0"/>
    <w:pPr>
      <w:widowControl w:val="0"/>
      <w:adjustRightInd w:val="0"/>
      <w:snapToGrid w:val="0"/>
      <w:spacing w:line="480" w:lineRule="auto"/>
      <w:ind w:firstLine="454"/>
      <w:jc w:val="center"/>
      <w:textAlignment w:val="baseline"/>
    </w:pPr>
    <w:rPr>
      <w:rFonts w:ascii="Calibri" w:hAnsi="Calibri"/>
    </w:rPr>
    <w:tblPr>
      <w:jc w:val="center"/>
      <w:tblBorders>
        <w:top w:val="thinThickSmallGap" w:color="auto" w:sz="12" w:space="0"/>
        <w:bottom w:val="thinThickSmallGap" w:color="auto" w:sz="12" w:space="0"/>
        <w:insideH w:val="single" w:color="auto" w:sz="6" w:space="0"/>
        <w:insideV w:val="single" w:color="auto" w:sz="6" w:space="0"/>
      </w:tblBorders>
      <w:tblCellMar>
        <w:top w:w="0" w:type="dxa"/>
        <w:left w:w="108" w:type="dxa"/>
        <w:bottom w:w="0" w:type="dxa"/>
        <w:right w:w="108" w:type="dxa"/>
      </w:tblCellMar>
    </w:tblPr>
    <w:trPr>
      <w:jc w:val="center"/>
    </w:trPr>
    <w:tcPr>
      <w:shd w:val="clear" w:color="auto" w:fill="auto"/>
      <w:vAlign w:val="center"/>
    </w:tcPr>
    <w:tblStylePr w:type="firstRow">
      <w:rPr>
        <w:caps/>
        <w:color w:val="auto"/>
      </w:rPr>
      <w:tblPr/>
      <w:tcPr>
        <w:tcBorders>
          <w:tl2br w:val="nil"/>
          <w:tr2bl w:val="nil"/>
        </w:tcBorders>
      </w:tcPr>
    </w:tblStylePr>
  </w:style>
  <w:style w:type="character" w:styleId="75">
    <w:name w:val="Strong"/>
    <w:qFormat/>
    <w:uiPriority w:val="22"/>
  </w:style>
  <w:style w:type="character" w:styleId="76">
    <w:name w:val="page number"/>
    <w:basedOn w:val="74"/>
    <w:qFormat/>
    <w:uiPriority w:val="99"/>
  </w:style>
  <w:style w:type="character" w:styleId="77">
    <w:name w:val="FollowedHyperlink"/>
    <w:basedOn w:val="74"/>
    <w:unhideWhenUsed/>
    <w:qFormat/>
    <w:uiPriority w:val="0"/>
    <w:rPr>
      <w:color w:val="800080"/>
      <w:u w:val="single"/>
    </w:rPr>
  </w:style>
  <w:style w:type="character" w:styleId="78">
    <w:name w:val="Emphasis"/>
    <w:basedOn w:val="74"/>
    <w:qFormat/>
    <w:uiPriority w:val="20"/>
    <w:rPr>
      <w:i/>
      <w:iCs/>
    </w:rPr>
  </w:style>
  <w:style w:type="character" w:styleId="79">
    <w:name w:val="HTML Definition"/>
    <w:qFormat/>
    <w:uiPriority w:val="0"/>
  </w:style>
  <w:style w:type="character" w:styleId="80">
    <w:name w:val="HTML Acronym"/>
    <w:basedOn w:val="74"/>
    <w:semiHidden/>
    <w:unhideWhenUsed/>
    <w:qFormat/>
    <w:uiPriority w:val="99"/>
  </w:style>
  <w:style w:type="character" w:styleId="81">
    <w:name w:val="HTML Variable"/>
    <w:qFormat/>
    <w:uiPriority w:val="0"/>
  </w:style>
  <w:style w:type="character" w:styleId="82">
    <w:name w:val="Hyperlink"/>
    <w:unhideWhenUsed/>
    <w:qFormat/>
    <w:uiPriority w:val="99"/>
    <w:rPr>
      <w:color w:val="0000FF"/>
      <w:u w:val="single"/>
    </w:rPr>
  </w:style>
  <w:style w:type="character" w:styleId="83">
    <w:name w:val="HTML Code"/>
    <w:qFormat/>
    <w:uiPriority w:val="0"/>
    <w:rPr>
      <w:rFonts w:ascii="monospace" w:hAnsi="monospace" w:eastAsia="monospace" w:cs="monospace"/>
      <w:sz w:val="21"/>
      <w:szCs w:val="21"/>
    </w:rPr>
  </w:style>
  <w:style w:type="character" w:styleId="84">
    <w:name w:val="annotation reference"/>
    <w:basedOn w:val="74"/>
    <w:unhideWhenUsed/>
    <w:qFormat/>
    <w:uiPriority w:val="0"/>
    <w:rPr>
      <w:sz w:val="21"/>
      <w:szCs w:val="21"/>
    </w:rPr>
  </w:style>
  <w:style w:type="character" w:styleId="85">
    <w:name w:val="HTML Cite"/>
    <w:qFormat/>
    <w:uiPriority w:val="0"/>
  </w:style>
  <w:style w:type="character" w:styleId="86">
    <w:name w:val="footnote reference"/>
    <w:qFormat/>
    <w:uiPriority w:val="0"/>
    <w:rPr>
      <w:vertAlign w:val="superscript"/>
    </w:rPr>
  </w:style>
  <w:style w:type="character" w:styleId="87">
    <w:name w:val="HTML Keyboard"/>
    <w:qFormat/>
    <w:uiPriority w:val="0"/>
    <w:rPr>
      <w:rFonts w:hint="default" w:ascii="monospace" w:hAnsi="monospace" w:eastAsia="monospace" w:cs="monospace"/>
      <w:sz w:val="21"/>
      <w:szCs w:val="21"/>
    </w:rPr>
  </w:style>
  <w:style w:type="character" w:styleId="88">
    <w:name w:val="HTML Sample"/>
    <w:qFormat/>
    <w:uiPriority w:val="0"/>
    <w:rPr>
      <w:rFonts w:hint="default" w:ascii="monospace" w:hAnsi="monospace" w:eastAsia="monospace" w:cs="monospace"/>
      <w:sz w:val="21"/>
      <w:szCs w:val="21"/>
    </w:rPr>
  </w:style>
  <w:style w:type="character" w:customStyle="1" w:styleId="89">
    <w:name w:val="正文首行缩进字符"/>
    <w:link w:val="6"/>
    <w:qFormat/>
    <w:uiPriority w:val="0"/>
    <w:rPr>
      <w:rFonts w:ascii="Times New Roman" w:hAnsi="Times New Roman" w:eastAsia="宋体"/>
      <w:sz w:val="24"/>
    </w:rPr>
  </w:style>
  <w:style w:type="character" w:customStyle="1" w:styleId="90">
    <w:name w:val="正文文本字符"/>
    <w:basedOn w:val="74"/>
    <w:link w:val="7"/>
    <w:qFormat/>
    <w:uiPriority w:val="0"/>
    <w:rPr>
      <w:rFonts w:ascii="Calibri" w:hAnsi="Calibri" w:eastAsia="宋体" w:cs="Times New Roman"/>
      <w:szCs w:val="21"/>
    </w:rPr>
  </w:style>
  <w:style w:type="character" w:customStyle="1" w:styleId="91">
    <w:name w:val="标题 1字符"/>
    <w:basedOn w:val="74"/>
    <w:link w:val="2"/>
    <w:qFormat/>
    <w:uiPriority w:val="0"/>
    <w:rPr>
      <w:rFonts w:ascii="Times New Roman" w:hAnsi="Times New Roman" w:eastAsia="黑体" w:cs="Times New Roman"/>
      <w:bCs/>
      <w:kern w:val="44"/>
      <w:sz w:val="24"/>
      <w:szCs w:val="44"/>
    </w:rPr>
  </w:style>
  <w:style w:type="character" w:customStyle="1" w:styleId="92">
    <w:name w:val="标题 2字符"/>
    <w:basedOn w:val="74"/>
    <w:link w:val="3"/>
    <w:qFormat/>
    <w:uiPriority w:val="99"/>
    <w:rPr>
      <w:rFonts w:ascii="Calibri" w:hAnsi="Calibri" w:eastAsia="黑体" w:cs="Times New Roman"/>
      <w:bCs/>
      <w:sz w:val="24"/>
      <w:szCs w:val="32"/>
    </w:rPr>
  </w:style>
  <w:style w:type="character" w:customStyle="1" w:styleId="93">
    <w:name w:val="标题 3字符"/>
    <w:basedOn w:val="74"/>
    <w:link w:val="4"/>
    <w:qFormat/>
    <w:uiPriority w:val="99"/>
    <w:rPr>
      <w:rFonts w:ascii="Times New Roman" w:hAnsi="Times New Roman" w:eastAsia="宋体" w:cs="Times New Roman"/>
      <w:b/>
      <w:bCs/>
      <w:sz w:val="24"/>
      <w:szCs w:val="32"/>
    </w:rPr>
  </w:style>
  <w:style w:type="character" w:customStyle="1" w:styleId="94">
    <w:name w:val="标题 4字符"/>
    <w:basedOn w:val="74"/>
    <w:link w:val="5"/>
    <w:qFormat/>
    <w:uiPriority w:val="0"/>
    <w:rPr>
      <w:rFonts w:ascii="Times New Roman" w:hAnsi="Times New Roman" w:cs="Times New Roman" w:eastAsiaTheme="majorEastAsia"/>
      <w:b/>
      <w:bCs/>
      <w:color w:val="000000" w:themeColor="text1"/>
      <w:kern w:val="2"/>
      <w:sz w:val="24"/>
      <w:szCs w:val="24"/>
      <w14:textFill>
        <w14:solidFill>
          <w14:schemeClr w14:val="tx1"/>
        </w14:solidFill>
      </w14:textFill>
    </w:rPr>
  </w:style>
  <w:style w:type="character" w:customStyle="1" w:styleId="95">
    <w:name w:val="标题 5字符"/>
    <w:basedOn w:val="74"/>
    <w:link w:val="9"/>
    <w:qFormat/>
    <w:uiPriority w:val="0"/>
    <w:rPr>
      <w:rFonts w:ascii="Calibri" w:hAnsi="Calibri" w:eastAsia="宋体" w:cs="Times New Roman"/>
      <w:b/>
      <w:bCs/>
      <w:kern w:val="2"/>
      <w:sz w:val="28"/>
      <w:szCs w:val="28"/>
    </w:rPr>
  </w:style>
  <w:style w:type="character" w:customStyle="1" w:styleId="96">
    <w:name w:val="标题 6字符"/>
    <w:basedOn w:val="74"/>
    <w:link w:val="10"/>
    <w:qFormat/>
    <w:uiPriority w:val="0"/>
    <w:rPr>
      <w:rFonts w:asciiTheme="majorHAnsi" w:hAnsiTheme="majorHAnsi" w:eastAsiaTheme="majorEastAsia" w:cstheme="majorBidi"/>
      <w:b/>
      <w:bCs/>
      <w:kern w:val="2"/>
      <w:sz w:val="24"/>
      <w:szCs w:val="24"/>
    </w:rPr>
  </w:style>
  <w:style w:type="character" w:customStyle="1" w:styleId="97">
    <w:name w:val="标题 7字符"/>
    <w:basedOn w:val="74"/>
    <w:link w:val="11"/>
    <w:qFormat/>
    <w:uiPriority w:val="0"/>
    <w:rPr>
      <w:rFonts w:ascii="Calibri" w:hAnsi="Calibri" w:eastAsia="宋体" w:cs="Times New Roman"/>
      <w:b/>
      <w:bCs/>
      <w:kern w:val="2"/>
      <w:sz w:val="24"/>
      <w:szCs w:val="24"/>
    </w:rPr>
  </w:style>
  <w:style w:type="character" w:customStyle="1" w:styleId="98">
    <w:name w:val="标题 8字符"/>
    <w:basedOn w:val="74"/>
    <w:link w:val="12"/>
    <w:qFormat/>
    <w:uiPriority w:val="0"/>
    <w:rPr>
      <w:rFonts w:asciiTheme="majorHAnsi" w:hAnsiTheme="majorHAnsi" w:eastAsiaTheme="majorEastAsia" w:cstheme="majorBidi"/>
      <w:kern w:val="2"/>
      <w:sz w:val="24"/>
      <w:szCs w:val="24"/>
    </w:rPr>
  </w:style>
  <w:style w:type="character" w:customStyle="1" w:styleId="99">
    <w:name w:val="标题 9字符"/>
    <w:basedOn w:val="74"/>
    <w:link w:val="13"/>
    <w:qFormat/>
    <w:uiPriority w:val="0"/>
    <w:rPr>
      <w:rFonts w:asciiTheme="majorHAnsi" w:hAnsiTheme="majorHAnsi" w:eastAsiaTheme="majorEastAsia" w:cstheme="majorBidi"/>
      <w:kern w:val="2"/>
      <w:sz w:val="21"/>
      <w:szCs w:val="21"/>
    </w:rPr>
  </w:style>
  <w:style w:type="character" w:customStyle="1" w:styleId="100">
    <w:name w:val="正文缩进字符"/>
    <w:link w:val="18"/>
    <w:qFormat/>
    <w:uiPriority w:val="0"/>
    <w:rPr>
      <w:rFonts w:ascii="Calibri" w:hAnsi="Calibri" w:eastAsia="宋体" w:cs="Times New Roman"/>
      <w:szCs w:val="21"/>
    </w:rPr>
  </w:style>
  <w:style w:type="character" w:customStyle="1" w:styleId="101">
    <w:name w:val="题注字符"/>
    <w:link w:val="19"/>
    <w:qFormat/>
    <w:uiPriority w:val="35"/>
    <w:rPr>
      <w:rFonts w:eastAsia="楷体_GB2312"/>
      <w:spacing w:val="8"/>
      <w:kern w:val="24"/>
      <w:sz w:val="15"/>
    </w:rPr>
  </w:style>
  <w:style w:type="character" w:customStyle="1" w:styleId="102">
    <w:name w:val="文档结构图字符"/>
    <w:basedOn w:val="74"/>
    <w:link w:val="22"/>
    <w:semiHidden/>
    <w:qFormat/>
    <w:uiPriority w:val="0"/>
    <w:rPr>
      <w:rFonts w:ascii="Times New Roman" w:hAnsi="Times New Roman" w:eastAsia="宋体" w:cs="Times New Roman"/>
      <w:szCs w:val="24"/>
      <w:shd w:val="clear" w:color="auto" w:fill="000080"/>
    </w:rPr>
  </w:style>
  <w:style w:type="character" w:customStyle="1" w:styleId="103">
    <w:name w:val="批注文字字符"/>
    <w:basedOn w:val="74"/>
    <w:link w:val="23"/>
    <w:qFormat/>
    <w:uiPriority w:val="0"/>
    <w:rPr>
      <w:rFonts w:ascii="Calibri" w:hAnsi="Calibri" w:eastAsia="宋体" w:cs="Times New Roman"/>
      <w:szCs w:val="21"/>
    </w:rPr>
  </w:style>
  <w:style w:type="character" w:customStyle="1" w:styleId="104">
    <w:name w:val="称呼字符"/>
    <w:basedOn w:val="74"/>
    <w:link w:val="25"/>
    <w:qFormat/>
    <w:uiPriority w:val="0"/>
    <w:rPr>
      <w:rFonts w:ascii="Times New Roman" w:hAnsi="Times New Roman" w:eastAsia="宋体" w:cs="Times New Roman"/>
      <w:szCs w:val="24"/>
    </w:rPr>
  </w:style>
  <w:style w:type="character" w:customStyle="1" w:styleId="105">
    <w:name w:val="正文文本 3字符"/>
    <w:basedOn w:val="74"/>
    <w:link w:val="26"/>
    <w:qFormat/>
    <w:uiPriority w:val="0"/>
    <w:rPr>
      <w:sz w:val="16"/>
      <w:szCs w:val="16"/>
    </w:rPr>
  </w:style>
  <w:style w:type="character" w:customStyle="1" w:styleId="106">
    <w:name w:val="正文文本缩进字符"/>
    <w:basedOn w:val="74"/>
    <w:link w:val="28"/>
    <w:qFormat/>
    <w:uiPriority w:val="99"/>
    <w:rPr>
      <w:rFonts w:ascii="Times New Roman" w:hAnsi="Times New Roman" w:eastAsia="宋体" w:cs="Times New Roman"/>
      <w:szCs w:val="21"/>
    </w:rPr>
  </w:style>
  <w:style w:type="character" w:customStyle="1" w:styleId="107">
    <w:name w:val="纯文本字符"/>
    <w:basedOn w:val="74"/>
    <w:link w:val="36"/>
    <w:qFormat/>
    <w:uiPriority w:val="0"/>
    <w:rPr>
      <w:rFonts w:ascii="宋体" w:hAnsi="Courier New" w:eastAsia="宋体" w:cs="宋体"/>
      <w:szCs w:val="21"/>
    </w:rPr>
  </w:style>
  <w:style w:type="character" w:customStyle="1" w:styleId="108">
    <w:name w:val="日期字符"/>
    <w:basedOn w:val="74"/>
    <w:link w:val="39"/>
    <w:qFormat/>
    <w:uiPriority w:val="0"/>
    <w:rPr>
      <w:rFonts w:ascii="Calibri" w:hAnsi="Calibri" w:eastAsia="宋体" w:cs="Times New Roman"/>
      <w:szCs w:val="21"/>
    </w:rPr>
  </w:style>
  <w:style w:type="character" w:customStyle="1" w:styleId="109">
    <w:name w:val="正文文本缩进 2字符"/>
    <w:basedOn w:val="74"/>
    <w:link w:val="40"/>
    <w:qFormat/>
    <w:uiPriority w:val="0"/>
    <w:rPr>
      <w:rFonts w:ascii="Calibri" w:hAnsi="Calibri" w:eastAsia="宋体" w:cs="Times New Roman"/>
      <w:szCs w:val="21"/>
    </w:rPr>
  </w:style>
  <w:style w:type="character" w:customStyle="1" w:styleId="110">
    <w:name w:val="批注框文本字符"/>
    <w:basedOn w:val="74"/>
    <w:link w:val="41"/>
    <w:qFormat/>
    <w:uiPriority w:val="0"/>
    <w:rPr>
      <w:rFonts w:ascii="Calibri" w:hAnsi="Calibri" w:eastAsia="宋体" w:cs="Times New Roman"/>
      <w:sz w:val="18"/>
      <w:szCs w:val="18"/>
    </w:rPr>
  </w:style>
  <w:style w:type="character" w:customStyle="1" w:styleId="111">
    <w:name w:val="页脚字符"/>
    <w:link w:val="42"/>
    <w:qFormat/>
    <w:uiPriority w:val="99"/>
    <w:rPr>
      <w:sz w:val="18"/>
      <w:szCs w:val="18"/>
    </w:rPr>
  </w:style>
  <w:style w:type="character" w:customStyle="1" w:styleId="112">
    <w:name w:val="页眉字符"/>
    <w:link w:val="43"/>
    <w:qFormat/>
    <w:uiPriority w:val="99"/>
    <w:rPr>
      <w:sz w:val="18"/>
      <w:szCs w:val="18"/>
    </w:rPr>
  </w:style>
  <w:style w:type="character" w:customStyle="1" w:styleId="113">
    <w:name w:val="签名字符"/>
    <w:basedOn w:val="74"/>
    <w:link w:val="44"/>
    <w:qFormat/>
    <w:uiPriority w:val="0"/>
    <w:rPr>
      <w:szCs w:val="24"/>
    </w:rPr>
  </w:style>
  <w:style w:type="character" w:customStyle="1" w:styleId="114">
    <w:name w:val="目录 1字符"/>
    <w:link w:val="45"/>
    <w:qFormat/>
    <w:uiPriority w:val="39"/>
    <w:rPr>
      <w:rFonts w:ascii="Calibri" w:hAnsi="Calibri"/>
      <w:b/>
      <w:bCs/>
      <w:caps/>
      <w:szCs w:val="21"/>
    </w:rPr>
  </w:style>
  <w:style w:type="character" w:customStyle="1" w:styleId="115">
    <w:name w:val="副标题字符"/>
    <w:basedOn w:val="74"/>
    <w:link w:val="50"/>
    <w:qFormat/>
    <w:uiPriority w:val="0"/>
    <w:rPr>
      <w:rFonts w:ascii="Arial" w:hAnsi="Arial"/>
      <w:b/>
      <w:bCs/>
      <w:kern w:val="28"/>
      <w:sz w:val="32"/>
      <w:szCs w:val="32"/>
    </w:rPr>
  </w:style>
  <w:style w:type="character" w:customStyle="1" w:styleId="116">
    <w:name w:val="脚注文本字符"/>
    <w:basedOn w:val="74"/>
    <w:link w:val="52"/>
    <w:qFormat/>
    <w:uiPriority w:val="0"/>
    <w:rPr>
      <w:sz w:val="18"/>
      <w:szCs w:val="18"/>
    </w:rPr>
  </w:style>
  <w:style w:type="character" w:customStyle="1" w:styleId="117">
    <w:name w:val="正文文本缩进 3字符"/>
    <w:basedOn w:val="74"/>
    <w:link w:val="55"/>
    <w:qFormat/>
    <w:uiPriority w:val="0"/>
    <w:rPr>
      <w:rFonts w:ascii="Times New Roman" w:hAnsi="Times New Roman" w:eastAsia="宋体" w:cs="Times New Roman"/>
      <w:sz w:val="16"/>
      <w:szCs w:val="16"/>
    </w:rPr>
  </w:style>
  <w:style w:type="character" w:customStyle="1" w:styleId="118">
    <w:name w:val="正文文本 2字符"/>
    <w:basedOn w:val="74"/>
    <w:link w:val="61"/>
    <w:qFormat/>
    <w:uiPriority w:val="0"/>
    <w:rPr>
      <w:sz w:val="24"/>
    </w:rPr>
  </w:style>
  <w:style w:type="character" w:customStyle="1" w:styleId="119">
    <w:name w:val="HTML 预设格式字符"/>
    <w:basedOn w:val="74"/>
    <w:link w:val="64"/>
    <w:qFormat/>
    <w:uiPriority w:val="0"/>
    <w:rPr>
      <w:rFonts w:ascii="Courier New" w:hAnsi="Courier New" w:cs="Courier New"/>
      <w:kern w:val="2"/>
      <w:sz w:val="21"/>
      <w:szCs w:val="24"/>
    </w:rPr>
  </w:style>
  <w:style w:type="character" w:customStyle="1" w:styleId="120">
    <w:name w:val="标题字符"/>
    <w:basedOn w:val="74"/>
    <w:link w:val="68"/>
    <w:qFormat/>
    <w:uiPriority w:val="0"/>
    <w:rPr>
      <w:rFonts w:ascii="Arial" w:hAnsi="Arial"/>
      <w:b/>
      <w:bCs/>
      <w:sz w:val="32"/>
      <w:szCs w:val="32"/>
    </w:rPr>
  </w:style>
  <w:style w:type="character" w:customStyle="1" w:styleId="121">
    <w:name w:val="批注主题字符"/>
    <w:basedOn w:val="103"/>
    <w:link w:val="69"/>
    <w:semiHidden/>
    <w:qFormat/>
    <w:uiPriority w:val="0"/>
    <w:rPr>
      <w:rFonts w:ascii="Calibri" w:hAnsi="Calibri" w:eastAsia="宋体" w:cs="Times New Roman"/>
      <w:b/>
      <w:bCs/>
      <w:szCs w:val="21"/>
    </w:rPr>
  </w:style>
  <w:style w:type="character" w:customStyle="1" w:styleId="122">
    <w:name w:val="正文首行缩进 2字符"/>
    <w:basedOn w:val="106"/>
    <w:link w:val="70"/>
    <w:qFormat/>
    <w:uiPriority w:val="0"/>
    <w:rPr>
      <w:rFonts w:ascii="Times New Roman" w:hAnsi="Times New Roman" w:eastAsia="宋体" w:cs="Times New Roman"/>
      <w:szCs w:val="24"/>
    </w:rPr>
  </w:style>
  <w:style w:type="character" w:customStyle="1" w:styleId="123">
    <w:name w:val="正文文字 Char1"/>
    <w:link w:val="124"/>
    <w:qFormat/>
    <w:uiPriority w:val="0"/>
    <w:rPr>
      <w:sz w:val="24"/>
      <w:szCs w:val="24"/>
    </w:rPr>
  </w:style>
  <w:style w:type="paragraph" w:customStyle="1" w:styleId="124">
    <w:name w:val="正文文字"/>
    <w:basedOn w:val="18"/>
    <w:link w:val="123"/>
    <w:qFormat/>
    <w:uiPriority w:val="0"/>
    <w:pPr>
      <w:adjustRightInd w:val="0"/>
      <w:snapToGrid w:val="0"/>
      <w:spacing w:line="360" w:lineRule="auto"/>
      <w:ind w:firstLine="200"/>
    </w:pPr>
    <w:rPr>
      <w:rFonts w:asciiTheme="minorHAnsi" w:hAnsiTheme="minorHAnsi" w:eastAsiaTheme="minorEastAsia" w:cstheme="minorBidi"/>
      <w:sz w:val="24"/>
      <w:szCs w:val="24"/>
    </w:rPr>
  </w:style>
  <w:style w:type="character" w:customStyle="1" w:styleId="125">
    <w:name w:val="正文首行缩进 Char1"/>
    <w:basedOn w:val="90"/>
    <w:qFormat/>
    <w:uiPriority w:val="0"/>
    <w:rPr>
      <w:rFonts w:ascii="Calibri" w:hAnsi="Calibri" w:eastAsia="宋体" w:cs="Times New Roman"/>
      <w:szCs w:val="21"/>
    </w:rPr>
  </w:style>
  <w:style w:type="character" w:customStyle="1" w:styleId="126">
    <w:name w:val="页脚 Char1"/>
    <w:basedOn w:val="74"/>
    <w:semiHidden/>
    <w:qFormat/>
    <w:uiPriority w:val="99"/>
    <w:rPr>
      <w:rFonts w:ascii="Calibri" w:hAnsi="Calibri" w:eastAsia="宋体" w:cs="Times New Roman"/>
      <w:sz w:val="18"/>
      <w:szCs w:val="18"/>
    </w:rPr>
  </w:style>
  <w:style w:type="character" w:customStyle="1" w:styleId="127">
    <w:name w:val="页眉 Char1"/>
    <w:basedOn w:val="74"/>
    <w:semiHidden/>
    <w:qFormat/>
    <w:uiPriority w:val="99"/>
    <w:rPr>
      <w:rFonts w:ascii="Calibri" w:hAnsi="Calibri" w:eastAsia="宋体" w:cs="Times New Roman"/>
      <w:sz w:val="18"/>
      <w:szCs w:val="18"/>
    </w:rPr>
  </w:style>
  <w:style w:type="paragraph" w:customStyle="1" w:styleId="128">
    <w:name w:val="普通(网站)1"/>
    <w:basedOn w:val="1"/>
    <w:qFormat/>
    <w:uiPriority w:val="0"/>
    <w:pPr>
      <w:widowControl/>
      <w:spacing w:before="100" w:beforeAutospacing="1" w:after="100" w:afterAutospacing="1"/>
      <w:jc w:val="left"/>
    </w:pPr>
    <w:rPr>
      <w:rFonts w:ascii="宋体" w:hAnsi="宋体"/>
      <w:sz w:val="24"/>
      <w:szCs w:val="24"/>
    </w:rPr>
  </w:style>
  <w:style w:type="paragraph" w:customStyle="1" w:styleId="129">
    <w:name w:val="报告书正文"/>
    <w:basedOn w:val="1"/>
    <w:link w:val="130"/>
    <w:qFormat/>
    <w:uiPriority w:val="0"/>
    <w:pPr>
      <w:spacing w:line="300" w:lineRule="auto"/>
      <w:ind w:firstLine="200" w:firstLineChars="200"/>
    </w:pPr>
    <w:rPr>
      <w:rFonts w:ascii="Times New Roman" w:hAnsi="Times New Roman"/>
      <w:sz w:val="24"/>
      <w:szCs w:val="24"/>
    </w:rPr>
  </w:style>
  <w:style w:type="character" w:customStyle="1" w:styleId="130">
    <w:name w:val="报告书正文 Char2"/>
    <w:link w:val="129"/>
    <w:qFormat/>
    <w:uiPriority w:val="0"/>
    <w:rPr>
      <w:rFonts w:ascii="Times New Roman" w:hAnsi="Times New Roman" w:eastAsia="宋体" w:cs="Times New Roman"/>
      <w:sz w:val="24"/>
      <w:szCs w:val="24"/>
    </w:rPr>
  </w:style>
  <w:style w:type="paragraph" w:styleId="131">
    <w:name w:val="List Paragraph"/>
    <w:basedOn w:val="1"/>
    <w:link w:val="132"/>
    <w:qFormat/>
    <w:uiPriority w:val="34"/>
    <w:pPr>
      <w:adjustRightInd w:val="0"/>
      <w:spacing w:line="312" w:lineRule="atLeast"/>
      <w:ind w:firstLine="420" w:firstLineChars="200"/>
      <w:textAlignment w:val="baseline"/>
    </w:pPr>
    <w:rPr>
      <w:rFonts w:ascii="Times New Roman" w:hAnsi="Times New Roman"/>
      <w:kern w:val="0"/>
    </w:rPr>
  </w:style>
  <w:style w:type="character" w:customStyle="1" w:styleId="132">
    <w:name w:val="列出段落字符"/>
    <w:basedOn w:val="74"/>
    <w:link w:val="131"/>
    <w:qFormat/>
    <w:uiPriority w:val="34"/>
    <w:rPr>
      <w:rFonts w:ascii="Times New Roman" w:hAnsi="Times New Roman" w:eastAsia="宋体" w:cs="Times New Roman"/>
      <w:sz w:val="21"/>
      <w:szCs w:val="21"/>
    </w:rPr>
  </w:style>
  <w:style w:type="paragraph" w:customStyle="1" w:styleId="133">
    <w:name w:val="报告书正文 Char Char Char Char Char Char Char"/>
    <w:basedOn w:val="1"/>
    <w:qFormat/>
    <w:uiPriority w:val="0"/>
    <w:pPr>
      <w:spacing w:line="300" w:lineRule="auto"/>
      <w:ind w:firstLine="480" w:firstLineChars="200"/>
    </w:pPr>
    <w:rPr>
      <w:rFonts w:ascii="Times New Roman" w:hAnsi="Times New Roman"/>
      <w:color w:val="000000"/>
      <w:sz w:val="24"/>
      <w:szCs w:val="24"/>
    </w:rPr>
  </w:style>
  <w:style w:type="paragraph" w:customStyle="1" w:styleId="134">
    <w:name w:val="图表头"/>
    <w:basedOn w:val="1"/>
    <w:qFormat/>
    <w:uiPriority w:val="0"/>
    <w:pPr>
      <w:adjustRightInd w:val="0"/>
      <w:spacing w:line="360" w:lineRule="auto"/>
      <w:jc w:val="center"/>
      <w:textAlignment w:val="baseline"/>
    </w:pPr>
    <w:rPr>
      <w:rFonts w:ascii="黑体" w:hAnsi="黑体" w:eastAsia="黑体" w:cs="宋体"/>
      <w:spacing w:val="5"/>
      <w:kern w:val="0"/>
    </w:rPr>
  </w:style>
  <w:style w:type="paragraph" w:customStyle="1" w:styleId="135">
    <w:name w:val="报告书正文 Char Char Char"/>
    <w:basedOn w:val="1"/>
    <w:link w:val="136"/>
    <w:qFormat/>
    <w:uiPriority w:val="0"/>
    <w:pPr>
      <w:spacing w:line="300" w:lineRule="auto"/>
      <w:ind w:firstLine="200" w:firstLineChars="200"/>
    </w:pPr>
    <w:rPr>
      <w:rFonts w:ascii="Times New Roman" w:hAnsi="Times New Roman"/>
      <w:sz w:val="24"/>
      <w:szCs w:val="24"/>
    </w:rPr>
  </w:style>
  <w:style w:type="character" w:customStyle="1" w:styleId="136">
    <w:name w:val="报告书正文 Char Char Char Char"/>
    <w:link w:val="135"/>
    <w:qFormat/>
    <w:uiPriority w:val="0"/>
    <w:rPr>
      <w:rFonts w:ascii="Times New Roman" w:hAnsi="Times New Roman" w:eastAsia="宋体" w:cs="Times New Roman"/>
      <w:sz w:val="24"/>
      <w:szCs w:val="24"/>
    </w:rPr>
  </w:style>
  <w:style w:type="paragraph" w:customStyle="1" w:styleId="137">
    <w:name w:val="5表标题"/>
    <w:basedOn w:val="1"/>
    <w:qFormat/>
    <w:uiPriority w:val="0"/>
    <w:pPr>
      <w:widowControl/>
      <w:jc w:val="center"/>
    </w:pPr>
    <w:rPr>
      <w:rFonts w:ascii="Times New Roman" w:hAnsi="Times New Roman" w:cs="宋体"/>
      <w:b/>
      <w:bCs/>
    </w:rPr>
  </w:style>
  <w:style w:type="paragraph" w:customStyle="1" w:styleId="138">
    <w:name w:val="表格"/>
    <w:basedOn w:val="1"/>
    <w:link w:val="139"/>
    <w:qFormat/>
    <w:uiPriority w:val="0"/>
    <w:pPr>
      <w:jc w:val="center"/>
      <w:outlineLvl w:val="5"/>
    </w:pPr>
    <w:rPr>
      <w:rFonts w:ascii="宋体" w:hAnsi="宋体" w:cs="宋体"/>
      <w:kern w:val="0"/>
    </w:rPr>
  </w:style>
  <w:style w:type="character" w:customStyle="1" w:styleId="139">
    <w:name w:val="表格 Char"/>
    <w:link w:val="138"/>
    <w:qFormat/>
    <w:uiPriority w:val="0"/>
    <w:rPr>
      <w:rFonts w:ascii="宋体" w:hAnsi="宋体" w:cs="宋体"/>
      <w:sz w:val="21"/>
      <w:szCs w:val="21"/>
    </w:rPr>
  </w:style>
  <w:style w:type="paragraph" w:customStyle="1" w:styleId="140">
    <w:name w:val="表头11"/>
    <w:basedOn w:val="1"/>
    <w:qFormat/>
    <w:uiPriority w:val="0"/>
    <w:pPr>
      <w:adjustRightInd w:val="0"/>
      <w:snapToGrid w:val="0"/>
      <w:spacing w:line="480" w:lineRule="exact"/>
      <w:jc w:val="center"/>
    </w:pPr>
    <w:rPr>
      <w:rFonts w:ascii="宋体" w:hAnsi="宋体" w:cs="宋体"/>
      <w:b/>
      <w:bCs/>
      <w:color w:val="FF0000"/>
      <w:sz w:val="24"/>
      <w:szCs w:val="24"/>
    </w:rPr>
  </w:style>
  <w:style w:type="paragraph" w:customStyle="1" w:styleId="141">
    <w:name w:val="样式 表头11 + 自动设置"/>
    <w:basedOn w:val="140"/>
    <w:qFormat/>
    <w:uiPriority w:val="0"/>
    <w:pPr>
      <w:spacing w:line="240" w:lineRule="auto"/>
    </w:pPr>
    <w:rPr>
      <w:color w:val="000000"/>
    </w:rPr>
  </w:style>
  <w:style w:type="paragraph" w:customStyle="1" w:styleId="142">
    <w:name w:val="表格2"/>
    <w:basedOn w:val="1"/>
    <w:qFormat/>
    <w:uiPriority w:val="0"/>
    <w:pPr>
      <w:widowControl/>
      <w:adjustRightInd w:val="0"/>
      <w:snapToGrid w:val="0"/>
      <w:jc w:val="center"/>
    </w:pPr>
    <w:rPr>
      <w:rFonts w:ascii="Times New Roman" w:hAnsi="Times New Roman"/>
      <w:b/>
      <w:bCs/>
      <w:kern w:val="0"/>
    </w:rPr>
  </w:style>
  <w:style w:type="paragraph" w:customStyle="1" w:styleId="143">
    <w:name w:val="0正文"/>
    <w:basedOn w:val="28"/>
    <w:qFormat/>
    <w:uiPriority w:val="0"/>
    <w:pPr>
      <w:spacing w:line="300" w:lineRule="auto"/>
      <w:ind w:left="0" w:leftChars="0" w:firstLine="480" w:firstLineChars="200"/>
    </w:pPr>
    <w:rPr>
      <w:kern w:val="0"/>
      <w:sz w:val="24"/>
      <w:szCs w:val="24"/>
    </w:rPr>
  </w:style>
  <w:style w:type="paragraph" w:customStyle="1" w:styleId="144">
    <w:name w:val="样式9"/>
    <w:basedOn w:val="5"/>
    <w:qFormat/>
    <w:uiPriority w:val="0"/>
    <w:pPr>
      <w:spacing w:line="372" w:lineRule="auto"/>
    </w:pPr>
    <w:rPr>
      <w:rFonts w:ascii="Arial" w:hAnsi="Arial" w:eastAsia="黑体" w:cs="Arial"/>
    </w:rPr>
  </w:style>
  <w:style w:type="paragraph" w:customStyle="1" w:styleId="145">
    <w:name w:val="Default"/>
    <w:basedOn w:val="1"/>
    <w:qFormat/>
    <w:uiPriority w:val="0"/>
    <w:pPr>
      <w:autoSpaceDE w:val="0"/>
      <w:autoSpaceDN w:val="0"/>
      <w:adjustRightInd w:val="0"/>
      <w:jc w:val="left"/>
    </w:pPr>
    <w:rPr>
      <w:rFonts w:ascii="宋体" w:hAnsi="宋体" w:cs="宋体"/>
      <w:color w:val="000000"/>
      <w:kern w:val="0"/>
      <w:sz w:val="24"/>
      <w:szCs w:val="24"/>
    </w:rPr>
  </w:style>
  <w:style w:type="paragraph" w:customStyle="1" w:styleId="146">
    <w:name w:val="样式 加粗 居中 行距: 1.5 倍行距"/>
    <w:basedOn w:val="1"/>
    <w:qFormat/>
    <w:uiPriority w:val="0"/>
    <w:pPr>
      <w:spacing w:line="360" w:lineRule="auto"/>
      <w:jc w:val="center"/>
    </w:pPr>
    <w:rPr>
      <w:rFonts w:ascii="Times New Roman" w:hAnsi="Times New Roman" w:cs="宋体"/>
      <w:b/>
      <w:bCs/>
    </w:rPr>
  </w:style>
  <w:style w:type="paragraph" w:customStyle="1" w:styleId="147">
    <w:name w:val="样式 首行缩进:  2 字符"/>
    <w:basedOn w:val="1"/>
    <w:link w:val="148"/>
    <w:qFormat/>
    <w:uiPriority w:val="0"/>
    <w:pPr>
      <w:adjustRightInd w:val="0"/>
      <w:spacing w:line="300" w:lineRule="auto"/>
      <w:ind w:firstLine="480" w:firstLineChars="200"/>
      <w:textAlignment w:val="baseline"/>
    </w:pPr>
    <w:rPr>
      <w:rFonts w:ascii="宋体" w:hAnsi="宋体" w:cs="宋体"/>
      <w:color w:val="FF0000"/>
      <w:kern w:val="0"/>
      <w:sz w:val="24"/>
      <w:szCs w:val="24"/>
    </w:rPr>
  </w:style>
  <w:style w:type="character" w:customStyle="1" w:styleId="148">
    <w:name w:val="样式 首行缩进:  2 字符 Char"/>
    <w:link w:val="147"/>
    <w:qFormat/>
    <w:uiPriority w:val="0"/>
    <w:rPr>
      <w:rFonts w:ascii="宋体" w:hAnsi="宋体" w:cs="宋体"/>
      <w:color w:val="FF0000"/>
      <w:sz w:val="24"/>
      <w:szCs w:val="24"/>
    </w:rPr>
  </w:style>
  <w:style w:type="paragraph" w:customStyle="1" w:styleId="149">
    <w:name w:val="p0"/>
    <w:basedOn w:val="1"/>
    <w:qFormat/>
    <w:uiPriority w:val="0"/>
    <w:pPr>
      <w:widowControl/>
    </w:pPr>
    <w:rPr>
      <w:rFonts w:cs="宋体"/>
      <w:kern w:val="0"/>
    </w:rPr>
  </w:style>
  <w:style w:type="paragraph" w:customStyle="1" w:styleId="150">
    <w:name w:val="表格内容"/>
    <w:basedOn w:val="1"/>
    <w:qFormat/>
    <w:uiPriority w:val="0"/>
    <w:pPr>
      <w:adjustRightInd w:val="0"/>
      <w:snapToGrid w:val="0"/>
      <w:jc w:val="center"/>
    </w:pPr>
    <w:rPr>
      <w:rFonts w:ascii="宋体" w:hAnsi="宋体" w:cs="宋体"/>
      <w:sz w:val="18"/>
      <w:szCs w:val="18"/>
    </w:rPr>
  </w:style>
  <w:style w:type="character" w:customStyle="1" w:styleId="151">
    <w:name w:val="10"/>
    <w:basedOn w:val="74"/>
    <w:qFormat/>
    <w:uiPriority w:val="0"/>
    <w:rPr>
      <w:rFonts w:hint="default" w:ascii="Times New Roman" w:hAnsi="Times New Roman" w:cs="Times New Roman"/>
    </w:rPr>
  </w:style>
  <w:style w:type="character" w:customStyle="1" w:styleId="152">
    <w:name w:val="15"/>
    <w:basedOn w:val="74"/>
    <w:qFormat/>
    <w:uiPriority w:val="0"/>
    <w:rPr>
      <w:rFonts w:hint="default" w:ascii="Times New Roman" w:hAnsi="Times New Roman" w:cs="Times New Roman"/>
    </w:rPr>
  </w:style>
  <w:style w:type="paragraph" w:customStyle="1" w:styleId="153">
    <w:name w:val="岳阳用"/>
    <w:basedOn w:val="1"/>
    <w:qFormat/>
    <w:uiPriority w:val="0"/>
    <w:pPr>
      <w:spacing w:line="400" w:lineRule="atLeast"/>
      <w:ind w:firstLine="644"/>
      <w:jc w:val="left"/>
    </w:pPr>
    <w:rPr>
      <w:rFonts w:ascii="仿宋_GB2312" w:hAnsi="宋体" w:eastAsia="仿宋_GB2312" w:cs="宋体"/>
      <w:spacing w:val="21"/>
      <w:kern w:val="0"/>
      <w:sz w:val="28"/>
      <w:szCs w:val="28"/>
    </w:rPr>
  </w:style>
  <w:style w:type="paragraph" w:customStyle="1" w:styleId="154">
    <w:name w:val="报告书"/>
    <w:basedOn w:val="1"/>
    <w:qFormat/>
    <w:uiPriority w:val="0"/>
    <w:pPr>
      <w:spacing w:line="300" w:lineRule="auto"/>
      <w:ind w:firstLine="480" w:firstLineChars="200"/>
    </w:pPr>
    <w:rPr>
      <w:rFonts w:ascii="Times New Roman" w:hAnsi="Times New Roman"/>
      <w:sz w:val="24"/>
      <w:szCs w:val="24"/>
    </w:rPr>
  </w:style>
  <w:style w:type="paragraph" w:customStyle="1" w:styleId="155">
    <w:name w:val="报告书正文 Char"/>
    <w:basedOn w:val="1"/>
    <w:qFormat/>
    <w:uiPriority w:val="0"/>
    <w:pPr>
      <w:spacing w:line="300" w:lineRule="auto"/>
      <w:ind w:firstLine="200" w:firstLineChars="200"/>
    </w:pPr>
    <w:rPr>
      <w:rFonts w:ascii="Times New Roman" w:hAnsi="Times New Roman"/>
      <w:sz w:val="24"/>
      <w:szCs w:val="24"/>
    </w:rPr>
  </w:style>
  <w:style w:type="paragraph" w:customStyle="1" w:styleId="156">
    <w:name w:val="表格文字居中"/>
    <w:basedOn w:val="1"/>
    <w:link w:val="157"/>
    <w:qFormat/>
    <w:uiPriority w:val="0"/>
    <w:pPr>
      <w:widowControl/>
      <w:adjustRightInd w:val="0"/>
      <w:snapToGrid w:val="0"/>
      <w:spacing w:beforeLines="10" w:afterLines="10"/>
      <w:jc w:val="center"/>
    </w:pPr>
    <w:rPr>
      <w:rFonts w:ascii="宋体" w:hAnsi="宋体" w:cs="宋体"/>
      <w:kern w:val="0"/>
      <w:sz w:val="24"/>
      <w:szCs w:val="24"/>
    </w:rPr>
  </w:style>
  <w:style w:type="character" w:customStyle="1" w:styleId="157">
    <w:name w:val="表格文字居中 Char"/>
    <w:link w:val="156"/>
    <w:qFormat/>
    <w:uiPriority w:val="0"/>
    <w:rPr>
      <w:rFonts w:ascii="宋体" w:hAnsi="宋体" w:eastAsia="宋体" w:cs="宋体"/>
      <w:sz w:val="24"/>
      <w:szCs w:val="24"/>
    </w:rPr>
  </w:style>
  <w:style w:type="character" w:customStyle="1" w:styleId="158">
    <w:name w:val="段落 Char"/>
    <w:link w:val="159"/>
    <w:qFormat/>
    <w:uiPriority w:val="0"/>
    <w:rPr>
      <w:rFonts w:ascii="Times New Roman" w:hAnsi="Times New Roman"/>
      <w:b/>
      <w:bCs/>
      <w:sz w:val="30"/>
      <w:szCs w:val="30"/>
    </w:rPr>
  </w:style>
  <w:style w:type="paragraph" w:customStyle="1" w:styleId="159">
    <w:name w:val="段落"/>
    <w:basedOn w:val="1"/>
    <w:link w:val="158"/>
    <w:qFormat/>
    <w:uiPriority w:val="0"/>
    <w:pPr>
      <w:adjustRightInd w:val="0"/>
      <w:snapToGrid w:val="0"/>
      <w:spacing w:line="360" w:lineRule="auto"/>
    </w:pPr>
    <w:rPr>
      <w:rFonts w:ascii="Times New Roman" w:hAnsi="Times New Roman" w:eastAsiaTheme="minorEastAsia" w:cstheme="minorBidi"/>
      <w:b/>
      <w:bCs/>
      <w:sz w:val="30"/>
      <w:szCs w:val="30"/>
    </w:rPr>
  </w:style>
  <w:style w:type="paragraph" w:customStyle="1" w:styleId="160">
    <w:name w:val="正文1"/>
    <w:link w:val="161"/>
    <w:qFormat/>
    <w:uiPriority w:val="0"/>
    <w:pPr>
      <w:jc w:val="both"/>
    </w:pPr>
    <w:rPr>
      <w:rFonts w:ascii="Times New Roman" w:hAnsi="Times New Roman" w:eastAsia="宋体" w:cs="Times New Roman"/>
      <w:kern w:val="2"/>
      <w:sz w:val="21"/>
      <w:szCs w:val="21"/>
      <w:lang w:val="en-US" w:eastAsia="zh-CN" w:bidi="ar-SA"/>
    </w:rPr>
  </w:style>
  <w:style w:type="character" w:customStyle="1" w:styleId="161">
    <w:name w:val="正文1 Char"/>
    <w:link w:val="160"/>
    <w:qFormat/>
    <w:uiPriority w:val="0"/>
    <w:rPr>
      <w:rFonts w:ascii="Times New Roman" w:hAnsi="Times New Roman" w:eastAsia="宋体" w:cs="Times New Roman"/>
      <w:szCs w:val="21"/>
    </w:rPr>
  </w:style>
  <w:style w:type="paragraph" w:customStyle="1" w:styleId="162">
    <w:name w:val="正文2002"/>
    <w:basedOn w:val="1"/>
    <w:qFormat/>
    <w:uiPriority w:val="0"/>
    <w:pPr>
      <w:spacing w:line="240" w:lineRule="atLeast"/>
      <w:jc w:val="center"/>
    </w:pPr>
    <w:rPr>
      <w:rFonts w:ascii="Times New Roman" w:hAnsi="宋体"/>
      <w:spacing w:val="8"/>
    </w:rPr>
  </w:style>
  <w:style w:type="character" w:customStyle="1" w:styleId="163">
    <w:name w:val="zw Char"/>
    <w:link w:val="164"/>
    <w:qFormat/>
    <w:uiPriority w:val="0"/>
    <w:rPr>
      <w:rFonts w:ascii="仿宋_GB2312" w:eastAsia="仿宋_GB2312"/>
      <w:snapToGrid w:val="0"/>
      <w:color w:val="000000"/>
      <w:kern w:val="24"/>
      <w:position w:val="2"/>
      <w:sz w:val="24"/>
      <w:szCs w:val="18"/>
      <w:lang w:val="zh-CN"/>
    </w:rPr>
  </w:style>
  <w:style w:type="paragraph" w:customStyle="1" w:styleId="164">
    <w:name w:val="zw"/>
    <w:basedOn w:val="1"/>
    <w:link w:val="163"/>
    <w:qFormat/>
    <w:uiPriority w:val="0"/>
    <w:pPr>
      <w:widowControl/>
      <w:tabs>
        <w:tab w:val="left" w:pos="900"/>
      </w:tabs>
      <w:adjustRightInd w:val="0"/>
      <w:snapToGrid w:val="0"/>
      <w:spacing w:line="480" w:lineRule="exact"/>
      <w:ind w:firstLine="497" w:firstLineChars="200"/>
      <w:jc w:val="left"/>
    </w:pPr>
    <w:rPr>
      <w:rFonts w:ascii="仿宋_GB2312" w:eastAsia="仿宋_GB2312" w:hAnsiTheme="minorHAnsi" w:cstheme="minorBidi"/>
      <w:snapToGrid w:val="0"/>
      <w:color w:val="000000"/>
      <w:kern w:val="24"/>
      <w:position w:val="2"/>
      <w:sz w:val="24"/>
      <w:szCs w:val="18"/>
      <w:lang w:val="zh-CN"/>
    </w:rPr>
  </w:style>
  <w:style w:type="paragraph" w:customStyle="1" w:styleId="165">
    <w:name w:val="表"/>
    <w:basedOn w:val="19"/>
    <w:qFormat/>
    <w:uiPriority w:val="0"/>
    <w:pPr>
      <w:adjustRightInd/>
      <w:snapToGrid/>
      <w:spacing w:before="50" w:beforeLines="50" w:line="360" w:lineRule="auto"/>
      <w:ind w:firstLine="0"/>
      <w:jc w:val="center"/>
      <w:textAlignment w:val="auto"/>
    </w:pPr>
    <w:rPr>
      <w:rFonts w:ascii="Times New Roman" w:hAnsi="Times New Roman" w:eastAsia="黑体" w:cs="Arial"/>
      <w:spacing w:val="0"/>
      <w:kern w:val="2"/>
      <w:sz w:val="21"/>
      <w:szCs w:val="21"/>
    </w:rPr>
  </w:style>
  <w:style w:type="paragraph" w:customStyle="1" w:styleId="166">
    <w:name w:val="lei"/>
    <w:basedOn w:val="1"/>
    <w:qFormat/>
    <w:uiPriority w:val="0"/>
    <w:pPr>
      <w:adjustRightInd w:val="0"/>
      <w:spacing w:line="560" w:lineRule="exact"/>
      <w:ind w:firstLine="565" w:firstLineChars="200"/>
    </w:pPr>
    <w:rPr>
      <w:rFonts w:ascii="Times New Roman" w:hAnsi="Times New Roman" w:eastAsia="仿宋_GB2312"/>
      <w:snapToGrid w:val="0"/>
      <w:kern w:val="0"/>
      <w:sz w:val="28"/>
      <w:szCs w:val="28"/>
    </w:rPr>
  </w:style>
  <w:style w:type="character" w:customStyle="1" w:styleId="167">
    <w:name w:val="标题 6 Char Char"/>
    <w:qFormat/>
    <w:uiPriority w:val="0"/>
    <w:rPr>
      <w:rFonts w:ascii="Arial" w:hAnsi="Arial" w:eastAsia="黑体"/>
      <w:b/>
      <w:bCs/>
      <w:kern w:val="2"/>
      <w:sz w:val="24"/>
      <w:szCs w:val="24"/>
      <w:lang w:val="en-US" w:eastAsia="zh-CN" w:bidi="ar-SA"/>
    </w:rPr>
  </w:style>
  <w:style w:type="character" w:customStyle="1" w:styleId="168">
    <w:name w:val="标题 6 Char1"/>
    <w:qFormat/>
    <w:uiPriority w:val="0"/>
    <w:rPr>
      <w:rFonts w:ascii="Arial" w:hAnsi="Arial" w:eastAsia="黑体"/>
      <w:b/>
      <w:bCs/>
      <w:kern w:val="2"/>
      <w:sz w:val="24"/>
      <w:szCs w:val="24"/>
    </w:rPr>
  </w:style>
  <w:style w:type="paragraph" w:customStyle="1" w:styleId="169">
    <w:name w:val="五号表格"/>
    <w:basedOn w:val="1"/>
    <w:qFormat/>
    <w:uiPriority w:val="0"/>
    <w:pPr>
      <w:spacing w:line="240" w:lineRule="atLeast"/>
      <w:jc w:val="center"/>
    </w:pPr>
    <w:rPr>
      <w:rFonts w:ascii="Times New Roman" w:hAnsi="Times New Roman"/>
      <w:szCs w:val="24"/>
    </w:rPr>
  </w:style>
  <w:style w:type="paragraph" w:customStyle="1" w:styleId="170">
    <w:name w:val="Table Paragraph"/>
    <w:basedOn w:val="1"/>
    <w:qFormat/>
    <w:uiPriority w:val="1"/>
    <w:pPr>
      <w:jc w:val="left"/>
    </w:pPr>
    <w:rPr>
      <w:rFonts w:asciiTheme="minorHAnsi" w:hAnsiTheme="minorHAnsi" w:eastAsiaTheme="minorEastAsia" w:cstheme="minorBidi"/>
      <w:kern w:val="0"/>
      <w:sz w:val="22"/>
      <w:szCs w:val="22"/>
      <w:lang w:eastAsia="en-US"/>
    </w:rPr>
  </w:style>
  <w:style w:type="character" w:customStyle="1" w:styleId="171">
    <w:name w:val="m1"/>
    <w:qFormat/>
    <w:uiPriority w:val="0"/>
    <w:rPr>
      <w:u w:val="none"/>
    </w:rPr>
  </w:style>
  <w:style w:type="paragraph" w:customStyle="1" w:styleId="172">
    <w:name w:val="表头"/>
    <w:basedOn w:val="6"/>
    <w:link w:val="173"/>
    <w:qFormat/>
    <w:uiPriority w:val="0"/>
    <w:pPr>
      <w:spacing w:line="276" w:lineRule="auto"/>
      <w:ind w:firstLine="0" w:firstLineChars="0"/>
      <w:jc w:val="center"/>
    </w:pPr>
    <w:rPr>
      <w:rFonts w:cs="Times New Roman"/>
      <w:b/>
      <w:kern w:val="10"/>
      <w:szCs w:val="24"/>
    </w:rPr>
  </w:style>
  <w:style w:type="character" w:customStyle="1" w:styleId="173">
    <w:name w:val="表头 Char1"/>
    <w:link w:val="172"/>
    <w:qFormat/>
    <w:uiPriority w:val="0"/>
    <w:rPr>
      <w:rFonts w:ascii="Times New Roman" w:hAnsi="Times New Roman" w:eastAsia="宋体" w:cs="Times New Roman"/>
      <w:b/>
      <w:kern w:val="10"/>
      <w:sz w:val="24"/>
      <w:szCs w:val="24"/>
    </w:rPr>
  </w:style>
  <w:style w:type="paragraph" w:customStyle="1" w:styleId="174">
    <w:name w:val="表文字"/>
    <w:basedOn w:val="1"/>
    <w:link w:val="175"/>
    <w:qFormat/>
    <w:uiPriority w:val="0"/>
    <w:pPr>
      <w:spacing w:line="360" w:lineRule="auto"/>
      <w:jc w:val="center"/>
    </w:pPr>
    <w:rPr>
      <w:rFonts w:ascii="Times New Roman" w:hAnsi="Times New Roman"/>
      <w:kern w:val="10"/>
      <w:sz w:val="24"/>
      <w:szCs w:val="20"/>
    </w:rPr>
  </w:style>
  <w:style w:type="character" w:customStyle="1" w:styleId="175">
    <w:name w:val="表文字 Char"/>
    <w:link w:val="174"/>
    <w:qFormat/>
    <w:uiPriority w:val="0"/>
    <w:rPr>
      <w:kern w:val="10"/>
      <w:sz w:val="24"/>
    </w:rPr>
  </w:style>
  <w:style w:type="paragraph" w:customStyle="1" w:styleId="176">
    <w:name w:val="MTDisplayEquation"/>
    <w:basedOn w:val="1"/>
    <w:next w:val="1"/>
    <w:link w:val="177"/>
    <w:qFormat/>
    <w:uiPriority w:val="0"/>
    <w:pPr>
      <w:tabs>
        <w:tab w:val="center" w:pos="4160"/>
        <w:tab w:val="right" w:pos="8300"/>
      </w:tabs>
      <w:spacing w:line="360" w:lineRule="auto"/>
    </w:pPr>
    <w:rPr>
      <w:rFonts w:ascii="Times New Roman" w:hAnsi="Times New Roman"/>
      <w:sz w:val="24"/>
      <w:szCs w:val="22"/>
    </w:rPr>
  </w:style>
  <w:style w:type="character" w:customStyle="1" w:styleId="177">
    <w:name w:val="MTDisplayEquation Char"/>
    <w:link w:val="176"/>
    <w:qFormat/>
    <w:uiPriority w:val="0"/>
    <w:rPr>
      <w:rFonts w:ascii="Times New Roman" w:hAnsi="Times New Roman" w:eastAsia="宋体" w:cs="Times New Roman"/>
      <w:sz w:val="24"/>
    </w:rPr>
  </w:style>
  <w:style w:type="character" w:customStyle="1" w:styleId="178">
    <w:name w:val="标题 2 Char1"/>
    <w:qFormat/>
    <w:uiPriority w:val="0"/>
    <w:rPr>
      <w:rFonts w:ascii="Arial" w:hAnsi="Arial" w:eastAsia="黑体"/>
      <w:b/>
      <w:bCs/>
      <w:kern w:val="2"/>
      <w:sz w:val="32"/>
      <w:szCs w:val="32"/>
      <w:lang w:val="en-US" w:eastAsia="zh-CN" w:bidi="ar-SA"/>
    </w:rPr>
  </w:style>
  <w:style w:type="paragraph" w:customStyle="1" w:styleId="179">
    <w:name w:val="Char Char3 Char Char Char Char"/>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180">
    <w:name w:val="lei Char"/>
    <w:basedOn w:val="1"/>
    <w:link w:val="181"/>
    <w:qFormat/>
    <w:uiPriority w:val="0"/>
    <w:pPr>
      <w:adjustRightInd w:val="0"/>
      <w:spacing w:line="560" w:lineRule="exact"/>
      <w:ind w:firstLine="565" w:firstLineChars="200"/>
    </w:pPr>
    <w:rPr>
      <w:rFonts w:ascii="Times New Roman" w:hAnsi="Times New Roman" w:eastAsia="仿宋_GB2312"/>
      <w:snapToGrid w:val="0"/>
      <w:sz w:val="28"/>
      <w:szCs w:val="28"/>
    </w:rPr>
  </w:style>
  <w:style w:type="character" w:customStyle="1" w:styleId="181">
    <w:name w:val="lei Char Char"/>
    <w:link w:val="180"/>
    <w:qFormat/>
    <w:uiPriority w:val="0"/>
    <w:rPr>
      <w:rFonts w:ascii="Times New Roman" w:hAnsi="Times New Roman" w:eastAsia="仿宋_GB2312" w:cs="Times New Roman"/>
      <w:snapToGrid w:val="0"/>
      <w:sz w:val="28"/>
      <w:szCs w:val="28"/>
    </w:rPr>
  </w:style>
  <w:style w:type="paragraph" w:customStyle="1" w:styleId="182">
    <w:name w:val="zh"/>
    <w:basedOn w:val="180"/>
    <w:qFormat/>
    <w:uiPriority w:val="0"/>
  </w:style>
  <w:style w:type="paragraph" w:customStyle="1" w:styleId="183">
    <w:name w:val="4"/>
    <w:basedOn w:val="1"/>
    <w:next w:val="18"/>
    <w:qFormat/>
    <w:uiPriority w:val="0"/>
    <w:pPr>
      <w:ind w:firstLine="420"/>
    </w:pPr>
    <w:rPr>
      <w:rFonts w:ascii="Times New Roman" w:hAnsi="Times New Roman"/>
      <w:szCs w:val="20"/>
    </w:rPr>
  </w:style>
  <w:style w:type="paragraph" w:customStyle="1" w:styleId="184">
    <w:name w:val="表名1"/>
    <w:basedOn w:val="1"/>
    <w:qFormat/>
    <w:uiPriority w:val="0"/>
    <w:pPr>
      <w:adjustRightInd w:val="0"/>
      <w:snapToGrid w:val="0"/>
      <w:spacing w:line="560" w:lineRule="exact"/>
      <w:jc w:val="center"/>
    </w:pPr>
    <w:rPr>
      <w:rFonts w:ascii="Times New Roman" w:hAnsi="Times New Roman" w:eastAsia="黑体"/>
      <w:sz w:val="24"/>
      <w:szCs w:val="24"/>
    </w:rPr>
  </w:style>
  <w:style w:type="paragraph" w:customStyle="1" w:styleId="185">
    <w:name w:val="样式-lei Char"/>
    <w:basedOn w:val="1"/>
    <w:link w:val="186"/>
    <w:qFormat/>
    <w:uiPriority w:val="0"/>
    <w:pPr>
      <w:spacing w:line="560" w:lineRule="exact"/>
      <w:ind w:firstLine="565" w:firstLineChars="200"/>
    </w:pPr>
    <w:rPr>
      <w:rFonts w:ascii="Times New Roman" w:hAnsi="Times New Roman" w:eastAsia="仿宋_GB2312"/>
      <w:sz w:val="28"/>
      <w:szCs w:val="28"/>
    </w:rPr>
  </w:style>
  <w:style w:type="character" w:customStyle="1" w:styleId="186">
    <w:name w:val="样式-lei Char Char"/>
    <w:link w:val="185"/>
    <w:qFormat/>
    <w:uiPriority w:val="0"/>
    <w:rPr>
      <w:rFonts w:ascii="Times New Roman" w:hAnsi="Times New Roman" w:eastAsia="仿宋_GB2312" w:cs="Times New Roman"/>
      <w:sz w:val="28"/>
      <w:szCs w:val="28"/>
    </w:rPr>
  </w:style>
  <w:style w:type="paragraph" w:customStyle="1" w:styleId="187">
    <w:name w:val="表内-文字"/>
    <w:basedOn w:val="1"/>
    <w:qFormat/>
    <w:uiPriority w:val="0"/>
    <w:pPr>
      <w:spacing w:line="320" w:lineRule="exact"/>
      <w:jc w:val="center"/>
    </w:pPr>
    <w:rPr>
      <w:rFonts w:ascii="Times New Roman" w:hAnsi="Times New Roman" w:eastAsia="楷体_GB2312" w:cs="宋体"/>
      <w:bCs/>
      <w:color w:val="000000"/>
    </w:rPr>
  </w:style>
  <w:style w:type="paragraph" w:customStyle="1" w:styleId="188">
    <w:name w:val="bg"/>
    <w:basedOn w:val="1"/>
    <w:qFormat/>
    <w:uiPriority w:val="0"/>
    <w:pPr>
      <w:adjustRightInd w:val="0"/>
      <w:spacing w:line="360" w:lineRule="exact"/>
      <w:jc w:val="center"/>
    </w:pPr>
    <w:rPr>
      <w:rFonts w:ascii="Times New Roman" w:hAnsi="Times New Roman" w:eastAsia="仿宋_GB2312"/>
      <w:kern w:val="0"/>
    </w:rPr>
  </w:style>
  <w:style w:type="paragraph" w:customStyle="1" w:styleId="189">
    <w:name w:val="bm"/>
    <w:basedOn w:val="1"/>
    <w:qFormat/>
    <w:uiPriority w:val="0"/>
    <w:pPr>
      <w:adjustRightInd w:val="0"/>
      <w:spacing w:before="139" w:beforeLines="30" w:after="46" w:afterLines="10" w:line="360" w:lineRule="exact"/>
      <w:jc w:val="center"/>
    </w:pPr>
    <w:rPr>
      <w:rFonts w:ascii="Times New Roman" w:hAnsi="Times New Roman" w:eastAsia="黑体"/>
      <w:snapToGrid w:val="0"/>
      <w:kern w:val="0"/>
      <w:sz w:val="24"/>
      <w:szCs w:val="24"/>
    </w:rPr>
  </w:style>
  <w:style w:type="paragraph" w:customStyle="1" w:styleId="190">
    <w:name w:val="样式 标题 2H2Heading 2 HiddenHeading 2 CCBS2nd levelh22Header..."/>
    <w:basedOn w:val="3"/>
    <w:qFormat/>
    <w:uiPriority w:val="0"/>
    <w:pPr>
      <w:numPr>
        <w:ilvl w:val="0"/>
        <w:numId w:val="0"/>
      </w:numPr>
      <w:snapToGrid/>
      <w:spacing w:before="120" w:after="120" w:line="560" w:lineRule="exact"/>
    </w:pPr>
    <w:rPr>
      <w:rFonts w:ascii="Times New Roman" w:hAnsi="Times New Roman" w:cs="宋体"/>
      <w:bCs w:val="0"/>
      <w:snapToGrid w:val="0"/>
      <w:sz w:val="30"/>
      <w:szCs w:val="20"/>
    </w:rPr>
  </w:style>
  <w:style w:type="paragraph" w:customStyle="1" w:styleId="191">
    <w:name w:val="样式 标题 3标题 3 Char + Times New Roman 首行缩进:  2 字符 段前: 6 磅 段后: 6..."/>
    <w:basedOn w:val="4"/>
    <w:qFormat/>
    <w:uiPriority w:val="0"/>
    <w:pPr>
      <w:numPr>
        <w:ilvl w:val="0"/>
        <w:numId w:val="0"/>
      </w:numPr>
      <w:snapToGrid/>
      <w:spacing w:before="120" w:after="120" w:line="560" w:lineRule="exact"/>
      <w:jc w:val="left"/>
    </w:pPr>
    <w:rPr>
      <w:rFonts w:eastAsia="黑体"/>
      <w:b w:val="0"/>
      <w:bCs w:val="0"/>
      <w:snapToGrid w:val="0"/>
      <w:sz w:val="28"/>
      <w:szCs w:val="20"/>
    </w:rPr>
  </w:style>
  <w:style w:type="paragraph" w:customStyle="1" w:styleId="192">
    <w:name w:val="Char Char1 Char Char Char"/>
    <w:basedOn w:val="1"/>
    <w:qFormat/>
    <w:uiPriority w:val="0"/>
    <w:pPr>
      <w:adjustRightInd w:val="0"/>
      <w:spacing w:line="360" w:lineRule="atLeast"/>
      <w:jc w:val="left"/>
      <w:textAlignment w:val="baseline"/>
    </w:pPr>
    <w:rPr>
      <w:rFonts w:ascii="Tahoma" w:hAnsi="Tahoma"/>
      <w:kern w:val="0"/>
      <w:sz w:val="24"/>
      <w:szCs w:val="20"/>
    </w:rPr>
  </w:style>
  <w:style w:type="paragraph" w:customStyle="1" w:styleId="193">
    <w:name w:val="Char Char"/>
    <w:basedOn w:val="1"/>
    <w:qFormat/>
    <w:uiPriority w:val="0"/>
    <w:pPr>
      <w:adjustRightInd w:val="0"/>
      <w:spacing w:line="360" w:lineRule="atLeast"/>
      <w:jc w:val="left"/>
      <w:textAlignment w:val="baseline"/>
    </w:pPr>
    <w:rPr>
      <w:rFonts w:ascii="Tahoma" w:hAnsi="Tahoma"/>
      <w:kern w:val="0"/>
      <w:sz w:val="24"/>
      <w:szCs w:val="20"/>
    </w:rPr>
  </w:style>
  <w:style w:type="paragraph" w:customStyle="1" w:styleId="194">
    <w:name w:val="样式 标题 1 + 四号 行距: 1.5 倍行距"/>
    <w:basedOn w:val="2"/>
    <w:qFormat/>
    <w:uiPriority w:val="0"/>
    <w:pPr>
      <w:keepLines w:val="0"/>
      <w:numPr>
        <w:numId w:val="0"/>
      </w:numPr>
      <w:adjustRightInd/>
      <w:snapToGrid/>
      <w:spacing w:before="156" w:beforeLines="50" w:line="440" w:lineRule="exact"/>
    </w:pPr>
    <w:rPr>
      <w:rFonts w:ascii="宋体" w:eastAsia="宋体"/>
      <w:b/>
      <w:iCs/>
      <w:kern w:val="2"/>
      <w:sz w:val="28"/>
      <w:szCs w:val="28"/>
    </w:rPr>
  </w:style>
  <w:style w:type="paragraph" w:customStyle="1" w:styleId="195">
    <w:name w:val="表名"/>
    <w:basedOn w:val="1"/>
    <w:link w:val="196"/>
    <w:qFormat/>
    <w:uiPriority w:val="0"/>
    <w:pPr>
      <w:adjustRightInd w:val="0"/>
      <w:spacing w:line="560" w:lineRule="exact"/>
      <w:jc w:val="center"/>
    </w:pPr>
    <w:rPr>
      <w:rFonts w:ascii="Times New Roman" w:hAnsi="Times New Roman" w:eastAsia="黑体"/>
      <w:snapToGrid w:val="0"/>
      <w:sz w:val="24"/>
      <w:szCs w:val="24"/>
    </w:rPr>
  </w:style>
  <w:style w:type="character" w:customStyle="1" w:styleId="196">
    <w:name w:val="表名 Char1"/>
    <w:link w:val="195"/>
    <w:qFormat/>
    <w:uiPriority w:val="0"/>
    <w:rPr>
      <w:rFonts w:ascii="Times New Roman" w:hAnsi="Times New Roman" w:eastAsia="黑体" w:cs="Times New Roman"/>
      <w:snapToGrid w:val="0"/>
      <w:sz w:val="24"/>
      <w:szCs w:val="24"/>
    </w:rPr>
  </w:style>
  <w:style w:type="paragraph" w:customStyle="1" w:styleId="197">
    <w:name w:val="样式-lei"/>
    <w:basedOn w:val="1"/>
    <w:qFormat/>
    <w:uiPriority w:val="0"/>
    <w:pPr>
      <w:spacing w:line="560" w:lineRule="exact"/>
      <w:ind w:firstLine="560" w:firstLineChars="200"/>
    </w:pPr>
    <w:rPr>
      <w:rFonts w:ascii="Times New Roman" w:hAnsi="Times New Roman" w:eastAsia="仿宋_GB2312"/>
      <w:sz w:val="28"/>
      <w:szCs w:val="28"/>
    </w:rPr>
  </w:style>
  <w:style w:type="paragraph" w:customStyle="1" w:styleId="198">
    <w:name w:val="样式2"/>
    <w:basedOn w:val="1"/>
    <w:link w:val="199"/>
    <w:qFormat/>
    <w:uiPriority w:val="0"/>
    <w:pPr>
      <w:adjustRightInd w:val="0"/>
      <w:spacing w:line="560" w:lineRule="exact"/>
      <w:ind w:firstLine="565" w:firstLineChars="200"/>
    </w:pPr>
    <w:rPr>
      <w:rFonts w:ascii="Times New Roman" w:hAnsi="Times New Roman" w:eastAsia="仿宋_GB2312"/>
      <w:snapToGrid w:val="0"/>
      <w:sz w:val="28"/>
      <w:szCs w:val="28"/>
    </w:rPr>
  </w:style>
  <w:style w:type="character" w:customStyle="1" w:styleId="199">
    <w:name w:val="样式2 Char"/>
    <w:link w:val="198"/>
    <w:qFormat/>
    <w:uiPriority w:val="0"/>
    <w:rPr>
      <w:rFonts w:ascii="Times New Roman" w:hAnsi="Times New Roman" w:eastAsia="仿宋_GB2312" w:cs="Times New Roman"/>
      <w:snapToGrid w:val="0"/>
      <w:sz w:val="28"/>
      <w:szCs w:val="28"/>
    </w:rPr>
  </w:style>
  <w:style w:type="character" w:customStyle="1" w:styleId="200">
    <w:name w:val="正文1 Char1"/>
    <w:qFormat/>
    <w:uiPriority w:val="0"/>
    <w:rPr>
      <w:rFonts w:eastAsia="仿宋_GB2312"/>
      <w:kern w:val="2"/>
      <w:sz w:val="28"/>
      <w:lang w:val="en-US" w:eastAsia="zh-CN" w:bidi="ar-SA"/>
    </w:rPr>
  </w:style>
  <w:style w:type="character" w:customStyle="1" w:styleId="201">
    <w:name w:val="apple-converted-space"/>
    <w:basedOn w:val="74"/>
    <w:qFormat/>
    <w:uiPriority w:val="0"/>
  </w:style>
  <w:style w:type="character" w:customStyle="1" w:styleId="202">
    <w:name w:val="words-outer-wrap"/>
    <w:basedOn w:val="74"/>
    <w:qFormat/>
    <w:uiPriority w:val="0"/>
  </w:style>
  <w:style w:type="character" w:customStyle="1" w:styleId="203">
    <w:name w:val="split-word"/>
    <w:basedOn w:val="74"/>
    <w:qFormat/>
    <w:uiPriority w:val="0"/>
  </w:style>
  <w:style w:type="character" w:customStyle="1" w:styleId="204">
    <w:name w:val="段落正文缩进 Char Char"/>
    <w:qFormat/>
    <w:uiPriority w:val="0"/>
    <w:rPr>
      <w:rFonts w:eastAsia="宋体"/>
      <w:kern w:val="2"/>
      <w:sz w:val="21"/>
      <w:szCs w:val="24"/>
      <w:lang w:val="en-US" w:eastAsia="zh-CN" w:bidi="ar-SA"/>
    </w:rPr>
  </w:style>
  <w:style w:type="character" w:customStyle="1" w:styleId="205">
    <w:name w:val="repeat-item"/>
    <w:basedOn w:val="74"/>
    <w:qFormat/>
    <w:uiPriority w:val="0"/>
  </w:style>
  <w:style w:type="character" w:customStyle="1" w:styleId="206">
    <w:name w:val="正文缩进 Char Char1"/>
    <w:qFormat/>
    <w:uiPriority w:val="0"/>
    <w:rPr>
      <w:rFonts w:eastAsia="宋体"/>
      <w:kern w:val="2"/>
      <w:sz w:val="21"/>
      <w:szCs w:val="24"/>
      <w:lang w:val="en-US" w:eastAsia="zh-CN" w:bidi="ar-SA"/>
    </w:rPr>
  </w:style>
  <w:style w:type="character" w:customStyle="1" w:styleId="207">
    <w:name w:val="fontstrikethrough"/>
    <w:qFormat/>
    <w:uiPriority w:val="0"/>
    <w:rPr>
      <w:strike/>
    </w:rPr>
  </w:style>
  <w:style w:type="character" w:customStyle="1" w:styleId="208">
    <w:name w:val="Char4"/>
    <w:qFormat/>
    <w:uiPriority w:val="0"/>
    <w:rPr>
      <w:rFonts w:eastAsia="黑体"/>
      <w:bCs/>
      <w:kern w:val="2"/>
      <w:sz w:val="28"/>
      <w:szCs w:val="28"/>
      <w:lang w:val="en-US" w:eastAsia="zh-CN" w:bidi="ar-SA"/>
    </w:rPr>
  </w:style>
  <w:style w:type="character" w:customStyle="1" w:styleId="209">
    <w:name w:val="Char"/>
    <w:qFormat/>
    <w:uiPriority w:val="0"/>
    <w:rPr>
      <w:rFonts w:eastAsia="宋体"/>
      <w:kern w:val="2"/>
      <w:sz w:val="18"/>
      <w:szCs w:val="18"/>
      <w:lang w:val="en-US" w:eastAsia="zh-CN" w:bidi="ar-SA"/>
    </w:rPr>
  </w:style>
  <w:style w:type="character" w:customStyle="1" w:styleId="210">
    <w:name w:val="grame"/>
    <w:basedOn w:val="74"/>
    <w:qFormat/>
    <w:uiPriority w:val="0"/>
  </w:style>
  <w:style w:type="character" w:customStyle="1" w:styleId="211">
    <w:name w:val="Char Char4"/>
    <w:qFormat/>
    <w:uiPriority w:val="0"/>
    <w:rPr>
      <w:rFonts w:eastAsia="宋体"/>
      <w:kern w:val="2"/>
      <w:sz w:val="21"/>
      <w:szCs w:val="24"/>
      <w:lang w:val="en-US" w:eastAsia="zh-CN" w:bidi="ar-SA"/>
    </w:rPr>
  </w:style>
  <w:style w:type="character" w:customStyle="1" w:styleId="212">
    <w:name w:val="fontborder"/>
    <w:qFormat/>
    <w:uiPriority w:val="0"/>
    <w:rPr>
      <w:bdr w:val="single" w:color="000000" w:sz="6" w:space="0"/>
    </w:rPr>
  </w:style>
  <w:style w:type="character" w:customStyle="1" w:styleId="213">
    <w:name w:val="Char2"/>
    <w:qFormat/>
    <w:uiPriority w:val="0"/>
    <w:rPr>
      <w:rFonts w:eastAsia="宋体"/>
      <w:kern w:val="2"/>
      <w:sz w:val="21"/>
      <w:szCs w:val="24"/>
      <w:lang w:val="en-US" w:eastAsia="zh-CN" w:bidi="ar-SA"/>
    </w:rPr>
  </w:style>
  <w:style w:type="character" w:customStyle="1" w:styleId="214">
    <w:name w:val="Char Char7"/>
    <w:qFormat/>
    <w:uiPriority w:val="0"/>
    <w:rPr>
      <w:rFonts w:eastAsia="黑体"/>
      <w:bCs/>
      <w:kern w:val="2"/>
      <w:sz w:val="28"/>
      <w:szCs w:val="28"/>
      <w:lang w:val="en-US" w:eastAsia="zh-CN" w:bidi="ar-SA"/>
    </w:rPr>
  </w:style>
  <w:style w:type="character" w:customStyle="1" w:styleId="215">
    <w:name w:val="Char Char6"/>
    <w:qFormat/>
    <w:uiPriority w:val="0"/>
    <w:rPr>
      <w:rFonts w:ascii="Arial" w:hAnsi="Arial" w:eastAsia="黑体"/>
      <w:b/>
      <w:bCs/>
      <w:kern w:val="2"/>
      <w:sz w:val="24"/>
      <w:szCs w:val="24"/>
      <w:lang w:val="en-US" w:eastAsia="zh-CN" w:bidi="ar-SA"/>
    </w:rPr>
  </w:style>
  <w:style w:type="character" w:customStyle="1" w:styleId="216">
    <w:name w:val="纯文本 Char1 Char"/>
    <w:qFormat/>
    <w:uiPriority w:val="0"/>
    <w:rPr>
      <w:rFonts w:ascii="宋体" w:hAnsi="Courier New" w:eastAsia="宋体" w:cs="Times New Roman"/>
      <w:szCs w:val="24"/>
    </w:rPr>
  </w:style>
  <w:style w:type="character" w:customStyle="1" w:styleId="217">
    <w:name w:val="引用 Char Char"/>
    <w:qFormat/>
    <w:uiPriority w:val="0"/>
    <w:rPr>
      <w:rFonts w:ascii="Calibri" w:hAnsi="Calibri" w:eastAsia="宋体"/>
      <w:i/>
      <w:iCs/>
      <w:color w:val="000000"/>
      <w:kern w:val="2"/>
      <w:sz w:val="21"/>
      <w:szCs w:val="24"/>
      <w:lang w:val="en-US" w:eastAsia="zh-CN" w:bidi="ar-SA"/>
    </w:rPr>
  </w:style>
  <w:style w:type="character" w:customStyle="1" w:styleId="218">
    <w:name w:val="纯文本 Char1 Char Char Char Char"/>
    <w:qFormat/>
    <w:uiPriority w:val="0"/>
    <w:rPr>
      <w:rFonts w:ascii="宋体" w:hAnsi="Courier New" w:eastAsia="宋体"/>
      <w:kern w:val="2"/>
      <w:sz w:val="21"/>
      <w:szCs w:val="24"/>
      <w:lang w:val="en-US" w:eastAsia="zh-CN" w:bidi="ar-SA"/>
    </w:rPr>
  </w:style>
  <w:style w:type="character" w:customStyle="1" w:styleId="219">
    <w:name w:val="标题 6 Char Char1"/>
    <w:qFormat/>
    <w:uiPriority w:val="0"/>
    <w:rPr>
      <w:rFonts w:ascii="Arial" w:hAnsi="Arial" w:eastAsia="黑体"/>
      <w:b/>
      <w:bCs/>
      <w:kern w:val="2"/>
      <w:sz w:val="24"/>
      <w:szCs w:val="24"/>
      <w:lang w:val="en-US" w:eastAsia="zh-CN" w:bidi="ar-SA"/>
    </w:rPr>
  </w:style>
  <w:style w:type="character" w:customStyle="1" w:styleId="220">
    <w:name w:val="正文缩进 Char Char Char1 Char"/>
    <w:qFormat/>
    <w:uiPriority w:val="0"/>
    <w:rPr>
      <w:rFonts w:eastAsia="宋体"/>
      <w:kern w:val="2"/>
      <w:sz w:val="21"/>
      <w:szCs w:val="24"/>
      <w:lang w:val="en-US" w:eastAsia="zh-CN" w:bidi="ar-SA"/>
    </w:rPr>
  </w:style>
  <w:style w:type="character" w:customStyle="1" w:styleId="221">
    <w:name w:val="lei Char Char Char"/>
    <w:qFormat/>
    <w:uiPriority w:val="0"/>
    <w:rPr>
      <w:rFonts w:eastAsia="仿宋_GB2312"/>
      <w:snapToGrid w:val="0"/>
      <w:kern w:val="2"/>
      <w:sz w:val="28"/>
      <w:szCs w:val="28"/>
      <w:lang w:val="en-US" w:eastAsia="zh-CN" w:bidi="ar-SA"/>
    </w:rPr>
  </w:style>
  <w:style w:type="character" w:customStyle="1" w:styleId="222">
    <w:name w:val="正文（布） Char"/>
    <w:link w:val="223"/>
    <w:qFormat/>
    <w:uiPriority w:val="0"/>
    <w:rPr>
      <w:rFonts w:eastAsia="仿宋_GB2312"/>
      <w:sz w:val="28"/>
      <w:szCs w:val="28"/>
    </w:rPr>
  </w:style>
  <w:style w:type="paragraph" w:customStyle="1" w:styleId="223">
    <w:name w:val="正文（布）"/>
    <w:basedOn w:val="1"/>
    <w:link w:val="222"/>
    <w:qFormat/>
    <w:uiPriority w:val="0"/>
    <w:pPr>
      <w:spacing w:line="520" w:lineRule="exact"/>
      <w:ind w:firstLine="560" w:firstLineChars="200"/>
    </w:pPr>
    <w:rPr>
      <w:rFonts w:eastAsia="仿宋_GB2312" w:asciiTheme="minorHAnsi" w:hAnsiTheme="minorHAnsi" w:cstheme="minorBidi"/>
      <w:sz w:val="28"/>
      <w:szCs w:val="28"/>
    </w:rPr>
  </w:style>
  <w:style w:type="character" w:customStyle="1" w:styleId="224">
    <w:name w:val="Char6"/>
    <w:qFormat/>
    <w:uiPriority w:val="0"/>
    <w:rPr>
      <w:rFonts w:ascii="Arial" w:hAnsi="Arial" w:eastAsia="黑体"/>
      <w:b/>
      <w:bCs/>
      <w:kern w:val="2"/>
      <w:sz w:val="28"/>
      <w:szCs w:val="28"/>
      <w:lang w:val="en-US" w:eastAsia="zh-CN" w:bidi="ar-SA"/>
    </w:rPr>
  </w:style>
  <w:style w:type="character" w:customStyle="1" w:styleId="225">
    <w:name w:val="Char5"/>
    <w:qFormat/>
    <w:uiPriority w:val="0"/>
    <w:rPr>
      <w:rFonts w:eastAsia="黑体"/>
      <w:bCs/>
      <w:kern w:val="2"/>
      <w:sz w:val="28"/>
      <w:szCs w:val="28"/>
      <w:lang w:val="en-US" w:eastAsia="zh-CN" w:bidi="ar-SA"/>
    </w:rPr>
  </w:style>
  <w:style w:type="character" w:customStyle="1" w:styleId="226">
    <w:name w:val="引用字符"/>
    <w:link w:val="227"/>
    <w:qFormat/>
    <w:uiPriority w:val="0"/>
    <w:rPr>
      <w:rFonts w:ascii="Calibri" w:hAnsi="Calibri"/>
      <w:i/>
      <w:iCs/>
      <w:color w:val="000000"/>
      <w:szCs w:val="24"/>
    </w:rPr>
  </w:style>
  <w:style w:type="paragraph" w:styleId="227">
    <w:name w:val="Quote"/>
    <w:basedOn w:val="1"/>
    <w:next w:val="1"/>
    <w:link w:val="226"/>
    <w:qFormat/>
    <w:uiPriority w:val="0"/>
    <w:rPr>
      <w:rFonts w:eastAsiaTheme="minorEastAsia" w:cstheme="minorBidi"/>
      <w:i/>
      <w:iCs/>
      <w:color w:val="000000"/>
      <w:szCs w:val="24"/>
    </w:rPr>
  </w:style>
  <w:style w:type="character" w:customStyle="1" w:styleId="228">
    <w:name w:val="font3"/>
    <w:basedOn w:val="74"/>
    <w:qFormat/>
    <w:uiPriority w:val="0"/>
  </w:style>
  <w:style w:type="character" w:customStyle="1" w:styleId="229">
    <w:name w:val="Char3"/>
    <w:qFormat/>
    <w:uiPriority w:val="0"/>
    <w:rPr>
      <w:rFonts w:ascii="宋体" w:hAnsi="Courier New" w:eastAsia="宋体"/>
      <w:kern w:val="2"/>
      <w:sz w:val="21"/>
      <w:szCs w:val="24"/>
      <w:lang w:val="en-US" w:eastAsia="zh-CN" w:bidi="ar-SA"/>
    </w:rPr>
  </w:style>
  <w:style w:type="paragraph" w:customStyle="1" w:styleId="230">
    <w:name w:val="z-窗体顶端1"/>
    <w:basedOn w:val="1"/>
    <w:next w:val="1"/>
    <w:link w:val="231"/>
    <w:qFormat/>
    <w:uiPriority w:val="0"/>
    <w:pPr>
      <w:pBdr>
        <w:bottom w:val="single" w:color="auto" w:sz="6" w:space="1"/>
      </w:pBdr>
      <w:jc w:val="center"/>
    </w:pPr>
    <w:rPr>
      <w:rFonts w:ascii="Arial" w:hAnsi="Times New Roman"/>
      <w:vanish/>
      <w:sz w:val="16"/>
      <w:szCs w:val="22"/>
    </w:rPr>
  </w:style>
  <w:style w:type="character" w:customStyle="1" w:styleId="231">
    <w:name w:val="z-窗体顶端 Char"/>
    <w:basedOn w:val="74"/>
    <w:link w:val="230"/>
    <w:qFormat/>
    <w:uiPriority w:val="0"/>
    <w:rPr>
      <w:rFonts w:ascii="Arial" w:hAnsi="Times New Roman" w:eastAsia="宋体" w:cs="Times New Roman"/>
      <w:vanish/>
      <w:sz w:val="16"/>
    </w:rPr>
  </w:style>
  <w:style w:type="paragraph" w:customStyle="1" w:styleId="232">
    <w:name w:val="xl77"/>
    <w:basedOn w:val="1"/>
    <w:qFormat/>
    <w:uiPriority w:val="0"/>
    <w:pPr>
      <w:widowControl/>
      <w:spacing w:before="100" w:beforeAutospacing="1" w:after="100" w:afterAutospacing="1"/>
      <w:jc w:val="left"/>
      <w:textAlignment w:val="bottom"/>
    </w:pPr>
    <w:rPr>
      <w:rFonts w:ascii="Times New Roman" w:hAnsi="Times New Roman"/>
      <w:b/>
      <w:bCs/>
      <w:i/>
      <w:iCs/>
      <w:kern w:val="0"/>
      <w:sz w:val="24"/>
      <w:szCs w:val="24"/>
    </w:rPr>
  </w:style>
  <w:style w:type="paragraph" w:customStyle="1" w:styleId="233">
    <w:name w:val="xl65"/>
    <w:basedOn w:val="1"/>
    <w:qFormat/>
    <w:uiPriority w:val="0"/>
    <w:pPr>
      <w:widowControl/>
      <w:spacing w:before="100" w:beforeAutospacing="1" w:after="100" w:afterAutospacing="1"/>
      <w:jc w:val="left"/>
      <w:textAlignment w:val="bottom"/>
    </w:pPr>
    <w:rPr>
      <w:rFonts w:ascii="Times New Roman" w:hAnsi="Times New Roman"/>
      <w:i/>
      <w:iCs/>
      <w:kern w:val="0"/>
      <w:sz w:val="24"/>
      <w:szCs w:val="24"/>
    </w:rPr>
  </w:style>
  <w:style w:type="paragraph" w:customStyle="1" w:styleId="234">
    <w:name w:val="xl69"/>
    <w:basedOn w:val="1"/>
    <w:qFormat/>
    <w:uiPriority w:val="0"/>
    <w:pPr>
      <w:widowControl/>
      <w:spacing w:before="100" w:beforeAutospacing="1" w:after="100" w:afterAutospacing="1"/>
      <w:jc w:val="left"/>
    </w:pPr>
    <w:rPr>
      <w:rFonts w:ascii="Times New Roman" w:hAnsi="Times New Roman"/>
      <w:i/>
      <w:iCs/>
      <w:kern w:val="0"/>
      <w:sz w:val="24"/>
      <w:szCs w:val="24"/>
    </w:rPr>
  </w:style>
  <w:style w:type="paragraph" w:customStyle="1" w:styleId="235">
    <w:name w:val="font15"/>
    <w:basedOn w:val="1"/>
    <w:qFormat/>
    <w:uiPriority w:val="0"/>
    <w:pPr>
      <w:widowControl/>
      <w:spacing w:before="100" w:beforeAutospacing="1" w:after="100" w:afterAutospacing="1"/>
      <w:jc w:val="left"/>
    </w:pPr>
    <w:rPr>
      <w:rFonts w:ascii="Times New Roman" w:hAnsi="Times New Roman"/>
      <w:color w:val="000000"/>
      <w:kern w:val="0"/>
      <w:sz w:val="24"/>
      <w:szCs w:val="24"/>
    </w:rPr>
  </w:style>
  <w:style w:type="paragraph" w:customStyle="1" w:styleId="236">
    <w:name w:val="xl83"/>
    <w:basedOn w:val="1"/>
    <w:qFormat/>
    <w:uiPriority w:val="0"/>
    <w:pPr>
      <w:widowControl/>
      <w:spacing w:before="100" w:beforeAutospacing="1" w:after="100" w:afterAutospacing="1"/>
      <w:jc w:val="left"/>
      <w:textAlignment w:val="top"/>
    </w:pPr>
    <w:rPr>
      <w:rFonts w:ascii="Times New Roman" w:hAnsi="Times New Roman"/>
      <w:b/>
      <w:bCs/>
      <w:kern w:val="0"/>
      <w:sz w:val="24"/>
      <w:szCs w:val="24"/>
    </w:rPr>
  </w:style>
  <w:style w:type="character" w:customStyle="1" w:styleId="237">
    <w:name w:val="引用 Char1"/>
    <w:basedOn w:val="74"/>
    <w:qFormat/>
    <w:uiPriority w:val="29"/>
    <w:rPr>
      <w:rFonts w:ascii="Calibri" w:hAnsi="Calibri" w:eastAsia="宋体" w:cs="Times New Roman"/>
      <w:i/>
      <w:iCs/>
      <w:color w:val="404040" w:themeColor="text1" w:themeTint="BF"/>
      <w:szCs w:val="21"/>
      <w14:textFill>
        <w14:solidFill>
          <w14:schemeClr w14:val="tx1">
            <w14:lumMod w14:val="75000"/>
            <w14:lumOff w14:val="25000"/>
          </w14:schemeClr>
        </w14:solidFill>
      </w14:textFill>
    </w:rPr>
  </w:style>
  <w:style w:type="paragraph" w:customStyle="1" w:styleId="238">
    <w:name w:val="xl66"/>
    <w:basedOn w:val="1"/>
    <w:qFormat/>
    <w:uiPriority w:val="0"/>
    <w:pPr>
      <w:widowControl/>
      <w:spacing w:before="100" w:beforeAutospacing="1" w:after="100" w:afterAutospacing="1"/>
    </w:pPr>
    <w:rPr>
      <w:rFonts w:ascii="Times New Roman" w:hAnsi="Times New Roman"/>
      <w:i/>
      <w:iCs/>
      <w:kern w:val="0"/>
      <w:sz w:val="24"/>
      <w:szCs w:val="24"/>
    </w:rPr>
  </w:style>
  <w:style w:type="paragraph" w:customStyle="1" w:styleId="239">
    <w:name w:val="3"/>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240">
    <w:name w:val="font5"/>
    <w:basedOn w:val="1"/>
    <w:qFormat/>
    <w:uiPriority w:val="0"/>
    <w:pPr>
      <w:widowControl/>
      <w:spacing w:before="100" w:beforeAutospacing="1" w:after="100" w:afterAutospacing="1"/>
      <w:jc w:val="left"/>
    </w:pPr>
    <w:rPr>
      <w:rFonts w:ascii="Times New Roman" w:hAnsi="Times New Roman"/>
      <w:kern w:val="0"/>
      <w:sz w:val="24"/>
      <w:szCs w:val="24"/>
    </w:rPr>
  </w:style>
  <w:style w:type="paragraph" w:customStyle="1" w:styleId="241">
    <w:name w:val="font16"/>
    <w:basedOn w:val="1"/>
    <w:qFormat/>
    <w:uiPriority w:val="0"/>
    <w:pPr>
      <w:widowControl/>
      <w:spacing w:before="100" w:beforeAutospacing="1" w:after="100" w:afterAutospacing="1"/>
      <w:jc w:val="left"/>
    </w:pPr>
    <w:rPr>
      <w:rFonts w:ascii="Arial" w:hAnsi="Arial" w:cs="Arial"/>
      <w:i/>
      <w:iCs/>
      <w:color w:val="000000"/>
      <w:kern w:val="0"/>
      <w:sz w:val="24"/>
      <w:szCs w:val="24"/>
    </w:rPr>
  </w:style>
  <w:style w:type="paragraph" w:customStyle="1" w:styleId="242">
    <w:name w:val="Char Char1 Char Char Char Char Char Char1"/>
    <w:basedOn w:val="1"/>
    <w:qFormat/>
    <w:uiPriority w:val="0"/>
    <w:pPr>
      <w:adjustRightInd w:val="0"/>
      <w:spacing w:line="360" w:lineRule="atLeast"/>
      <w:jc w:val="left"/>
      <w:textAlignment w:val="baseline"/>
    </w:pPr>
    <w:rPr>
      <w:rFonts w:ascii="Tahoma" w:hAnsi="Tahoma"/>
      <w:kern w:val="0"/>
      <w:sz w:val="24"/>
      <w:szCs w:val="20"/>
    </w:rPr>
  </w:style>
  <w:style w:type="paragraph" w:customStyle="1" w:styleId="243">
    <w:name w:val="xl72"/>
    <w:basedOn w:val="1"/>
    <w:qFormat/>
    <w:uiPriority w:val="0"/>
    <w:pPr>
      <w:widowControl/>
      <w:spacing w:before="100" w:beforeAutospacing="1" w:after="100" w:afterAutospacing="1"/>
      <w:jc w:val="left"/>
    </w:pPr>
    <w:rPr>
      <w:rFonts w:ascii="宋体" w:hAnsi="宋体" w:cs="宋体"/>
      <w:b/>
      <w:bCs/>
      <w:kern w:val="0"/>
      <w:sz w:val="24"/>
      <w:szCs w:val="24"/>
    </w:rPr>
  </w:style>
  <w:style w:type="paragraph" w:customStyle="1" w:styleId="244">
    <w:name w:val="xl82"/>
    <w:basedOn w:val="1"/>
    <w:qFormat/>
    <w:uiPriority w:val="0"/>
    <w:pPr>
      <w:widowControl/>
      <w:spacing w:before="100" w:beforeAutospacing="1" w:after="100" w:afterAutospacing="1"/>
    </w:pPr>
    <w:rPr>
      <w:rFonts w:ascii="宋体" w:hAnsi="宋体" w:cs="宋体"/>
      <w:b/>
      <w:bCs/>
      <w:kern w:val="0"/>
      <w:sz w:val="24"/>
      <w:szCs w:val="24"/>
    </w:rPr>
  </w:style>
  <w:style w:type="paragraph" w:customStyle="1" w:styleId="245">
    <w:name w:val="Char Char9 Char"/>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246">
    <w:name w:val="xl81"/>
    <w:basedOn w:val="1"/>
    <w:qFormat/>
    <w:uiPriority w:val="0"/>
    <w:pPr>
      <w:widowControl/>
      <w:spacing w:before="100" w:beforeAutospacing="1" w:after="100" w:afterAutospacing="1"/>
    </w:pPr>
    <w:rPr>
      <w:rFonts w:ascii="Times New Roman" w:hAnsi="Times New Roman"/>
      <w:b/>
      <w:bCs/>
      <w:kern w:val="0"/>
      <w:sz w:val="24"/>
      <w:szCs w:val="24"/>
    </w:rPr>
  </w:style>
  <w:style w:type="paragraph" w:customStyle="1" w:styleId="247">
    <w:name w:val="xl76"/>
    <w:basedOn w:val="1"/>
    <w:qFormat/>
    <w:uiPriority w:val="0"/>
    <w:pPr>
      <w:widowControl/>
      <w:spacing w:before="100" w:beforeAutospacing="1" w:after="100" w:afterAutospacing="1"/>
      <w:jc w:val="left"/>
    </w:pPr>
    <w:rPr>
      <w:rFonts w:ascii="Times New Roman" w:hAnsi="Times New Roman"/>
      <w:b/>
      <w:bCs/>
      <w:kern w:val="0"/>
      <w:sz w:val="24"/>
      <w:szCs w:val="24"/>
    </w:rPr>
  </w:style>
  <w:style w:type="paragraph" w:customStyle="1" w:styleId="248">
    <w:name w:val="xl86"/>
    <w:basedOn w:val="1"/>
    <w:qFormat/>
    <w:uiPriority w:val="0"/>
    <w:pPr>
      <w:widowControl/>
      <w:spacing w:before="100" w:beforeAutospacing="1" w:after="100" w:afterAutospacing="1"/>
      <w:jc w:val="left"/>
      <w:textAlignment w:val="top"/>
    </w:pPr>
    <w:rPr>
      <w:rFonts w:ascii="Times New Roman" w:hAnsi="Times New Roman"/>
      <w:i/>
      <w:iCs/>
      <w:kern w:val="0"/>
      <w:sz w:val="24"/>
      <w:szCs w:val="24"/>
    </w:rPr>
  </w:style>
  <w:style w:type="paragraph" w:customStyle="1" w:styleId="249">
    <w:name w:val="xl75"/>
    <w:basedOn w:val="1"/>
    <w:qFormat/>
    <w:uiPriority w:val="0"/>
    <w:pPr>
      <w:widowControl/>
      <w:spacing w:before="100" w:beforeAutospacing="1" w:after="100" w:afterAutospacing="1"/>
    </w:pPr>
    <w:rPr>
      <w:rFonts w:ascii="宋体" w:hAnsi="宋体" w:cs="宋体"/>
      <w:kern w:val="0"/>
      <w:sz w:val="24"/>
      <w:szCs w:val="24"/>
    </w:rPr>
  </w:style>
  <w:style w:type="paragraph" w:customStyle="1" w:styleId="250">
    <w:name w:val="xl68"/>
    <w:basedOn w:val="1"/>
    <w:qFormat/>
    <w:uiPriority w:val="0"/>
    <w:pPr>
      <w:widowControl/>
      <w:spacing w:before="100" w:beforeAutospacing="1" w:after="100" w:afterAutospacing="1"/>
      <w:jc w:val="left"/>
      <w:textAlignment w:val="bottom"/>
    </w:pPr>
    <w:rPr>
      <w:rFonts w:ascii="宋体" w:hAnsi="宋体" w:cs="宋体"/>
      <w:kern w:val="0"/>
      <w:sz w:val="24"/>
      <w:szCs w:val="24"/>
    </w:rPr>
  </w:style>
  <w:style w:type="paragraph" w:customStyle="1" w:styleId="251">
    <w:name w:val="font7"/>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52">
    <w:name w:val="xl87"/>
    <w:basedOn w:val="1"/>
    <w:qFormat/>
    <w:uiPriority w:val="0"/>
    <w:pPr>
      <w:widowControl/>
      <w:spacing w:before="100" w:beforeAutospacing="1" w:after="100" w:afterAutospacing="1"/>
      <w:jc w:val="left"/>
      <w:textAlignment w:val="top"/>
    </w:pPr>
    <w:rPr>
      <w:rFonts w:ascii="Times New Roman" w:hAnsi="Times New Roman"/>
      <w:b/>
      <w:bCs/>
      <w:kern w:val="0"/>
      <w:sz w:val="28"/>
      <w:szCs w:val="28"/>
    </w:rPr>
  </w:style>
  <w:style w:type="paragraph" w:customStyle="1" w:styleId="253">
    <w:name w:val="Char Char1 Char Char Char Char Char Char"/>
    <w:basedOn w:val="1"/>
    <w:qFormat/>
    <w:uiPriority w:val="0"/>
    <w:pPr>
      <w:adjustRightInd w:val="0"/>
      <w:spacing w:line="360" w:lineRule="atLeast"/>
      <w:jc w:val="left"/>
      <w:textAlignment w:val="baseline"/>
    </w:pPr>
    <w:rPr>
      <w:rFonts w:ascii="Tahoma" w:hAnsi="Tahoma"/>
      <w:kern w:val="0"/>
      <w:sz w:val="24"/>
      <w:szCs w:val="20"/>
    </w:rPr>
  </w:style>
  <w:style w:type="paragraph" w:customStyle="1" w:styleId="254">
    <w:name w:val="font10"/>
    <w:basedOn w:val="1"/>
    <w:qFormat/>
    <w:uiPriority w:val="0"/>
    <w:pPr>
      <w:widowControl/>
      <w:spacing w:before="100" w:beforeAutospacing="1" w:after="100" w:afterAutospacing="1"/>
      <w:jc w:val="left"/>
    </w:pPr>
    <w:rPr>
      <w:rFonts w:ascii="宋体" w:hAnsi="宋体" w:cs="宋体"/>
      <w:b/>
      <w:bCs/>
      <w:kern w:val="0"/>
      <w:sz w:val="24"/>
      <w:szCs w:val="24"/>
    </w:rPr>
  </w:style>
  <w:style w:type="paragraph" w:customStyle="1" w:styleId="255">
    <w:name w:val="xl92"/>
    <w:basedOn w:val="1"/>
    <w:qFormat/>
    <w:uiPriority w:val="0"/>
    <w:pPr>
      <w:widowControl/>
      <w:spacing w:before="100" w:beforeAutospacing="1" w:after="100" w:afterAutospacing="1"/>
      <w:jc w:val="left"/>
      <w:textAlignment w:val="bottom"/>
    </w:pPr>
    <w:rPr>
      <w:rFonts w:ascii="宋体" w:hAnsi="宋体" w:cs="宋体"/>
      <w:kern w:val="0"/>
      <w:sz w:val="24"/>
      <w:szCs w:val="24"/>
    </w:rPr>
  </w:style>
  <w:style w:type="paragraph" w:customStyle="1" w:styleId="256">
    <w:name w:val="xl88"/>
    <w:basedOn w:val="1"/>
    <w:qFormat/>
    <w:uiPriority w:val="0"/>
    <w:pPr>
      <w:widowControl/>
      <w:spacing w:before="100" w:beforeAutospacing="1" w:after="100" w:afterAutospacing="1"/>
      <w:jc w:val="left"/>
    </w:pPr>
    <w:rPr>
      <w:rFonts w:ascii="宋体" w:hAnsi="宋体" w:cs="宋体"/>
      <w:b/>
      <w:bCs/>
      <w:kern w:val="0"/>
      <w:sz w:val="24"/>
      <w:szCs w:val="24"/>
    </w:rPr>
  </w:style>
  <w:style w:type="paragraph" w:customStyle="1" w:styleId="257">
    <w:name w:val="xl70"/>
    <w:basedOn w:val="1"/>
    <w:qFormat/>
    <w:uiPriority w:val="0"/>
    <w:pPr>
      <w:widowControl/>
      <w:spacing w:before="100" w:beforeAutospacing="1" w:after="100" w:afterAutospacing="1"/>
      <w:jc w:val="left"/>
    </w:pPr>
    <w:rPr>
      <w:rFonts w:ascii="Times New Roman" w:hAnsi="Times New Roman"/>
      <w:kern w:val="0"/>
      <w:sz w:val="24"/>
      <w:szCs w:val="24"/>
    </w:rPr>
  </w:style>
  <w:style w:type="paragraph" w:customStyle="1" w:styleId="258">
    <w:name w:val="普通(Web)1"/>
    <w:basedOn w:val="1"/>
    <w:qFormat/>
    <w:uiPriority w:val="0"/>
    <w:pPr>
      <w:widowControl/>
      <w:wordWrap w:val="0"/>
      <w:spacing w:before="150" w:after="150"/>
      <w:jc w:val="left"/>
    </w:pPr>
    <w:rPr>
      <w:rFonts w:ascii="宋体" w:hAnsi="宋体" w:cs="宋体"/>
      <w:kern w:val="0"/>
      <w:sz w:val="24"/>
      <w:szCs w:val="24"/>
    </w:rPr>
  </w:style>
  <w:style w:type="paragraph" w:customStyle="1" w:styleId="259">
    <w:name w:val="z-窗体底端1"/>
    <w:basedOn w:val="1"/>
    <w:next w:val="1"/>
    <w:link w:val="260"/>
    <w:qFormat/>
    <w:uiPriority w:val="0"/>
    <w:pPr>
      <w:pBdr>
        <w:top w:val="single" w:color="auto" w:sz="6" w:space="1"/>
      </w:pBdr>
      <w:jc w:val="center"/>
    </w:pPr>
    <w:rPr>
      <w:rFonts w:ascii="Arial" w:hAnsi="Times New Roman"/>
      <w:vanish/>
      <w:sz w:val="16"/>
      <w:szCs w:val="22"/>
    </w:rPr>
  </w:style>
  <w:style w:type="character" w:customStyle="1" w:styleId="260">
    <w:name w:val="z-窗体底端 Char"/>
    <w:basedOn w:val="74"/>
    <w:link w:val="259"/>
    <w:qFormat/>
    <w:uiPriority w:val="0"/>
    <w:rPr>
      <w:rFonts w:ascii="Arial" w:hAnsi="Times New Roman" w:eastAsia="宋体" w:cs="Times New Roman"/>
      <w:vanish/>
      <w:sz w:val="16"/>
    </w:rPr>
  </w:style>
  <w:style w:type="paragraph" w:customStyle="1" w:styleId="261">
    <w:name w:val="xl74"/>
    <w:basedOn w:val="1"/>
    <w:qFormat/>
    <w:uiPriority w:val="0"/>
    <w:pPr>
      <w:widowControl/>
      <w:spacing w:before="100" w:beforeAutospacing="1" w:after="100" w:afterAutospacing="1"/>
      <w:jc w:val="left"/>
      <w:textAlignment w:val="bottom"/>
    </w:pPr>
    <w:rPr>
      <w:rFonts w:ascii="Times New Roman" w:hAnsi="Times New Roman"/>
      <w:b/>
      <w:bCs/>
      <w:kern w:val="0"/>
      <w:sz w:val="24"/>
      <w:szCs w:val="24"/>
    </w:rPr>
  </w:style>
  <w:style w:type="paragraph" w:customStyle="1" w:styleId="262">
    <w:name w:val="xl79"/>
    <w:basedOn w:val="1"/>
    <w:qFormat/>
    <w:uiPriority w:val="0"/>
    <w:pPr>
      <w:widowControl/>
      <w:shd w:val="clear" w:color="auto" w:fill="FFFFFF"/>
      <w:spacing w:before="100" w:beforeAutospacing="1" w:after="100" w:afterAutospacing="1"/>
      <w:jc w:val="left"/>
      <w:textAlignment w:val="bottom"/>
    </w:pPr>
    <w:rPr>
      <w:rFonts w:ascii="Times New Roman" w:hAnsi="Times New Roman"/>
      <w:b/>
      <w:bCs/>
      <w:kern w:val="0"/>
      <w:sz w:val="24"/>
      <w:szCs w:val="24"/>
    </w:rPr>
  </w:style>
  <w:style w:type="paragraph" w:customStyle="1" w:styleId="263">
    <w:name w:val="font12"/>
    <w:basedOn w:val="1"/>
    <w:qFormat/>
    <w:uiPriority w:val="0"/>
    <w:pPr>
      <w:widowControl/>
      <w:spacing w:before="100" w:beforeAutospacing="1" w:after="100" w:afterAutospacing="1"/>
      <w:jc w:val="left"/>
    </w:pPr>
    <w:rPr>
      <w:rFonts w:ascii="Times New Roman" w:hAnsi="Times New Roman"/>
      <w:b/>
      <w:bCs/>
      <w:i/>
      <w:iCs/>
      <w:kern w:val="0"/>
      <w:sz w:val="24"/>
      <w:szCs w:val="24"/>
    </w:rPr>
  </w:style>
  <w:style w:type="paragraph" w:customStyle="1" w:styleId="264">
    <w:name w:val="xl91"/>
    <w:basedOn w:val="1"/>
    <w:qFormat/>
    <w:uiPriority w:val="0"/>
    <w:pPr>
      <w:widowControl/>
      <w:spacing w:before="100" w:beforeAutospacing="1" w:after="100" w:afterAutospacing="1"/>
      <w:jc w:val="left"/>
      <w:textAlignment w:val="bottom"/>
    </w:pPr>
    <w:rPr>
      <w:rFonts w:ascii="宋体" w:hAnsi="宋体" w:cs="宋体"/>
      <w:kern w:val="0"/>
      <w:sz w:val="24"/>
      <w:szCs w:val="24"/>
    </w:rPr>
  </w:style>
  <w:style w:type="paragraph" w:customStyle="1" w:styleId="265">
    <w:name w:val="font13"/>
    <w:basedOn w:val="1"/>
    <w:qFormat/>
    <w:uiPriority w:val="0"/>
    <w:pPr>
      <w:widowControl/>
      <w:spacing w:before="100" w:beforeAutospacing="1" w:after="100" w:afterAutospacing="1"/>
      <w:jc w:val="left"/>
    </w:pPr>
    <w:rPr>
      <w:rFonts w:ascii="宋体" w:hAnsi="宋体" w:cs="宋体"/>
      <w:b/>
      <w:bCs/>
      <w:kern w:val="0"/>
      <w:sz w:val="28"/>
      <w:szCs w:val="28"/>
    </w:rPr>
  </w:style>
  <w:style w:type="paragraph" w:customStyle="1" w:styleId="266">
    <w:name w:val="Char2 Char Char Char Char"/>
    <w:basedOn w:val="1"/>
    <w:qFormat/>
    <w:uiPriority w:val="0"/>
    <w:pPr>
      <w:spacing w:line="360" w:lineRule="auto"/>
      <w:ind w:firstLine="200" w:firstLineChars="200"/>
    </w:pPr>
    <w:rPr>
      <w:rFonts w:ascii="宋体" w:hAnsi="宋体" w:cs="宋体"/>
      <w:sz w:val="24"/>
      <w:szCs w:val="24"/>
    </w:rPr>
  </w:style>
  <w:style w:type="paragraph" w:customStyle="1" w:styleId="267">
    <w:name w:val="xl7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68">
    <w:name w:val="xl89"/>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69">
    <w:name w:val="Char2 Char Char"/>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270">
    <w:name w:val="Char10"/>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271">
    <w:name w:val="font11"/>
    <w:basedOn w:val="1"/>
    <w:qFormat/>
    <w:uiPriority w:val="0"/>
    <w:pPr>
      <w:widowControl/>
      <w:spacing w:before="100" w:beforeAutospacing="1" w:after="100" w:afterAutospacing="1"/>
      <w:jc w:val="left"/>
    </w:pPr>
    <w:rPr>
      <w:rFonts w:ascii="Times New Roman" w:hAnsi="Times New Roman"/>
      <w:b/>
      <w:bCs/>
      <w:kern w:val="0"/>
      <w:sz w:val="24"/>
      <w:szCs w:val="24"/>
    </w:rPr>
  </w:style>
  <w:style w:type="paragraph" w:customStyle="1" w:styleId="272">
    <w:name w:val="cardlist-value"/>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73">
    <w:name w:val="xl80"/>
    <w:basedOn w:val="1"/>
    <w:qFormat/>
    <w:uiPriority w:val="0"/>
    <w:pPr>
      <w:widowControl/>
      <w:spacing w:before="100" w:beforeAutospacing="1" w:after="100" w:afterAutospacing="1"/>
      <w:jc w:val="left"/>
      <w:textAlignment w:val="bottom"/>
    </w:pPr>
    <w:rPr>
      <w:rFonts w:ascii="宋体" w:hAnsi="宋体" w:cs="宋体"/>
      <w:b/>
      <w:bCs/>
      <w:kern w:val="0"/>
      <w:sz w:val="24"/>
      <w:szCs w:val="24"/>
    </w:rPr>
  </w:style>
  <w:style w:type="paragraph" w:customStyle="1" w:styleId="274">
    <w:name w:val="font8"/>
    <w:basedOn w:val="1"/>
    <w:qFormat/>
    <w:uiPriority w:val="0"/>
    <w:pPr>
      <w:widowControl/>
      <w:spacing w:before="100" w:beforeAutospacing="1" w:after="100" w:afterAutospacing="1"/>
      <w:jc w:val="left"/>
    </w:pPr>
    <w:rPr>
      <w:rFonts w:ascii="Arial" w:hAnsi="Arial" w:cs="Arial"/>
      <w:kern w:val="0"/>
      <w:sz w:val="24"/>
      <w:szCs w:val="24"/>
    </w:rPr>
  </w:style>
  <w:style w:type="paragraph" w:customStyle="1" w:styleId="275">
    <w:name w:val="font9"/>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276">
    <w:name w:val="xl85"/>
    <w:basedOn w:val="1"/>
    <w:qFormat/>
    <w:uiPriority w:val="0"/>
    <w:pPr>
      <w:widowControl/>
      <w:spacing w:before="100" w:beforeAutospacing="1" w:after="100" w:afterAutospacing="1"/>
      <w:jc w:val="left"/>
      <w:textAlignment w:val="top"/>
    </w:pPr>
    <w:rPr>
      <w:rFonts w:ascii="宋体" w:hAnsi="宋体" w:cs="宋体"/>
      <w:kern w:val="0"/>
      <w:sz w:val="24"/>
      <w:szCs w:val="24"/>
    </w:rPr>
  </w:style>
  <w:style w:type="paragraph" w:customStyle="1" w:styleId="277">
    <w:name w:val="xl78"/>
    <w:basedOn w:val="1"/>
    <w:qFormat/>
    <w:uiPriority w:val="0"/>
    <w:pPr>
      <w:widowControl/>
      <w:spacing w:before="100" w:beforeAutospacing="1" w:after="100" w:afterAutospacing="1"/>
      <w:jc w:val="left"/>
    </w:pPr>
    <w:rPr>
      <w:rFonts w:ascii="Times New Roman" w:hAnsi="Times New Roman"/>
      <w:b/>
      <w:bCs/>
      <w:kern w:val="0"/>
      <w:sz w:val="24"/>
      <w:szCs w:val="24"/>
    </w:rPr>
  </w:style>
  <w:style w:type="paragraph" w:customStyle="1" w:styleId="278">
    <w:name w:val="font6"/>
    <w:basedOn w:val="1"/>
    <w:qFormat/>
    <w:uiPriority w:val="0"/>
    <w:pPr>
      <w:widowControl/>
      <w:spacing w:before="100" w:beforeAutospacing="1" w:after="100" w:afterAutospacing="1"/>
      <w:jc w:val="left"/>
    </w:pPr>
    <w:rPr>
      <w:rFonts w:ascii="Times New Roman" w:hAnsi="Times New Roman"/>
      <w:i/>
      <w:iCs/>
      <w:kern w:val="0"/>
      <w:sz w:val="24"/>
      <w:szCs w:val="24"/>
    </w:rPr>
  </w:style>
  <w:style w:type="paragraph" w:customStyle="1" w:styleId="279">
    <w:name w:val="font14"/>
    <w:basedOn w:val="1"/>
    <w:qFormat/>
    <w:uiPriority w:val="0"/>
    <w:pPr>
      <w:widowControl/>
      <w:spacing w:before="100" w:beforeAutospacing="1" w:after="100" w:afterAutospacing="1"/>
      <w:jc w:val="left"/>
    </w:pPr>
    <w:rPr>
      <w:rFonts w:ascii="Arial" w:hAnsi="Arial" w:cs="Arial"/>
      <w:color w:val="000000"/>
      <w:kern w:val="0"/>
      <w:sz w:val="24"/>
      <w:szCs w:val="24"/>
    </w:rPr>
  </w:style>
  <w:style w:type="paragraph" w:customStyle="1" w:styleId="280">
    <w:name w:val="xl73"/>
    <w:basedOn w:val="1"/>
    <w:qFormat/>
    <w:uiPriority w:val="0"/>
    <w:pPr>
      <w:widowControl/>
      <w:spacing w:before="100" w:beforeAutospacing="1" w:after="100" w:afterAutospacing="1"/>
      <w:jc w:val="left"/>
      <w:textAlignment w:val="bottom"/>
    </w:pPr>
    <w:rPr>
      <w:rFonts w:ascii="Times New Roman" w:hAnsi="Times New Roman"/>
      <w:i/>
      <w:iCs/>
      <w:kern w:val="0"/>
      <w:sz w:val="24"/>
      <w:szCs w:val="24"/>
    </w:rPr>
  </w:style>
  <w:style w:type="paragraph" w:customStyle="1" w:styleId="281">
    <w:name w:val="Char2 Char Char Char"/>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paragraph" w:customStyle="1" w:styleId="282">
    <w:name w:val="xl84"/>
    <w:basedOn w:val="1"/>
    <w:qFormat/>
    <w:uiPriority w:val="0"/>
    <w:pPr>
      <w:widowControl/>
      <w:spacing w:before="100" w:beforeAutospacing="1" w:after="100" w:afterAutospacing="1"/>
      <w:jc w:val="left"/>
      <w:textAlignment w:val="top"/>
    </w:pPr>
    <w:rPr>
      <w:rFonts w:ascii="Times New Roman" w:hAnsi="Times New Roman"/>
      <w:b/>
      <w:bCs/>
      <w:i/>
      <w:iCs/>
      <w:kern w:val="0"/>
      <w:sz w:val="24"/>
      <w:szCs w:val="24"/>
    </w:rPr>
  </w:style>
  <w:style w:type="paragraph" w:customStyle="1" w:styleId="283">
    <w:name w:val="xl67"/>
    <w:basedOn w:val="1"/>
    <w:qFormat/>
    <w:uiPriority w:val="0"/>
    <w:pPr>
      <w:widowControl/>
      <w:spacing w:before="100" w:beforeAutospacing="1" w:after="100" w:afterAutospacing="1"/>
      <w:jc w:val="left"/>
    </w:pPr>
    <w:rPr>
      <w:rFonts w:ascii="Times New Roman" w:hAnsi="Times New Roman"/>
      <w:i/>
      <w:iCs/>
      <w:kern w:val="0"/>
      <w:sz w:val="24"/>
      <w:szCs w:val="24"/>
    </w:rPr>
  </w:style>
  <w:style w:type="character" w:customStyle="1" w:styleId="284">
    <w:name w:val="font112"/>
    <w:qFormat/>
    <w:uiPriority w:val="0"/>
    <w:rPr>
      <w:rFonts w:hint="default" w:ascii="Times New Roman" w:hAnsi="Times New Roman" w:cs="Times New Roman"/>
      <w:i/>
      <w:color w:val="000000"/>
      <w:sz w:val="20"/>
      <w:szCs w:val="20"/>
      <w:u w:val="none"/>
    </w:rPr>
  </w:style>
  <w:style w:type="character" w:customStyle="1" w:styleId="285">
    <w:name w:val="font31"/>
    <w:qFormat/>
    <w:uiPriority w:val="0"/>
    <w:rPr>
      <w:rFonts w:hint="eastAsia" w:ascii="宋体" w:hAnsi="宋体" w:eastAsia="宋体" w:cs="宋体"/>
      <w:i/>
      <w:color w:val="000000"/>
      <w:sz w:val="18"/>
      <w:szCs w:val="18"/>
      <w:u w:val="none"/>
    </w:rPr>
  </w:style>
  <w:style w:type="paragraph" w:customStyle="1" w:styleId="286">
    <w:name w:val="font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87">
    <w:name w:val="font17"/>
    <w:basedOn w:val="1"/>
    <w:qFormat/>
    <w:uiPriority w:val="0"/>
    <w:pPr>
      <w:widowControl/>
      <w:spacing w:before="100" w:beforeAutospacing="1" w:after="100" w:afterAutospacing="1"/>
      <w:jc w:val="left"/>
    </w:pPr>
    <w:rPr>
      <w:rFonts w:ascii="Times New Roman" w:hAnsi="Times New Roman"/>
      <w:i/>
      <w:iCs/>
      <w:color w:val="000000"/>
      <w:kern w:val="0"/>
      <w:sz w:val="20"/>
      <w:szCs w:val="20"/>
    </w:rPr>
  </w:style>
  <w:style w:type="paragraph" w:customStyle="1" w:styleId="288">
    <w:name w:val="font18"/>
    <w:basedOn w:val="1"/>
    <w:qFormat/>
    <w:uiPriority w:val="0"/>
    <w:pPr>
      <w:widowControl/>
      <w:spacing w:before="100" w:beforeAutospacing="1" w:after="100" w:afterAutospacing="1"/>
      <w:jc w:val="left"/>
    </w:pPr>
    <w:rPr>
      <w:rFonts w:ascii="Times New Roman" w:hAnsi="Times New Roman"/>
      <w:color w:val="000000"/>
      <w:kern w:val="0"/>
      <w:sz w:val="20"/>
      <w:szCs w:val="20"/>
    </w:rPr>
  </w:style>
  <w:style w:type="paragraph" w:customStyle="1" w:styleId="289">
    <w:name w:val="font19"/>
    <w:basedOn w:val="1"/>
    <w:qFormat/>
    <w:uiPriority w:val="0"/>
    <w:pPr>
      <w:widowControl/>
      <w:spacing w:before="100" w:beforeAutospacing="1" w:after="100" w:afterAutospacing="1"/>
      <w:jc w:val="left"/>
    </w:pPr>
    <w:rPr>
      <w:rFonts w:ascii="宋体" w:hAnsi="宋体" w:cs="宋体"/>
      <w:color w:val="000000"/>
      <w:kern w:val="0"/>
    </w:rPr>
  </w:style>
  <w:style w:type="paragraph" w:customStyle="1" w:styleId="290">
    <w:name w:val="font20"/>
    <w:basedOn w:val="1"/>
    <w:qFormat/>
    <w:uiPriority w:val="0"/>
    <w:pPr>
      <w:widowControl/>
      <w:spacing w:before="100" w:beforeAutospacing="1" w:after="100" w:afterAutospacing="1"/>
      <w:jc w:val="left"/>
    </w:pPr>
    <w:rPr>
      <w:rFonts w:ascii="Times New Roman" w:hAnsi="Times New Roman"/>
      <w:b/>
      <w:bCs/>
      <w:i/>
      <w:iCs/>
      <w:color w:val="000000"/>
      <w:kern w:val="0"/>
      <w:sz w:val="20"/>
      <w:szCs w:val="20"/>
    </w:rPr>
  </w:style>
  <w:style w:type="paragraph" w:customStyle="1" w:styleId="291">
    <w:name w:val="font21"/>
    <w:basedOn w:val="1"/>
    <w:qFormat/>
    <w:uiPriority w:val="0"/>
    <w:pPr>
      <w:widowControl/>
      <w:spacing w:before="100" w:beforeAutospacing="1" w:after="100" w:afterAutospacing="1"/>
      <w:jc w:val="left"/>
    </w:pPr>
    <w:rPr>
      <w:rFonts w:ascii="Arial" w:hAnsi="Arial" w:cs="Arial"/>
      <w:kern w:val="0"/>
      <w:sz w:val="24"/>
      <w:szCs w:val="24"/>
    </w:rPr>
  </w:style>
  <w:style w:type="paragraph" w:customStyle="1" w:styleId="292">
    <w:name w:val="font22"/>
    <w:basedOn w:val="1"/>
    <w:qFormat/>
    <w:uiPriority w:val="0"/>
    <w:pPr>
      <w:widowControl/>
      <w:spacing w:before="100" w:beforeAutospacing="1" w:after="100" w:afterAutospacing="1"/>
      <w:jc w:val="left"/>
    </w:pPr>
    <w:rPr>
      <w:rFonts w:ascii="Times New Roman" w:hAnsi="Times New Roman"/>
      <w:color w:val="FF0000"/>
      <w:kern w:val="0"/>
    </w:rPr>
  </w:style>
  <w:style w:type="paragraph" w:customStyle="1" w:styleId="293">
    <w:name w:val="font23"/>
    <w:basedOn w:val="1"/>
    <w:qFormat/>
    <w:uiPriority w:val="0"/>
    <w:pPr>
      <w:widowControl/>
      <w:spacing w:before="100" w:beforeAutospacing="1" w:after="100" w:afterAutospacing="1"/>
      <w:jc w:val="left"/>
    </w:pPr>
    <w:rPr>
      <w:rFonts w:ascii="Times New Roman" w:hAnsi="Times New Roman"/>
      <w:color w:val="000000"/>
      <w:kern w:val="0"/>
      <w:sz w:val="20"/>
      <w:szCs w:val="20"/>
    </w:rPr>
  </w:style>
  <w:style w:type="paragraph" w:customStyle="1" w:styleId="294">
    <w:name w:val="font24"/>
    <w:basedOn w:val="1"/>
    <w:qFormat/>
    <w:uiPriority w:val="0"/>
    <w:pPr>
      <w:widowControl/>
      <w:spacing w:before="100" w:beforeAutospacing="1" w:after="100" w:afterAutospacing="1"/>
      <w:jc w:val="left"/>
    </w:pPr>
    <w:rPr>
      <w:rFonts w:ascii="Times New Roman" w:hAnsi="Times New Roman"/>
      <w:i/>
      <w:iCs/>
      <w:color w:val="000000"/>
      <w:kern w:val="0"/>
      <w:sz w:val="20"/>
      <w:szCs w:val="20"/>
    </w:rPr>
  </w:style>
  <w:style w:type="paragraph" w:customStyle="1" w:styleId="295">
    <w:name w:val="font25"/>
    <w:basedOn w:val="1"/>
    <w:qFormat/>
    <w:uiPriority w:val="0"/>
    <w:pPr>
      <w:widowControl/>
      <w:spacing w:before="100" w:beforeAutospacing="1" w:after="100" w:afterAutospacing="1"/>
      <w:jc w:val="left"/>
    </w:pPr>
    <w:rPr>
      <w:rFonts w:ascii="Times New Roman" w:hAnsi="Times New Roman"/>
      <w:b/>
      <w:bCs/>
      <w:i/>
      <w:iCs/>
      <w:color w:val="000000"/>
      <w:kern w:val="0"/>
      <w:sz w:val="20"/>
      <w:szCs w:val="20"/>
    </w:rPr>
  </w:style>
  <w:style w:type="paragraph" w:customStyle="1" w:styleId="296">
    <w:name w:val="font26"/>
    <w:basedOn w:val="1"/>
    <w:qFormat/>
    <w:uiPriority w:val="0"/>
    <w:pPr>
      <w:widowControl/>
      <w:spacing w:before="100" w:beforeAutospacing="1" w:after="100" w:afterAutospacing="1"/>
      <w:jc w:val="left"/>
    </w:pPr>
    <w:rPr>
      <w:rFonts w:ascii="Times New Roman" w:hAnsi="Times New Roman"/>
      <w:color w:val="000000"/>
      <w:kern w:val="0"/>
      <w:sz w:val="24"/>
      <w:szCs w:val="24"/>
    </w:rPr>
  </w:style>
  <w:style w:type="paragraph" w:customStyle="1" w:styleId="297">
    <w:name w:val="font27"/>
    <w:basedOn w:val="1"/>
    <w:qFormat/>
    <w:uiPriority w:val="0"/>
    <w:pPr>
      <w:widowControl/>
      <w:spacing w:before="100" w:beforeAutospacing="1" w:after="100" w:afterAutospacing="1"/>
      <w:jc w:val="left"/>
    </w:pPr>
    <w:rPr>
      <w:rFonts w:ascii="Times New Roman" w:hAnsi="Times New Roman"/>
      <w:i/>
      <w:iCs/>
      <w:color w:val="000000"/>
      <w:kern w:val="0"/>
      <w:sz w:val="24"/>
      <w:szCs w:val="24"/>
    </w:rPr>
  </w:style>
  <w:style w:type="paragraph" w:customStyle="1" w:styleId="298">
    <w:name w:val="font28"/>
    <w:basedOn w:val="1"/>
    <w:qFormat/>
    <w:uiPriority w:val="0"/>
    <w:pPr>
      <w:widowControl/>
      <w:spacing w:before="100" w:beforeAutospacing="1" w:after="100" w:afterAutospacing="1"/>
      <w:jc w:val="left"/>
    </w:pPr>
    <w:rPr>
      <w:rFonts w:ascii="Times New Roman" w:hAnsi="Times New Roman"/>
      <w:i/>
      <w:iCs/>
      <w:kern w:val="0"/>
      <w:sz w:val="20"/>
      <w:szCs w:val="20"/>
    </w:rPr>
  </w:style>
  <w:style w:type="paragraph" w:customStyle="1" w:styleId="299">
    <w:name w:val="font29"/>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300">
    <w:name w:val="xl90"/>
    <w:basedOn w:val="1"/>
    <w:qFormat/>
    <w:uiPriority w:val="0"/>
    <w:pPr>
      <w:widowControl/>
      <w:spacing w:before="100" w:beforeAutospacing="1" w:after="100" w:afterAutospacing="1"/>
      <w:jc w:val="left"/>
      <w:textAlignment w:val="center"/>
    </w:pPr>
    <w:rPr>
      <w:rFonts w:ascii="宋体" w:hAnsi="宋体" w:cs="宋体"/>
      <w:kern w:val="0"/>
      <w:sz w:val="24"/>
      <w:szCs w:val="24"/>
    </w:rPr>
  </w:style>
  <w:style w:type="paragraph" w:customStyle="1" w:styleId="301">
    <w:name w:val="font30"/>
    <w:basedOn w:val="1"/>
    <w:qFormat/>
    <w:uiPriority w:val="0"/>
    <w:pPr>
      <w:widowControl/>
      <w:spacing w:before="100" w:beforeAutospacing="1" w:after="100" w:afterAutospacing="1"/>
      <w:jc w:val="left"/>
    </w:pPr>
    <w:rPr>
      <w:rFonts w:ascii="宋体" w:hAnsi="宋体" w:cs="宋体"/>
      <w:kern w:val="0"/>
    </w:rPr>
  </w:style>
  <w:style w:type="paragraph" w:customStyle="1" w:styleId="302">
    <w:name w:val="font32"/>
    <w:basedOn w:val="1"/>
    <w:qFormat/>
    <w:uiPriority w:val="0"/>
    <w:pPr>
      <w:widowControl/>
      <w:spacing w:before="100" w:beforeAutospacing="1" w:after="100" w:afterAutospacing="1"/>
      <w:jc w:val="left"/>
    </w:pPr>
    <w:rPr>
      <w:rFonts w:ascii="宋体" w:hAnsi="宋体" w:cs="宋体"/>
      <w:kern w:val="0"/>
    </w:rPr>
  </w:style>
  <w:style w:type="paragraph" w:customStyle="1" w:styleId="303">
    <w:name w:val="font33"/>
    <w:basedOn w:val="1"/>
    <w:qFormat/>
    <w:uiPriority w:val="0"/>
    <w:pPr>
      <w:widowControl/>
      <w:spacing w:before="100" w:beforeAutospacing="1" w:after="100" w:afterAutospacing="1"/>
      <w:jc w:val="left"/>
    </w:pPr>
    <w:rPr>
      <w:rFonts w:ascii="宋体" w:hAnsi="宋体" w:cs="宋体"/>
      <w:kern w:val="0"/>
    </w:rPr>
  </w:style>
  <w:style w:type="paragraph" w:customStyle="1" w:styleId="304">
    <w:name w:val="Char Char3 Char Char Char Char Char Char"/>
    <w:basedOn w:val="4"/>
    <w:qFormat/>
    <w:uiPriority w:val="0"/>
    <w:pPr>
      <w:numPr>
        <w:ilvl w:val="0"/>
        <w:numId w:val="0"/>
      </w:numPr>
      <w:tabs>
        <w:tab w:val="left" w:pos="360"/>
        <w:tab w:val="left" w:pos="900"/>
      </w:tabs>
      <w:adjustRightInd/>
      <w:spacing w:before="120" w:after="120"/>
      <w:ind w:left="542" w:leftChars="-12" w:firstLine="200" w:firstLineChars="200"/>
      <w:jc w:val="left"/>
    </w:pPr>
    <w:rPr>
      <w:rFonts w:eastAsia="黑体"/>
      <w:b w:val="0"/>
      <w:bCs w:val="0"/>
      <w:snapToGrid w:val="0"/>
      <w:kern w:val="2"/>
      <w:szCs w:val="24"/>
    </w:rPr>
  </w:style>
  <w:style w:type="character" w:customStyle="1" w:styleId="305">
    <w:name w:val="6-1表格文字（居中）阳选清 Char"/>
    <w:link w:val="306"/>
    <w:qFormat/>
    <w:uiPriority w:val="0"/>
    <w:rPr>
      <w:bCs/>
      <w:color w:val="000000"/>
      <w:szCs w:val="18"/>
    </w:rPr>
  </w:style>
  <w:style w:type="paragraph" w:customStyle="1" w:styleId="306">
    <w:name w:val="6-1表格文字（居中）阳选清"/>
    <w:basedOn w:val="1"/>
    <w:link w:val="305"/>
    <w:qFormat/>
    <w:uiPriority w:val="0"/>
    <w:pPr>
      <w:adjustRightInd w:val="0"/>
      <w:snapToGrid w:val="0"/>
      <w:jc w:val="center"/>
    </w:pPr>
    <w:rPr>
      <w:rFonts w:asciiTheme="minorHAnsi" w:hAnsiTheme="minorHAnsi" w:eastAsiaTheme="minorEastAsia" w:cstheme="minorBidi"/>
      <w:bCs/>
      <w:color w:val="000000"/>
      <w:szCs w:val="18"/>
    </w:rPr>
  </w:style>
  <w:style w:type="paragraph" w:customStyle="1" w:styleId="307">
    <w:name w:val="5表名阳选清"/>
    <w:link w:val="308"/>
    <w:qFormat/>
    <w:uiPriority w:val="0"/>
    <w:pPr>
      <w:widowControl w:val="0"/>
      <w:adjustRightInd w:val="0"/>
      <w:snapToGrid w:val="0"/>
      <w:jc w:val="center"/>
    </w:pPr>
    <w:rPr>
      <w:rFonts w:ascii="Times New Roman" w:hAnsi="Times New Roman" w:eastAsia="黑体" w:cs="Times New Roman"/>
      <w:color w:val="000000"/>
      <w:kern w:val="2"/>
      <w:sz w:val="21"/>
      <w:szCs w:val="21"/>
      <w:lang w:val="en-US" w:eastAsia="zh-CN" w:bidi="ar-SA"/>
    </w:rPr>
  </w:style>
  <w:style w:type="character" w:customStyle="1" w:styleId="308">
    <w:name w:val="5表名阳选清 Char"/>
    <w:link w:val="307"/>
    <w:qFormat/>
    <w:uiPriority w:val="0"/>
    <w:rPr>
      <w:rFonts w:ascii="Times New Roman" w:hAnsi="Times New Roman" w:eastAsia="黑体" w:cs="Times New Roman"/>
      <w:color w:val="000000"/>
      <w:szCs w:val="21"/>
    </w:rPr>
  </w:style>
  <w:style w:type="character" w:customStyle="1" w:styleId="309">
    <w:name w:val="书籍标题1"/>
    <w:qFormat/>
    <w:uiPriority w:val="33"/>
    <w:rPr>
      <w:b/>
      <w:bCs/>
      <w:smallCaps/>
      <w:spacing w:val="5"/>
    </w:rPr>
  </w:style>
  <w:style w:type="paragraph" w:customStyle="1" w:styleId="310">
    <w:name w:val="z-窗体顶端11"/>
    <w:basedOn w:val="1"/>
    <w:next w:val="1"/>
    <w:link w:val="311"/>
    <w:qFormat/>
    <w:uiPriority w:val="0"/>
    <w:pPr>
      <w:pBdr>
        <w:bottom w:val="single" w:color="auto" w:sz="6" w:space="1"/>
      </w:pBdr>
      <w:jc w:val="center"/>
    </w:pPr>
    <w:rPr>
      <w:rFonts w:ascii="Arial" w:hAnsi="Times New Roman"/>
      <w:vanish/>
      <w:sz w:val="16"/>
      <w:szCs w:val="22"/>
    </w:rPr>
  </w:style>
  <w:style w:type="character" w:customStyle="1" w:styleId="311">
    <w:name w:val="z-窗体顶端 字符"/>
    <w:link w:val="310"/>
    <w:qFormat/>
    <w:uiPriority w:val="0"/>
    <w:rPr>
      <w:rFonts w:ascii="Arial" w:hAnsi="Times New Roman" w:eastAsia="宋体" w:cs="Times New Roman"/>
      <w:vanish/>
      <w:sz w:val="16"/>
    </w:rPr>
  </w:style>
  <w:style w:type="character" w:customStyle="1" w:styleId="312">
    <w:name w:val="引用 字符1"/>
    <w:qFormat/>
    <w:uiPriority w:val="29"/>
    <w:rPr>
      <w:rFonts w:ascii="Times New Roman" w:hAnsi="Times New Roman" w:eastAsia="宋体" w:cs="Times New Roman"/>
      <w:i/>
      <w:iCs/>
      <w:color w:val="404040"/>
      <w:szCs w:val="24"/>
    </w:rPr>
  </w:style>
  <w:style w:type="paragraph" w:customStyle="1" w:styleId="313">
    <w:name w:val="z-窗体底端11"/>
    <w:basedOn w:val="1"/>
    <w:next w:val="1"/>
    <w:link w:val="314"/>
    <w:qFormat/>
    <w:uiPriority w:val="0"/>
    <w:pPr>
      <w:pBdr>
        <w:top w:val="single" w:color="auto" w:sz="6" w:space="1"/>
      </w:pBdr>
      <w:jc w:val="center"/>
    </w:pPr>
    <w:rPr>
      <w:rFonts w:ascii="Arial" w:hAnsi="Times New Roman"/>
      <w:vanish/>
      <w:sz w:val="16"/>
      <w:szCs w:val="22"/>
    </w:rPr>
  </w:style>
  <w:style w:type="character" w:customStyle="1" w:styleId="314">
    <w:name w:val="z-窗体底端 字符"/>
    <w:link w:val="313"/>
    <w:qFormat/>
    <w:uiPriority w:val="0"/>
    <w:rPr>
      <w:rFonts w:ascii="Arial" w:hAnsi="Times New Roman" w:eastAsia="宋体" w:cs="Times New Roman"/>
      <w:vanish/>
      <w:sz w:val="16"/>
    </w:rPr>
  </w:style>
  <w:style w:type="paragraph" w:customStyle="1" w:styleId="315">
    <w:name w:val="TOC 标题1"/>
    <w:basedOn w:val="2"/>
    <w:next w:val="1"/>
    <w:unhideWhenUsed/>
    <w:qFormat/>
    <w:uiPriority w:val="39"/>
    <w:pPr>
      <w:widowControl/>
      <w:numPr>
        <w:numId w:val="0"/>
      </w:numPr>
      <w:adjustRightInd/>
      <w:snapToGrid/>
      <w:spacing w:before="480" w:line="276" w:lineRule="auto"/>
      <w:jc w:val="left"/>
      <w:outlineLvl w:val="9"/>
    </w:pPr>
    <w:rPr>
      <w:rFonts w:ascii="Calibri Light" w:hAnsi="Calibri Light" w:eastAsia="宋体"/>
      <w:b/>
      <w:color w:val="2E74B5"/>
      <w:kern w:val="0"/>
      <w:sz w:val="28"/>
      <w:szCs w:val="28"/>
    </w:rPr>
  </w:style>
  <w:style w:type="paragraph" w:customStyle="1" w:styleId="316">
    <w:name w:val="样式13"/>
    <w:basedOn w:val="5"/>
    <w:qFormat/>
    <w:uiPriority w:val="0"/>
    <w:pPr>
      <w:numPr>
        <w:numId w:val="3"/>
      </w:numPr>
      <w:tabs>
        <w:tab w:val="left" w:pos="851"/>
        <w:tab w:val="left" w:pos="1680"/>
      </w:tabs>
      <w:adjustRightInd/>
      <w:snapToGrid/>
      <w:spacing w:before="120" w:after="120" w:line="420" w:lineRule="exact"/>
      <w:ind w:right="100" w:rightChars="100"/>
    </w:pPr>
    <w:rPr>
      <w:rFonts w:ascii="宋体" w:hAnsi="宋体" w:eastAsia="宋体"/>
      <w:b w:val="0"/>
      <w:iCs/>
      <w:snapToGrid w:val="0"/>
      <w:color w:val="auto"/>
      <w:lang w:val="zh-CN"/>
    </w:rPr>
  </w:style>
  <w:style w:type="paragraph" w:customStyle="1" w:styleId="317">
    <w:name w:val="Char Char Char Char1 Char Char Char"/>
    <w:basedOn w:val="4"/>
    <w:next w:val="129"/>
    <w:qFormat/>
    <w:uiPriority w:val="0"/>
    <w:pPr>
      <w:numPr>
        <w:numId w:val="3"/>
      </w:numPr>
      <w:tabs>
        <w:tab w:val="left" w:pos="473"/>
        <w:tab w:val="left" w:pos="851"/>
        <w:tab w:val="left" w:pos="1260"/>
      </w:tabs>
      <w:adjustRightInd/>
      <w:snapToGrid/>
      <w:spacing w:before="50" w:beforeLines="50" w:after="20" w:afterLines="20"/>
      <w:ind w:firstLine="113"/>
    </w:pPr>
    <w:rPr>
      <w:rFonts w:ascii="宋体" w:hAnsi="宋体" w:eastAsia="黑体" w:cs="宋体"/>
      <w:b w:val="0"/>
      <w:bCs w:val="0"/>
      <w:kern w:val="2"/>
      <w:szCs w:val="24"/>
      <w:lang w:val="zh-CN"/>
    </w:rPr>
  </w:style>
  <w:style w:type="paragraph" w:customStyle="1" w:styleId="318">
    <w:name w:val="样式 样式 标题 2 + 段前: 1.5 行 段后: 1 行 + 非加粗 左侧:  0.5 厘米 首行缩进:  0 厘米 ...1"/>
    <w:basedOn w:val="1"/>
    <w:qFormat/>
    <w:uiPriority w:val="0"/>
    <w:pPr>
      <w:keepNext/>
      <w:keepLines/>
      <w:numPr>
        <w:ilvl w:val="0"/>
        <w:numId w:val="3"/>
      </w:numPr>
      <w:tabs>
        <w:tab w:val="left" w:pos="360"/>
        <w:tab w:val="left" w:pos="690"/>
        <w:tab w:val="left" w:pos="840"/>
        <w:tab w:val="left" w:pos="1320"/>
        <w:tab w:val="clear" w:pos="851"/>
      </w:tabs>
      <w:spacing w:before="50" w:after="50"/>
      <w:ind w:left="1320" w:hanging="420"/>
      <w:outlineLvl w:val="1"/>
    </w:pPr>
    <w:rPr>
      <w:rFonts w:ascii="Arial" w:hAnsi="Arial" w:eastAsia="黑体"/>
      <w:kern w:val="0"/>
      <w:sz w:val="28"/>
      <w:szCs w:val="22"/>
      <w:lang w:val="zh-CN"/>
    </w:rPr>
  </w:style>
  <w:style w:type="character" w:customStyle="1" w:styleId="319">
    <w:name w:val="font51"/>
    <w:qFormat/>
    <w:uiPriority w:val="0"/>
    <w:rPr>
      <w:rFonts w:hint="eastAsia" w:ascii="仿宋_GB2312" w:eastAsia="仿宋_GB2312"/>
      <w:color w:val="000000"/>
      <w:sz w:val="20"/>
      <w:szCs w:val="20"/>
      <w:u w:val="none"/>
    </w:rPr>
  </w:style>
  <w:style w:type="paragraph" w:customStyle="1" w:styleId="320">
    <w:name w:val="四级标题"/>
    <w:basedOn w:val="5"/>
    <w:qFormat/>
    <w:uiPriority w:val="0"/>
    <w:pPr>
      <w:widowControl/>
      <w:numPr>
        <w:ilvl w:val="0"/>
        <w:numId w:val="4"/>
      </w:numPr>
      <w:tabs>
        <w:tab w:val="left" w:pos="720"/>
        <w:tab w:val="left" w:pos="1080"/>
      </w:tabs>
      <w:adjustRightInd/>
      <w:snapToGrid/>
      <w:spacing w:before="160" w:after="170" w:line="240" w:lineRule="auto"/>
      <w:jc w:val="left"/>
    </w:pPr>
    <w:rPr>
      <w:rFonts w:ascii="Arial" w:hAnsi="Arial" w:eastAsia="宋体"/>
      <w:b w:val="0"/>
      <w:color w:val="auto"/>
      <w:kern w:val="0"/>
      <w:szCs w:val="28"/>
      <w:lang w:val="zh-CN"/>
    </w:rPr>
  </w:style>
  <w:style w:type="paragraph" w:customStyle="1" w:styleId="321">
    <w:name w:val="样式 正文（首行缩进两字） + 行距: 固定值 20 磅"/>
    <w:basedOn w:val="18"/>
    <w:qFormat/>
    <w:uiPriority w:val="0"/>
    <w:pPr>
      <w:widowControl/>
      <w:spacing w:after="62" w:afterLines="20" w:line="400" w:lineRule="exact"/>
      <w:ind w:firstLine="480"/>
      <w:jc w:val="left"/>
    </w:pPr>
    <w:rPr>
      <w:rFonts w:ascii="Times New Roman" w:hAnsi="Times New Roman"/>
      <w:sz w:val="24"/>
      <w:szCs w:val="20"/>
    </w:rPr>
  </w:style>
  <w:style w:type="paragraph" w:customStyle="1" w:styleId="322">
    <w:name w:val="俺的正文"/>
    <w:basedOn w:val="1"/>
    <w:qFormat/>
    <w:uiPriority w:val="0"/>
    <w:pPr>
      <w:spacing w:line="460" w:lineRule="exact"/>
      <w:ind w:firstLine="200" w:firstLineChars="200"/>
    </w:pPr>
    <w:rPr>
      <w:rFonts w:ascii="Times New Roman" w:hAnsi="Times New Roman"/>
      <w:sz w:val="24"/>
      <w:szCs w:val="20"/>
    </w:rPr>
  </w:style>
  <w:style w:type="character" w:customStyle="1" w:styleId="323">
    <w:name w:val="标题2"/>
    <w:basedOn w:val="74"/>
    <w:qFormat/>
    <w:uiPriority w:val="0"/>
  </w:style>
  <w:style w:type="paragraph" w:customStyle="1" w:styleId="324">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325">
    <w:name w:val="WPSOffice手动目录 1"/>
    <w:qFormat/>
    <w:uiPriority w:val="0"/>
    <w:rPr>
      <w:rFonts w:ascii="Times New Roman" w:hAnsi="Times New Roman" w:eastAsia="宋体" w:cs="Times New Roman"/>
      <w:lang w:val="en-US" w:eastAsia="zh-CN" w:bidi="ar-SA"/>
    </w:rPr>
  </w:style>
  <w:style w:type="paragraph" w:customStyle="1" w:styleId="326">
    <w:name w:val="CM27"/>
    <w:basedOn w:val="145"/>
    <w:next w:val="145"/>
    <w:qFormat/>
    <w:uiPriority w:val="99"/>
    <w:pPr>
      <w:spacing w:line="533" w:lineRule="atLeast"/>
    </w:pPr>
    <w:rPr>
      <w:rFonts w:hAnsi="Times New Roman" w:cs="Times New Roman"/>
      <w:color w:val="auto"/>
    </w:rPr>
  </w:style>
  <w:style w:type="paragraph" w:customStyle="1" w:styleId="327">
    <w:name w:val="CM121"/>
    <w:basedOn w:val="145"/>
    <w:next w:val="145"/>
    <w:qFormat/>
    <w:uiPriority w:val="99"/>
    <w:pPr>
      <w:spacing w:after="213"/>
    </w:pPr>
    <w:rPr>
      <w:rFonts w:hAnsi="Times New Roman" w:cs="Times New Roman"/>
      <w:color w:val="auto"/>
    </w:rPr>
  </w:style>
  <w:style w:type="paragraph" w:customStyle="1" w:styleId="328">
    <w:name w:val="CM29"/>
    <w:basedOn w:val="145"/>
    <w:next w:val="145"/>
    <w:qFormat/>
    <w:uiPriority w:val="99"/>
    <w:pPr>
      <w:spacing w:line="480" w:lineRule="atLeast"/>
    </w:pPr>
    <w:rPr>
      <w:rFonts w:hAnsi="Times New Roman" w:cs="Times New Roman"/>
      <w:color w:val="auto"/>
    </w:rPr>
  </w:style>
  <w:style w:type="paragraph" w:customStyle="1" w:styleId="329">
    <w:name w:val="CM129"/>
    <w:basedOn w:val="145"/>
    <w:next w:val="145"/>
    <w:qFormat/>
    <w:uiPriority w:val="99"/>
    <w:pPr>
      <w:spacing w:after="310"/>
    </w:pPr>
    <w:rPr>
      <w:rFonts w:hAnsi="Times New Roman" w:cs="Times New Roman"/>
      <w:color w:val="auto"/>
    </w:rPr>
  </w:style>
  <w:style w:type="paragraph" w:customStyle="1" w:styleId="330">
    <w:name w:val="CM7"/>
    <w:basedOn w:val="145"/>
    <w:next w:val="145"/>
    <w:qFormat/>
    <w:uiPriority w:val="99"/>
    <w:pPr>
      <w:spacing w:line="471" w:lineRule="atLeast"/>
    </w:pPr>
    <w:rPr>
      <w:rFonts w:hAnsi="Times New Roman" w:cs="Times New Roman"/>
      <w:color w:val="auto"/>
    </w:rPr>
  </w:style>
  <w:style w:type="paragraph" w:customStyle="1" w:styleId="331">
    <w:name w:val="CM131"/>
    <w:basedOn w:val="145"/>
    <w:next w:val="145"/>
    <w:qFormat/>
    <w:uiPriority w:val="99"/>
    <w:pPr>
      <w:spacing w:after="85"/>
    </w:pPr>
    <w:rPr>
      <w:rFonts w:hAnsi="Times New Roman" w:cs="Times New Roman"/>
      <w:color w:val="auto"/>
    </w:rPr>
  </w:style>
  <w:style w:type="paragraph" w:customStyle="1" w:styleId="332">
    <w:name w:val="CM130"/>
    <w:basedOn w:val="145"/>
    <w:next w:val="145"/>
    <w:qFormat/>
    <w:uiPriority w:val="99"/>
    <w:pPr>
      <w:spacing w:after="460"/>
    </w:pPr>
    <w:rPr>
      <w:rFonts w:hAnsi="Times New Roman" w:cs="Times New Roman"/>
      <w:color w:val="auto"/>
    </w:rPr>
  </w:style>
  <w:style w:type="paragraph" w:customStyle="1" w:styleId="333">
    <w:name w:val="CM136"/>
    <w:basedOn w:val="145"/>
    <w:next w:val="145"/>
    <w:qFormat/>
    <w:uiPriority w:val="99"/>
    <w:pPr>
      <w:spacing w:after="843"/>
    </w:pPr>
    <w:rPr>
      <w:rFonts w:hAnsi="Times New Roman" w:cs="Times New Roman"/>
      <w:color w:val="auto"/>
    </w:rPr>
  </w:style>
  <w:style w:type="paragraph" w:customStyle="1" w:styleId="334">
    <w:name w:val="CM31"/>
    <w:basedOn w:val="145"/>
    <w:next w:val="145"/>
    <w:qFormat/>
    <w:uiPriority w:val="99"/>
    <w:rPr>
      <w:rFonts w:hAnsi="Times New Roman" w:cs="Times New Roman"/>
      <w:color w:val="auto"/>
    </w:rPr>
  </w:style>
  <w:style w:type="paragraph" w:customStyle="1" w:styleId="335">
    <w:name w:val="CM32"/>
    <w:basedOn w:val="145"/>
    <w:next w:val="145"/>
    <w:qFormat/>
    <w:uiPriority w:val="99"/>
    <w:pPr>
      <w:spacing w:line="313" w:lineRule="atLeast"/>
    </w:pPr>
    <w:rPr>
      <w:rFonts w:hAnsi="Times New Roman" w:cs="Times New Roman"/>
      <w:color w:val="auto"/>
    </w:rPr>
  </w:style>
  <w:style w:type="paragraph" w:customStyle="1" w:styleId="336">
    <w:name w:val="CM137"/>
    <w:basedOn w:val="145"/>
    <w:next w:val="145"/>
    <w:qFormat/>
    <w:uiPriority w:val="99"/>
    <w:pPr>
      <w:spacing w:after="330"/>
    </w:pPr>
    <w:rPr>
      <w:rFonts w:hAnsi="Times New Roman" w:cs="Times New Roman"/>
      <w:color w:val="auto"/>
    </w:rPr>
  </w:style>
  <w:style w:type="paragraph" w:customStyle="1" w:styleId="337">
    <w:name w:val="CM6"/>
    <w:basedOn w:val="145"/>
    <w:next w:val="145"/>
    <w:qFormat/>
    <w:uiPriority w:val="99"/>
    <w:pPr>
      <w:spacing w:line="466" w:lineRule="atLeast"/>
    </w:pPr>
    <w:rPr>
      <w:rFonts w:hAnsi="Times New Roman" w:cs="Times New Roman"/>
      <w:color w:val="auto"/>
    </w:rPr>
  </w:style>
  <w:style w:type="paragraph" w:customStyle="1" w:styleId="338">
    <w:name w:val="CM9"/>
    <w:basedOn w:val="145"/>
    <w:next w:val="145"/>
    <w:qFormat/>
    <w:uiPriority w:val="99"/>
    <w:pPr>
      <w:spacing w:line="468" w:lineRule="atLeast"/>
    </w:pPr>
    <w:rPr>
      <w:rFonts w:ascii="Times New Roman" w:hAnsi="Times New Roman" w:cs="Times New Roman"/>
      <w:color w:val="auto"/>
    </w:rPr>
  </w:style>
  <w:style w:type="paragraph" w:customStyle="1" w:styleId="339">
    <w:name w:val="CM124"/>
    <w:basedOn w:val="145"/>
    <w:next w:val="145"/>
    <w:qFormat/>
    <w:uiPriority w:val="99"/>
    <w:pPr>
      <w:spacing w:after="92"/>
    </w:pPr>
    <w:rPr>
      <w:rFonts w:ascii="Times New Roman" w:hAnsi="Times New Roman" w:cs="Times New Roman"/>
      <w:color w:val="auto"/>
    </w:rPr>
  </w:style>
  <w:style w:type="paragraph" w:customStyle="1" w:styleId="340">
    <w:name w:val="CM15"/>
    <w:basedOn w:val="145"/>
    <w:next w:val="145"/>
    <w:qFormat/>
    <w:uiPriority w:val="99"/>
    <w:pPr>
      <w:spacing w:line="480" w:lineRule="atLeast"/>
    </w:pPr>
    <w:rPr>
      <w:rFonts w:ascii="Times New Roman" w:hAnsi="Times New Roman" w:cs="Times New Roman"/>
      <w:color w:val="auto"/>
    </w:rPr>
  </w:style>
  <w:style w:type="paragraph" w:customStyle="1" w:styleId="341">
    <w:name w:val="CM14"/>
    <w:basedOn w:val="145"/>
    <w:next w:val="145"/>
    <w:qFormat/>
    <w:uiPriority w:val="99"/>
    <w:pPr>
      <w:spacing w:line="468" w:lineRule="atLeast"/>
    </w:pPr>
    <w:rPr>
      <w:rFonts w:ascii="Times New Roman" w:hAnsi="Times New Roman" w:cs="Times New Roman"/>
      <w:color w:val="auto"/>
    </w:rPr>
  </w:style>
  <w:style w:type="paragraph" w:customStyle="1" w:styleId="342">
    <w:name w:val="CM138"/>
    <w:basedOn w:val="145"/>
    <w:next w:val="145"/>
    <w:qFormat/>
    <w:uiPriority w:val="99"/>
    <w:pPr>
      <w:spacing w:after="252"/>
    </w:pPr>
    <w:rPr>
      <w:rFonts w:hAnsi="Times New Roman" w:cs="Times New Roman"/>
      <w:color w:val="auto"/>
    </w:rPr>
  </w:style>
  <w:style w:type="paragraph" w:customStyle="1" w:styleId="343">
    <w:name w:val="CM23"/>
    <w:basedOn w:val="145"/>
    <w:next w:val="145"/>
    <w:qFormat/>
    <w:uiPriority w:val="99"/>
    <w:pPr>
      <w:spacing w:line="468" w:lineRule="atLeast"/>
    </w:pPr>
    <w:rPr>
      <w:rFonts w:hAnsi="Times New Roman" w:cs="Times New Roman"/>
      <w:color w:val="auto"/>
    </w:rPr>
  </w:style>
  <w:style w:type="paragraph" w:customStyle="1" w:styleId="344">
    <w:name w:val="CM11"/>
    <w:basedOn w:val="145"/>
    <w:next w:val="145"/>
    <w:qFormat/>
    <w:uiPriority w:val="99"/>
    <w:pPr>
      <w:spacing w:line="468" w:lineRule="atLeast"/>
    </w:pPr>
    <w:rPr>
      <w:rFonts w:hAnsi="Times New Roman" w:cs="Times New Roman"/>
      <w:color w:val="auto"/>
    </w:rPr>
  </w:style>
  <w:style w:type="paragraph" w:customStyle="1" w:styleId="345">
    <w:name w:val="CM13"/>
    <w:basedOn w:val="145"/>
    <w:next w:val="145"/>
    <w:qFormat/>
    <w:uiPriority w:val="99"/>
    <w:pPr>
      <w:spacing w:line="466" w:lineRule="atLeast"/>
    </w:pPr>
    <w:rPr>
      <w:rFonts w:hAnsi="Times New Roman" w:cs="Times New Roman"/>
      <w:color w:val="auto"/>
    </w:rPr>
  </w:style>
  <w:style w:type="paragraph" w:customStyle="1" w:styleId="346">
    <w:name w:val="CM139"/>
    <w:basedOn w:val="145"/>
    <w:next w:val="145"/>
    <w:qFormat/>
    <w:uiPriority w:val="99"/>
    <w:pPr>
      <w:spacing w:after="472"/>
    </w:pPr>
    <w:rPr>
      <w:rFonts w:hAnsi="Times New Roman" w:cs="Times New Roman"/>
      <w:color w:val="auto"/>
    </w:rPr>
  </w:style>
  <w:style w:type="paragraph" w:customStyle="1" w:styleId="347">
    <w:name w:val="CM8"/>
    <w:basedOn w:val="145"/>
    <w:next w:val="145"/>
    <w:qFormat/>
    <w:uiPriority w:val="99"/>
    <w:pPr>
      <w:spacing w:line="468" w:lineRule="atLeast"/>
    </w:pPr>
    <w:rPr>
      <w:rFonts w:hAnsi="Times New Roman" w:cs="Times New Roman"/>
      <w:color w:val="auto"/>
    </w:rPr>
  </w:style>
  <w:style w:type="paragraph" w:customStyle="1" w:styleId="348">
    <w:name w:val="CM1"/>
    <w:basedOn w:val="145"/>
    <w:next w:val="145"/>
    <w:qFormat/>
    <w:uiPriority w:val="99"/>
    <w:rPr>
      <w:rFonts w:hAnsi="Times New Roman" w:cs="Times New Roman"/>
      <w:color w:val="auto"/>
    </w:rPr>
  </w:style>
  <w:style w:type="paragraph" w:customStyle="1" w:styleId="349">
    <w:name w:val="text Char Char Char Char Char"/>
    <w:basedOn w:val="1"/>
    <w:qFormat/>
    <w:uiPriority w:val="0"/>
    <w:pPr>
      <w:ind w:firstLine="563" w:firstLineChars="200"/>
    </w:pPr>
    <w:rPr>
      <w:rFonts w:ascii="黑体"/>
      <w:sz w:val="28"/>
      <w:szCs w:val="22"/>
    </w:rPr>
  </w:style>
  <w:style w:type="paragraph" w:customStyle="1" w:styleId="350">
    <w:name w:val="（2）正文"/>
    <w:basedOn w:val="1"/>
    <w:link w:val="351"/>
    <w:qFormat/>
    <w:uiPriority w:val="0"/>
    <w:pPr>
      <w:spacing w:line="360" w:lineRule="auto"/>
      <w:ind w:firstLine="423" w:firstLineChars="147"/>
    </w:pPr>
    <w:rPr>
      <w:color w:val="000000"/>
      <w:spacing w:val="4"/>
      <w:kern w:val="0"/>
      <w:sz w:val="28"/>
      <w:szCs w:val="28"/>
    </w:rPr>
  </w:style>
  <w:style w:type="character" w:customStyle="1" w:styleId="351">
    <w:name w:val="（2）正文 Char"/>
    <w:link w:val="350"/>
    <w:qFormat/>
    <w:uiPriority w:val="0"/>
    <w:rPr>
      <w:rFonts w:ascii="Calibri" w:hAnsi="Calibri"/>
      <w:color w:val="000000"/>
      <w:spacing w:val="4"/>
      <w:sz w:val="28"/>
      <w:szCs w:val="28"/>
    </w:rPr>
  </w:style>
  <w:style w:type="character" w:customStyle="1" w:styleId="352">
    <w:name w:val="表格文字 Char Char"/>
    <w:basedOn w:val="89"/>
    <w:link w:val="353"/>
    <w:qFormat/>
    <w:uiPriority w:val="0"/>
    <w:rPr>
      <w:rFonts w:ascii="Times New Roman" w:hAnsi="Times New Roman" w:eastAsia="宋体"/>
      <w:kern w:val="44"/>
      <w:sz w:val="21"/>
      <w:szCs w:val="22"/>
    </w:rPr>
  </w:style>
  <w:style w:type="paragraph" w:customStyle="1" w:styleId="353">
    <w:name w:val="表格文字"/>
    <w:basedOn w:val="1"/>
    <w:link w:val="352"/>
    <w:qFormat/>
    <w:uiPriority w:val="0"/>
    <w:pPr>
      <w:jc w:val="center"/>
    </w:pPr>
    <w:rPr>
      <w:rFonts w:ascii="Times New Roman" w:hAnsi="Times New Roman"/>
      <w:kern w:val="44"/>
      <w:szCs w:val="22"/>
    </w:rPr>
  </w:style>
  <w:style w:type="character" w:customStyle="1" w:styleId="354">
    <w:name w:val="样式 正文缩进 + 首行缩进:  2 字符 Char"/>
    <w:basedOn w:val="74"/>
    <w:link w:val="355"/>
    <w:qFormat/>
    <w:uiPriority w:val="0"/>
    <w:rPr>
      <w:rFonts w:cs="宋体"/>
      <w:kern w:val="2"/>
      <w:sz w:val="28"/>
    </w:rPr>
  </w:style>
  <w:style w:type="paragraph" w:customStyle="1" w:styleId="355">
    <w:name w:val="样式 正文缩进 + 首行缩进:  2 字符"/>
    <w:basedOn w:val="18"/>
    <w:link w:val="354"/>
    <w:qFormat/>
    <w:uiPriority w:val="0"/>
    <w:pPr>
      <w:snapToGrid w:val="0"/>
      <w:spacing w:line="520" w:lineRule="atLeast"/>
      <w:ind w:firstLine="200"/>
    </w:pPr>
    <w:rPr>
      <w:rFonts w:ascii="Times New Roman" w:hAnsi="Times New Roman" w:cs="宋体"/>
      <w:sz w:val="28"/>
      <w:szCs w:val="20"/>
    </w:rPr>
  </w:style>
  <w:style w:type="paragraph" w:customStyle="1" w:styleId="356">
    <w:name w:val="标题1"/>
    <w:basedOn w:val="2"/>
    <w:qFormat/>
    <w:uiPriority w:val="0"/>
    <w:pPr>
      <w:keepNext w:val="0"/>
      <w:keepLines w:val="0"/>
      <w:tabs>
        <w:tab w:val="left" w:pos="720"/>
      </w:tabs>
      <w:adjustRightInd/>
      <w:snapToGrid/>
      <w:spacing w:beforeLines="150" w:afterLines="150" w:line="240" w:lineRule="auto"/>
      <w:jc w:val="center"/>
    </w:pPr>
    <w:rPr>
      <w:rFonts w:ascii="宋体" w:hAnsi="宋体"/>
      <w:b/>
      <w:kern w:val="28"/>
      <w:sz w:val="30"/>
    </w:rPr>
  </w:style>
  <w:style w:type="paragraph" w:customStyle="1" w:styleId="357">
    <w:name w:val="2表格内容"/>
    <w:basedOn w:val="1"/>
    <w:link w:val="358"/>
    <w:qFormat/>
    <w:uiPriority w:val="0"/>
    <w:pPr>
      <w:jc w:val="center"/>
    </w:pPr>
    <w:rPr>
      <w:rFonts w:ascii="Times New Roman" w:hAnsi="Times New Roman"/>
      <w:kern w:val="0"/>
      <w:sz w:val="24"/>
      <w:szCs w:val="24"/>
    </w:rPr>
  </w:style>
  <w:style w:type="character" w:customStyle="1" w:styleId="358">
    <w:name w:val="2表格内容 Char"/>
    <w:link w:val="357"/>
    <w:qFormat/>
    <w:uiPriority w:val="0"/>
    <w:rPr>
      <w:sz w:val="24"/>
      <w:szCs w:val="24"/>
    </w:rPr>
  </w:style>
  <w:style w:type="paragraph" w:customStyle="1" w:styleId="359">
    <w:name w:val="cardlist-name"/>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360">
    <w:name w:val="正文缩进 Char1"/>
    <w:qFormat/>
    <w:uiPriority w:val="0"/>
    <w:rPr>
      <w:bCs/>
      <w:sz w:val="28"/>
      <w:szCs w:val="28"/>
    </w:rPr>
  </w:style>
  <w:style w:type="paragraph" w:customStyle="1" w:styleId="361">
    <w:name w:val="标题3"/>
    <w:basedOn w:val="4"/>
    <w:qFormat/>
    <w:uiPriority w:val="0"/>
    <w:pPr>
      <w:keepNext w:val="0"/>
      <w:keepLines w:val="0"/>
      <w:tabs>
        <w:tab w:val="left" w:pos="360"/>
        <w:tab w:val="left" w:pos="720"/>
      </w:tabs>
      <w:spacing w:beforeLines="50" w:afterLines="50" w:line="480" w:lineRule="atLeast"/>
    </w:pPr>
    <w:rPr>
      <w:bCs w:val="0"/>
      <w:kern w:val="2"/>
      <w:sz w:val="28"/>
      <w:szCs w:val="28"/>
    </w:rPr>
  </w:style>
  <w:style w:type="paragraph" w:customStyle="1" w:styleId="362">
    <w:name w:val="表格小4居中"/>
    <w:basedOn w:val="1"/>
    <w:qFormat/>
    <w:uiPriority w:val="0"/>
    <w:pPr>
      <w:adjustRightInd w:val="0"/>
      <w:snapToGrid w:val="0"/>
      <w:spacing w:before="60" w:after="60" w:line="320" w:lineRule="atLeast"/>
      <w:jc w:val="center"/>
    </w:pPr>
    <w:rPr>
      <w:rFonts w:ascii="Times New Roman" w:hAnsi="Times New Roman" w:cs="宋体"/>
      <w:sz w:val="24"/>
      <w:szCs w:val="20"/>
    </w:rPr>
  </w:style>
  <w:style w:type="paragraph" w:customStyle="1" w:styleId="363">
    <w:name w:val="表格五号"/>
    <w:basedOn w:val="1"/>
    <w:link w:val="364"/>
    <w:qFormat/>
    <w:uiPriority w:val="0"/>
    <w:pPr>
      <w:adjustRightInd w:val="0"/>
      <w:snapToGrid w:val="0"/>
      <w:jc w:val="center"/>
    </w:pPr>
    <w:rPr>
      <w:rFonts w:ascii="宋体" w:hAnsi="宋体"/>
    </w:rPr>
  </w:style>
  <w:style w:type="character" w:customStyle="1" w:styleId="364">
    <w:name w:val="表格五号 Char"/>
    <w:link w:val="363"/>
    <w:qFormat/>
    <w:uiPriority w:val="0"/>
    <w:rPr>
      <w:rFonts w:ascii="宋体" w:hAnsi="宋体"/>
      <w:kern w:val="2"/>
      <w:sz w:val="21"/>
      <w:szCs w:val="21"/>
    </w:rPr>
  </w:style>
  <w:style w:type="paragraph" w:customStyle="1" w:styleId="365">
    <w:name w:val="表头四号"/>
    <w:basedOn w:val="51"/>
    <w:link w:val="366"/>
    <w:qFormat/>
    <w:uiPriority w:val="0"/>
    <w:pPr>
      <w:adjustRightInd w:val="0"/>
      <w:snapToGrid w:val="0"/>
      <w:spacing w:beforeLines="50" w:line="500" w:lineRule="atLeast"/>
      <w:ind w:left="0" w:firstLine="0" w:firstLineChars="0"/>
      <w:contextualSpacing w:val="0"/>
    </w:pPr>
    <w:rPr>
      <w:rFonts w:ascii="宋体" w:hAnsi="宋体"/>
      <w:b/>
      <w:bCs/>
      <w:sz w:val="28"/>
      <w:szCs w:val="28"/>
    </w:rPr>
  </w:style>
  <w:style w:type="character" w:customStyle="1" w:styleId="366">
    <w:name w:val="表头四号 Char Char"/>
    <w:link w:val="365"/>
    <w:qFormat/>
    <w:uiPriority w:val="0"/>
    <w:rPr>
      <w:rFonts w:ascii="宋体" w:hAnsi="宋体"/>
      <w:b/>
      <w:bCs/>
      <w:kern w:val="2"/>
      <w:sz w:val="28"/>
      <w:szCs w:val="28"/>
    </w:rPr>
  </w:style>
  <w:style w:type="paragraph" w:customStyle="1" w:styleId="367">
    <w:name w:val="附录表标题"/>
    <w:next w:val="1"/>
    <w:qFormat/>
    <w:uiPriority w:val="0"/>
    <w:pPr>
      <w:numPr>
        <w:ilvl w:val="0"/>
        <w:numId w:val="5"/>
      </w:numPr>
      <w:jc w:val="center"/>
      <w:textAlignment w:val="baseline"/>
    </w:pPr>
    <w:rPr>
      <w:rFonts w:ascii="黑体" w:hAnsi="Times New Roman" w:eastAsia="黑体" w:cs="Times New Roman"/>
      <w:kern w:val="21"/>
      <w:sz w:val="21"/>
      <w:lang w:val="en-US" w:eastAsia="zh-CN" w:bidi="ar-SA"/>
    </w:rPr>
  </w:style>
  <w:style w:type="character" w:customStyle="1" w:styleId="368">
    <w:name w:val="font41"/>
    <w:qFormat/>
    <w:uiPriority w:val="0"/>
    <w:rPr>
      <w:rFonts w:ascii="宋体" w:eastAsia="宋体" w:cs="宋体"/>
      <w:color w:val="000000"/>
      <w:sz w:val="20"/>
      <w:szCs w:val="20"/>
      <w:u w:val="none"/>
      <w:lang w:bidi="ar-SA"/>
    </w:rPr>
  </w:style>
  <w:style w:type="character" w:customStyle="1" w:styleId="369">
    <w:name w:val="信息标题 Char Char"/>
    <w:qFormat/>
    <w:uiPriority w:val="0"/>
    <w:rPr>
      <w:rFonts w:ascii="Arial" w:hAnsi="Arial" w:eastAsia="宋体" w:cs="Arial"/>
      <w:szCs w:val="24"/>
      <w:shd w:val="pct20" w:color="auto" w:fill="auto"/>
    </w:rPr>
  </w:style>
  <w:style w:type="paragraph" w:customStyle="1" w:styleId="370">
    <w:name w:val="修订1"/>
    <w:hidden/>
    <w:qFormat/>
    <w:uiPriority w:val="99"/>
    <w:rPr>
      <w:rFonts w:ascii="Calibri" w:hAnsi="Calibri" w:eastAsia="宋体" w:cs="Times New Roman"/>
      <w:kern w:val="2"/>
      <w:sz w:val="21"/>
      <w:szCs w:val="21"/>
      <w:lang w:val="en-US" w:eastAsia="zh-CN" w:bidi="ar-SA"/>
    </w:rPr>
  </w:style>
  <w:style w:type="paragraph" w:customStyle="1" w:styleId="371">
    <w:name w:val="样式 段后: 0.2 行"/>
    <w:basedOn w:val="1"/>
    <w:qFormat/>
    <w:uiPriority w:val="0"/>
    <w:pPr>
      <w:adjustRightInd w:val="0"/>
      <w:snapToGrid w:val="0"/>
      <w:spacing w:afterLines="50" w:line="420" w:lineRule="exact"/>
      <w:ind w:firstLine="200" w:firstLineChars="200"/>
    </w:pPr>
    <w:rPr>
      <w:rFonts w:ascii="Times New Roman" w:hAnsi="Times New Roman" w:cs="宋体"/>
      <w:snapToGrid w:val="0"/>
      <w:kern w:val="0"/>
      <w:sz w:val="24"/>
      <w:szCs w:val="20"/>
    </w:rPr>
  </w:style>
  <w:style w:type="paragraph" w:customStyle="1" w:styleId="372">
    <w:name w:val="无间隔1"/>
    <w:qFormat/>
    <w:uiPriority w:val="0"/>
    <w:pPr>
      <w:widowControl w:val="0"/>
      <w:spacing w:line="360" w:lineRule="auto"/>
      <w:jc w:val="both"/>
    </w:pPr>
    <w:rPr>
      <w:rFonts w:ascii="Arial" w:hAnsi="Arial" w:eastAsia="宋体" w:cs="Times New Roman"/>
      <w:kern w:val="2"/>
      <w:sz w:val="24"/>
      <w:szCs w:val="24"/>
      <w:lang w:val="en-US" w:eastAsia="zh-CN" w:bidi="ar-SA"/>
    </w:rPr>
  </w:style>
  <w:style w:type="character" w:customStyle="1" w:styleId="373">
    <w:name w:val="标题 1 Char2"/>
    <w:qFormat/>
    <w:uiPriority w:val="0"/>
    <w:rPr>
      <w:b/>
      <w:kern w:val="44"/>
      <w:sz w:val="30"/>
    </w:rPr>
  </w:style>
  <w:style w:type="paragraph" w:customStyle="1" w:styleId="374">
    <w:name w:val="Char 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375">
    <w:name w:val="样式3"/>
    <w:basedOn w:val="43"/>
    <w:next w:val="43"/>
    <w:qFormat/>
    <w:uiPriority w:val="0"/>
    <w:pPr>
      <w:pBdr>
        <w:bottom w:val="none" w:color="auto" w:sz="0" w:space="0"/>
      </w:pBdr>
      <w:tabs>
        <w:tab w:val="left" w:pos="709"/>
      </w:tabs>
      <w:adjustRightInd/>
      <w:spacing w:before="80" w:afterLines="20" w:line="240" w:lineRule="atLeast"/>
      <w:ind w:left="709" w:hanging="709" w:firstLineChars="200"/>
    </w:pPr>
    <w:rPr>
      <w:rFonts w:ascii="Times New Roman" w:hAnsi="Times New Roman" w:eastAsia="宋体" w:cs="Times New Roman"/>
      <w:kern w:val="0"/>
      <w:szCs w:val="20"/>
    </w:rPr>
  </w:style>
  <w:style w:type="paragraph" w:customStyle="1" w:styleId="376">
    <w:name w:val="样式4"/>
    <w:basedOn w:val="5"/>
    <w:qFormat/>
    <w:uiPriority w:val="0"/>
    <w:pPr>
      <w:numPr>
        <w:ilvl w:val="0"/>
        <w:numId w:val="0"/>
      </w:numPr>
      <w:tabs>
        <w:tab w:val="left" w:pos="720"/>
        <w:tab w:val="left" w:pos="851"/>
      </w:tabs>
      <w:adjustRightInd/>
      <w:snapToGrid/>
      <w:spacing w:beforeLines="50" w:afterLines="20" w:line="400" w:lineRule="exact"/>
      <w:ind w:left="851" w:hanging="851"/>
    </w:pPr>
    <w:rPr>
      <w:rFonts w:eastAsia="宋体"/>
      <w:b w:val="0"/>
      <w:bCs w:val="0"/>
      <w:color w:val="auto"/>
      <w:kern w:val="0"/>
      <w:szCs w:val="20"/>
    </w:rPr>
  </w:style>
  <w:style w:type="paragraph" w:customStyle="1" w:styleId="377">
    <w:name w:val="表格1"/>
    <w:basedOn w:val="1"/>
    <w:qFormat/>
    <w:uiPriority w:val="0"/>
    <w:pPr>
      <w:adjustRightInd w:val="0"/>
      <w:jc w:val="center"/>
      <w:textAlignment w:val="baseline"/>
    </w:pPr>
    <w:rPr>
      <w:rFonts w:ascii="CG Times (WN)" w:hAnsi="Times New Roman"/>
      <w:kern w:val="0"/>
      <w:szCs w:val="20"/>
    </w:rPr>
  </w:style>
  <w:style w:type="paragraph" w:customStyle="1" w:styleId="378">
    <w:name w:val="小五表格"/>
    <w:basedOn w:val="1"/>
    <w:qFormat/>
    <w:uiPriority w:val="0"/>
    <w:pPr>
      <w:spacing w:afterLines="20" w:line="400" w:lineRule="exact"/>
      <w:ind w:firstLine="480" w:firstLineChars="200"/>
      <w:jc w:val="left"/>
    </w:pPr>
    <w:rPr>
      <w:rFonts w:ascii="Times New Roman" w:hAnsi="Times New Roman"/>
      <w:sz w:val="18"/>
      <w:szCs w:val="24"/>
    </w:rPr>
  </w:style>
  <w:style w:type="paragraph" w:customStyle="1" w:styleId="379">
    <w:name w:val="样式1"/>
    <w:basedOn w:val="3"/>
    <w:qFormat/>
    <w:uiPriority w:val="0"/>
    <w:pPr>
      <w:numPr>
        <w:ilvl w:val="0"/>
        <w:numId w:val="0"/>
      </w:numPr>
      <w:tabs>
        <w:tab w:val="left" w:pos="576"/>
      </w:tabs>
      <w:adjustRightInd/>
      <w:snapToGrid/>
      <w:spacing w:before="240" w:afterLines="20" w:line="420" w:lineRule="exact"/>
      <w:ind w:left="576" w:hanging="576"/>
    </w:pPr>
    <w:rPr>
      <w:rFonts w:ascii="Times New Roman" w:hAnsi="Times New Roman"/>
      <w:color w:val="000000"/>
      <w:sz w:val="28"/>
    </w:rPr>
  </w:style>
  <w:style w:type="paragraph" w:customStyle="1" w:styleId="380">
    <w:name w:val="正文A"/>
    <w:qFormat/>
    <w:uiPriority w:val="0"/>
    <w:pPr>
      <w:tabs>
        <w:tab w:val="left" w:pos="0"/>
      </w:tabs>
      <w:adjustRightInd w:val="0"/>
      <w:snapToGrid w:val="0"/>
      <w:spacing w:before="120" w:line="400" w:lineRule="exact"/>
      <w:jc w:val="center"/>
    </w:pPr>
    <w:rPr>
      <w:rFonts w:ascii="Times New Roman" w:hAnsi="Times New Roman" w:eastAsia="宋体" w:cs="Times New Roman"/>
      <w:b/>
      <w:sz w:val="21"/>
      <w:lang w:val="en-US" w:eastAsia="zh-CN" w:bidi="ar-SA"/>
    </w:rPr>
  </w:style>
  <w:style w:type="table" w:customStyle="1" w:styleId="381">
    <w:name w:val="网格型1231"/>
    <w:basedOn w:val="71"/>
    <w:qFormat/>
    <w:uiPriority w:val="0"/>
    <w:pPr>
      <w:widowControl w:val="0"/>
      <w:spacing w:afterLines="20" w:line="400" w:lineRule="exact"/>
      <w:ind w:firstLine="48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82">
    <w:name w:val="标题 2 + (西文) 黑体 (中文) 黑体 四号 非加粗"/>
    <w:basedOn w:val="3"/>
    <w:next w:val="4"/>
    <w:qFormat/>
    <w:uiPriority w:val="0"/>
    <w:pPr>
      <w:numPr>
        <w:ilvl w:val="0"/>
        <w:numId w:val="0"/>
      </w:numPr>
      <w:tabs>
        <w:tab w:val="left" w:pos="840"/>
      </w:tabs>
      <w:adjustRightInd/>
      <w:snapToGrid/>
      <w:spacing w:beforeLines="50" w:line="240" w:lineRule="auto"/>
      <w:ind w:left="840" w:hanging="420"/>
    </w:pPr>
    <w:rPr>
      <w:rFonts w:ascii="Times New Roman" w:hAnsi="Times New Roman"/>
      <w:bCs w:val="0"/>
      <w:sz w:val="28"/>
      <w:szCs w:val="20"/>
    </w:rPr>
  </w:style>
  <w:style w:type="paragraph" w:customStyle="1" w:styleId="383">
    <w:name w:val="标题 1 + (西文) 黑体 (中文) 黑体 三号 居中"/>
    <w:basedOn w:val="2"/>
    <w:next w:val="382"/>
    <w:qFormat/>
    <w:uiPriority w:val="0"/>
    <w:pPr>
      <w:numPr>
        <w:numId w:val="0"/>
      </w:numPr>
      <w:tabs>
        <w:tab w:val="left" w:pos="600"/>
      </w:tabs>
      <w:adjustRightInd/>
      <w:snapToGrid/>
      <w:spacing w:beforeLines="50" w:line="240" w:lineRule="auto"/>
      <w:ind w:firstLine="113"/>
    </w:pPr>
    <w:rPr>
      <w:rFonts w:ascii="黑体" w:cs="宋体"/>
      <w:sz w:val="32"/>
      <w:szCs w:val="20"/>
    </w:rPr>
  </w:style>
  <w:style w:type="paragraph" w:customStyle="1" w:styleId="384">
    <w:name w:val="表文C"/>
    <w:basedOn w:val="1"/>
    <w:qFormat/>
    <w:uiPriority w:val="0"/>
    <w:pPr>
      <w:widowControl/>
      <w:tabs>
        <w:tab w:val="left" w:pos="0"/>
      </w:tabs>
      <w:adjustRightInd w:val="0"/>
      <w:snapToGrid w:val="0"/>
      <w:jc w:val="center"/>
    </w:pPr>
    <w:rPr>
      <w:rFonts w:ascii="Times New Roman" w:hAnsi="Times New Roman" w:cs="Plotter"/>
      <w:snapToGrid w:val="0"/>
      <w:kern w:val="0"/>
      <w:szCs w:val="20"/>
    </w:rPr>
  </w:style>
  <w:style w:type="paragraph" w:customStyle="1" w:styleId="385">
    <w:name w:val="表名A"/>
    <w:basedOn w:val="1"/>
    <w:qFormat/>
    <w:uiPriority w:val="0"/>
    <w:pPr>
      <w:widowControl/>
      <w:tabs>
        <w:tab w:val="left" w:pos="0"/>
      </w:tabs>
      <w:adjustRightInd w:val="0"/>
      <w:snapToGrid w:val="0"/>
      <w:spacing w:beforeLines="80" w:afterLines="20"/>
      <w:jc w:val="center"/>
    </w:pPr>
    <w:rPr>
      <w:rFonts w:ascii="Times New Roman" w:hAnsi="Times New Roman" w:cs="Plotter"/>
      <w:b/>
      <w:snapToGrid w:val="0"/>
      <w:kern w:val="0"/>
      <w:szCs w:val="20"/>
    </w:rPr>
  </w:style>
  <w:style w:type="paragraph" w:customStyle="1" w:styleId="386">
    <w:name w:val="表文B"/>
    <w:qFormat/>
    <w:uiPriority w:val="0"/>
    <w:pPr>
      <w:tabs>
        <w:tab w:val="left" w:pos="0"/>
      </w:tabs>
      <w:adjustRightInd w:val="0"/>
      <w:snapToGrid w:val="0"/>
      <w:spacing w:beforeLines="25" w:afterLines="15" w:line="264" w:lineRule="auto"/>
    </w:pPr>
    <w:rPr>
      <w:rFonts w:ascii="宋体" w:hAnsi="Times New Roman" w:eastAsia="宋体" w:cs="Times New Roman"/>
      <w:snapToGrid w:val="0"/>
      <w:sz w:val="18"/>
      <w:lang w:val="en-US" w:eastAsia="zh-CN" w:bidi="ar-SA"/>
    </w:rPr>
  </w:style>
  <w:style w:type="character" w:customStyle="1" w:styleId="387">
    <w:name w:val="标题 2 + (西文) 黑体 (中文) 黑体 四号 非加粗 Char"/>
    <w:qFormat/>
    <w:uiPriority w:val="0"/>
    <w:rPr>
      <w:rFonts w:eastAsia="黑体"/>
      <w:b/>
      <w:kern w:val="2"/>
      <w:sz w:val="28"/>
      <w:lang w:val="en-US" w:eastAsia="zh-CN" w:bidi="ar-SA"/>
    </w:rPr>
  </w:style>
  <w:style w:type="paragraph" w:customStyle="1" w:styleId="388">
    <w:name w:val="表格目录"/>
    <w:basedOn w:val="1"/>
    <w:next w:val="1"/>
    <w:qFormat/>
    <w:uiPriority w:val="0"/>
    <w:pPr>
      <w:widowControl/>
      <w:jc w:val="center"/>
    </w:pPr>
    <w:rPr>
      <w:rFonts w:ascii="Times New Roman" w:hAnsi="Times New Roman"/>
      <w:b/>
      <w:bCs/>
      <w:kern w:val="0"/>
      <w:sz w:val="22"/>
      <w:szCs w:val="20"/>
    </w:rPr>
  </w:style>
  <w:style w:type="paragraph" w:customStyle="1" w:styleId="389">
    <w:name w:val="样式 标题 3 + 段前: 1 行"/>
    <w:basedOn w:val="4"/>
    <w:qFormat/>
    <w:uiPriority w:val="0"/>
    <w:pPr>
      <w:numPr>
        <w:ilvl w:val="0"/>
        <w:numId w:val="0"/>
      </w:numPr>
      <w:tabs>
        <w:tab w:val="left" w:pos="720"/>
      </w:tabs>
      <w:adjustRightInd/>
      <w:snapToGrid/>
      <w:spacing w:beforeLines="50" w:line="240" w:lineRule="auto"/>
      <w:ind w:left="720" w:hanging="720"/>
      <w:jc w:val="left"/>
    </w:pPr>
    <w:rPr>
      <w:rFonts w:eastAsia="黑体" w:cs="宋体"/>
      <w:b w:val="0"/>
      <w:bCs w:val="0"/>
      <w:szCs w:val="20"/>
    </w:rPr>
  </w:style>
  <w:style w:type="character" w:customStyle="1" w:styleId="390">
    <w:name w:val="正文文本2"/>
    <w:qFormat/>
    <w:uiPriority w:val="0"/>
    <w:rPr>
      <w:rFonts w:eastAsia="宋体"/>
      <w:kern w:val="2"/>
      <w:sz w:val="21"/>
      <w:szCs w:val="24"/>
      <w:lang w:val="en-US" w:eastAsia="zh-CN" w:bidi="ar-SA"/>
    </w:rPr>
  </w:style>
  <w:style w:type="paragraph" w:customStyle="1" w:styleId="391">
    <w:name w:val="序列样式1"/>
    <w:basedOn w:val="1"/>
    <w:qFormat/>
    <w:uiPriority w:val="0"/>
    <w:pPr>
      <w:tabs>
        <w:tab w:val="left" w:pos="360"/>
        <w:tab w:val="left" w:pos="840"/>
      </w:tabs>
      <w:spacing w:afterLines="20" w:line="400" w:lineRule="exact"/>
      <w:ind w:firstLine="200"/>
    </w:pPr>
    <w:rPr>
      <w:rFonts w:ascii="Times New Roman" w:hAnsi="Times New Roman"/>
      <w:sz w:val="24"/>
      <w:szCs w:val="28"/>
    </w:rPr>
  </w:style>
  <w:style w:type="paragraph" w:customStyle="1" w:styleId="392">
    <w:name w:val="zhengwen"/>
    <w:basedOn w:val="1"/>
    <w:qFormat/>
    <w:uiPriority w:val="0"/>
    <w:pPr>
      <w:tabs>
        <w:tab w:val="left" w:pos="360"/>
      </w:tabs>
      <w:spacing w:before="20" w:after="20" w:line="400" w:lineRule="exact"/>
      <w:ind w:firstLine="200"/>
    </w:pPr>
    <w:rPr>
      <w:rFonts w:ascii="Times New Roman" w:hAnsi="Times New Roman"/>
      <w:sz w:val="24"/>
      <w:szCs w:val="24"/>
    </w:rPr>
  </w:style>
  <w:style w:type="paragraph" w:customStyle="1" w:styleId="393">
    <w:name w:val="插图"/>
    <w:basedOn w:val="1"/>
    <w:next w:val="1"/>
    <w:qFormat/>
    <w:uiPriority w:val="0"/>
    <w:pPr>
      <w:keepLines/>
      <w:adjustRightInd w:val="0"/>
      <w:spacing w:before="360" w:after="300" w:line="567" w:lineRule="atLeast"/>
      <w:jc w:val="center"/>
      <w:textAlignment w:val="baseline"/>
    </w:pPr>
    <w:rPr>
      <w:rFonts w:ascii="Times New Roman" w:hAnsi="Times New Roman"/>
      <w:spacing w:val="6"/>
      <w:kern w:val="0"/>
      <w:sz w:val="24"/>
      <w:szCs w:val="20"/>
    </w:rPr>
  </w:style>
  <w:style w:type="paragraph" w:customStyle="1" w:styleId="394">
    <w:name w:val="样式 标题 2 + 段前: 1 行 段后: 0.5 行"/>
    <w:basedOn w:val="3"/>
    <w:qFormat/>
    <w:uiPriority w:val="0"/>
    <w:pPr>
      <w:numPr>
        <w:ilvl w:val="0"/>
        <w:numId w:val="0"/>
      </w:numPr>
      <w:tabs>
        <w:tab w:val="left" w:pos="840"/>
      </w:tabs>
      <w:spacing w:beforeLines="100" w:afterLines="50"/>
      <w:jc w:val="left"/>
    </w:pPr>
    <w:rPr>
      <w:rFonts w:ascii="Arial" w:hAnsi="Arial" w:eastAsia="楷体_GB2312" w:cs="宋体"/>
      <w:b/>
      <w:sz w:val="28"/>
      <w:szCs w:val="20"/>
    </w:rPr>
  </w:style>
  <w:style w:type="paragraph" w:customStyle="1" w:styleId="395">
    <w:name w:val="样式 两端对齐 首行缩进:  0.85 厘米"/>
    <w:basedOn w:val="1"/>
    <w:qFormat/>
    <w:uiPriority w:val="0"/>
    <w:pPr>
      <w:tabs>
        <w:tab w:val="left" w:pos="0"/>
      </w:tabs>
      <w:adjustRightInd w:val="0"/>
      <w:snapToGrid w:val="0"/>
      <w:spacing w:line="360" w:lineRule="auto"/>
      <w:ind w:left="340" w:hanging="340"/>
    </w:pPr>
    <w:rPr>
      <w:rFonts w:ascii="Times New Roman" w:hAnsi="Times New Roman" w:eastAsia="楷体_GB2312" w:cs="宋体"/>
      <w:sz w:val="24"/>
      <w:szCs w:val="20"/>
    </w:rPr>
  </w:style>
  <w:style w:type="paragraph" w:customStyle="1" w:styleId="396">
    <w:name w:val="样式 标题 3 + 段前: 0 磅 段后: 0 磅 行距: 1.5 倍行距"/>
    <w:basedOn w:val="4"/>
    <w:qFormat/>
    <w:uiPriority w:val="0"/>
    <w:pPr>
      <w:numPr>
        <w:ilvl w:val="0"/>
        <w:numId w:val="0"/>
      </w:numPr>
      <w:tabs>
        <w:tab w:val="left" w:pos="0"/>
      </w:tabs>
      <w:adjustRightInd/>
      <w:ind w:left="340" w:hanging="340"/>
    </w:pPr>
    <w:rPr>
      <w:rFonts w:eastAsia="黑体" w:cs="宋体"/>
      <w:b w:val="0"/>
      <w:bCs w:val="0"/>
      <w:szCs w:val="20"/>
    </w:rPr>
  </w:style>
  <w:style w:type="paragraph" w:customStyle="1" w:styleId="397">
    <w:name w:val="标注"/>
    <w:basedOn w:val="1"/>
    <w:qFormat/>
    <w:uiPriority w:val="0"/>
    <w:pPr>
      <w:tabs>
        <w:tab w:val="left" w:pos="1069"/>
      </w:tabs>
      <w:spacing w:line="240" w:lineRule="exact"/>
      <w:jc w:val="center"/>
    </w:pPr>
    <w:rPr>
      <w:rFonts w:ascii="宋体" w:hAnsi="宋体"/>
    </w:rPr>
  </w:style>
  <w:style w:type="paragraph" w:customStyle="1" w:styleId="398">
    <w:name w:val="2"/>
    <w:basedOn w:val="1"/>
    <w:next w:val="31"/>
    <w:qFormat/>
    <w:uiPriority w:val="0"/>
    <w:pPr>
      <w:tabs>
        <w:tab w:val="left" w:pos="0"/>
      </w:tabs>
      <w:spacing w:beforeLines="50" w:line="360" w:lineRule="exact"/>
      <w:ind w:left="340" w:hanging="340"/>
      <w:jc w:val="center"/>
    </w:pPr>
    <w:rPr>
      <w:rFonts w:ascii="Times New Roman" w:hAnsi="Times New Roman"/>
      <w:b/>
      <w:szCs w:val="24"/>
    </w:rPr>
  </w:style>
  <w:style w:type="paragraph" w:customStyle="1" w:styleId="399">
    <w:name w:val="1"/>
    <w:basedOn w:val="1"/>
    <w:next w:val="18"/>
    <w:qFormat/>
    <w:uiPriority w:val="0"/>
    <w:pPr>
      <w:tabs>
        <w:tab w:val="left" w:pos="0"/>
      </w:tabs>
      <w:spacing w:line="420" w:lineRule="exact"/>
      <w:ind w:left="340" w:firstLine="480"/>
    </w:pPr>
    <w:rPr>
      <w:rFonts w:ascii="Times New Roman" w:hAnsi="Times New Roman"/>
      <w:szCs w:val="20"/>
    </w:rPr>
  </w:style>
  <w:style w:type="character" w:customStyle="1" w:styleId="400">
    <w:name w:val="unnamednews1"/>
    <w:qFormat/>
    <w:uiPriority w:val="0"/>
    <w:rPr>
      <w:rFonts w:hint="default"/>
      <w:color w:val="000000"/>
      <w:sz w:val="28"/>
      <w:szCs w:val="28"/>
      <w:u w:val="none"/>
    </w:rPr>
  </w:style>
  <w:style w:type="paragraph" w:customStyle="1" w:styleId="401">
    <w:name w:val="样式 标题 2 + (西文) Times New Roman (中文) 宋体 行距: 固定值 20 磅"/>
    <w:basedOn w:val="3"/>
    <w:qFormat/>
    <w:uiPriority w:val="0"/>
    <w:pPr>
      <w:numPr>
        <w:ilvl w:val="0"/>
        <w:numId w:val="0"/>
      </w:numPr>
      <w:tabs>
        <w:tab w:val="left" w:pos="1429"/>
      </w:tabs>
      <w:adjustRightInd/>
      <w:spacing w:before="180" w:after="60" w:line="400" w:lineRule="exact"/>
      <w:ind w:left="709"/>
    </w:pPr>
    <w:rPr>
      <w:rFonts w:ascii="Times New Roman" w:hAnsi="Times New Roman" w:eastAsia="宋体" w:cs="宋体"/>
      <w:b/>
      <w:sz w:val="28"/>
      <w:szCs w:val="20"/>
    </w:rPr>
  </w:style>
  <w:style w:type="paragraph" w:customStyle="1" w:styleId="402">
    <w:name w:val="样式 标题 3 + (中文) 宋体 加粗 左侧:  1.25 厘米 行距: 固定值 20 磅"/>
    <w:basedOn w:val="4"/>
    <w:qFormat/>
    <w:uiPriority w:val="0"/>
    <w:pPr>
      <w:numPr>
        <w:ilvl w:val="0"/>
        <w:numId w:val="0"/>
      </w:numPr>
      <w:tabs>
        <w:tab w:val="left" w:pos="1429"/>
      </w:tabs>
      <w:adjustRightInd/>
      <w:spacing w:before="60" w:line="400" w:lineRule="exact"/>
      <w:ind w:left="709"/>
    </w:pPr>
    <w:rPr>
      <w:rFonts w:cs="宋体"/>
      <w:szCs w:val="20"/>
    </w:rPr>
  </w:style>
  <w:style w:type="paragraph" w:customStyle="1" w:styleId="403">
    <w:name w:val="样式 标题 3 + (中文) 宋体 段前: 0 磅 行距: 固定值 20 磅"/>
    <w:basedOn w:val="4"/>
    <w:qFormat/>
    <w:uiPriority w:val="0"/>
    <w:pPr>
      <w:numPr>
        <w:ilvl w:val="0"/>
        <w:numId w:val="0"/>
      </w:numPr>
      <w:tabs>
        <w:tab w:val="left" w:pos="1429"/>
      </w:tabs>
      <w:adjustRightInd/>
      <w:spacing w:line="400" w:lineRule="exact"/>
      <w:ind w:left="709"/>
    </w:pPr>
    <w:rPr>
      <w:rFonts w:cs="宋体"/>
      <w:b w:val="0"/>
      <w:bCs w:val="0"/>
      <w:szCs w:val="20"/>
    </w:rPr>
  </w:style>
  <w:style w:type="paragraph" w:customStyle="1" w:styleId="404">
    <w:name w:val="样式 目录 1 + 首行缩进:  2 字符"/>
    <w:basedOn w:val="45"/>
    <w:qFormat/>
    <w:uiPriority w:val="0"/>
    <w:rPr>
      <w:rFonts w:eastAsia="宋体" w:cs="宋体" w:asciiTheme="minorHAnsi" w:hAnsiTheme="minorHAnsi"/>
      <w:b w:val="0"/>
      <w:sz w:val="20"/>
      <w:szCs w:val="20"/>
    </w:rPr>
  </w:style>
  <w:style w:type="paragraph" w:customStyle="1" w:styleId="405">
    <w:name w:val="内容"/>
    <w:basedOn w:val="1"/>
    <w:qFormat/>
    <w:uiPriority w:val="0"/>
    <w:pPr>
      <w:spacing w:line="360" w:lineRule="auto"/>
    </w:pPr>
    <w:rPr>
      <w:rFonts w:ascii="Times New Roman" w:hAnsi="Times New Roman"/>
      <w:sz w:val="28"/>
      <w:szCs w:val="20"/>
    </w:rPr>
  </w:style>
  <w:style w:type="paragraph" w:customStyle="1" w:styleId="406">
    <w:name w:val="文本框文字"/>
    <w:basedOn w:val="1"/>
    <w:next w:val="18"/>
    <w:qFormat/>
    <w:uiPriority w:val="0"/>
    <w:pPr>
      <w:jc w:val="center"/>
    </w:pPr>
    <w:rPr>
      <w:rFonts w:ascii="Times New Roman" w:hAnsi="Times New Roman"/>
      <w:szCs w:val="24"/>
    </w:rPr>
  </w:style>
  <w:style w:type="paragraph" w:customStyle="1" w:styleId="407">
    <w:name w:val="符号后文字"/>
    <w:basedOn w:val="18"/>
    <w:qFormat/>
    <w:uiPriority w:val="0"/>
    <w:pPr>
      <w:spacing w:before="62" w:line="400" w:lineRule="exact"/>
      <w:ind w:firstLine="480"/>
      <w:outlineLvl w:val="0"/>
    </w:pPr>
    <w:rPr>
      <w:rFonts w:ascii="Times New Roman" w:hAnsi="Times New Roman"/>
      <w:kern w:val="0"/>
      <w:sz w:val="24"/>
      <w:szCs w:val="20"/>
      <w:u w:val="single"/>
    </w:rPr>
  </w:style>
  <w:style w:type="paragraph" w:customStyle="1" w:styleId="408">
    <w:name w:val="图表名A"/>
    <w:qFormat/>
    <w:uiPriority w:val="0"/>
    <w:pPr>
      <w:tabs>
        <w:tab w:val="left" w:pos="0"/>
      </w:tabs>
      <w:adjustRightInd w:val="0"/>
      <w:snapToGrid w:val="0"/>
      <w:spacing w:beforeLines="50" w:afterLines="50"/>
      <w:jc w:val="center"/>
    </w:pPr>
    <w:rPr>
      <w:rFonts w:ascii="Times New Roman" w:hAnsi="Times New Roman" w:eastAsia="宋体" w:cs="Times New Roman"/>
      <w:b/>
      <w:snapToGrid w:val="0"/>
      <w:sz w:val="24"/>
      <w:lang w:val="en-US" w:eastAsia="zh-CN" w:bidi="ar-SA"/>
    </w:rPr>
  </w:style>
  <w:style w:type="character" w:customStyle="1" w:styleId="409">
    <w:name w:val="a"/>
    <w:basedOn w:val="74"/>
    <w:qFormat/>
    <w:uiPriority w:val="0"/>
  </w:style>
  <w:style w:type="paragraph" w:customStyle="1" w:styleId="410">
    <w:name w:val="xl24"/>
    <w:basedOn w:val="1"/>
    <w:qFormat/>
    <w:uiPriority w:val="0"/>
    <w:pPr>
      <w:widowControl/>
      <w:spacing w:before="100" w:beforeAutospacing="1" w:after="100" w:afterAutospacing="1"/>
      <w:jc w:val="center"/>
    </w:pPr>
    <w:rPr>
      <w:rFonts w:ascii="Arial Unicode MS" w:hAnsi="Arial Unicode MS"/>
      <w:kern w:val="0"/>
      <w:sz w:val="20"/>
      <w:szCs w:val="20"/>
    </w:rPr>
  </w:style>
  <w:style w:type="paragraph" w:customStyle="1" w:styleId="411">
    <w:name w:val="纯文本2"/>
    <w:basedOn w:val="1"/>
    <w:next w:val="36"/>
    <w:qFormat/>
    <w:uiPriority w:val="0"/>
    <w:pPr>
      <w:adjustRightInd w:val="0"/>
      <w:spacing w:line="312" w:lineRule="atLeast"/>
      <w:textAlignment w:val="baseline"/>
    </w:pPr>
    <w:rPr>
      <w:rFonts w:ascii="宋体" w:hAnsi="Courier New" w:cs="Courier New"/>
    </w:rPr>
  </w:style>
  <w:style w:type="paragraph" w:customStyle="1" w:styleId="412">
    <w:name w:val="公式"/>
    <w:next w:val="1"/>
    <w:qFormat/>
    <w:uiPriority w:val="0"/>
    <w:pPr>
      <w:jc w:val="center"/>
    </w:pPr>
    <w:rPr>
      <w:rFonts w:ascii="Times New Roman" w:hAnsi="Times New Roman" w:eastAsia="宋体" w:cs="Times New Roman"/>
      <w:kern w:val="2"/>
      <w:sz w:val="24"/>
      <w:szCs w:val="24"/>
      <w:lang w:val="en-US" w:eastAsia="zh-CN" w:bidi="ar-SA"/>
    </w:rPr>
  </w:style>
  <w:style w:type="paragraph" w:customStyle="1" w:styleId="413">
    <w:name w:val="符号后文字2"/>
    <w:basedOn w:val="1"/>
    <w:qFormat/>
    <w:uiPriority w:val="0"/>
    <w:pPr>
      <w:tabs>
        <w:tab w:val="left" w:pos="1191"/>
      </w:tabs>
      <w:spacing w:beforeLines="20" w:line="400" w:lineRule="exact"/>
      <w:ind w:left="1191" w:hanging="1191"/>
    </w:pPr>
    <w:rPr>
      <w:rFonts w:ascii="Times New Roman" w:hAnsi="Times New Roman"/>
      <w:sz w:val="24"/>
      <w:szCs w:val="24"/>
    </w:rPr>
  </w:style>
  <w:style w:type="paragraph" w:customStyle="1" w:styleId="414">
    <w:name w:val="5"/>
    <w:basedOn w:val="1"/>
    <w:next w:val="36"/>
    <w:qFormat/>
    <w:uiPriority w:val="0"/>
    <w:pPr>
      <w:adjustRightInd w:val="0"/>
      <w:spacing w:line="312" w:lineRule="atLeast"/>
      <w:textAlignment w:val="baseline"/>
    </w:pPr>
    <w:rPr>
      <w:rFonts w:ascii="宋体" w:hAnsi="Courier New" w:cs="Courier New"/>
    </w:rPr>
  </w:style>
  <w:style w:type="paragraph" w:customStyle="1" w:styleId="415">
    <w:name w:val="符号 Char"/>
    <w:basedOn w:val="7"/>
    <w:link w:val="416"/>
    <w:qFormat/>
    <w:uiPriority w:val="0"/>
    <w:pPr>
      <w:widowControl/>
      <w:tabs>
        <w:tab w:val="left" w:pos="280"/>
        <w:tab w:val="left" w:pos="560"/>
      </w:tabs>
      <w:spacing w:after="0" w:line="360" w:lineRule="auto"/>
      <w:ind w:firstLine="480" w:firstLineChars="200"/>
    </w:pPr>
    <w:rPr>
      <w:rFonts w:ascii="新宋体" w:hAnsi="Times New Roman" w:eastAsia="新宋体"/>
      <w:iCs/>
      <w:kern w:val="0"/>
      <w:sz w:val="24"/>
      <w:szCs w:val="24"/>
    </w:rPr>
  </w:style>
  <w:style w:type="character" w:customStyle="1" w:styleId="416">
    <w:name w:val="符号 Char Char"/>
    <w:link w:val="415"/>
    <w:qFormat/>
    <w:uiPriority w:val="0"/>
    <w:rPr>
      <w:rFonts w:ascii="新宋体" w:eastAsia="新宋体"/>
      <w:iCs/>
      <w:sz w:val="24"/>
      <w:szCs w:val="24"/>
    </w:rPr>
  </w:style>
  <w:style w:type="paragraph" w:customStyle="1" w:styleId="417">
    <w:name w:val="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18">
    <w:name w:val="Char Char Char Char Char Char Char Char Char2 Char Char Char Char Char Char Char Char Char"/>
    <w:basedOn w:val="1"/>
    <w:qFormat/>
    <w:uiPriority w:val="0"/>
    <w:pPr>
      <w:spacing w:line="360" w:lineRule="auto"/>
      <w:ind w:firstLine="200" w:firstLineChars="200"/>
    </w:pPr>
    <w:rPr>
      <w:rFonts w:ascii="宋体" w:hAnsi="宋体" w:cs="宋体"/>
      <w:sz w:val="24"/>
      <w:szCs w:val="24"/>
    </w:rPr>
  </w:style>
  <w:style w:type="character" w:customStyle="1" w:styleId="419">
    <w:name w:val="正文（首行缩进两字）"/>
    <w:qFormat/>
    <w:uiPriority w:val="0"/>
    <w:rPr>
      <w:rFonts w:eastAsia="宋体"/>
      <w:kern w:val="2"/>
      <w:sz w:val="21"/>
      <w:lang w:val="en-US" w:eastAsia="zh-CN" w:bidi="ar-SA"/>
    </w:rPr>
  </w:style>
  <w:style w:type="paragraph" w:customStyle="1" w:styleId="420">
    <w:name w:val="12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21">
    <w:name w:val="黑体"/>
    <w:basedOn w:val="1"/>
    <w:next w:val="392"/>
    <w:qFormat/>
    <w:uiPriority w:val="0"/>
    <w:pPr>
      <w:tabs>
        <w:tab w:val="left" w:pos="785"/>
      </w:tabs>
      <w:spacing w:afterLines="20" w:line="400" w:lineRule="exact"/>
      <w:ind w:left="-29" w:firstLine="454"/>
    </w:pPr>
    <w:rPr>
      <w:rFonts w:ascii="Times New Roman" w:hAnsi="Times New Roman"/>
      <w:color w:val="FF0000"/>
      <w:sz w:val="24"/>
      <w:szCs w:val="24"/>
    </w:rPr>
  </w:style>
  <w:style w:type="paragraph" w:customStyle="1" w:styleId="422">
    <w:name w:val="符号"/>
    <w:basedOn w:val="7"/>
    <w:qFormat/>
    <w:uiPriority w:val="0"/>
    <w:pPr>
      <w:widowControl/>
      <w:tabs>
        <w:tab w:val="left" w:pos="280"/>
        <w:tab w:val="left" w:pos="560"/>
      </w:tabs>
      <w:spacing w:after="0" w:line="360" w:lineRule="auto"/>
      <w:ind w:firstLine="480" w:firstLineChars="200"/>
    </w:pPr>
    <w:rPr>
      <w:rFonts w:ascii="新宋体" w:hAnsi="Times New Roman" w:eastAsia="新宋体"/>
      <w:iCs/>
      <w:kern w:val="0"/>
      <w:sz w:val="24"/>
      <w:szCs w:val="24"/>
    </w:rPr>
  </w:style>
  <w:style w:type="paragraph" w:customStyle="1" w:styleId="423">
    <w:name w:val="样式 正文文本正文文字 + 居中 段后: 0 磅 行距: 最小值 12 磅"/>
    <w:basedOn w:val="7"/>
    <w:qFormat/>
    <w:uiPriority w:val="0"/>
    <w:pPr>
      <w:spacing w:after="0" w:line="240" w:lineRule="atLeast"/>
      <w:jc w:val="center"/>
    </w:pPr>
    <w:rPr>
      <w:rFonts w:ascii="Times New Roman" w:hAnsi="Times New Roman"/>
      <w:kern w:val="0"/>
      <w:sz w:val="20"/>
      <w:szCs w:val="20"/>
    </w:rPr>
  </w:style>
  <w:style w:type="paragraph" w:customStyle="1" w:styleId="424">
    <w:name w:val="7"/>
    <w:basedOn w:val="1"/>
    <w:next w:val="7"/>
    <w:qFormat/>
    <w:uiPriority w:val="0"/>
    <w:pPr>
      <w:spacing w:line="240" w:lineRule="atLeast"/>
      <w:jc w:val="center"/>
    </w:pPr>
    <w:rPr>
      <w:rFonts w:ascii="Times New Roman" w:hAnsi="Times New Roman"/>
      <w:szCs w:val="24"/>
    </w:rPr>
  </w:style>
  <w:style w:type="character" w:customStyle="1" w:styleId="425">
    <w:name w:val="正文文本4"/>
    <w:qFormat/>
    <w:uiPriority w:val="0"/>
    <w:rPr>
      <w:rFonts w:eastAsia="宋体"/>
      <w:kern w:val="2"/>
      <w:sz w:val="21"/>
      <w:szCs w:val="24"/>
      <w:lang w:val="en-US" w:eastAsia="zh-CN" w:bidi="ar-SA"/>
    </w:rPr>
  </w:style>
  <w:style w:type="character" w:customStyle="1" w:styleId="426">
    <w:name w:val="tpc_content1"/>
    <w:qFormat/>
    <w:uiPriority w:val="0"/>
    <w:rPr>
      <w:sz w:val="20"/>
      <w:szCs w:val="20"/>
    </w:rPr>
  </w:style>
  <w:style w:type="character" w:customStyle="1" w:styleId="427">
    <w:name w:val="正文非缩进 Char"/>
    <w:qFormat/>
    <w:uiPriority w:val="0"/>
    <w:rPr>
      <w:rFonts w:eastAsia="宋体"/>
      <w:kern w:val="2"/>
      <w:sz w:val="21"/>
      <w:lang w:val="en-US" w:eastAsia="zh-CN" w:bidi="ar-SA"/>
    </w:rPr>
  </w:style>
  <w:style w:type="paragraph" w:customStyle="1" w:styleId="428">
    <w:name w:val="12 Char Char Char Char Char Char Char Char Char Char"/>
    <w:basedOn w:val="1"/>
    <w:qFormat/>
    <w:uiPriority w:val="0"/>
    <w:pPr>
      <w:spacing w:line="360" w:lineRule="auto"/>
      <w:ind w:firstLine="200" w:firstLineChars="200"/>
    </w:pPr>
    <w:rPr>
      <w:rFonts w:ascii="宋体" w:hAnsi="宋体" w:cs="宋体"/>
      <w:sz w:val="24"/>
      <w:szCs w:val="24"/>
    </w:rPr>
  </w:style>
  <w:style w:type="character" w:customStyle="1" w:styleId="429">
    <w:name w:val="正文缩进1"/>
    <w:qFormat/>
    <w:uiPriority w:val="0"/>
    <w:rPr>
      <w:rFonts w:eastAsia="宋体"/>
      <w:kern w:val="2"/>
      <w:sz w:val="24"/>
      <w:lang w:val="en-US" w:eastAsia="zh-CN" w:bidi="ar-SA"/>
    </w:rPr>
  </w:style>
  <w:style w:type="character" w:customStyle="1" w:styleId="430">
    <w:name w:val="0"/>
    <w:qFormat/>
    <w:uiPriority w:val="0"/>
    <w:rPr>
      <w:sz w:val="18"/>
    </w:rPr>
  </w:style>
  <w:style w:type="paragraph" w:customStyle="1" w:styleId="431">
    <w:name w:val="正文(首行缩进)"/>
    <w:basedOn w:val="1"/>
    <w:qFormat/>
    <w:uiPriority w:val="0"/>
    <w:pPr>
      <w:spacing w:line="360" w:lineRule="auto"/>
      <w:ind w:firstLine="480" w:firstLineChars="200"/>
    </w:pPr>
    <w:rPr>
      <w:rFonts w:ascii="宋体" w:hAnsi="宋体"/>
      <w:kern w:val="24"/>
      <w:sz w:val="24"/>
      <w:szCs w:val="20"/>
    </w:rPr>
  </w:style>
  <w:style w:type="paragraph" w:customStyle="1" w:styleId="432">
    <w:name w:val="Char Char Char Char Char Char Char Char Char2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33">
    <w:name w:val="表格11"/>
    <w:basedOn w:val="1"/>
    <w:qFormat/>
    <w:uiPriority w:val="0"/>
    <w:pPr>
      <w:snapToGrid w:val="0"/>
      <w:jc w:val="center"/>
    </w:pPr>
    <w:rPr>
      <w:rFonts w:ascii="Times New Roman" w:hAnsi="Times New Roman"/>
      <w:kern w:val="0"/>
    </w:rPr>
  </w:style>
  <w:style w:type="paragraph" w:customStyle="1" w:styleId="434">
    <w:name w:val="样式 正文文本正文文字 Char"/>
    <w:basedOn w:val="7"/>
    <w:qFormat/>
    <w:uiPriority w:val="0"/>
    <w:pPr>
      <w:spacing w:after="0" w:line="240" w:lineRule="atLeast"/>
      <w:jc w:val="center"/>
    </w:pPr>
    <w:rPr>
      <w:rFonts w:ascii="Times New Roman" w:hAnsi="Times New Roman"/>
      <w:bCs/>
      <w:kern w:val="0"/>
      <w:sz w:val="20"/>
      <w:szCs w:val="24"/>
    </w:rPr>
  </w:style>
  <w:style w:type="paragraph" w:customStyle="1" w:styleId="435">
    <w:name w:val="正文文本1 Char1 Char Char Char Char Char Char Char"/>
    <w:basedOn w:val="1"/>
    <w:next w:val="7"/>
    <w:qFormat/>
    <w:uiPriority w:val="0"/>
    <w:pPr>
      <w:spacing w:line="240" w:lineRule="atLeast"/>
      <w:jc w:val="center"/>
    </w:pPr>
    <w:rPr>
      <w:rFonts w:ascii="Times New Roman" w:hAnsi="Times New Roman"/>
      <w:szCs w:val="24"/>
    </w:rPr>
  </w:style>
  <w:style w:type="paragraph" w:customStyle="1" w:styleId="436">
    <w:name w:val="样式 正文文本正文文字"/>
    <w:basedOn w:val="7"/>
    <w:qFormat/>
    <w:uiPriority w:val="0"/>
    <w:pPr>
      <w:spacing w:after="0" w:line="240" w:lineRule="atLeast"/>
      <w:jc w:val="center"/>
    </w:pPr>
    <w:rPr>
      <w:rFonts w:ascii="Times New Roman" w:hAnsi="Times New Roman"/>
      <w:bCs/>
      <w:kern w:val="0"/>
      <w:sz w:val="20"/>
      <w:szCs w:val="24"/>
    </w:rPr>
  </w:style>
  <w:style w:type="character" w:customStyle="1" w:styleId="437">
    <w:name w:val="viewinfo"/>
    <w:qFormat/>
    <w:uiPriority w:val="0"/>
    <w:rPr>
      <w:rFonts w:hint="default"/>
      <w:sz w:val="18"/>
      <w:szCs w:val="18"/>
      <w:u w:val="none"/>
    </w:rPr>
  </w:style>
  <w:style w:type="paragraph" w:customStyle="1" w:styleId="438">
    <w:name w:val="下划线"/>
    <w:basedOn w:val="1"/>
    <w:next w:val="1"/>
    <w:qFormat/>
    <w:uiPriority w:val="0"/>
    <w:pPr>
      <w:spacing w:beforeLines="50" w:line="400" w:lineRule="exact"/>
      <w:ind w:firstLine="480" w:firstLineChars="200"/>
    </w:pPr>
    <w:rPr>
      <w:rFonts w:ascii="Times New Roman" w:hAnsi="Times New Roman"/>
      <w:bCs/>
      <w:color w:val="000000"/>
      <w:sz w:val="24"/>
      <w:szCs w:val="24"/>
    </w:rPr>
  </w:style>
  <w:style w:type="paragraph" w:customStyle="1" w:styleId="439">
    <w:name w:val="8"/>
    <w:basedOn w:val="1"/>
    <w:next w:val="28"/>
    <w:qFormat/>
    <w:uiPriority w:val="0"/>
    <w:pPr>
      <w:spacing w:afterLines="20" w:line="400" w:lineRule="exact"/>
      <w:ind w:firstLine="480" w:firstLineChars="200"/>
    </w:pPr>
    <w:rPr>
      <w:rFonts w:ascii="Times New Roman" w:hAnsi="Times New Roman"/>
      <w:sz w:val="24"/>
      <w:szCs w:val="24"/>
    </w:rPr>
  </w:style>
  <w:style w:type="character" w:customStyle="1" w:styleId="440">
    <w:name w:val="样式 黑色"/>
    <w:qFormat/>
    <w:uiPriority w:val="0"/>
    <w:rPr>
      <w:rFonts w:eastAsia="宋体"/>
      <w:color w:val="000000"/>
      <w:sz w:val="24"/>
      <w:szCs w:val="24"/>
      <w:u w:val="none"/>
      <w:vertAlign w:val="baseline"/>
    </w:rPr>
  </w:style>
  <w:style w:type="character" w:customStyle="1" w:styleId="441">
    <w:name w:val="title1"/>
    <w:basedOn w:val="74"/>
    <w:qFormat/>
    <w:uiPriority w:val="0"/>
  </w:style>
  <w:style w:type="paragraph" w:customStyle="1" w:styleId="442">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43">
    <w:name w:val="图表"/>
    <w:basedOn w:val="58"/>
    <w:next w:val="1"/>
    <w:qFormat/>
    <w:uiPriority w:val="0"/>
    <w:pPr>
      <w:spacing w:beforeLines="50" w:line="240" w:lineRule="auto"/>
      <w:ind w:left="0"/>
    </w:pPr>
    <w:rPr>
      <w:bCs/>
      <w:sz w:val="24"/>
      <w:szCs w:val="24"/>
    </w:rPr>
  </w:style>
  <w:style w:type="character" w:customStyle="1" w:styleId="444">
    <w:name w:val="zhengw1"/>
    <w:qFormat/>
    <w:uiPriority w:val="0"/>
    <w:rPr>
      <w:rFonts w:hint="default"/>
      <w:sz w:val="24"/>
      <w:szCs w:val="24"/>
    </w:rPr>
  </w:style>
  <w:style w:type="paragraph" w:customStyle="1" w:styleId="445">
    <w:name w:val="样式 标题 2 + 段前: 0.5 行 段后: 0.5 行"/>
    <w:basedOn w:val="3"/>
    <w:qFormat/>
    <w:uiPriority w:val="0"/>
    <w:pPr>
      <w:numPr>
        <w:ilvl w:val="0"/>
        <w:numId w:val="0"/>
      </w:numPr>
      <w:tabs>
        <w:tab w:val="left" w:pos="576"/>
      </w:tabs>
      <w:adjustRightInd/>
      <w:snapToGrid/>
      <w:spacing w:before="120" w:after="120" w:line="400" w:lineRule="exact"/>
      <w:ind w:left="576" w:hanging="576"/>
    </w:pPr>
    <w:rPr>
      <w:rFonts w:ascii="Times New Roman" w:hAnsi="Times New Roman"/>
      <w:bCs w:val="0"/>
      <w:sz w:val="28"/>
    </w:rPr>
  </w:style>
  <w:style w:type="character" w:customStyle="1" w:styleId="446">
    <w:name w:val="dectext1"/>
    <w:qFormat/>
    <w:uiPriority w:val="0"/>
    <w:rPr>
      <w:rFonts w:hint="eastAsia" w:ascii="宋体" w:hAnsi="宋体" w:eastAsia="宋体"/>
      <w:color w:val="333333"/>
      <w:sz w:val="18"/>
      <w:szCs w:val="18"/>
      <w:u w:val="none"/>
    </w:rPr>
  </w:style>
  <w:style w:type="paragraph" w:customStyle="1" w:styleId="447">
    <w:name w:val="ST20_5"/>
    <w:qFormat/>
    <w:uiPriority w:val="0"/>
    <w:pPr>
      <w:widowControl w:val="0"/>
      <w:autoSpaceDE w:val="0"/>
      <w:autoSpaceDN w:val="0"/>
      <w:adjustRightInd w:val="0"/>
      <w:jc w:val="both"/>
      <w:textAlignment w:val="baseline"/>
    </w:pPr>
    <w:rPr>
      <w:rFonts w:ascii="宋体" w:hAnsi="Tms Rmn" w:eastAsia="宋体" w:cs="Times New Roman"/>
      <w:sz w:val="21"/>
      <w:lang w:val="en-US" w:eastAsia="zh-CN" w:bidi="ar-SA"/>
    </w:rPr>
  </w:style>
  <w:style w:type="character" w:customStyle="1" w:styleId="448">
    <w:name w:val="正文文本3"/>
    <w:qFormat/>
    <w:uiPriority w:val="0"/>
    <w:rPr>
      <w:rFonts w:eastAsia="宋体"/>
      <w:kern w:val="2"/>
      <w:sz w:val="21"/>
      <w:szCs w:val="24"/>
      <w:lang w:val="en-US" w:eastAsia="zh-CN" w:bidi="ar-SA"/>
    </w:rPr>
  </w:style>
  <w:style w:type="character" w:customStyle="1" w:styleId="449">
    <w:name w:val="样式 正文文本正文文字 Char Char"/>
    <w:qFormat/>
    <w:uiPriority w:val="0"/>
    <w:rPr>
      <w:rFonts w:eastAsia="宋体"/>
      <w:bCs/>
      <w:kern w:val="2"/>
      <w:sz w:val="21"/>
      <w:szCs w:val="24"/>
      <w:lang w:val="en-US" w:eastAsia="zh-CN" w:bidi="ar-SA"/>
    </w:rPr>
  </w:style>
  <w:style w:type="paragraph" w:customStyle="1" w:styleId="450">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Arial Unicode MS"/>
      <w:kern w:val="0"/>
      <w:sz w:val="20"/>
      <w:szCs w:val="20"/>
    </w:rPr>
  </w:style>
  <w:style w:type="paragraph" w:customStyle="1" w:styleId="451">
    <w:name w:val="6"/>
    <w:basedOn w:val="1"/>
    <w:next w:val="7"/>
    <w:qFormat/>
    <w:uiPriority w:val="0"/>
    <w:pPr>
      <w:spacing w:line="240" w:lineRule="atLeast"/>
      <w:jc w:val="center"/>
    </w:pPr>
    <w:rPr>
      <w:rFonts w:ascii="Times New Roman" w:hAnsi="Times New Roman"/>
      <w:szCs w:val="24"/>
    </w:rPr>
  </w:style>
  <w:style w:type="paragraph" w:customStyle="1" w:styleId="452">
    <w:name w:val="Char1"/>
    <w:basedOn w:val="1"/>
    <w:link w:val="453"/>
    <w:qFormat/>
    <w:uiPriority w:val="0"/>
    <w:pPr>
      <w:spacing w:line="360" w:lineRule="auto"/>
      <w:ind w:firstLine="200" w:firstLineChars="200"/>
    </w:pPr>
    <w:rPr>
      <w:rFonts w:ascii="宋体" w:hAnsi="宋体"/>
      <w:kern w:val="0"/>
      <w:sz w:val="24"/>
      <w:szCs w:val="24"/>
    </w:rPr>
  </w:style>
  <w:style w:type="character" w:customStyle="1" w:styleId="453">
    <w:name w:val="Char Char1"/>
    <w:link w:val="452"/>
    <w:qFormat/>
    <w:uiPriority w:val="0"/>
    <w:rPr>
      <w:rFonts w:ascii="宋体" w:hAnsi="宋体"/>
      <w:sz w:val="24"/>
      <w:szCs w:val="24"/>
    </w:rPr>
  </w:style>
  <w:style w:type="paragraph" w:customStyle="1" w:styleId="454">
    <w:name w:val="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55">
    <w:name w:val="正文居中"/>
    <w:basedOn w:val="1"/>
    <w:qFormat/>
    <w:uiPriority w:val="0"/>
    <w:pPr>
      <w:adjustRightInd w:val="0"/>
      <w:snapToGrid w:val="0"/>
      <w:jc w:val="center"/>
    </w:pPr>
    <w:rPr>
      <w:rFonts w:ascii="Times New Roman" w:hAnsi="Times New Roman"/>
      <w:sz w:val="24"/>
      <w:szCs w:val="24"/>
    </w:rPr>
  </w:style>
  <w:style w:type="paragraph" w:customStyle="1" w:styleId="456">
    <w:name w:val="正文首行缩进:2字符"/>
    <w:basedOn w:val="1"/>
    <w:qFormat/>
    <w:uiPriority w:val="0"/>
    <w:pPr>
      <w:ind w:firstLine="560" w:firstLineChars="200"/>
    </w:pPr>
    <w:rPr>
      <w:rFonts w:ascii="Times New Roman" w:hAnsi="Times New Roman" w:cs="宋体"/>
      <w:sz w:val="28"/>
      <w:szCs w:val="20"/>
    </w:rPr>
  </w:style>
  <w:style w:type="paragraph" w:customStyle="1" w:styleId="457">
    <w:name w:val="Char Char Char"/>
    <w:basedOn w:val="1"/>
    <w:qFormat/>
    <w:uiPriority w:val="0"/>
    <w:pPr>
      <w:spacing w:line="360" w:lineRule="auto"/>
      <w:ind w:firstLine="200" w:firstLineChars="200"/>
    </w:pPr>
    <w:rPr>
      <w:rFonts w:ascii="宋体" w:hAnsi="宋体" w:cs="宋体"/>
      <w:sz w:val="24"/>
      <w:szCs w:val="24"/>
    </w:rPr>
  </w:style>
  <w:style w:type="paragraph" w:customStyle="1" w:styleId="458">
    <w:name w:val="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character" w:customStyle="1" w:styleId="459">
    <w:name w:val="highlight1"/>
    <w:qFormat/>
    <w:uiPriority w:val="0"/>
    <w:rPr>
      <w:sz w:val="21"/>
      <w:szCs w:val="21"/>
    </w:rPr>
  </w:style>
  <w:style w:type="paragraph" w:customStyle="1" w:styleId="460">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61">
    <w:name w:val="12 Char Char Char Char"/>
    <w:basedOn w:val="1"/>
    <w:qFormat/>
    <w:uiPriority w:val="0"/>
    <w:pPr>
      <w:spacing w:line="360" w:lineRule="auto"/>
      <w:ind w:firstLine="200" w:firstLineChars="200"/>
    </w:pPr>
    <w:rPr>
      <w:rFonts w:ascii="宋体" w:hAnsi="宋体" w:cs="宋体"/>
      <w:sz w:val="24"/>
      <w:szCs w:val="24"/>
    </w:rPr>
  </w:style>
  <w:style w:type="paragraph" w:customStyle="1" w:styleId="462">
    <w:name w:val="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463">
    <w:name w:val="Char Char Char Char Char Char1 Char Char Char1 Char"/>
    <w:basedOn w:val="1"/>
    <w:qFormat/>
    <w:uiPriority w:val="0"/>
    <w:pPr>
      <w:adjustRightInd w:val="0"/>
      <w:snapToGrid w:val="0"/>
      <w:spacing w:line="360" w:lineRule="auto"/>
      <w:ind w:left="5652" w:firstLine="360" w:firstLineChars="200"/>
      <w:jc w:val="left"/>
    </w:pPr>
    <w:rPr>
      <w:rFonts w:ascii="仿宋_GB2312" w:hAnsi="仿宋_GB2312" w:eastAsia="仿宋_GB2312" w:cs="宋体"/>
      <w:sz w:val="24"/>
      <w:szCs w:val="24"/>
    </w:rPr>
  </w:style>
  <w:style w:type="paragraph" w:customStyle="1" w:styleId="464">
    <w:name w:val="报告正文"/>
    <w:basedOn w:val="1"/>
    <w:qFormat/>
    <w:uiPriority w:val="99"/>
    <w:pPr>
      <w:spacing w:before="50" w:line="360" w:lineRule="auto"/>
      <w:ind w:firstLine="540"/>
    </w:pPr>
    <w:rPr>
      <w:rFonts w:ascii="Times New Roman" w:hAnsi="Times New Roman"/>
      <w:sz w:val="24"/>
      <w:szCs w:val="24"/>
    </w:rPr>
  </w:style>
  <w:style w:type="character" w:customStyle="1" w:styleId="465">
    <w:name w:val="Char5 Char Char"/>
    <w:qFormat/>
    <w:uiPriority w:val="0"/>
    <w:rPr>
      <w:rFonts w:eastAsia="宋体"/>
      <w:kern w:val="2"/>
      <w:sz w:val="18"/>
      <w:lang w:val="en-US" w:eastAsia="zh-CN" w:bidi="ar-SA"/>
    </w:rPr>
  </w:style>
  <w:style w:type="paragraph" w:customStyle="1" w:styleId="466">
    <w:name w:val="Char Char Char Char Char Char"/>
    <w:basedOn w:val="1"/>
    <w:qFormat/>
    <w:uiPriority w:val="0"/>
    <w:pPr>
      <w:spacing w:line="360" w:lineRule="auto"/>
      <w:ind w:firstLine="200" w:firstLineChars="200"/>
    </w:pPr>
    <w:rPr>
      <w:rFonts w:ascii="宋体" w:hAnsi="宋体" w:cs="宋体"/>
      <w:sz w:val="24"/>
      <w:szCs w:val="24"/>
    </w:rPr>
  </w:style>
  <w:style w:type="character" w:customStyle="1" w:styleId="467">
    <w:name w:val="正文文字 3 Char Char Char"/>
    <w:qFormat/>
    <w:uiPriority w:val="0"/>
    <w:rPr>
      <w:rFonts w:eastAsia="宋体"/>
      <w:kern w:val="2"/>
      <w:sz w:val="21"/>
      <w:lang w:val="en-US" w:eastAsia="zh-CN" w:bidi="ar-SA"/>
    </w:rPr>
  </w:style>
  <w:style w:type="character" w:customStyle="1" w:styleId="468">
    <w:name w:val="纯文本2 Char"/>
    <w:qFormat/>
    <w:uiPriority w:val="0"/>
    <w:rPr>
      <w:rFonts w:ascii="宋体" w:hAnsi="Courier New" w:eastAsia="宋体"/>
      <w:kern w:val="2"/>
      <w:sz w:val="21"/>
      <w:lang w:val="en-US" w:eastAsia="zh-CN" w:bidi="ar-SA"/>
    </w:rPr>
  </w:style>
  <w:style w:type="character" w:customStyle="1" w:styleId="469">
    <w:name w:val="普通文字1"/>
    <w:qFormat/>
    <w:uiPriority w:val="0"/>
    <w:rPr>
      <w:rFonts w:ascii="宋体" w:hAnsi="Courier New" w:eastAsia="宋体"/>
      <w:kern w:val="2"/>
      <w:sz w:val="21"/>
      <w:lang w:val="en-US" w:eastAsia="zh-CN" w:bidi="ar-SA"/>
    </w:rPr>
  </w:style>
  <w:style w:type="paragraph" w:customStyle="1" w:styleId="470">
    <w:name w:val="黑宋体"/>
    <w:basedOn w:val="5"/>
    <w:qFormat/>
    <w:uiPriority w:val="0"/>
    <w:pPr>
      <w:numPr>
        <w:ilvl w:val="0"/>
        <w:numId w:val="0"/>
      </w:numPr>
      <w:tabs>
        <w:tab w:val="left" w:pos="720"/>
      </w:tabs>
      <w:adjustRightInd/>
      <w:snapToGrid/>
      <w:spacing w:afterLines="50" w:line="300" w:lineRule="auto"/>
      <w:ind w:firstLine="482" w:firstLineChars="200"/>
      <w:jc w:val="left"/>
      <w:textAlignment w:val="baseline"/>
      <w:outlineLvl w:val="9"/>
    </w:pPr>
    <w:rPr>
      <w:rFonts w:ascii="楷体_GB2312" w:eastAsia="楷体_GB2312"/>
      <w:bCs w:val="0"/>
      <w:color w:val="000000"/>
      <w:kern w:val="0"/>
    </w:rPr>
  </w:style>
  <w:style w:type="paragraph" w:customStyle="1" w:styleId="471">
    <w:name w:val="18"/>
    <w:basedOn w:val="1"/>
    <w:next w:val="31"/>
    <w:qFormat/>
    <w:uiPriority w:val="0"/>
    <w:pPr>
      <w:adjustRightInd w:val="0"/>
      <w:spacing w:afterLines="20" w:line="400" w:lineRule="exact"/>
      <w:jc w:val="center"/>
      <w:textAlignment w:val="baseline"/>
    </w:pPr>
    <w:rPr>
      <w:rFonts w:ascii="Times New Roman" w:hAnsi="Times New Roman"/>
      <w:b/>
      <w:szCs w:val="24"/>
    </w:rPr>
  </w:style>
  <w:style w:type="paragraph" w:customStyle="1" w:styleId="472">
    <w:name w:val="17"/>
    <w:basedOn w:val="1"/>
    <w:next w:val="31"/>
    <w:qFormat/>
    <w:uiPriority w:val="0"/>
    <w:pPr>
      <w:adjustRightInd w:val="0"/>
      <w:spacing w:afterLines="20" w:line="400" w:lineRule="exact"/>
      <w:jc w:val="center"/>
      <w:textAlignment w:val="baseline"/>
    </w:pPr>
    <w:rPr>
      <w:rFonts w:ascii="Times New Roman" w:hAnsi="Times New Roman"/>
      <w:b/>
      <w:szCs w:val="24"/>
    </w:rPr>
  </w:style>
  <w:style w:type="paragraph" w:customStyle="1" w:styleId="473">
    <w:name w:val="16"/>
    <w:basedOn w:val="1"/>
    <w:next w:val="31"/>
    <w:qFormat/>
    <w:uiPriority w:val="0"/>
    <w:pPr>
      <w:adjustRightInd w:val="0"/>
      <w:spacing w:afterLines="20" w:line="400" w:lineRule="exact"/>
      <w:jc w:val="center"/>
      <w:textAlignment w:val="baseline"/>
    </w:pPr>
    <w:rPr>
      <w:rFonts w:ascii="Times New Roman" w:hAnsi="Times New Roman"/>
      <w:b/>
      <w:szCs w:val="24"/>
    </w:rPr>
  </w:style>
  <w:style w:type="paragraph" w:customStyle="1" w:styleId="474">
    <w:name w:val="样式 标题 3 + (中文) 宋体"/>
    <w:basedOn w:val="4"/>
    <w:qFormat/>
    <w:uiPriority w:val="0"/>
    <w:pPr>
      <w:numPr>
        <w:ilvl w:val="0"/>
        <w:numId w:val="0"/>
      </w:numPr>
      <w:adjustRightInd/>
      <w:snapToGrid/>
      <w:spacing w:before="120" w:after="60" w:line="500" w:lineRule="exact"/>
      <w:jc w:val="left"/>
    </w:pPr>
    <w:rPr>
      <w:b w:val="0"/>
      <w:szCs w:val="24"/>
    </w:rPr>
  </w:style>
  <w:style w:type="paragraph" w:customStyle="1" w:styleId="475">
    <w:name w:val="正文文本缩进 21"/>
    <w:basedOn w:val="1"/>
    <w:qFormat/>
    <w:uiPriority w:val="0"/>
    <w:pPr>
      <w:autoSpaceDE w:val="0"/>
      <w:autoSpaceDN w:val="0"/>
      <w:adjustRightInd w:val="0"/>
      <w:ind w:firstLine="510"/>
      <w:jc w:val="left"/>
      <w:textAlignment w:val="baseline"/>
    </w:pPr>
    <w:rPr>
      <w:rFonts w:ascii="Times New Roman" w:hAnsi="Times New Roman"/>
      <w:kern w:val="0"/>
      <w:sz w:val="24"/>
      <w:szCs w:val="20"/>
    </w:rPr>
  </w:style>
  <w:style w:type="paragraph" w:customStyle="1" w:styleId="476">
    <w:name w:val="xl32"/>
    <w:basedOn w:val="1"/>
    <w:qFormat/>
    <w:uiPriority w:val="0"/>
    <w:pPr>
      <w:widowControl/>
      <w:spacing w:before="100" w:beforeAutospacing="1" w:after="100" w:afterAutospacing="1"/>
      <w:jc w:val="center"/>
      <w:textAlignment w:val="center"/>
    </w:pPr>
    <w:rPr>
      <w:rFonts w:hint="eastAsia" w:ascii="宋体" w:hAnsi="宋体"/>
      <w:kern w:val="0"/>
      <w:sz w:val="24"/>
      <w:szCs w:val="24"/>
    </w:rPr>
  </w:style>
  <w:style w:type="paragraph" w:customStyle="1" w:styleId="477">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78">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79">
    <w:name w:val="xl35"/>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80">
    <w:name w:val="xl3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81">
    <w:name w:val="xl3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82">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83">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484">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85">
    <w:name w:val="xl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86">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87">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2"/>
      <w:szCs w:val="22"/>
    </w:rPr>
  </w:style>
  <w:style w:type="paragraph" w:customStyle="1" w:styleId="488">
    <w:name w:val="xl44"/>
    <w:basedOn w:val="1"/>
    <w:qFormat/>
    <w:uiPriority w:val="0"/>
    <w:pPr>
      <w:widowControl/>
      <w:spacing w:before="100" w:beforeAutospacing="1" w:after="100" w:afterAutospacing="1"/>
      <w:jc w:val="center"/>
      <w:textAlignment w:val="center"/>
    </w:pPr>
    <w:rPr>
      <w:rFonts w:hint="eastAsia" w:ascii="宋体" w:hAnsi="宋体"/>
      <w:kern w:val="0"/>
      <w:sz w:val="22"/>
      <w:szCs w:val="22"/>
    </w:rPr>
  </w:style>
  <w:style w:type="paragraph" w:customStyle="1" w:styleId="489">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olor w:val="FF00FF"/>
      <w:kern w:val="0"/>
      <w:sz w:val="22"/>
      <w:szCs w:val="22"/>
    </w:rPr>
  </w:style>
  <w:style w:type="paragraph" w:customStyle="1" w:styleId="490">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olor w:val="FF00FF"/>
      <w:kern w:val="0"/>
      <w:sz w:val="22"/>
      <w:szCs w:val="22"/>
    </w:rPr>
  </w:style>
  <w:style w:type="paragraph" w:customStyle="1" w:styleId="491">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olor w:val="FF00FF"/>
      <w:kern w:val="0"/>
      <w:sz w:val="22"/>
      <w:szCs w:val="22"/>
    </w:rPr>
  </w:style>
  <w:style w:type="paragraph" w:customStyle="1" w:styleId="492">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93">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94">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95">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96">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olor w:val="FF0000"/>
      <w:kern w:val="0"/>
      <w:sz w:val="22"/>
      <w:szCs w:val="22"/>
    </w:rPr>
  </w:style>
  <w:style w:type="paragraph" w:customStyle="1" w:styleId="497">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2"/>
      <w:szCs w:val="22"/>
    </w:rPr>
  </w:style>
  <w:style w:type="paragraph" w:customStyle="1" w:styleId="498">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2"/>
      <w:szCs w:val="22"/>
    </w:rPr>
  </w:style>
  <w:style w:type="paragraph" w:customStyle="1" w:styleId="499">
    <w:name w:val="xl55"/>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hint="eastAsia" w:ascii="宋体" w:hAnsi="宋体"/>
      <w:kern w:val="0"/>
      <w:sz w:val="22"/>
      <w:szCs w:val="22"/>
    </w:rPr>
  </w:style>
  <w:style w:type="paragraph" w:customStyle="1" w:styleId="500">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501">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502">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503">
    <w:name w:val="xl59"/>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textAlignment w:val="center"/>
    </w:pPr>
    <w:rPr>
      <w:rFonts w:hint="eastAsia" w:ascii="宋体" w:hAnsi="宋体"/>
      <w:kern w:val="0"/>
      <w:sz w:val="24"/>
      <w:szCs w:val="24"/>
    </w:rPr>
  </w:style>
  <w:style w:type="paragraph" w:customStyle="1" w:styleId="504">
    <w:name w:val="xl60"/>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textAlignment w:val="center"/>
    </w:pPr>
    <w:rPr>
      <w:rFonts w:hint="eastAsia" w:ascii="宋体" w:hAnsi="宋体"/>
      <w:kern w:val="0"/>
      <w:sz w:val="24"/>
      <w:szCs w:val="24"/>
    </w:rPr>
  </w:style>
  <w:style w:type="paragraph" w:customStyle="1" w:styleId="505">
    <w:name w:val="xl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506">
    <w:name w:val="xl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kern w:val="0"/>
      <w:sz w:val="24"/>
      <w:szCs w:val="24"/>
    </w:rPr>
  </w:style>
  <w:style w:type="paragraph" w:customStyle="1" w:styleId="507">
    <w:name w:val="xl63"/>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textAlignment w:val="center"/>
    </w:pPr>
    <w:rPr>
      <w:rFonts w:hint="eastAsia" w:ascii="宋体" w:hAnsi="宋体"/>
      <w:kern w:val="0"/>
      <w:sz w:val="24"/>
      <w:szCs w:val="24"/>
    </w:rPr>
  </w:style>
  <w:style w:type="paragraph" w:customStyle="1" w:styleId="508">
    <w:name w:val="xl64"/>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textAlignment w:val="center"/>
    </w:pPr>
    <w:rPr>
      <w:rFonts w:hint="eastAsia" w:ascii="宋体" w:hAnsi="宋体"/>
      <w:kern w:val="0"/>
      <w:sz w:val="24"/>
      <w:szCs w:val="24"/>
    </w:rPr>
  </w:style>
  <w:style w:type="paragraph" w:customStyle="1" w:styleId="509">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2"/>
      <w:szCs w:val="22"/>
    </w:rPr>
  </w:style>
  <w:style w:type="paragraph" w:customStyle="1" w:styleId="510">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olor w:val="FF0000"/>
      <w:kern w:val="0"/>
      <w:sz w:val="22"/>
      <w:szCs w:val="22"/>
    </w:rPr>
  </w:style>
  <w:style w:type="paragraph" w:customStyle="1" w:styleId="511">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0"/>
      <w:szCs w:val="20"/>
    </w:rPr>
  </w:style>
  <w:style w:type="paragraph" w:customStyle="1" w:styleId="512">
    <w:name w:val="xl3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color w:val="FF0000"/>
      <w:kern w:val="0"/>
      <w:sz w:val="20"/>
      <w:szCs w:val="20"/>
    </w:rPr>
  </w:style>
  <w:style w:type="paragraph" w:customStyle="1" w:styleId="513">
    <w:name w:val="xl31"/>
    <w:basedOn w:val="1"/>
    <w:qFormat/>
    <w:uiPriority w:val="0"/>
    <w:pPr>
      <w:widowControl/>
      <w:spacing w:before="100" w:beforeAutospacing="1" w:after="100" w:afterAutospacing="1"/>
      <w:jc w:val="left"/>
      <w:textAlignment w:val="center"/>
    </w:pPr>
    <w:rPr>
      <w:rFonts w:ascii="Arial Unicode MS" w:hAnsi="Arial Unicode MS"/>
      <w:kern w:val="0"/>
      <w:sz w:val="24"/>
      <w:szCs w:val="24"/>
    </w:rPr>
  </w:style>
  <w:style w:type="paragraph" w:customStyle="1" w:styleId="514">
    <w:name w:val="表格 Char Char"/>
    <w:basedOn w:val="1"/>
    <w:qFormat/>
    <w:uiPriority w:val="0"/>
    <w:pPr>
      <w:widowControl/>
      <w:adjustRightInd w:val="0"/>
      <w:snapToGrid w:val="0"/>
      <w:jc w:val="center"/>
    </w:pPr>
    <w:rPr>
      <w:rFonts w:ascii="宋体" w:hAnsi="宋体"/>
      <w:kern w:val="0"/>
    </w:rPr>
  </w:style>
  <w:style w:type="paragraph" w:customStyle="1" w:styleId="515">
    <w:name w:val="XCHG论文正文"/>
    <w:basedOn w:val="1"/>
    <w:qFormat/>
    <w:uiPriority w:val="0"/>
    <w:pPr>
      <w:spacing w:line="288" w:lineRule="auto"/>
      <w:ind w:firstLine="480" w:firstLineChars="200"/>
    </w:pPr>
    <w:rPr>
      <w:rFonts w:ascii="Times New Roman" w:hAnsi="Times New Roman"/>
      <w:color w:val="000000"/>
      <w:sz w:val="24"/>
      <w:szCs w:val="24"/>
    </w:rPr>
  </w:style>
  <w:style w:type="character" w:customStyle="1" w:styleId="516">
    <w:name w:val="XCHG论文正文 Char"/>
    <w:qFormat/>
    <w:uiPriority w:val="0"/>
    <w:rPr>
      <w:rFonts w:eastAsia="宋体"/>
      <w:color w:val="000000"/>
      <w:kern w:val="2"/>
      <w:sz w:val="24"/>
      <w:szCs w:val="24"/>
      <w:lang w:val="en-US" w:eastAsia="zh-CN" w:bidi="ar-SA"/>
    </w:rPr>
  </w:style>
  <w:style w:type="paragraph" w:customStyle="1" w:styleId="517">
    <w:name w:val="字母编号2"/>
    <w:basedOn w:val="1"/>
    <w:qFormat/>
    <w:uiPriority w:val="0"/>
    <w:pPr>
      <w:tabs>
        <w:tab w:val="left" w:pos="817"/>
      </w:tabs>
      <w:spacing w:line="300" w:lineRule="auto"/>
      <w:ind w:firstLine="200" w:firstLineChars="200"/>
      <w:textAlignment w:val="center"/>
    </w:pPr>
    <w:rPr>
      <w:rFonts w:ascii="Times New Roman" w:hAnsi="Times New Roman"/>
      <w:sz w:val="24"/>
      <w:szCs w:val="24"/>
    </w:rPr>
  </w:style>
  <w:style w:type="paragraph" w:customStyle="1" w:styleId="518">
    <w:name w:val="图表1"/>
    <w:basedOn w:val="1"/>
    <w:qFormat/>
    <w:uiPriority w:val="0"/>
    <w:pPr>
      <w:snapToGrid w:val="0"/>
      <w:spacing w:line="240" w:lineRule="atLeast"/>
      <w:jc w:val="center"/>
    </w:pPr>
    <w:rPr>
      <w:rFonts w:ascii="Times New Roman" w:hAnsi="Times New Roman" w:eastAsia="楷体_GB2312"/>
      <w:sz w:val="24"/>
      <w:szCs w:val="24"/>
    </w:rPr>
  </w:style>
  <w:style w:type="character" w:customStyle="1" w:styleId="519">
    <w:name w:val="ourfont"/>
    <w:basedOn w:val="74"/>
    <w:qFormat/>
    <w:uiPriority w:val="0"/>
  </w:style>
  <w:style w:type="paragraph" w:customStyle="1" w:styleId="520">
    <w:name w:val="标题11"/>
    <w:basedOn w:val="1"/>
    <w:qFormat/>
    <w:uiPriority w:val="0"/>
    <w:rPr>
      <w:rFonts w:ascii="Times New Roman" w:hAnsi="Times New Roman"/>
    </w:rPr>
  </w:style>
  <w:style w:type="paragraph" w:customStyle="1" w:styleId="521">
    <w:name w:val="图文"/>
    <w:basedOn w:val="1"/>
    <w:qFormat/>
    <w:uiPriority w:val="0"/>
    <w:pPr>
      <w:adjustRightInd w:val="0"/>
      <w:snapToGrid w:val="0"/>
    </w:pPr>
    <w:rPr>
      <w:rFonts w:ascii="楷体_GB2312" w:hAnsi="Times New Roman" w:eastAsia="楷体_GB2312"/>
      <w:sz w:val="30"/>
      <w:szCs w:val="24"/>
    </w:rPr>
  </w:style>
  <w:style w:type="paragraph" w:customStyle="1" w:styleId="522">
    <w:name w:val="样式 段后: 3.1 磅 行距: 固定值 20 磅"/>
    <w:basedOn w:val="1"/>
    <w:qFormat/>
    <w:uiPriority w:val="0"/>
    <w:pPr>
      <w:spacing w:after="62" w:line="400" w:lineRule="exact"/>
      <w:ind w:firstLine="482"/>
    </w:pPr>
    <w:rPr>
      <w:rFonts w:ascii="Times New Roman" w:hAnsi="Times New Roman" w:cs="宋体"/>
      <w:color w:val="0000FF"/>
      <w:sz w:val="24"/>
      <w:szCs w:val="20"/>
    </w:rPr>
  </w:style>
  <w:style w:type="paragraph" w:customStyle="1" w:styleId="523">
    <w:name w:val="样式 首行缩进:  0.85 厘米 段后: 3.1 磅 行距: 固定值 20 磅"/>
    <w:basedOn w:val="1"/>
    <w:qFormat/>
    <w:uiPriority w:val="0"/>
    <w:pPr>
      <w:spacing w:afterLines="20" w:line="400" w:lineRule="exact"/>
      <w:ind w:firstLine="482"/>
    </w:pPr>
    <w:rPr>
      <w:rFonts w:ascii="Times New Roman" w:hAnsi="Times New Roman" w:cs="宋体"/>
      <w:sz w:val="24"/>
      <w:szCs w:val="20"/>
    </w:rPr>
  </w:style>
  <w:style w:type="character" w:customStyle="1" w:styleId="524">
    <w:name w:val="f141"/>
    <w:qFormat/>
    <w:uiPriority w:val="0"/>
    <w:rPr>
      <w:sz w:val="23"/>
      <w:szCs w:val="23"/>
    </w:rPr>
  </w:style>
  <w:style w:type="character" w:customStyle="1" w:styleId="525">
    <w:name w:val="正文文本1 Char1 Char Char Char Char Char Char Char Char"/>
    <w:qFormat/>
    <w:uiPriority w:val="0"/>
    <w:rPr>
      <w:rFonts w:eastAsia="宋体"/>
      <w:kern w:val="2"/>
      <w:sz w:val="21"/>
      <w:szCs w:val="24"/>
      <w:lang w:val="en-US" w:eastAsia="zh-CN" w:bidi="ar-SA"/>
    </w:rPr>
  </w:style>
  <w:style w:type="paragraph" w:customStyle="1" w:styleId="526">
    <w:name w:val="样式 标题 4 + 红色"/>
    <w:basedOn w:val="5"/>
    <w:qFormat/>
    <w:uiPriority w:val="0"/>
    <w:pPr>
      <w:numPr>
        <w:ilvl w:val="0"/>
        <w:numId w:val="0"/>
      </w:numPr>
      <w:tabs>
        <w:tab w:val="left" w:pos="720"/>
        <w:tab w:val="left" w:pos="1922"/>
      </w:tabs>
      <w:adjustRightInd/>
      <w:snapToGrid/>
      <w:spacing w:beforeLines="50" w:afterLines="20" w:line="240" w:lineRule="auto"/>
      <w:ind w:left="1922" w:hanging="420"/>
    </w:pPr>
    <w:rPr>
      <w:rFonts w:ascii="Arial" w:hAnsi="Arial" w:eastAsia="宋体"/>
      <w:b w:val="0"/>
      <w:bCs w:val="0"/>
      <w:color w:val="FF0000"/>
      <w:kern w:val="0"/>
    </w:rPr>
  </w:style>
  <w:style w:type="paragraph" w:customStyle="1" w:styleId="527">
    <w:name w:val="样式5"/>
    <w:basedOn w:val="18"/>
    <w:qFormat/>
    <w:uiPriority w:val="0"/>
    <w:pPr>
      <w:spacing w:afterLines="20" w:line="400" w:lineRule="exact"/>
      <w:ind w:firstLine="482" w:firstLineChars="0"/>
    </w:pPr>
    <w:rPr>
      <w:rFonts w:ascii="Times New Roman" w:hAnsi="Times New Roman"/>
      <w:kern w:val="0"/>
      <w:sz w:val="24"/>
      <w:szCs w:val="20"/>
    </w:rPr>
  </w:style>
  <w:style w:type="paragraph" w:customStyle="1" w:styleId="528">
    <w:name w:val="样式6"/>
    <w:basedOn w:val="1"/>
    <w:qFormat/>
    <w:uiPriority w:val="0"/>
    <w:pPr>
      <w:spacing w:afterLines="20" w:line="400" w:lineRule="exact"/>
      <w:ind w:firstLine="482"/>
    </w:pPr>
    <w:rPr>
      <w:rFonts w:ascii="Times New Roman" w:hAnsi="Times New Roman"/>
      <w:sz w:val="24"/>
      <w:szCs w:val="20"/>
    </w:rPr>
  </w:style>
  <w:style w:type="paragraph" w:customStyle="1" w:styleId="529">
    <w:name w:val="样式7"/>
    <w:basedOn w:val="1"/>
    <w:qFormat/>
    <w:uiPriority w:val="0"/>
    <w:pPr>
      <w:spacing w:afterLines="20" w:line="400" w:lineRule="exact"/>
      <w:ind w:firstLine="482"/>
    </w:pPr>
    <w:rPr>
      <w:rFonts w:ascii="Times New Roman" w:hAnsi="Times New Roman"/>
      <w:sz w:val="24"/>
      <w:szCs w:val="20"/>
    </w:rPr>
  </w:style>
  <w:style w:type="paragraph" w:customStyle="1" w:styleId="530">
    <w:name w:val="样式8"/>
    <w:basedOn w:val="1"/>
    <w:qFormat/>
    <w:uiPriority w:val="0"/>
    <w:pPr>
      <w:spacing w:afterLines="20" w:line="400" w:lineRule="exact"/>
      <w:ind w:firstLine="482"/>
    </w:pPr>
    <w:rPr>
      <w:rFonts w:ascii="Times New Roman" w:hAnsi="Times New Roman"/>
      <w:sz w:val="24"/>
      <w:szCs w:val="20"/>
    </w:rPr>
  </w:style>
  <w:style w:type="paragraph" w:customStyle="1" w:styleId="531">
    <w:name w:val="Char Char Char Char"/>
    <w:basedOn w:val="1"/>
    <w:qFormat/>
    <w:uiPriority w:val="0"/>
    <w:pPr>
      <w:spacing w:line="360" w:lineRule="auto"/>
      <w:ind w:firstLine="200" w:firstLineChars="200"/>
    </w:pPr>
    <w:rPr>
      <w:rFonts w:ascii="宋体" w:hAnsi="宋体" w:cs="宋体"/>
      <w:sz w:val="24"/>
      <w:szCs w:val="24"/>
    </w:rPr>
  </w:style>
  <w:style w:type="paragraph" w:customStyle="1" w:styleId="532">
    <w:name w:val="简单回函地址"/>
    <w:basedOn w:val="1"/>
    <w:qFormat/>
    <w:uiPriority w:val="0"/>
    <w:rPr>
      <w:rFonts w:ascii="Times New Roman" w:hAnsi="Times New Roman"/>
      <w:szCs w:val="24"/>
    </w:rPr>
  </w:style>
  <w:style w:type="paragraph" w:customStyle="1" w:styleId="533">
    <w:name w:val="xl102"/>
    <w:basedOn w:val="1"/>
    <w:qFormat/>
    <w:uiPriority w:val="0"/>
    <w:pPr>
      <w:widowControl/>
      <w:pBdr>
        <w:right w:val="single" w:color="auto" w:sz="8" w:space="0"/>
      </w:pBdr>
      <w:spacing w:before="100" w:beforeAutospacing="1" w:after="100" w:afterAutospacing="1"/>
      <w:jc w:val="center"/>
    </w:pPr>
    <w:rPr>
      <w:rFonts w:ascii="Times New Roman" w:hAnsi="Times New Roman" w:eastAsia="Arial Unicode MS"/>
      <w:kern w:val="0"/>
      <w:sz w:val="22"/>
      <w:szCs w:val="22"/>
    </w:rPr>
  </w:style>
  <w:style w:type="paragraph" w:customStyle="1" w:styleId="534">
    <w:name w:val="xl101"/>
    <w:basedOn w:val="1"/>
    <w:qFormat/>
    <w:uiPriority w:val="0"/>
    <w:pPr>
      <w:widowControl/>
      <w:pBdr>
        <w:bottom w:val="single" w:color="auto" w:sz="4" w:space="0"/>
        <w:right w:val="single" w:color="auto" w:sz="8" w:space="0"/>
      </w:pBdr>
      <w:spacing w:before="100" w:beforeAutospacing="1" w:after="100" w:afterAutospacing="1"/>
    </w:pPr>
    <w:rPr>
      <w:rFonts w:ascii="Times New Roman" w:hAnsi="Times New Roman" w:eastAsia="Arial Unicode MS"/>
      <w:kern w:val="0"/>
      <w:sz w:val="22"/>
      <w:szCs w:val="22"/>
    </w:rPr>
  </w:style>
  <w:style w:type="paragraph" w:customStyle="1" w:styleId="535">
    <w:name w:val="xl22"/>
    <w:basedOn w:val="1"/>
    <w:qFormat/>
    <w:uiPriority w:val="0"/>
    <w:pPr>
      <w:widowControl/>
      <w:spacing w:before="100" w:beforeAutospacing="1" w:after="100" w:afterAutospacing="1"/>
      <w:jc w:val="center"/>
    </w:pPr>
    <w:rPr>
      <w:rFonts w:hint="eastAsia" w:ascii="宋体" w:hAnsi="宋体"/>
      <w:kern w:val="0"/>
      <w:sz w:val="24"/>
      <w:szCs w:val="24"/>
    </w:rPr>
  </w:style>
  <w:style w:type="paragraph" w:customStyle="1" w:styleId="536">
    <w:name w:val="PP 行"/>
    <w:basedOn w:val="44"/>
    <w:qFormat/>
    <w:uiPriority w:val="0"/>
  </w:style>
  <w:style w:type="paragraph" w:customStyle="1" w:styleId="537">
    <w:name w:val="font1"/>
    <w:basedOn w:val="1"/>
    <w:qFormat/>
    <w:uiPriority w:val="0"/>
    <w:pPr>
      <w:widowControl/>
      <w:spacing w:before="100" w:beforeAutospacing="1" w:after="100" w:afterAutospacing="1"/>
      <w:jc w:val="left"/>
    </w:pPr>
    <w:rPr>
      <w:rFonts w:hint="eastAsia" w:ascii="宋体" w:hAnsi="宋体"/>
      <w:kern w:val="0"/>
      <w:sz w:val="24"/>
      <w:szCs w:val="24"/>
    </w:rPr>
  </w:style>
  <w:style w:type="character" w:customStyle="1" w:styleId="538">
    <w:name w:val="表名 Char"/>
    <w:qFormat/>
    <w:uiPriority w:val="0"/>
    <w:rPr>
      <w:rFonts w:ascii="宋体" w:hAnsi="Courier New" w:eastAsia="仿宋_GB2312" w:cs="Courier New"/>
      <w:b/>
      <w:sz w:val="28"/>
      <w:szCs w:val="21"/>
    </w:rPr>
  </w:style>
  <w:style w:type="character" w:customStyle="1" w:styleId="539">
    <w:name w:val="zt1"/>
    <w:basedOn w:val="74"/>
    <w:qFormat/>
    <w:uiPriority w:val="0"/>
  </w:style>
  <w:style w:type="paragraph" w:customStyle="1" w:styleId="540">
    <w:name w:val="样式 左侧:  0.98 厘米"/>
    <w:basedOn w:val="1"/>
    <w:qFormat/>
    <w:uiPriority w:val="0"/>
    <w:pPr>
      <w:adjustRightInd w:val="0"/>
      <w:snapToGrid w:val="0"/>
      <w:spacing w:line="490" w:lineRule="exact"/>
      <w:ind w:firstLine="560" w:firstLineChars="200"/>
    </w:pPr>
    <w:rPr>
      <w:rFonts w:ascii="Times New Roman" w:hAnsi="Times New Roman" w:eastAsia="仿宋_GB2312"/>
      <w:sz w:val="28"/>
      <w:szCs w:val="20"/>
    </w:rPr>
  </w:style>
  <w:style w:type="paragraph" w:customStyle="1" w:styleId="541">
    <w:name w:val="样式 样式 表格 + 左侧:  0.98 厘米 + 居中"/>
    <w:basedOn w:val="1"/>
    <w:qFormat/>
    <w:uiPriority w:val="0"/>
    <w:pPr>
      <w:adjustRightInd w:val="0"/>
      <w:snapToGrid w:val="0"/>
      <w:spacing w:before="100" w:beforeAutospacing="1" w:after="100" w:afterAutospacing="1" w:line="300" w:lineRule="auto"/>
      <w:jc w:val="center"/>
    </w:pPr>
    <w:rPr>
      <w:rFonts w:ascii="Arial" w:hAnsi="Arial"/>
      <w:snapToGrid w:val="0"/>
      <w:kern w:val="0"/>
      <w:szCs w:val="20"/>
    </w:rPr>
  </w:style>
  <w:style w:type="paragraph" w:customStyle="1" w:styleId="542">
    <w:name w:val="样式 样式 正文文本缩进 + 段后: 0 磅 + 首行缩进:  2 字符"/>
    <w:basedOn w:val="1"/>
    <w:qFormat/>
    <w:uiPriority w:val="0"/>
    <w:pPr>
      <w:spacing w:line="360" w:lineRule="auto"/>
      <w:ind w:firstLine="480" w:firstLineChars="200"/>
    </w:pPr>
    <w:rPr>
      <w:rFonts w:ascii="宋体" w:hAnsi="宋体" w:cs="宋体"/>
      <w:sz w:val="24"/>
      <w:szCs w:val="20"/>
    </w:rPr>
  </w:style>
  <w:style w:type="paragraph" w:customStyle="1" w:styleId="543">
    <w:name w:val="样式 正文首行缩进 + 首行缩进:  1 字符"/>
    <w:basedOn w:val="6"/>
    <w:next w:val="6"/>
    <w:qFormat/>
    <w:uiPriority w:val="0"/>
    <w:pPr>
      <w:adjustRightInd/>
      <w:snapToGrid/>
    </w:pPr>
    <w:rPr>
      <w:rFonts w:cs="宋体"/>
      <w:kern w:val="0"/>
      <w:szCs w:val="24"/>
    </w:rPr>
  </w:style>
  <w:style w:type="paragraph" w:customStyle="1" w:styleId="544">
    <w:name w:val="14"/>
    <w:basedOn w:val="1"/>
    <w:next w:val="18"/>
    <w:qFormat/>
    <w:uiPriority w:val="0"/>
    <w:pPr>
      <w:spacing w:line="420" w:lineRule="exact"/>
      <w:ind w:firstLine="480"/>
    </w:pPr>
    <w:rPr>
      <w:rFonts w:ascii="Times New Roman" w:hAnsi="Times New Roman"/>
      <w:szCs w:val="20"/>
    </w:rPr>
  </w:style>
  <w:style w:type="paragraph" w:customStyle="1" w:styleId="545">
    <w:name w:val="默认段落字体 Para Char Char Char Char Char Char Char Char Char Char"/>
    <w:basedOn w:val="1"/>
    <w:qFormat/>
    <w:uiPriority w:val="0"/>
    <w:rPr>
      <w:rFonts w:ascii="Times New Roman" w:hAnsi="Times New Roman"/>
      <w:szCs w:val="24"/>
    </w:rPr>
  </w:style>
  <w:style w:type="paragraph" w:customStyle="1" w:styleId="546">
    <w:name w:val="11"/>
    <w:basedOn w:val="1"/>
    <w:qFormat/>
    <w:uiPriority w:val="0"/>
    <w:pPr>
      <w:spacing w:line="360" w:lineRule="auto"/>
      <w:ind w:firstLine="200" w:firstLineChars="200"/>
    </w:pPr>
    <w:rPr>
      <w:rFonts w:ascii="宋体" w:hAnsi="宋体" w:cs="宋体"/>
      <w:sz w:val="24"/>
      <w:szCs w:val="24"/>
    </w:rPr>
  </w:style>
  <w:style w:type="paragraph" w:customStyle="1" w:styleId="547">
    <w:name w:val="9"/>
    <w:basedOn w:val="1"/>
    <w:next w:val="31"/>
    <w:qFormat/>
    <w:uiPriority w:val="0"/>
    <w:pPr>
      <w:adjustRightInd w:val="0"/>
      <w:spacing w:afterLines="20" w:line="400" w:lineRule="exact"/>
      <w:jc w:val="center"/>
      <w:textAlignment w:val="baseline"/>
    </w:pPr>
    <w:rPr>
      <w:rFonts w:ascii="Times New Roman" w:hAnsi="Times New Roman"/>
      <w:b/>
      <w:szCs w:val="24"/>
    </w:rPr>
  </w:style>
  <w:style w:type="paragraph" w:customStyle="1" w:styleId="548">
    <w:name w:val="XCHG论文正文 Char Char Char Char"/>
    <w:basedOn w:val="1"/>
    <w:qFormat/>
    <w:uiPriority w:val="0"/>
    <w:pPr>
      <w:spacing w:line="288" w:lineRule="auto"/>
      <w:ind w:firstLine="480" w:firstLineChars="200"/>
    </w:pPr>
    <w:rPr>
      <w:rFonts w:ascii="Times New Roman" w:hAnsi="Times New Roman"/>
      <w:color w:val="000000"/>
      <w:sz w:val="24"/>
      <w:szCs w:val="24"/>
    </w:rPr>
  </w:style>
  <w:style w:type="character" w:customStyle="1" w:styleId="549">
    <w:name w:val="XCHG论文正文 Char Char Char Char Char"/>
    <w:qFormat/>
    <w:uiPriority w:val="0"/>
    <w:rPr>
      <w:rFonts w:eastAsia="宋体"/>
      <w:color w:val="000000"/>
      <w:kern w:val="2"/>
      <w:sz w:val="24"/>
      <w:szCs w:val="24"/>
      <w:lang w:val="en-US" w:eastAsia="zh-CN" w:bidi="ar-SA"/>
    </w:rPr>
  </w:style>
  <w:style w:type="character" w:customStyle="1" w:styleId="550">
    <w:name w:val="普通文字 Char Char Char Char Char Char Char Char Char Char Char Char Char Char Char Char Char Char Char Char Char Char Char Char1 Char Char Char"/>
    <w:qFormat/>
    <w:uiPriority w:val="0"/>
    <w:rPr>
      <w:rFonts w:ascii="宋体" w:hAnsi="Courier New" w:eastAsia="宋体"/>
      <w:kern w:val="2"/>
      <w:sz w:val="21"/>
      <w:lang w:val="en-US" w:eastAsia="zh-CN" w:bidi="ar-SA"/>
    </w:rPr>
  </w:style>
  <w:style w:type="character" w:customStyle="1" w:styleId="551">
    <w:name w:val="XCHG论文正文 Char Char"/>
    <w:qFormat/>
    <w:uiPriority w:val="0"/>
    <w:rPr>
      <w:rFonts w:eastAsia="宋体"/>
      <w:color w:val="000000"/>
      <w:kern w:val="2"/>
      <w:sz w:val="24"/>
      <w:szCs w:val="24"/>
      <w:lang w:val="en-US" w:eastAsia="zh-CN" w:bidi="ar-SA"/>
    </w:rPr>
  </w:style>
  <w:style w:type="paragraph" w:customStyle="1" w:styleId="552">
    <w:name w:val="XCHG论文正文 Char Char Char"/>
    <w:basedOn w:val="1"/>
    <w:qFormat/>
    <w:uiPriority w:val="0"/>
    <w:pPr>
      <w:spacing w:line="288" w:lineRule="auto"/>
      <w:ind w:firstLine="480" w:firstLineChars="200"/>
    </w:pPr>
    <w:rPr>
      <w:rFonts w:ascii="Times New Roman" w:hAnsi="Times New Roman"/>
      <w:color w:val="000000"/>
      <w:sz w:val="24"/>
      <w:szCs w:val="24"/>
    </w:rPr>
  </w:style>
  <w:style w:type="paragraph" w:customStyle="1" w:styleId="553">
    <w:name w:val="13"/>
    <w:basedOn w:val="1"/>
    <w:next w:val="18"/>
    <w:qFormat/>
    <w:uiPriority w:val="0"/>
    <w:pPr>
      <w:spacing w:line="420" w:lineRule="exact"/>
      <w:ind w:firstLine="480"/>
    </w:pPr>
    <w:rPr>
      <w:rFonts w:ascii="Times New Roman" w:hAnsi="Times New Roman"/>
      <w:szCs w:val="20"/>
    </w:rPr>
  </w:style>
  <w:style w:type="paragraph" w:customStyle="1" w:styleId="554">
    <w:name w:val="12"/>
    <w:basedOn w:val="1"/>
    <w:next w:val="18"/>
    <w:qFormat/>
    <w:uiPriority w:val="0"/>
    <w:pPr>
      <w:spacing w:line="420" w:lineRule="exact"/>
      <w:ind w:firstLine="480"/>
    </w:pPr>
    <w:rPr>
      <w:rFonts w:ascii="Times New Roman" w:hAnsi="Times New Roman"/>
      <w:szCs w:val="20"/>
    </w:rPr>
  </w:style>
  <w:style w:type="character" w:customStyle="1" w:styleId="555">
    <w:name w:val="表格 Char Char Char"/>
    <w:qFormat/>
    <w:uiPriority w:val="0"/>
    <w:rPr>
      <w:rFonts w:ascii="宋体" w:hAnsi="宋体" w:eastAsia="宋体"/>
      <w:sz w:val="21"/>
      <w:szCs w:val="21"/>
      <w:lang w:val="en-US" w:eastAsia="zh-CN" w:bidi="ar-SA"/>
    </w:rPr>
  </w:style>
  <w:style w:type="character" w:customStyle="1" w:styleId="556">
    <w:name w:val="特点1"/>
    <w:qFormat/>
    <w:uiPriority w:val="0"/>
    <w:rPr>
      <w:rFonts w:eastAsia="宋体"/>
      <w:kern w:val="2"/>
      <w:sz w:val="24"/>
      <w:lang w:val="en-US" w:eastAsia="zh-CN" w:bidi="ar-SA"/>
    </w:rPr>
  </w:style>
  <w:style w:type="character" w:customStyle="1" w:styleId="557">
    <w:name w:val="表格 Char Char Char Char"/>
    <w:qFormat/>
    <w:uiPriority w:val="0"/>
    <w:rPr>
      <w:rFonts w:ascii="宋体" w:hAnsi="宋体" w:eastAsia="宋体"/>
      <w:kern w:val="2"/>
      <w:sz w:val="21"/>
      <w:szCs w:val="21"/>
      <w:lang w:val="en-US" w:eastAsia="zh-CN" w:bidi="ar-SA"/>
    </w:rPr>
  </w:style>
  <w:style w:type="character" w:customStyle="1" w:styleId="558">
    <w:name w:val="XCHG论文正文 Char Char Char Char Char Char"/>
    <w:qFormat/>
    <w:uiPriority w:val="0"/>
    <w:rPr>
      <w:rFonts w:eastAsia="宋体"/>
      <w:color w:val="000000"/>
      <w:kern w:val="2"/>
      <w:sz w:val="24"/>
      <w:szCs w:val="24"/>
      <w:lang w:val="en-US" w:eastAsia="zh-CN" w:bidi="ar-SA"/>
    </w:rPr>
  </w:style>
  <w:style w:type="paragraph" w:customStyle="1" w:styleId="559">
    <w:name w:val="Char Char Char Char Char Char Char Char Char2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560">
    <w:name w:val="12 Char Char Char"/>
    <w:basedOn w:val="1"/>
    <w:qFormat/>
    <w:uiPriority w:val="0"/>
    <w:pPr>
      <w:spacing w:line="360" w:lineRule="auto"/>
      <w:ind w:firstLine="200" w:firstLineChars="200"/>
    </w:pPr>
    <w:rPr>
      <w:rFonts w:ascii="宋体" w:hAnsi="宋体" w:cs="宋体"/>
      <w:sz w:val="24"/>
      <w:szCs w:val="24"/>
    </w:rPr>
  </w:style>
  <w:style w:type="paragraph" w:customStyle="1" w:styleId="561">
    <w:name w:val="Char Char Char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562">
    <w:name w:val="表格 Char Char Char Char Char"/>
    <w:basedOn w:val="1"/>
    <w:link w:val="563"/>
    <w:qFormat/>
    <w:uiPriority w:val="0"/>
    <w:pPr>
      <w:widowControl/>
      <w:adjustRightInd w:val="0"/>
      <w:snapToGrid w:val="0"/>
      <w:jc w:val="center"/>
    </w:pPr>
    <w:rPr>
      <w:rFonts w:ascii="宋体" w:hAnsi="宋体"/>
      <w:kern w:val="0"/>
      <w:sz w:val="20"/>
    </w:rPr>
  </w:style>
  <w:style w:type="character" w:customStyle="1" w:styleId="563">
    <w:name w:val="表格 Char Char Char Char Char Char"/>
    <w:link w:val="562"/>
    <w:qFormat/>
    <w:uiPriority w:val="0"/>
    <w:rPr>
      <w:rFonts w:ascii="宋体" w:hAnsi="宋体"/>
      <w:szCs w:val="21"/>
    </w:rPr>
  </w:style>
  <w:style w:type="paragraph" w:customStyle="1" w:styleId="564">
    <w:name w:val="XCHG论文正文 Char Char Char Char Char Char Char"/>
    <w:basedOn w:val="1"/>
    <w:link w:val="565"/>
    <w:qFormat/>
    <w:uiPriority w:val="0"/>
    <w:pPr>
      <w:spacing w:line="288" w:lineRule="auto"/>
      <w:ind w:firstLine="480" w:firstLineChars="200"/>
    </w:pPr>
    <w:rPr>
      <w:rFonts w:ascii="Times New Roman" w:hAnsi="Times New Roman"/>
      <w:color w:val="000000"/>
      <w:kern w:val="0"/>
      <w:sz w:val="24"/>
      <w:szCs w:val="24"/>
    </w:rPr>
  </w:style>
  <w:style w:type="character" w:customStyle="1" w:styleId="565">
    <w:name w:val="XCHG论文正文 Char Char Char Char Char Char Char Char"/>
    <w:link w:val="564"/>
    <w:qFormat/>
    <w:uiPriority w:val="0"/>
    <w:rPr>
      <w:color w:val="000000"/>
      <w:sz w:val="24"/>
      <w:szCs w:val="24"/>
    </w:rPr>
  </w:style>
  <w:style w:type="character" w:customStyle="1" w:styleId="566">
    <w:name w:val="文本条款 Char"/>
    <w:qFormat/>
    <w:uiPriority w:val="0"/>
    <w:rPr>
      <w:rFonts w:eastAsia="宋体"/>
      <w:kern w:val="2"/>
      <w:sz w:val="24"/>
      <w:lang w:val="en-US" w:eastAsia="zh-CN" w:bidi="ar-SA"/>
    </w:rPr>
  </w:style>
  <w:style w:type="paragraph" w:customStyle="1" w:styleId="567">
    <w:name w:val="12 Char Char Char Char Char Char"/>
    <w:basedOn w:val="1"/>
    <w:qFormat/>
    <w:uiPriority w:val="0"/>
    <w:pPr>
      <w:spacing w:line="360" w:lineRule="auto"/>
      <w:ind w:firstLine="200" w:firstLineChars="200"/>
    </w:pPr>
    <w:rPr>
      <w:rFonts w:ascii="宋体" w:hAnsi="宋体" w:cs="宋体"/>
      <w:sz w:val="24"/>
      <w:szCs w:val="24"/>
    </w:rPr>
  </w:style>
  <w:style w:type="character" w:customStyle="1" w:styleId="568">
    <w:name w:val="s4 Char Char1"/>
    <w:qFormat/>
    <w:uiPriority w:val="0"/>
    <w:rPr>
      <w:rFonts w:eastAsia="宋体"/>
      <w:kern w:val="2"/>
      <w:sz w:val="24"/>
      <w:lang w:val="en-US" w:eastAsia="zh-CN" w:bidi="ar-SA"/>
    </w:rPr>
  </w:style>
  <w:style w:type="character" w:customStyle="1" w:styleId="569">
    <w:name w:val="表格 Char Char Char Char Char Char Char"/>
    <w:qFormat/>
    <w:uiPriority w:val="0"/>
    <w:rPr>
      <w:rFonts w:ascii="宋体" w:hAnsi="宋体" w:eastAsia="宋体"/>
      <w:kern w:val="2"/>
      <w:sz w:val="21"/>
      <w:szCs w:val="21"/>
      <w:lang w:val="en-US" w:eastAsia="zh-CN" w:bidi="ar-SA"/>
    </w:rPr>
  </w:style>
  <w:style w:type="character" w:customStyle="1" w:styleId="570">
    <w:name w:val="XCHG论文正文 Char Char Char Char Char Char Char Char Char"/>
    <w:qFormat/>
    <w:uiPriority w:val="0"/>
    <w:rPr>
      <w:rFonts w:eastAsia="宋体"/>
      <w:color w:val="000000"/>
      <w:kern w:val="2"/>
      <w:sz w:val="24"/>
      <w:szCs w:val="24"/>
      <w:lang w:val="en-US" w:eastAsia="zh-CN" w:bidi="ar-SA"/>
    </w:rPr>
  </w:style>
  <w:style w:type="paragraph" w:customStyle="1" w:styleId="571">
    <w:name w:val="12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572">
    <w:name w:val="样式 宋体 小五 居中2"/>
    <w:basedOn w:val="1"/>
    <w:qFormat/>
    <w:uiPriority w:val="0"/>
    <w:pPr>
      <w:spacing w:line="420" w:lineRule="exact"/>
      <w:ind w:firstLine="425"/>
      <w:jc w:val="center"/>
    </w:pPr>
    <w:rPr>
      <w:rFonts w:ascii="宋体" w:hAnsi="宋体" w:cs="宋体"/>
      <w:kern w:val="0"/>
      <w:sz w:val="18"/>
      <w:szCs w:val="20"/>
    </w:rPr>
  </w:style>
  <w:style w:type="character" w:customStyle="1" w:styleId="573">
    <w:name w:val="表格 Char Char Char Char Char Char Char Char"/>
    <w:qFormat/>
    <w:uiPriority w:val="0"/>
    <w:rPr>
      <w:rFonts w:ascii="宋体" w:hAnsi="宋体" w:eastAsia="宋体"/>
      <w:kern w:val="2"/>
      <w:sz w:val="21"/>
      <w:szCs w:val="21"/>
      <w:lang w:val="en-US" w:eastAsia="zh-CN" w:bidi="ar-SA"/>
    </w:rPr>
  </w:style>
  <w:style w:type="character" w:customStyle="1" w:styleId="574">
    <w:name w:val="XCHG论文正文 Char Char Char Char Char Char Char Char Char Char"/>
    <w:qFormat/>
    <w:uiPriority w:val="0"/>
    <w:rPr>
      <w:rFonts w:eastAsia="宋体"/>
      <w:color w:val="000000"/>
      <w:kern w:val="2"/>
      <w:sz w:val="24"/>
      <w:szCs w:val="24"/>
      <w:lang w:val="en-US" w:eastAsia="zh-CN" w:bidi="ar-SA"/>
    </w:rPr>
  </w:style>
  <w:style w:type="paragraph" w:customStyle="1" w:styleId="575">
    <w:name w:val="正文 1"/>
    <w:basedOn w:val="1"/>
    <w:qFormat/>
    <w:uiPriority w:val="0"/>
    <w:pPr>
      <w:spacing w:line="480" w:lineRule="exact"/>
      <w:ind w:firstLine="567"/>
    </w:pPr>
    <w:rPr>
      <w:rFonts w:ascii="Times New Roman" w:hAnsi="Times New Roman"/>
      <w:sz w:val="28"/>
      <w:szCs w:val="20"/>
    </w:rPr>
  </w:style>
  <w:style w:type="paragraph" w:customStyle="1" w:styleId="576">
    <w:name w:val="默认段落字体 Para Char Char Char Char Char Char Char Char Char Char1 Char Char Char Char"/>
    <w:basedOn w:val="1"/>
    <w:qFormat/>
    <w:uiPriority w:val="0"/>
    <w:rPr>
      <w:rFonts w:ascii="Times New Roman" w:hAnsi="Times New Roman"/>
      <w:szCs w:val="24"/>
    </w:rPr>
  </w:style>
  <w:style w:type="paragraph" w:customStyle="1" w:styleId="577">
    <w:name w:val="样式 小四 居中"/>
    <w:qFormat/>
    <w:uiPriority w:val="0"/>
    <w:pPr>
      <w:widowControl w:val="0"/>
      <w:spacing w:before="60" w:after="60"/>
      <w:jc w:val="center"/>
    </w:pPr>
    <w:rPr>
      <w:rFonts w:ascii="楷体_GB2312" w:hAnsi="Times New Roman" w:eastAsia="楷体_GB2312" w:cs="Times New Roman"/>
      <w:bCs/>
      <w:kern w:val="2"/>
      <w:sz w:val="24"/>
      <w:szCs w:val="24"/>
      <w:lang w:val="en-US" w:eastAsia="zh-CN" w:bidi="ar-SA"/>
    </w:rPr>
  </w:style>
  <w:style w:type="paragraph" w:customStyle="1" w:styleId="578">
    <w:name w:val="Char Char Char Char Char Char Char Char Char2 Char Char Char Char Char Char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579">
    <w:name w:val="WPS Plain"/>
    <w:qFormat/>
    <w:uiPriority w:val="0"/>
    <w:rPr>
      <w:rFonts w:ascii="Times New Roman" w:hAnsi="Times New Roman" w:eastAsia="宋体" w:cs="Times New Roman"/>
      <w:lang w:val="en-US" w:eastAsia="zh-CN" w:bidi="ar-SA"/>
    </w:rPr>
  </w:style>
  <w:style w:type="paragraph" w:customStyle="1" w:styleId="580">
    <w:name w:val="1 Char Char Char Char Char Char Char"/>
    <w:basedOn w:val="1"/>
    <w:qFormat/>
    <w:uiPriority w:val="0"/>
    <w:rPr>
      <w:rFonts w:ascii="Times New Roman" w:hAnsi="Times New Roman"/>
      <w:bCs/>
      <w:kern w:val="0"/>
      <w:szCs w:val="24"/>
    </w:rPr>
  </w:style>
  <w:style w:type="paragraph" w:customStyle="1" w:styleId="581">
    <w:name w:val="Char Char Char Char Char Char Char Char Char Char1"/>
    <w:basedOn w:val="1"/>
    <w:qFormat/>
    <w:uiPriority w:val="0"/>
    <w:pPr>
      <w:spacing w:line="360" w:lineRule="auto"/>
      <w:ind w:firstLine="200" w:firstLineChars="200"/>
    </w:pPr>
    <w:rPr>
      <w:rFonts w:ascii="宋体" w:hAnsi="宋体" w:cs="宋体"/>
      <w:sz w:val="24"/>
      <w:szCs w:val="24"/>
    </w:rPr>
  </w:style>
  <w:style w:type="character" w:customStyle="1" w:styleId="582">
    <w:name w:val="标题 4 Char Char Char1"/>
    <w:qFormat/>
    <w:uiPriority w:val="0"/>
    <w:rPr>
      <w:rFonts w:ascii="Arial" w:hAnsi="Arial" w:eastAsia="黑体"/>
      <w:b/>
      <w:bCs/>
      <w:kern w:val="2"/>
      <w:sz w:val="28"/>
      <w:szCs w:val="28"/>
      <w:lang w:val="en-US" w:eastAsia="zh-CN" w:bidi="ar-SA"/>
    </w:rPr>
  </w:style>
  <w:style w:type="paragraph" w:customStyle="1" w:styleId="583">
    <w:name w:val="表格（小）"/>
    <w:basedOn w:val="1"/>
    <w:qFormat/>
    <w:uiPriority w:val="0"/>
    <w:pPr>
      <w:adjustRightInd w:val="0"/>
      <w:snapToGrid w:val="0"/>
    </w:pPr>
    <w:rPr>
      <w:rFonts w:ascii="Times New Roman" w:hAnsi="Times New Roman"/>
      <w:kern w:val="0"/>
      <w:szCs w:val="20"/>
    </w:rPr>
  </w:style>
  <w:style w:type="paragraph" w:customStyle="1" w:styleId="584">
    <w:name w:val="样式 haydonli + 首行缩进:  2 字符"/>
    <w:basedOn w:val="1"/>
    <w:qFormat/>
    <w:uiPriority w:val="0"/>
    <w:pPr>
      <w:adjustRightInd w:val="0"/>
      <w:snapToGrid w:val="0"/>
      <w:spacing w:line="420" w:lineRule="exact"/>
      <w:ind w:firstLine="480" w:firstLineChars="200"/>
    </w:pPr>
    <w:rPr>
      <w:rFonts w:ascii="宋体" w:hAnsi="宋体" w:cs="宋体"/>
      <w:kern w:val="0"/>
      <w:sz w:val="24"/>
      <w:szCs w:val="24"/>
    </w:rPr>
  </w:style>
  <w:style w:type="paragraph" w:customStyle="1" w:styleId="585">
    <w:name w:val="haydonli"/>
    <w:basedOn w:val="1"/>
    <w:link w:val="586"/>
    <w:qFormat/>
    <w:uiPriority w:val="0"/>
    <w:pPr>
      <w:snapToGrid w:val="0"/>
      <w:ind w:firstLine="420" w:firstLineChars="200"/>
      <w:jc w:val="center"/>
    </w:pPr>
    <w:rPr>
      <w:rFonts w:ascii="宋体" w:hAnsi="宋体"/>
      <w:snapToGrid w:val="0"/>
      <w:color w:val="000000"/>
      <w:kern w:val="0"/>
      <w:sz w:val="20"/>
    </w:rPr>
  </w:style>
  <w:style w:type="character" w:customStyle="1" w:styleId="586">
    <w:name w:val="haydonli Char"/>
    <w:link w:val="585"/>
    <w:qFormat/>
    <w:uiPriority w:val="0"/>
    <w:rPr>
      <w:rFonts w:ascii="宋体" w:hAnsi="宋体"/>
      <w:snapToGrid w:val="0"/>
      <w:color w:val="000000"/>
      <w:szCs w:val="21"/>
    </w:rPr>
  </w:style>
  <w:style w:type="paragraph" w:customStyle="1" w:styleId="587">
    <w:name w:val="Char Char Char Char Char Char Char Char Char Char Char Char Char2"/>
    <w:basedOn w:val="1"/>
    <w:qFormat/>
    <w:uiPriority w:val="0"/>
    <w:pPr>
      <w:tabs>
        <w:tab w:val="left" w:pos="1191"/>
      </w:tabs>
      <w:spacing w:line="360" w:lineRule="auto"/>
      <w:ind w:firstLine="200" w:firstLineChars="200"/>
    </w:pPr>
    <w:rPr>
      <w:rFonts w:ascii="宋体" w:hAnsi="宋体" w:cs="宋体"/>
      <w:sz w:val="24"/>
      <w:szCs w:val="24"/>
    </w:rPr>
  </w:style>
  <w:style w:type="paragraph" w:customStyle="1" w:styleId="588">
    <w:name w:val="表后文"/>
    <w:basedOn w:val="1"/>
    <w:qFormat/>
    <w:uiPriority w:val="0"/>
    <w:pPr>
      <w:tabs>
        <w:tab w:val="left" w:pos="1191"/>
      </w:tabs>
      <w:adjustRightInd w:val="0"/>
      <w:spacing w:before="120" w:line="400" w:lineRule="exact"/>
      <w:ind w:firstLine="601"/>
      <w:textAlignment w:val="baseline"/>
    </w:pPr>
    <w:rPr>
      <w:rFonts w:ascii="Times New Roman" w:hAnsi="Times New Roman" w:eastAsia="楷体_GB2312"/>
      <w:spacing w:val="8"/>
      <w:kern w:val="0"/>
      <w:sz w:val="28"/>
      <w:szCs w:val="20"/>
    </w:rPr>
  </w:style>
  <w:style w:type="character" w:customStyle="1" w:styleId="589">
    <w:name w:val="正文文字 2 Char Char"/>
    <w:qFormat/>
    <w:uiPriority w:val="0"/>
    <w:rPr>
      <w:rFonts w:eastAsia="宋体"/>
      <w:kern w:val="2"/>
      <w:sz w:val="18"/>
      <w:szCs w:val="24"/>
      <w:lang w:val="en-US" w:eastAsia="zh-CN" w:bidi="ar-SA"/>
    </w:rPr>
  </w:style>
  <w:style w:type="paragraph" w:customStyle="1" w:styleId="590">
    <w:name w:val="Char Char Char Char Char Char Char Char Char Char Char Char Char3"/>
    <w:basedOn w:val="1"/>
    <w:qFormat/>
    <w:uiPriority w:val="0"/>
    <w:pPr>
      <w:spacing w:line="360" w:lineRule="auto"/>
      <w:ind w:firstLine="200" w:firstLineChars="200"/>
    </w:pPr>
    <w:rPr>
      <w:rFonts w:ascii="宋体" w:hAnsi="宋体" w:cs="宋体"/>
      <w:sz w:val="24"/>
      <w:szCs w:val="24"/>
    </w:rPr>
  </w:style>
  <w:style w:type="paragraph" w:customStyle="1" w:styleId="591">
    <w:name w:val="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592">
    <w:name w:val="12 Char"/>
    <w:basedOn w:val="1"/>
    <w:qFormat/>
    <w:uiPriority w:val="0"/>
    <w:pPr>
      <w:spacing w:line="360" w:lineRule="auto"/>
      <w:ind w:firstLine="200" w:firstLineChars="200"/>
    </w:pPr>
    <w:rPr>
      <w:rFonts w:ascii="宋体" w:hAnsi="宋体" w:cs="宋体"/>
      <w:sz w:val="24"/>
      <w:szCs w:val="24"/>
    </w:rPr>
  </w:style>
  <w:style w:type="paragraph" w:customStyle="1" w:styleId="593">
    <w:name w:val="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594">
    <w:name w:val="Char Char Char1"/>
    <w:basedOn w:val="1"/>
    <w:qFormat/>
    <w:uiPriority w:val="0"/>
    <w:pPr>
      <w:spacing w:line="360" w:lineRule="auto"/>
      <w:ind w:firstLine="200" w:firstLineChars="200"/>
    </w:pPr>
    <w:rPr>
      <w:rFonts w:ascii="宋体" w:hAnsi="宋体" w:cs="宋体"/>
      <w:sz w:val="24"/>
      <w:szCs w:val="24"/>
    </w:rPr>
  </w:style>
  <w:style w:type="paragraph" w:customStyle="1" w:styleId="595">
    <w:name w:val="样式 正文文本缩进 3正文文字缩进 3 + 首行缩进:  1.18 厘米"/>
    <w:basedOn w:val="55"/>
    <w:qFormat/>
    <w:uiPriority w:val="0"/>
    <w:pPr>
      <w:tabs>
        <w:tab w:val="left" w:pos="8790"/>
      </w:tabs>
      <w:adjustRightInd w:val="0"/>
      <w:snapToGrid w:val="0"/>
      <w:spacing w:before="40" w:after="0" w:line="276" w:lineRule="auto"/>
      <w:ind w:left="-37" w:leftChars="0" w:firstLine="667"/>
    </w:pPr>
    <w:rPr>
      <w:rFonts w:ascii="Arial" w:hAnsi="Arial" w:cs="宋体"/>
      <w:snapToGrid w:val="0"/>
      <w:color w:val="000000"/>
      <w:spacing w:val="6"/>
      <w:kern w:val="28"/>
      <w:sz w:val="24"/>
      <w:szCs w:val="20"/>
    </w:rPr>
  </w:style>
  <w:style w:type="paragraph" w:customStyle="1" w:styleId="596">
    <w:name w:val="Char Char Char Char Char Char Char Char1 Char Char Char Char"/>
    <w:basedOn w:val="1"/>
    <w:qFormat/>
    <w:uiPriority w:val="0"/>
    <w:rPr>
      <w:rFonts w:ascii="Times New Roman" w:hAnsi="Times New Roman"/>
      <w:szCs w:val="24"/>
    </w:rPr>
  </w:style>
  <w:style w:type="paragraph" w:customStyle="1" w:styleId="597">
    <w:name w:val="样式 观音岩正文段落 + 段前: 0.5 行 段后: 0.5 行"/>
    <w:basedOn w:val="1"/>
    <w:qFormat/>
    <w:uiPriority w:val="0"/>
    <w:pPr>
      <w:adjustRightInd w:val="0"/>
      <w:snapToGrid w:val="0"/>
      <w:spacing w:line="360" w:lineRule="auto"/>
      <w:ind w:firstLine="482"/>
    </w:pPr>
    <w:rPr>
      <w:rFonts w:ascii="Arial" w:hAnsi="Arial" w:cs="宋体"/>
      <w:sz w:val="24"/>
      <w:szCs w:val="20"/>
    </w:rPr>
  </w:style>
  <w:style w:type="paragraph" w:customStyle="1" w:styleId="598">
    <w:name w:val="正文1 小四"/>
    <w:basedOn w:val="1"/>
    <w:qFormat/>
    <w:uiPriority w:val="0"/>
    <w:pPr>
      <w:adjustRightInd w:val="0"/>
      <w:spacing w:line="420" w:lineRule="exact"/>
      <w:ind w:firstLine="200" w:firstLineChars="200"/>
      <w:jc w:val="left"/>
      <w:textAlignment w:val="baseline"/>
    </w:pPr>
    <w:rPr>
      <w:rFonts w:ascii="Times New Roman" w:hAnsi="Times New Roman"/>
      <w:kern w:val="0"/>
      <w:sz w:val="24"/>
      <w:szCs w:val="20"/>
    </w:rPr>
  </w:style>
  <w:style w:type="paragraph" w:customStyle="1" w:styleId="599">
    <w:name w:val="Char Char2 Char Char Char Char"/>
    <w:basedOn w:val="4"/>
    <w:qFormat/>
    <w:uiPriority w:val="0"/>
    <w:pPr>
      <w:numPr>
        <w:ilvl w:val="0"/>
        <w:numId w:val="0"/>
      </w:numPr>
      <w:tabs>
        <w:tab w:val="left" w:pos="900"/>
      </w:tabs>
      <w:adjustRightInd/>
      <w:spacing w:before="120" w:after="120"/>
      <w:ind w:left="542" w:leftChars="-12" w:firstLine="200" w:firstLineChars="200"/>
      <w:jc w:val="left"/>
    </w:pPr>
    <w:rPr>
      <w:rFonts w:eastAsia="黑体"/>
      <w:b w:val="0"/>
      <w:bCs w:val="0"/>
      <w:snapToGrid w:val="0"/>
      <w:szCs w:val="24"/>
    </w:rPr>
  </w:style>
  <w:style w:type="paragraph" w:customStyle="1" w:styleId="600">
    <w:name w:val="Char Char Char Char1 Char Char Char1"/>
    <w:basedOn w:val="4"/>
    <w:next w:val="129"/>
    <w:qFormat/>
    <w:uiPriority w:val="0"/>
    <w:pPr>
      <w:numPr>
        <w:ilvl w:val="0"/>
        <w:numId w:val="0"/>
      </w:numPr>
      <w:tabs>
        <w:tab w:val="left" w:pos="1260"/>
      </w:tabs>
      <w:adjustRightInd/>
      <w:snapToGrid/>
      <w:spacing w:beforeLines="50" w:afterLines="20"/>
      <w:ind w:left="1260" w:hanging="420"/>
    </w:pPr>
    <w:rPr>
      <w:rFonts w:ascii="宋体" w:hAnsi="宋体" w:eastAsia="黑体" w:cs="宋体"/>
      <w:b w:val="0"/>
      <w:bCs w:val="0"/>
      <w:szCs w:val="24"/>
    </w:rPr>
  </w:style>
  <w:style w:type="paragraph" w:customStyle="1" w:styleId="601">
    <w:name w:val="样式 标题 3Section条标题1.1.1标题 33标题 13(F4)小节标题4(C+F3)标题 3 Cha..."/>
    <w:basedOn w:val="4"/>
    <w:qFormat/>
    <w:uiPriority w:val="0"/>
    <w:pPr>
      <w:numPr>
        <w:ilvl w:val="0"/>
        <w:numId w:val="0"/>
      </w:numPr>
      <w:tabs>
        <w:tab w:val="left" w:pos="1260"/>
      </w:tabs>
      <w:adjustRightInd/>
      <w:snapToGrid/>
      <w:spacing w:beforeLines="50" w:afterLines="20" w:line="400" w:lineRule="exact"/>
      <w:ind w:left="1260" w:hanging="420"/>
    </w:pPr>
    <w:rPr>
      <w:rFonts w:eastAsia="黑体" w:cs="宋体"/>
      <w:b w:val="0"/>
      <w:bCs w:val="0"/>
      <w:color w:val="FF0000"/>
      <w:szCs w:val="20"/>
    </w:rPr>
  </w:style>
  <w:style w:type="character" w:customStyle="1" w:styleId="602">
    <w:name w:val="标题1.1.1.1.1 Char1"/>
    <w:qFormat/>
    <w:uiPriority w:val="0"/>
    <w:rPr>
      <w:rFonts w:ascii="黑体" w:hAnsi="宋体" w:eastAsia="黑体"/>
      <w:kern w:val="2"/>
      <w:sz w:val="24"/>
      <w:lang w:val="en-US" w:eastAsia="zh-CN" w:bidi="ar-SA"/>
    </w:rPr>
  </w:style>
  <w:style w:type="character" w:customStyle="1" w:styleId="603">
    <w:name w:val="dc1"/>
    <w:qFormat/>
    <w:uiPriority w:val="0"/>
    <w:rPr>
      <w:rFonts w:hint="eastAsia" w:ascii="宋体" w:hAnsi="宋体" w:eastAsia="宋体"/>
      <w:sz w:val="18"/>
      <w:szCs w:val="18"/>
    </w:rPr>
  </w:style>
  <w:style w:type="character" w:customStyle="1" w:styleId="604">
    <w:name w:val="11p"/>
    <w:basedOn w:val="74"/>
    <w:qFormat/>
    <w:uiPriority w:val="0"/>
  </w:style>
  <w:style w:type="character" w:customStyle="1" w:styleId="605">
    <w:name w:val="readnewstitle"/>
    <w:basedOn w:val="74"/>
    <w:qFormat/>
    <w:uiPriority w:val="0"/>
  </w:style>
  <w:style w:type="character" w:customStyle="1" w:styleId="606">
    <w:name w:val="lh22px"/>
    <w:basedOn w:val="74"/>
    <w:qFormat/>
    <w:uiPriority w:val="0"/>
  </w:style>
  <w:style w:type="character" w:customStyle="1" w:styleId="607">
    <w:name w:val="标题 1.1 Char"/>
    <w:qFormat/>
    <w:uiPriority w:val="0"/>
    <w:rPr>
      <w:rFonts w:eastAsia="黑体"/>
      <w:kern w:val="2"/>
      <w:sz w:val="28"/>
      <w:szCs w:val="32"/>
      <w:lang w:val="en-US" w:eastAsia="zh-CN" w:bidi="ar-SA"/>
    </w:rPr>
  </w:style>
  <w:style w:type="character" w:customStyle="1" w:styleId="608">
    <w:name w:val="zye"/>
    <w:basedOn w:val="74"/>
    <w:qFormat/>
    <w:uiPriority w:val="0"/>
  </w:style>
  <w:style w:type="character" w:customStyle="1" w:styleId="609">
    <w:name w:val="Char Char10"/>
    <w:qFormat/>
    <w:uiPriority w:val="0"/>
    <w:rPr>
      <w:rFonts w:ascii="Calibri" w:hAnsi="Calibri" w:eastAsia="宋体"/>
      <w:b/>
      <w:bCs/>
      <w:kern w:val="2"/>
      <w:sz w:val="32"/>
      <w:szCs w:val="32"/>
      <w:lang w:val="en-US" w:eastAsia="zh-CN" w:bidi="ar-SA"/>
    </w:rPr>
  </w:style>
  <w:style w:type="paragraph" w:customStyle="1" w:styleId="610">
    <w:name w:val="Char Char1 Char Char Char Char"/>
    <w:basedOn w:val="1"/>
    <w:qFormat/>
    <w:uiPriority w:val="0"/>
    <w:rPr>
      <w:rFonts w:ascii="Times New Roman" w:hAnsi="Times New Roman"/>
      <w:szCs w:val="24"/>
    </w:rPr>
  </w:style>
  <w:style w:type="paragraph" w:customStyle="1" w:styleId="611">
    <w:name w:val="标题C"/>
    <w:qFormat/>
    <w:uiPriority w:val="0"/>
    <w:pPr>
      <w:tabs>
        <w:tab w:val="left" w:pos="0"/>
      </w:tabs>
      <w:adjustRightInd w:val="0"/>
      <w:snapToGrid w:val="0"/>
      <w:spacing w:before="300"/>
      <w:outlineLvl w:val="2"/>
    </w:pPr>
    <w:rPr>
      <w:rFonts w:ascii="Times New Roman" w:hAnsi="Times New Roman" w:eastAsia="宋体" w:cs="Times New Roman"/>
      <w:b/>
      <w:snapToGrid w:val="0"/>
      <w:sz w:val="28"/>
      <w:lang w:val="en-US" w:eastAsia="zh-CN" w:bidi="ar-SA"/>
    </w:rPr>
  </w:style>
  <w:style w:type="paragraph" w:customStyle="1" w:styleId="612">
    <w:name w:val="正文new"/>
    <w:basedOn w:val="1"/>
    <w:qFormat/>
    <w:uiPriority w:val="0"/>
    <w:pPr>
      <w:spacing w:line="360" w:lineRule="auto"/>
      <w:ind w:firstLine="200" w:firstLineChars="200"/>
    </w:pPr>
    <w:rPr>
      <w:rFonts w:ascii="Times New Roman" w:hAnsi="Times New Roman" w:cs="宋体"/>
      <w:sz w:val="28"/>
      <w:szCs w:val="20"/>
    </w:rPr>
  </w:style>
  <w:style w:type="paragraph" w:customStyle="1" w:styleId="613">
    <w:name w:val="报告书正文 Char Char"/>
    <w:basedOn w:val="1"/>
    <w:qFormat/>
    <w:uiPriority w:val="0"/>
    <w:pPr>
      <w:spacing w:line="300" w:lineRule="auto"/>
      <w:ind w:firstLine="480" w:firstLineChars="200"/>
    </w:pPr>
    <w:rPr>
      <w:rFonts w:ascii="Times New Roman" w:hAnsi="Times New Roman"/>
      <w:color w:val="000000"/>
      <w:sz w:val="24"/>
      <w:szCs w:val="24"/>
    </w:rPr>
  </w:style>
  <w:style w:type="paragraph" w:customStyle="1" w:styleId="614">
    <w:name w:val="1 Char"/>
    <w:basedOn w:val="1"/>
    <w:qFormat/>
    <w:uiPriority w:val="0"/>
    <w:pPr>
      <w:keepNext/>
      <w:keepLines/>
      <w:spacing w:before="120" w:after="60"/>
      <w:jc w:val="left"/>
      <w:outlineLvl w:val="2"/>
    </w:pPr>
    <w:rPr>
      <w:rFonts w:ascii="Times New Roman" w:hAnsi="Times New Roman"/>
      <w:bCs/>
      <w:kern w:val="0"/>
      <w:szCs w:val="24"/>
    </w:rPr>
  </w:style>
  <w:style w:type="paragraph" w:customStyle="1" w:styleId="615">
    <w:name w:val="正文格式"/>
    <w:basedOn w:val="1"/>
    <w:semiHidden/>
    <w:qFormat/>
    <w:uiPriority w:val="0"/>
    <w:pPr>
      <w:spacing w:line="360" w:lineRule="auto"/>
      <w:ind w:firstLine="482"/>
    </w:pPr>
    <w:rPr>
      <w:rFonts w:ascii="宋体" w:hAnsi="Times New Roman"/>
      <w:sz w:val="24"/>
      <w:szCs w:val="24"/>
    </w:rPr>
  </w:style>
  <w:style w:type="character" w:customStyle="1" w:styleId="616">
    <w:name w:val="a61"/>
    <w:qFormat/>
    <w:uiPriority w:val="0"/>
    <w:rPr>
      <w:rFonts w:hint="eastAsia" w:ascii="宋体" w:hAnsi="宋体" w:eastAsia="宋体"/>
      <w:sz w:val="23"/>
      <w:szCs w:val="23"/>
    </w:rPr>
  </w:style>
  <w:style w:type="character" w:customStyle="1" w:styleId="617">
    <w:name w:val="表头 Char"/>
    <w:qFormat/>
    <w:uiPriority w:val="0"/>
    <w:rPr>
      <w:rFonts w:ascii="宋体" w:hAnsi="宋体" w:eastAsia="宋体" w:cs="Times New Roman"/>
      <w:b/>
      <w:bCs/>
      <w:szCs w:val="21"/>
    </w:rPr>
  </w:style>
  <w:style w:type="paragraph" w:customStyle="1" w:styleId="618">
    <w:name w:val="Char1 Char Char Char"/>
    <w:basedOn w:val="1"/>
    <w:qFormat/>
    <w:uiPriority w:val="0"/>
    <w:pPr>
      <w:spacing w:line="360" w:lineRule="auto"/>
      <w:ind w:firstLine="200" w:firstLineChars="200"/>
    </w:pPr>
    <w:rPr>
      <w:rFonts w:ascii="宋体" w:hAnsi="宋体" w:cs="宋体"/>
      <w:sz w:val="24"/>
      <w:szCs w:val="24"/>
    </w:rPr>
  </w:style>
  <w:style w:type="character" w:customStyle="1" w:styleId="619">
    <w:name w:val="ft"/>
    <w:qFormat/>
    <w:uiPriority w:val="0"/>
  </w:style>
  <w:style w:type="character" w:customStyle="1" w:styleId="620">
    <w:name w:val="labeltitle1"/>
    <w:qFormat/>
    <w:uiPriority w:val="0"/>
    <w:rPr>
      <w:b/>
      <w:bCs/>
      <w:sz w:val="39"/>
      <w:szCs w:val="39"/>
    </w:rPr>
  </w:style>
  <w:style w:type="paragraph" w:styleId="621">
    <w:name w:val="No Spacing"/>
    <w:qFormat/>
    <w:uiPriority w:val="1"/>
    <w:pPr>
      <w:widowControl w:val="0"/>
      <w:ind w:firstLine="425"/>
      <w:jc w:val="both"/>
    </w:pPr>
    <w:rPr>
      <w:rFonts w:ascii="Times New Roman" w:hAnsi="Times New Roman" w:eastAsia="宋体" w:cs="Times New Roman"/>
      <w:kern w:val="2"/>
      <w:sz w:val="24"/>
      <w:lang w:val="en-US" w:eastAsia="zh-CN" w:bidi="ar-SA"/>
    </w:rPr>
  </w:style>
  <w:style w:type="paragraph" w:customStyle="1" w:styleId="622">
    <w:name w:val="Char Char Char Char1 Char Char Char2"/>
    <w:basedOn w:val="4"/>
    <w:next w:val="129"/>
    <w:qFormat/>
    <w:uiPriority w:val="0"/>
    <w:pPr>
      <w:numPr>
        <w:ilvl w:val="0"/>
        <w:numId w:val="0"/>
      </w:numPr>
      <w:tabs>
        <w:tab w:val="left" w:pos="1260"/>
      </w:tabs>
      <w:adjustRightInd/>
      <w:snapToGrid/>
      <w:spacing w:before="50" w:after="20"/>
      <w:ind w:left="1260" w:hanging="420"/>
    </w:pPr>
    <w:rPr>
      <w:rFonts w:ascii="宋体" w:hAnsi="宋体" w:eastAsia="楷体" w:cs="宋体"/>
      <w:bCs w:val="0"/>
      <w:i/>
      <w:szCs w:val="24"/>
    </w:rPr>
  </w:style>
  <w:style w:type="paragraph" w:customStyle="1" w:styleId="623">
    <w:name w:val="表文"/>
    <w:basedOn w:val="172"/>
    <w:qFormat/>
    <w:uiPriority w:val="0"/>
    <w:pPr>
      <w:spacing w:beforeLines="20" w:after="20" w:afterLines="20" w:line="240" w:lineRule="auto"/>
      <w:ind w:left="-25" w:leftChars="-25" w:right="-25" w:rightChars="-25" w:firstLine="200"/>
    </w:pPr>
    <w:rPr>
      <w:rFonts w:ascii="宋体" w:hAnsi="宋体"/>
      <w:b w:val="0"/>
      <w:kern w:val="0"/>
      <w:sz w:val="18"/>
      <w:szCs w:val="21"/>
    </w:rPr>
  </w:style>
  <w:style w:type="paragraph" w:customStyle="1" w:styleId="624">
    <w:name w:val="Char Char Char2"/>
    <w:basedOn w:val="1"/>
    <w:qFormat/>
    <w:uiPriority w:val="0"/>
    <w:rPr>
      <w:rFonts w:ascii="Times New Roman" w:hAnsi="Times New Roman"/>
    </w:rPr>
  </w:style>
  <w:style w:type="character" w:customStyle="1" w:styleId="625">
    <w:name w:val="apple-style-span"/>
    <w:qFormat/>
    <w:uiPriority w:val="0"/>
  </w:style>
  <w:style w:type="table" w:customStyle="1" w:styleId="626">
    <w:name w:val="典雅型1"/>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627">
    <w:name w:val="典雅型2"/>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628">
    <w:name w:val="典雅型3"/>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629">
    <w:name w:val="典雅型4"/>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630">
    <w:name w:val="典雅型5"/>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631">
    <w:name w:val="典雅型6"/>
    <w:basedOn w:val="71"/>
    <w:qFormat/>
    <w:uiPriority w:val="0"/>
    <w:pPr>
      <w:widowControl w:val="0"/>
      <w:jc w:val="both"/>
    </w:pPr>
    <w:rPr>
      <w:rFonts w:ascii="Calibri" w:hAnsi="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paragraph" w:customStyle="1" w:styleId="632">
    <w:name w:val="ming－正文"/>
    <w:basedOn w:val="1"/>
    <w:qFormat/>
    <w:uiPriority w:val="0"/>
    <w:pPr>
      <w:spacing w:line="360" w:lineRule="auto"/>
      <w:ind w:firstLine="200" w:firstLineChars="200"/>
    </w:pPr>
    <w:rPr>
      <w:rFonts w:ascii="Times New Roman" w:hAnsi="Times New Roman"/>
      <w:sz w:val="28"/>
      <w:szCs w:val="28"/>
    </w:rPr>
  </w:style>
  <w:style w:type="paragraph" w:customStyle="1" w:styleId="633">
    <w:name w:val="T正文"/>
    <w:qFormat/>
    <w:uiPriority w:val="0"/>
    <w:pPr>
      <w:widowControl w:val="0"/>
      <w:adjustRightInd w:val="0"/>
      <w:snapToGrid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634">
    <w:name w:val="why－正文"/>
    <w:basedOn w:val="1"/>
    <w:qFormat/>
    <w:uiPriority w:val="0"/>
    <w:pPr>
      <w:tabs>
        <w:tab w:val="left" w:pos="900"/>
      </w:tabs>
      <w:spacing w:line="360" w:lineRule="auto"/>
      <w:ind w:firstLine="480" w:firstLineChars="200"/>
    </w:pPr>
    <w:rPr>
      <w:rFonts w:ascii="Times New Roman" w:hAnsi="Times New Roman"/>
      <w:sz w:val="24"/>
      <w:szCs w:val="28"/>
    </w:rPr>
  </w:style>
  <w:style w:type="character" w:customStyle="1" w:styleId="635">
    <w:name w:val="Mention"/>
    <w:basedOn w:val="74"/>
    <w:semiHidden/>
    <w:unhideWhenUsed/>
    <w:qFormat/>
    <w:uiPriority w:val="99"/>
    <w:rPr>
      <w:color w:val="2B579A"/>
      <w:shd w:val="clear" w:color="auto" w:fill="E6E6E6"/>
    </w:rPr>
  </w:style>
  <w:style w:type="paragraph" w:customStyle="1" w:styleId="636">
    <w:name w:val="标题 61"/>
    <w:basedOn w:val="1"/>
    <w:qFormat/>
    <w:uiPriority w:val="1"/>
    <w:pPr>
      <w:ind w:left="120"/>
      <w:jc w:val="left"/>
      <w:outlineLvl w:val="6"/>
    </w:pPr>
    <w:rPr>
      <w:rFonts w:ascii="Courier New" w:hAnsi="Courier New" w:eastAsia="Courier New" w:cs="黑体"/>
      <w:b/>
      <w:bCs/>
      <w:kern w:val="0"/>
      <w:sz w:val="30"/>
      <w:szCs w:val="30"/>
      <w:lang w:eastAsia="en-US"/>
    </w:rPr>
  </w:style>
  <w:style w:type="character" w:customStyle="1" w:styleId="637">
    <w:name w:val="font121"/>
    <w:basedOn w:val="74"/>
    <w:qFormat/>
    <w:uiPriority w:val="0"/>
    <w:rPr>
      <w:rFonts w:hint="eastAsia" w:ascii="宋体" w:hAnsi="宋体" w:eastAsia="宋体" w:cs="宋体"/>
      <w:color w:val="000000"/>
      <w:sz w:val="22"/>
      <w:szCs w:val="22"/>
      <w:u w:val="none"/>
    </w:rPr>
  </w:style>
  <w:style w:type="character" w:customStyle="1" w:styleId="638">
    <w:name w:val="font131"/>
    <w:basedOn w:val="74"/>
    <w:qFormat/>
    <w:uiPriority w:val="0"/>
    <w:rPr>
      <w:rFonts w:hint="eastAsia" w:ascii="宋体" w:hAnsi="宋体" w:eastAsia="宋体" w:cs="宋体"/>
      <w:color w:val="000000"/>
      <w:sz w:val="22"/>
      <w:szCs w:val="22"/>
      <w:u w:val="none"/>
    </w:rPr>
  </w:style>
  <w:style w:type="character" w:customStyle="1" w:styleId="639">
    <w:name w:val="font81"/>
    <w:basedOn w:val="74"/>
    <w:qFormat/>
    <w:uiPriority w:val="0"/>
    <w:rPr>
      <w:rFonts w:hint="default" w:ascii="Times New Roman" w:hAnsi="Times New Roman" w:cs="Times New Roman"/>
      <w:b/>
      <w:color w:val="000000"/>
      <w:sz w:val="22"/>
      <w:szCs w:val="22"/>
      <w:u w:val="none"/>
    </w:rPr>
  </w:style>
  <w:style w:type="character" w:customStyle="1" w:styleId="640">
    <w:name w:val="font141"/>
    <w:basedOn w:val="74"/>
    <w:qFormat/>
    <w:uiPriority w:val="0"/>
    <w:rPr>
      <w:rFonts w:hint="eastAsia" w:ascii="宋体" w:hAnsi="宋体" w:eastAsia="宋体" w:cs="宋体"/>
      <w:color w:val="000000"/>
      <w:sz w:val="21"/>
      <w:szCs w:val="21"/>
      <w:u w:val="none"/>
    </w:rPr>
  </w:style>
  <w:style w:type="character" w:customStyle="1" w:styleId="641">
    <w:name w:val="font161"/>
    <w:basedOn w:val="74"/>
    <w:qFormat/>
    <w:uiPriority w:val="0"/>
    <w:rPr>
      <w:rFonts w:hint="eastAsia" w:ascii="宋体" w:hAnsi="宋体" w:eastAsia="宋体" w:cs="宋体"/>
      <w:b/>
      <w:color w:val="000000"/>
      <w:sz w:val="22"/>
      <w:szCs w:val="22"/>
      <w:u w:val="none"/>
    </w:rPr>
  </w:style>
  <w:style w:type="character" w:customStyle="1" w:styleId="642">
    <w:name w:val="font61"/>
    <w:basedOn w:val="74"/>
    <w:qFormat/>
    <w:uiPriority w:val="0"/>
    <w:rPr>
      <w:rFonts w:hint="eastAsia" w:ascii="宋体" w:hAnsi="宋体" w:eastAsia="宋体" w:cs="宋体"/>
      <w:color w:val="000000"/>
      <w:sz w:val="22"/>
      <w:szCs w:val="22"/>
      <w:u w:val="none"/>
    </w:rPr>
  </w:style>
  <w:style w:type="paragraph" w:customStyle="1" w:styleId="643">
    <w:name w:val="001正文"/>
    <w:basedOn w:val="1"/>
    <w:qFormat/>
    <w:uiPriority w:val="0"/>
    <w:pPr>
      <w:spacing w:line="360" w:lineRule="auto"/>
      <w:ind w:firstLine="200" w:firstLineChars="200"/>
    </w:pPr>
    <w:rPr>
      <w:rFonts w:ascii="Times New Roman" w:hAnsi="宋体"/>
      <w:color w:val="000000"/>
      <w:sz w:val="24"/>
      <w:szCs w:val="24"/>
    </w:rPr>
  </w:style>
  <w:style w:type="character" w:customStyle="1" w:styleId="644">
    <w:name w:val="on"/>
    <w:basedOn w:val="74"/>
    <w:qFormat/>
    <w:uiPriority w:val="0"/>
    <w:rPr>
      <w:color w:val="FFFFFF"/>
      <w:shd w:val="clear" w:color="auto" w:fill="1F71FC"/>
    </w:rPr>
  </w:style>
  <w:style w:type="character" w:customStyle="1" w:styleId="645">
    <w:name w:val="font91"/>
    <w:basedOn w:val="74"/>
    <w:qFormat/>
    <w:uiPriority w:val="0"/>
    <w:rPr>
      <w:rFonts w:hint="default" w:ascii="Times New Roman" w:hAnsi="Times New Roman" w:cs="Times New Roman"/>
      <w:b/>
      <w:color w:val="000000"/>
      <w:sz w:val="22"/>
      <w:szCs w:val="22"/>
      <w:u w:val="none"/>
    </w:rPr>
  </w:style>
  <w:style w:type="character" w:customStyle="1" w:styleId="646">
    <w:name w:val="font71"/>
    <w:basedOn w:val="74"/>
    <w:qFormat/>
    <w:uiPriority w:val="0"/>
    <w:rPr>
      <w:rFonts w:hint="eastAsia" w:ascii="宋体" w:hAnsi="宋体" w:eastAsia="宋体" w:cs="宋体"/>
      <w:color w:val="000000"/>
      <w:sz w:val="22"/>
      <w:szCs w:val="22"/>
      <w:u w:val="none"/>
    </w:rPr>
  </w:style>
  <w:style w:type="character" w:customStyle="1" w:styleId="647">
    <w:name w:val="font111"/>
    <w:basedOn w:val="74"/>
    <w:qFormat/>
    <w:uiPriority w:val="0"/>
    <w:rPr>
      <w:rFonts w:hint="default" w:ascii="Times New Roman" w:hAnsi="Times New Roman" w:cs="Times New Roman"/>
      <w:b/>
      <w:color w:val="000000"/>
      <w:sz w:val="36"/>
      <w:szCs w:val="36"/>
      <w:u w:val="none"/>
    </w:rPr>
  </w:style>
  <w:style w:type="character" w:customStyle="1" w:styleId="648">
    <w:name w:val="font101"/>
    <w:basedOn w:val="74"/>
    <w:qFormat/>
    <w:uiPriority w:val="0"/>
    <w:rPr>
      <w:rFonts w:hint="eastAsia" w:ascii="宋体" w:hAnsi="宋体" w:eastAsia="宋体" w:cs="宋体"/>
      <w:color w:val="000000"/>
      <w:sz w:val="36"/>
      <w:szCs w:val="36"/>
      <w:u w:val="none"/>
    </w:rPr>
  </w:style>
  <w:style w:type="character" w:customStyle="1" w:styleId="649">
    <w:name w:val="font01"/>
    <w:basedOn w:val="74"/>
    <w:qFormat/>
    <w:uiPriority w:val="0"/>
    <w:rPr>
      <w:rFonts w:hint="eastAsia" w:ascii="宋体" w:hAnsi="宋体" w:eastAsia="宋体" w:cs="宋体"/>
      <w:b/>
      <w:color w:val="000000"/>
      <w:sz w:val="22"/>
      <w:szCs w:val="22"/>
      <w:u w:val="none"/>
    </w:rPr>
  </w:style>
  <w:style w:type="character" w:customStyle="1" w:styleId="650">
    <w:name w:val="pic"/>
    <w:basedOn w:val="74"/>
    <w:qFormat/>
    <w:uiPriority w:val="0"/>
  </w:style>
  <w:style w:type="character" w:customStyle="1" w:styleId="651">
    <w:name w:val="text"/>
    <w:basedOn w:val="74"/>
    <w:qFormat/>
    <w:uiPriority w:val="0"/>
    <w:rPr>
      <w:color w:val="888888"/>
      <w:sz w:val="18"/>
      <w:szCs w:val="18"/>
    </w:rPr>
  </w:style>
  <w:style w:type="character" w:customStyle="1" w:styleId="652">
    <w:name w:val="sels"/>
    <w:basedOn w:val="74"/>
    <w:qFormat/>
    <w:uiPriority w:val="0"/>
    <w:rPr>
      <w:bdr w:val="single" w:color="DAB76A" w:sz="6" w:space="0"/>
      <w:shd w:val="clear" w:color="auto" w:fill="FFFFFF"/>
    </w:rPr>
  </w:style>
  <w:style w:type="character" w:customStyle="1" w:styleId="653">
    <w:name w:val="sel"/>
    <w:basedOn w:val="74"/>
    <w:qFormat/>
    <w:uiPriority w:val="0"/>
  </w:style>
  <w:style w:type="character" w:customStyle="1" w:styleId="654">
    <w:name w:val="bds_more"/>
    <w:basedOn w:val="74"/>
    <w:qFormat/>
    <w:uiPriority w:val="0"/>
    <w:rPr>
      <w:rFonts w:hint="eastAsia" w:ascii="宋体" w:hAnsi="宋体" w:eastAsia="宋体" w:cs="宋体"/>
    </w:rPr>
  </w:style>
  <w:style w:type="character" w:customStyle="1" w:styleId="655">
    <w:name w:val="bds_more1"/>
    <w:basedOn w:val="74"/>
    <w:qFormat/>
    <w:uiPriority w:val="0"/>
  </w:style>
  <w:style w:type="character" w:customStyle="1" w:styleId="656">
    <w:name w:val="bds_more2"/>
    <w:basedOn w:val="74"/>
    <w:qFormat/>
    <w:uiPriority w:val="0"/>
  </w:style>
  <w:style w:type="character" w:customStyle="1" w:styleId="657">
    <w:name w:val="bds_nopic"/>
    <w:basedOn w:val="74"/>
    <w:qFormat/>
    <w:uiPriority w:val="0"/>
  </w:style>
  <w:style w:type="character" w:customStyle="1" w:styleId="658">
    <w:name w:val="bds_nopic1"/>
    <w:basedOn w:val="74"/>
    <w:qFormat/>
    <w:uiPriority w:val="0"/>
  </w:style>
  <w:style w:type="character" w:customStyle="1" w:styleId="659">
    <w:name w:val="bds_nopic2"/>
    <w:basedOn w:val="74"/>
    <w:qFormat/>
    <w:uiPriority w:val="0"/>
  </w:style>
  <w:style w:type="paragraph" w:customStyle="1" w:styleId="660">
    <w:name w:val="表格字体"/>
    <w:qFormat/>
    <w:uiPriority w:val="0"/>
    <w:pPr>
      <w:jc w:val="center"/>
    </w:pPr>
    <w:rPr>
      <w:rFonts w:ascii="Times New Roman" w:hAnsi="Times New Roman" w:eastAsia="宋体" w:cs="Times New Roman"/>
      <w:color w:val="000000"/>
      <w:sz w:val="21"/>
      <w:szCs w:val="21"/>
      <w:lang w:val="en-US" w:eastAsia="zh-CN" w:bidi="ar-SA"/>
    </w:rPr>
  </w:style>
  <w:style w:type="paragraph" w:customStyle="1" w:styleId="661">
    <w:name w:val="WPSOffice手动目录 2"/>
    <w:qFormat/>
    <w:uiPriority w:val="0"/>
    <w:pPr>
      <w:ind w:left="200" w:leftChars="200"/>
    </w:pPr>
    <w:rPr>
      <w:rFonts w:ascii="Calibri" w:hAnsi="Calibri" w:eastAsia="宋体" w:cs="Times New Roman"/>
      <w:lang w:val="en-US" w:eastAsia="zh-CN" w:bidi="ar-SA"/>
    </w:rPr>
  </w:style>
  <w:style w:type="paragraph" w:customStyle="1" w:styleId="662">
    <w:name w:val="WPSOffice手动目录 3"/>
    <w:qFormat/>
    <w:uiPriority w:val="0"/>
    <w:pPr>
      <w:ind w:left="400" w:leftChars="400"/>
    </w:pPr>
    <w:rPr>
      <w:rFonts w:ascii="Calibri" w:hAnsi="Calibri" w:eastAsia="宋体" w:cs="Times New Roman"/>
      <w:lang w:val="en-US" w:eastAsia="zh-CN" w:bidi="ar-SA"/>
    </w:rPr>
  </w:style>
  <w:style w:type="character" w:customStyle="1" w:styleId="663">
    <w:name w:val="keyword-span-wrap"/>
    <w:basedOn w:val="74"/>
    <w:qFormat/>
    <w:uiPriority w:val="0"/>
    <w:rPr>
      <w:color w:val="19A97B"/>
    </w:rPr>
  </w:style>
  <w:style w:type="character" w:customStyle="1" w:styleId="664">
    <w:name w:val="wx-space"/>
    <w:basedOn w:val="74"/>
    <w:qFormat/>
    <w:uiPriority w:val="0"/>
  </w:style>
  <w:style w:type="character" w:customStyle="1" w:styleId="665">
    <w:name w:val="wx-space1"/>
    <w:basedOn w:val="74"/>
    <w:qFormat/>
    <w:uiPriority w:val="0"/>
  </w:style>
  <w:style w:type="character" w:customStyle="1" w:styleId="666">
    <w:name w:val="hover37"/>
    <w:basedOn w:val="74"/>
    <w:qFormat/>
    <w:uiPriority w:val="0"/>
    <w:rPr>
      <w:color w:val="47932F"/>
      <w:u w:val="none"/>
      <w:bdr w:val="single" w:color="47932F" w:sz="6" w:space="0"/>
    </w:rPr>
  </w:style>
  <w:style w:type="character" w:customStyle="1" w:styleId="667">
    <w:name w:val="hover38"/>
    <w:basedOn w:val="74"/>
    <w:qFormat/>
    <w:uiPriority w:val="0"/>
    <w:rPr>
      <w:color w:val="000000"/>
      <w:shd w:val="clear" w:color="auto" w:fill="FFFFFF"/>
    </w:rPr>
  </w:style>
  <w:style w:type="character" w:customStyle="1" w:styleId="668">
    <w:name w:val="layui-this"/>
    <w:basedOn w:val="74"/>
    <w:qFormat/>
    <w:uiPriority w:val="0"/>
    <w:rPr>
      <w:bdr w:val="single" w:color="EEEEEE" w:sz="6" w:space="0"/>
      <w:shd w:val="clear" w:color="auto" w:fill="FFFFFF"/>
    </w:rPr>
  </w:style>
  <w:style w:type="character" w:customStyle="1" w:styleId="669">
    <w:name w:val="first-child"/>
    <w:basedOn w:val="74"/>
    <w:qFormat/>
    <w:uiPriority w:val="0"/>
  </w:style>
  <w:style w:type="character" w:customStyle="1" w:styleId="670">
    <w:name w:val="button"/>
    <w:basedOn w:val="74"/>
    <w:qFormat/>
    <w:uiPriority w:val="0"/>
  </w:style>
  <w:style w:type="character" w:customStyle="1" w:styleId="671">
    <w:name w:val="hover"/>
    <w:basedOn w:val="74"/>
    <w:qFormat/>
    <w:uiPriority w:val="0"/>
    <w:rPr>
      <w:color w:val="47932F"/>
      <w:u w:val="none"/>
      <w:bdr w:val="single" w:color="47932F" w:sz="6" w:space="0"/>
    </w:rPr>
  </w:style>
  <w:style w:type="character" w:customStyle="1" w:styleId="672">
    <w:name w:val="hover1"/>
    <w:basedOn w:val="74"/>
    <w:qFormat/>
    <w:uiPriority w:val="0"/>
    <w:rPr>
      <w:color w:val="000000"/>
      <w:shd w:val="clear" w:color="auto" w:fill="FFFFFF"/>
    </w:rPr>
  </w:style>
  <w:style w:type="paragraph" w:customStyle="1" w:styleId="673">
    <w:name w:val="修订111"/>
    <w:hidden/>
    <w:unhideWhenUsed/>
    <w:qFormat/>
    <w:uiPriority w:val="99"/>
    <w:rPr>
      <w:rFonts w:ascii="Calibri" w:hAnsi="Calibri" w:eastAsia="宋体" w:cs="Times New Roman"/>
      <w:kern w:val="2"/>
      <w:sz w:val="21"/>
      <w:szCs w:val="22"/>
      <w:lang w:val="en-US" w:eastAsia="zh-CN" w:bidi="ar-SA"/>
    </w:rPr>
  </w:style>
  <w:style w:type="paragraph" w:customStyle="1" w:styleId="674">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75">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paragraph" w:customStyle="1" w:styleId="676">
    <w:name w:val="图表脚注"/>
    <w:next w:val="674"/>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677">
    <w:name w:val="修订2"/>
    <w:hidden/>
    <w:unhideWhenUsed/>
    <w:qFormat/>
    <w:uiPriority w:val="99"/>
    <w:rPr>
      <w:rFonts w:ascii="Calibri" w:hAnsi="Calibri" w:eastAsia="宋体" w:cs="Times New Roman"/>
      <w:kern w:val="2"/>
      <w:sz w:val="21"/>
      <w:szCs w:val="22"/>
      <w:lang w:val="en-US" w:eastAsia="zh-CN" w:bidi="ar-SA"/>
    </w:rPr>
  </w:style>
  <w:style w:type="paragraph" w:customStyle="1" w:styleId="678">
    <w:name w:val="Normal_0"/>
    <w:qFormat/>
    <w:uiPriority w:val="0"/>
    <w:rPr>
      <w:rFonts w:ascii="Times New Roman" w:hAnsi="Times New Roman" w:eastAsia="Times New Roman" w:cs="Times New Roman"/>
      <w:sz w:val="24"/>
      <w:szCs w:val="24"/>
      <w:lang w:val="en-US" w:eastAsia="zh-CN" w:bidi="ar-SA"/>
    </w:rPr>
  </w:style>
  <w:style w:type="paragraph" w:customStyle="1" w:styleId="679">
    <w:name w:val="TOC 标题2"/>
    <w:basedOn w:val="2"/>
    <w:next w:val="1"/>
    <w:unhideWhenUsed/>
    <w:qFormat/>
    <w:uiPriority w:val="0"/>
    <w:pPr>
      <w:widowControl/>
      <w:numPr>
        <w:numId w:val="0"/>
      </w:numPr>
      <w:adjustRightInd/>
      <w:snapToGrid/>
      <w:spacing w:before="480" w:line="276" w:lineRule="auto"/>
      <w:jc w:val="left"/>
      <w:outlineLvl w:val="9"/>
    </w:pPr>
    <w:rPr>
      <w:rFonts w:asciiTheme="majorHAnsi" w:hAnsiTheme="majorHAnsi" w:eastAsiaTheme="majorEastAsia" w:cstheme="majorBidi"/>
      <w:b/>
      <w:color w:val="2E75B6" w:themeColor="accent1" w:themeShade="BF"/>
      <w:kern w:val="0"/>
      <w:sz w:val="28"/>
      <w:szCs w:val="28"/>
    </w:rPr>
  </w:style>
  <w:style w:type="paragraph" w:customStyle="1" w:styleId="680">
    <w:name w:val="样式 样式 正文缩进文本条款表格标题正文（首行缩进两字） Char Char Char Char Char Char Char....2"/>
    <w:basedOn w:val="1"/>
    <w:link w:val="681"/>
    <w:qFormat/>
    <w:uiPriority w:val="0"/>
    <w:pPr>
      <w:snapToGrid w:val="0"/>
      <w:spacing w:line="360" w:lineRule="auto"/>
      <w:ind w:firstLine="200" w:firstLineChars="200"/>
    </w:pPr>
    <w:rPr>
      <w:rFonts w:ascii="Times New Roman" w:hAnsi="Times New Roman" w:cs="宋体"/>
      <w:color w:val="000000"/>
      <w:sz w:val="28"/>
      <w:szCs w:val="20"/>
    </w:rPr>
  </w:style>
  <w:style w:type="character" w:customStyle="1" w:styleId="681">
    <w:name w:val="样式 样式 正文缩进文本条款表格标题正文（首行缩进两字） Char Char Char Char Char Char Char....2 Char"/>
    <w:link w:val="680"/>
    <w:qFormat/>
    <w:uiPriority w:val="0"/>
    <w:rPr>
      <w:rFonts w:cs="宋体"/>
      <w:color w:val="000000"/>
      <w:kern w:val="2"/>
      <w:sz w:val="28"/>
    </w:rPr>
  </w:style>
  <w:style w:type="paragraph" w:customStyle="1" w:styleId="682">
    <w:name w:val="监利表格注释"/>
    <w:basedOn w:val="58"/>
    <w:next w:val="1"/>
    <w:qFormat/>
    <w:uiPriority w:val="0"/>
    <w:pPr>
      <w:tabs>
        <w:tab w:val="left" w:pos="180"/>
      </w:tabs>
      <w:spacing w:before="0" w:line="560" w:lineRule="exact"/>
      <w:ind w:left="0"/>
    </w:pPr>
    <w:rPr>
      <w:rFonts w:eastAsiaTheme="minorEastAsia"/>
      <w:sz w:val="24"/>
      <w:szCs w:val="24"/>
    </w:rPr>
  </w:style>
  <w:style w:type="paragraph" w:customStyle="1" w:styleId="683">
    <w:name w:val="监利正文"/>
    <w:basedOn w:val="1"/>
    <w:next w:val="1"/>
    <w:qFormat/>
    <w:uiPriority w:val="0"/>
    <w:pPr>
      <w:ind w:firstLine="577" w:firstLineChars="200"/>
    </w:pPr>
    <w:rPr>
      <w:rFonts w:ascii="仿宋_GB2312" w:hAnsi="Times New Roman" w:eastAsia="仿宋_GB2312"/>
      <w:color w:val="000000"/>
      <w:sz w:val="28"/>
      <w:szCs w:val="28"/>
    </w:rPr>
  </w:style>
  <w:style w:type="paragraph" w:customStyle="1" w:styleId="684">
    <w:name w:val="样式 监利正文 + 首行缩进:  2 字符"/>
    <w:basedOn w:val="683"/>
    <w:qFormat/>
    <w:uiPriority w:val="0"/>
    <w:rPr>
      <w:rFonts w:cs="宋体"/>
      <w:szCs w:val="20"/>
    </w:rPr>
  </w:style>
  <w:style w:type="paragraph" w:customStyle="1" w:styleId="685">
    <w:name w:val="0(1)"/>
    <w:basedOn w:val="18"/>
    <w:qFormat/>
    <w:uiPriority w:val="0"/>
    <w:pPr>
      <w:tabs>
        <w:tab w:val="left" w:pos="1080"/>
      </w:tabs>
      <w:adjustRightInd w:val="0"/>
      <w:spacing w:line="440" w:lineRule="exact"/>
      <w:ind w:left="720" w:firstLine="0" w:firstLineChars="0"/>
    </w:pPr>
    <w:rPr>
      <w:rFonts w:ascii="Times New Roman"/>
      <w:sz w:val="24"/>
      <w:szCs w:val="24"/>
      <w:u w:color="000000"/>
    </w:rPr>
  </w:style>
  <w:style w:type="paragraph" w:customStyle="1" w:styleId="686">
    <w:name w:val="4正文"/>
    <w:basedOn w:val="1"/>
    <w:qFormat/>
    <w:uiPriority w:val="0"/>
    <w:pPr>
      <w:adjustRightInd w:val="0"/>
      <w:spacing w:line="480" w:lineRule="exact"/>
      <w:ind w:firstLine="560" w:firstLineChars="200"/>
      <w:jc w:val="left"/>
      <w:textAlignment w:val="baseline"/>
    </w:pPr>
    <w:rPr>
      <w:rFonts w:ascii="宋体" w:hAnsi="宋体"/>
      <w:kern w:val="0"/>
      <w:sz w:val="28"/>
      <w:szCs w:val="28"/>
    </w:rPr>
  </w:style>
  <w:style w:type="paragraph" w:customStyle="1" w:styleId="687">
    <w:name w:val="样式 样式 样式 样式 表头4 + 段前: 0.5 行 + 段前: 0.15 行 段后: 0.05 行 + 段前: 0.15 行..."/>
    <w:basedOn w:val="1"/>
    <w:qFormat/>
    <w:uiPriority w:val="0"/>
    <w:pPr>
      <w:spacing w:beforeLines="15" w:afterLines="5" w:line="480" w:lineRule="atLeast"/>
      <w:jc w:val="left"/>
    </w:pPr>
    <w:rPr>
      <w:rFonts w:ascii="Times New Roman" w:hAnsi="Times New Roman" w:cs="宋体"/>
      <w:b/>
      <w:sz w:val="24"/>
      <w:szCs w:val="24"/>
    </w:rPr>
  </w:style>
  <w:style w:type="paragraph" w:customStyle="1" w:styleId="688">
    <w:name w:val="样式 小4居中 +"/>
    <w:basedOn w:val="689"/>
    <w:link w:val="690"/>
    <w:qFormat/>
    <w:uiPriority w:val="0"/>
    <w:pPr>
      <w:snapToGrid w:val="0"/>
      <w:jc w:val="center"/>
    </w:pPr>
    <w:rPr>
      <w:rFonts w:hAnsi="Times New Roman"/>
      <w:kern w:val="0"/>
      <w:sz w:val="24"/>
    </w:rPr>
  </w:style>
  <w:style w:type="paragraph" w:customStyle="1" w:styleId="689">
    <w:name w:val="小4居中"/>
    <w:basedOn w:val="7"/>
    <w:qFormat/>
    <w:uiPriority w:val="0"/>
    <w:pPr>
      <w:spacing w:before="15" w:beforeLines="15" w:after="15" w:afterLines="15" w:line="320" w:lineRule="atLeast"/>
    </w:pPr>
    <w:rPr>
      <w:rFonts w:ascii="Times New Roman"/>
      <w:szCs w:val="24"/>
    </w:rPr>
  </w:style>
  <w:style w:type="character" w:customStyle="1" w:styleId="690">
    <w:name w:val="样式 小4居中 + Char"/>
    <w:link w:val="688"/>
    <w:qFormat/>
    <w:uiPriority w:val="0"/>
    <w:rPr>
      <w:sz w:val="24"/>
      <w:szCs w:val="24"/>
    </w:rPr>
  </w:style>
  <w:style w:type="character" w:customStyle="1" w:styleId="691">
    <w:name w:val="列表 Char"/>
    <w:qFormat/>
    <w:uiPriority w:val="0"/>
    <w:rPr>
      <w:rFonts w:eastAsia="黑体"/>
      <w:kern w:val="2"/>
      <w:sz w:val="22"/>
      <w:lang w:val="en-US" w:eastAsia="zh-CN"/>
    </w:rPr>
  </w:style>
  <w:style w:type="paragraph" w:customStyle="1" w:styleId="692">
    <w:name w:val="正文表头"/>
    <w:basedOn w:val="1"/>
    <w:link w:val="693"/>
    <w:qFormat/>
    <w:uiPriority w:val="0"/>
    <w:pPr>
      <w:widowControl/>
      <w:autoSpaceDE w:val="0"/>
      <w:autoSpaceDN w:val="0"/>
      <w:adjustRightInd w:val="0"/>
      <w:spacing w:beforeLines="50" w:afterLines="50" w:line="360" w:lineRule="auto"/>
      <w:jc w:val="center"/>
    </w:pPr>
    <w:rPr>
      <w:rFonts w:ascii="Times New Roman" w:hAnsi="Times New Roman"/>
      <w:b/>
      <w:color w:val="000000"/>
      <w:kern w:val="0"/>
      <w:sz w:val="24"/>
      <w:szCs w:val="24"/>
    </w:rPr>
  </w:style>
  <w:style w:type="character" w:customStyle="1" w:styleId="693">
    <w:name w:val="正文表头 Char"/>
    <w:basedOn w:val="74"/>
    <w:link w:val="692"/>
    <w:qFormat/>
    <w:uiPriority w:val="0"/>
    <w:rPr>
      <w:rFonts w:ascii="Times New Roman" w:hAnsi="Times New Roman" w:eastAsia="宋体" w:cs="Times New Roman"/>
      <w:b/>
      <w:color w:val="000000"/>
      <w:sz w:val="24"/>
      <w:szCs w:val="24"/>
    </w:rPr>
  </w:style>
  <w:style w:type="paragraph" w:customStyle="1" w:styleId="694">
    <w:name w:val="M表中字体"/>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paragraph" w:customStyle="1" w:styleId="695">
    <w:name w:val="Char Char Char Char11"/>
    <w:basedOn w:val="1"/>
    <w:qFormat/>
    <w:uiPriority w:val="0"/>
    <w:pPr>
      <w:widowControl/>
      <w:spacing w:before="80"/>
    </w:pPr>
    <w:rPr>
      <w:rFonts w:ascii="宋体" w:hAnsi="宋体" w:cs="Courier New"/>
      <w:color w:val="000000"/>
      <w:spacing w:val="-10"/>
      <w:kern w:val="16"/>
      <w:sz w:val="32"/>
      <w:szCs w:val="32"/>
    </w:rPr>
  </w:style>
  <w:style w:type="paragraph" w:customStyle="1" w:styleId="696">
    <w:name w:val="修订11"/>
    <w:hidden/>
    <w:unhideWhenUsed/>
    <w:qFormat/>
    <w:uiPriority w:val="99"/>
    <w:rPr>
      <w:rFonts w:ascii="Calibri" w:hAnsi="Calibri" w:eastAsia="宋体" w:cs="Times New Roman"/>
      <w:kern w:val="2"/>
      <w:sz w:val="21"/>
      <w:szCs w:val="22"/>
      <w:lang w:val="en-US" w:eastAsia="zh-CN" w:bidi="ar-SA"/>
    </w:rPr>
  </w:style>
  <w:style w:type="paragraph" w:customStyle="1" w:styleId="697">
    <w:name w:val="正文表格"/>
    <w:basedOn w:val="1"/>
    <w:link w:val="698"/>
    <w:qFormat/>
    <w:uiPriority w:val="0"/>
    <w:pPr>
      <w:widowControl/>
      <w:jc w:val="center"/>
    </w:pPr>
    <w:rPr>
      <w:rFonts w:ascii="Times New Roman" w:hAnsi="Times New Roman"/>
    </w:rPr>
  </w:style>
  <w:style w:type="character" w:customStyle="1" w:styleId="698">
    <w:name w:val="正文表格 Char"/>
    <w:basedOn w:val="74"/>
    <w:link w:val="697"/>
    <w:qFormat/>
    <w:uiPriority w:val="0"/>
    <w:rPr>
      <w:rFonts w:ascii="Times New Roman" w:hAnsi="Times New Roman" w:eastAsia="宋体" w:cs="Times New Roman"/>
      <w:kern w:val="2"/>
      <w:sz w:val="21"/>
      <w:szCs w:val="21"/>
    </w:rPr>
  </w:style>
  <w:style w:type="character" w:customStyle="1" w:styleId="699">
    <w:name w:val="列出段落 Char2"/>
    <w:basedOn w:val="74"/>
    <w:qFormat/>
    <w:uiPriority w:val="1"/>
    <w:rPr>
      <w:rFonts w:eastAsia="宋体"/>
      <w:kern w:val="2"/>
      <w:sz w:val="24"/>
      <w:szCs w:val="24"/>
      <w:lang w:val="en-US" w:eastAsia="zh-CN" w:bidi="ar-SA"/>
    </w:rPr>
  </w:style>
  <w:style w:type="paragraph" w:customStyle="1" w:styleId="700">
    <w:name w:val="表内格式"/>
    <w:basedOn w:val="1"/>
    <w:link w:val="701"/>
    <w:qFormat/>
    <w:uiPriority w:val="0"/>
    <w:pPr>
      <w:widowControl/>
      <w:spacing w:beforeLines="50" w:afterLines="50"/>
      <w:jc w:val="center"/>
    </w:pPr>
    <w:rPr>
      <w:rFonts w:ascii="Times New Roman" w:hAnsi="Times New Roman"/>
      <w:sz w:val="18"/>
      <w:szCs w:val="20"/>
    </w:rPr>
  </w:style>
  <w:style w:type="character" w:customStyle="1" w:styleId="701">
    <w:name w:val="表内格式 Char1"/>
    <w:link w:val="700"/>
    <w:qFormat/>
    <w:uiPriority w:val="0"/>
    <w:rPr>
      <w:rFonts w:ascii="Times New Roman" w:hAnsi="Times New Roman" w:eastAsia="宋体" w:cs="Times New Roman"/>
      <w:kern w:val="2"/>
      <w:sz w:val="18"/>
    </w:rPr>
  </w:style>
  <w:style w:type="character" w:customStyle="1" w:styleId="702">
    <w:name w:val="公标题1 Char"/>
    <w:link w:val="703"/>
    <w:qFormat/>
    <w:uiPriority w:val="0"/>
    <w:rPr>
      <w:rFonts w:ascii="黑体" w:hAnsi="宋体" w:eastAsia="黑体"/>
      <w:sz w:val="36"/>
      <w:szCs w:val="24"/>
    </w:rPr>
  </w:style>
  <w:style w:type="paragraph" w:customStyle="1" w:styleId="703">
    <w:name w:val="公标题1"/>
    <w:basedOn w:val="1"/>
    <w:link w:val="702"/>
    <w:qFormat/>
    <w:uiPriority w:val="0"/>
    <w:pPr>
      <w:adjustRightInd w:val="0"/>
      <w:snapToGrid w:val="0"/>
      <w:spacing w:before="70" w:beforeLines="70" w:after="70" w:afterLines="70" w:line="355" w:lineRule="auto"/>
      <w:ind w:firstLine="723" w:firstLineChars="200"/>
      <w:outlineLvl w:val="0"/>
    </w:pPr>
    <w:rPr>
      <w:rFonts w:ascii="黑体" w:hAnsi="宋体" w:eastAsia="黑体" w:cstheme="minorBidi"/>
      <w:kern w:val="0"/>
      <w:sz w:val="36"/>
      <w:szCs w:val="24"/>
    </w:rPr>
  </w:style>
  <w:style w:type="character" w:customStyle="1" w:styleId="704">
    <w:name w:val="款标题1.1.1.1 Char Char"/>
    <w:qFormat/>
    <w:uiPriority w:val="0"/>
    <w:rPr>
      <w:rFonts w:ascii="Arial" w:hAnsi="Arial" w:eastAsia="黑体"/>
      <w:b/>
      <w:bCs/>
      <w:kern w:val="2"/>
      <w:sz w:val="28"/>
      <w:szCs w:val="28"/>
      <w:lang w:val="en-US" w:eastAsia="zh-CN" w:bidi="ar-SA"/>
    </w:rPr>
  </w:style>
  <w:style w:type="character" w:customStyle="1" w:styleId="705">
    <w:name w:val="不明显强调1"/>
    <w:qFormat/>
    <w:uiPriority w:val="0"/>
    <w:rPr>
      <w:i/>
      <w:iCs/>
      <w:color w:val="808080"/>
    </w:rPr>
  </w:style>
  <w:style w:type="character" w:customStyle="1" w:styleId="706">
    <w:name w:val="标1 Char1"/>
    <w:qFormat/>
    <w:uiPriority w:val="0"/>
    <w:rPr>
      <w:rFonts w:ascii="黑体" w:hAnsi="宋体" w:eastAsia="黑体" w:cs="Times New Roman"/>
      <w:sz w:val="28"/>
      <w:szCs w:val="28"/>
    </w:rPr>
  </w:style>
  <w:style w:type="character" w:customStyle="1" w:styleId="707">
    <w:name w:val="标题5 Char"/>
    <w:link w:val="708"/>
    <w:qFormat/>
    <w:uiPriority w:val="0"/>
    <w:rPr>
      <w:sz w:val="28"/>
      <w:szCs w:val="21"/>
    </w:rPr>
  </w:style>
  <w:style w:type="paragraph" w:customStyle="1" w:styleId="708">
    <w:name w:val="标题5"/>
    <w:basedOn w:val="1"/>
    <w:next w:val="6"/>
    <w:link w:val="707"/>
    <w:qFormat/>
    <w:uiPriority w:val="0"/>
    <w:pPr>
      <w:keepNext/>
      <w:spacing w:line="360" w:lineRule="auto"/>
      <w:ind w:firstLine="567" w:firstLineChars="200"/>
    </w:pPr>
    <w:rPr>
      <w:rFonts w:asciiTheme="minorHAnsi" w:hAnsiTheme="minorHAnsi" w:eastAsiaTheme="minorEastAsia" w:cstheme="minorBidi"/>
      <w:kern w:val="0"/>
      <w:sz w:val="28"/>
    </w:rPr>
  </w:style>
  <w:style w:type="character" w:customStyle="1" w:styleId="709">
    <w:name w:val="表头4 Char"/>
    <w:link w:val="710"/>
    <w:qFormat/>
    <w:uiPriority w:val="0"/>
    <w:rPr>
      <w:b/>
      <w:sz w:val="28"/>
      <w:szCs w:val="24"/>
    </w:rPr>
  </w:style>
  <w:style w:type="paragraph" w:customStyle="1" w:styleId="710">
    <w:name w:val="表头4"/>
    <w:basedOn w:val="1"/>
    <w:link w:val="709"/>
    <w:qFormat/>
    <w:uiPriority w:val="0"/>
    <w:pPr>
      <w:snapToGrid w:val="0"/>
      <w:spacing w:beforeLines="50" w:line="520" w:lineRule="atLeast"/>
      <w:ind w:firstLine="723" w:firstLineChars="200"/>
      <w:jc w:val="left"/>
    </w:pPr>
    <w:rPr>
      <w:rFonts w:asciiTheme="minorHAnsi" w:hAnsiTheme="minorHAnsi" w:eastAsiaTheme="minorEastAsia" w:cstheme="minorBidi"/>
      <w:b/>
      <w:kern w:val="0"/>
      <w:sz w:val="28"/>
      <w:szCs w:val="24"/>
    </w:rPr>
  </w:style>
  <w:style w:type="character" w:customStyle="1" w:styleId="711">
    <w:name w:val="文章正文 Char"/>
    <w:link w:val="712"/>
    <w:qFormat/>
    <w:uiPriority w:val="0"/>
    <w:rPr>
      <w:sz w:val="24"/>
      <w:szCs w:val="24"/>
    </w:rPr>
  </w:style>
  <w:style w:type="paragraph" w:customStyle="1" w:styleId="712">
    <w:name w:val="文章正文"/>
    <w:basedOn w:val="7"/>
    <w:link w:val="711"/>
    <w:qFormat/>
    <w:uiPriority w:val="0"/>
    <w:pPr>
      <w:spacing w:after="0" w:line="420" w:lineRule="exact"/>
      <w:ind w:firstLine="200" w:firstLineChars="200"/>
    </w:pPr>
    <w:rPr>
      <w:rFonts w:asciiTheme="minorHAnsi" w:hAnsiTheme="minorHAnsi" w:eastAsiaTheme="minorEastAsia" w:cstheme="minorBidi"/>
      <w:kern w:val="0"/>
      <w:sz w:val="24"/>
      <w:szCs w:val="24"/>
    </w:rPr>
  </w:style>
  <w:style w:type="character" w:customStyle="1" w:styleId="713">
    <w:name w:val="明显参考1"/>
    <w:qFormat/>
    <w:uiPriority w:val="0"/>
    <w:rPr>
      <w:b/>
      <w:bCs/>
      <w:smallCaps/>
      <w:color w:val="C0504D"/>
      <w:spacing w:val="5"/>
      <w:u w:val="single"/>
    </w:rPr>
  </w:style>
  <w:style w:type="character" w:customStyle="1" w:styleId="714">
    <w:name w:val="正文格式－文字 Char"/>
    <w:link w:val="715"/>
    <w:qFormat/>
    <w:uiPriority w:val="0"/>
    <w:rPr>
      <w:sz w:val="24"/>
      <w:szCs w:val="24"/>
    </w:rPr>
  </w:style>
  <w:style w:type="paragraph" w:customStyle="1" w:styleId="715">
    <w:name w:val="正文格式－文字"/>
    <w:link w:val="714"/>
    <w:qFormat/>
    <w:uiPriority w:val="0"/>
    <w:pPr>
      <w:spacing w:before="50" w:beforeLines="50" w:after="50" w:afterLines="50" w:line="300" w:lineRule="auto"/>
      <w:ind w:firstLine="200" w:firstLineChars="200"/>
      <w:jc w:val="both"/>
      <w:textAlignment w:val="center"/>
    </w:pPr>
    <w:rPr>
      <w:rFonts w:asciiTheme="minorHAnsi" w:hAnsiTheme="minorHAnsi" w:eastAsiaTheme="minorEastAsia" w:cstheme="minorBidi"/>
      <w:sz w:val="24"/>
      <w:szCs w:val="24"/>
      <w:lang w:val="en-US" w:eastAsia="zh-CN" w:bidi="ar-SA"/>
    </w:rPr>
  </w:style>
  <w:style w:type="character" w:customStyle="1" w:styleId="716">
    <w:name w:val="Char Char14"/>
    <w:qFormat/>
    <w:uiPriority w:val="0"/>
    <w:rPr>
      <w:rFonts w:ascii="Times New Roman" w:hAnsi="Times New Roman" w:eastAsia="黑体" w:cs="Times New Roman"/>
      <w:b/>
      <w:kern w:val="0"/>
      <w:sz w:val="24"/>
      <w:szCs w:val="24"/>
    </w:rPr>
  </w:style>
  <w:style w:type="character" w:customStyle="1" w:styleId="717">
    <w:name w:val="ps371"/>
    <w:basedOn w:val="74"/>
    <w:qFormat/>
    <w:uiPriority w:val="0"/>
  </w:style>
  <w:style w:type="character" w:customStyle="1" w:styleId="718">
    <w:name w:val="表格文字 Char"/>
    <w:qFormat/>
    <w:uiPriority w:val="0"/>
    <w:rPr>
      <w:rFonts w:eastAsia="宋体"/>
      <w:sz w:val="24"/>
    </w:rPr>
  </w:style>
  <w:style w:type="character" w:customStyle="1" w:styleId="719">
    <w:name w:val="表格小四 Char"/>
    <w:link w:val="720"/>
    <w:qFormat/>
    <w:uiPriority w:val="0"/>
    <w:rPr>
      <w:rFonts w:ascii="宋体" w:hAnsi="宋体"/>
      <w:sz w:val="24"/>
      <w:szCs w:val="24"/>
    </w:rPr>
  </w:style>
  <w:style w:type="paragraph" w:customStyle="1" w:styleId="720">
    <w:name w:val="表格小四"/>
    <w:basedOn w:val="1"/>
    <w:link w:val="719"/>
    <w:qFormat/>
    <w:uiPriority w:val="0"/>
    <w:pPr>
      <w:adjustRightInd w:val="0"/>
      <w:snapToGrid w:val="0"/>
      <w:spacing w:line="480" w:lineRule="exact"/>
      <w:ind w:firstLine="723" w:firstLineChars="200"/>
    </w:pPr>
    <w:rPr>
      <w:rFonts w:ascii="宋体" w:hAnsi="宋体" w:eastAsiaTheme="minorEastAsia" w:cstheme="minorBidi"/>
      <w:kern w:val="0"/>
      <w:sz w:val="24"/>
      <w:szCs w:val="24"/>
    </w:rPr>
  </w:style>
  <w:style w:type="character" w:customStyle="1" w:styleId="721">
    <w:name w:val="表格，通航 Char"/>
    <w:link w:val="722"/>
    <w:qFormat/>
    <w:uiPriority w:val="0"/>
    <w:rPr>
      <w:rFonts w:cs="宋体"/>
    </w:rPr>
  </w:style>
  <w:style w:type="paragraph" w:customStyle="1" w:styleId="722">
    <w:name w:val="表格，通航"/>
    <w:basedOn w:val="1"/>
    <w:link w:val="721"/>
    <w:qFormat/>
    <w:uiPriority w:val="0"/>
    <w:pPr>
      <w:spacing w:line="360" w:lineRule="auto"/>
      <w:ind w:firstLine="723" w:firstLineChars="200"/>
      <w:jc w:val="center"/>
    </w:pPr>
    <w:rPr>
      <w:rFonts w:cs="宋体" w:asciiTheme="minorHAnsi" w:hAnsiTheme="minorHAnsi" w:eastAsiaTheme="minorEastAsia"/>
      <w:kern w:val="0"/>
      <w:sz w:val="20"/>
      <w:szCs w:val="20"/>
    </w:rPr>
  </w:style>
  <w:style w:type="character" w:customStyle="1" w:styleId="723">
    <w:name w:val="样式 标题1 + 黑体 全部大写"/>
    <w:qFormat/>
    <w:uiPriority w:val="0"/>
    <w:rPr>
      <w:rFonts w:ascii="黑体" w:hAnsi="Verdana" w:eastAsia="黑体"/>
      <w:b/>
      <w:bCs/>
      <w:caps/>
      <w:kern w:val="24"/>
      <w:sz w:val="24"/>
      <w:szCs w:val="24"/>
      <w:lang w:val="en-US" w:eastAsia="en-US" w:bidi="ar-SA"/>
    </w:rPr>
  </w:style>
  <w:style w:type="character" w:customStyle="1" w:styleId="724">
    <w:name w:val="样式 正文缩进文本条款表格标题正文（首行缩进两字） Char Char Char Char Char Char Char... Char"/>
    <w:link w:val="725"/>
    <w:qFormat/>
    <w:uiPriority w:val="0"/>
    <w:rPr>
      <w:rFonts w:cs="宋体"/>
      <w:sz w:val="28"/>
    </w:rPr>
  </w:style>
  <w:style w:type="paragraph" w:customStyle="1" w:styleId="725">
    <w:name w:val="样式 正文缩进文本条款表格标题正文（首行缩进两字） Char Char Char Char Char Char Char..."/>
    <w:basedOn w:val="18"/>
    <w:link w:val="724"/>
    <w:qFormat/>
    <w:uiPriority w:val="0"/>
    <w:pPr>
      <w:tabs>
        <w:tab w:val="left" w:pos="283"/>
      </w:tabs>
      <w:adjustRightInd w:val="0"/>
      <w:snapToGrid w:val="0"/>
      <w:spacing w:line="500" w:lineRule="atLeast"/>
      <w:ind w:firstLine="560"/>
    </w:pPr>
    <w:rPr>
      <w:rFonts w:cs="宋体" w:asciiTheme="minorHAnsi" w:hAnsiTheme="minorHAnsi" w:eastAsiaTheme="minorEastAsia"/>
      <w:kern w:val="0"/>
      <w:sz w:val="28"/>
      <w:szCs w:val="20"/>
    </w:rPr>
  </w:style>
  <w:style w:type="character" w:customStyle="1" w:styleId="726">
    <w:name w:val="明显引用字符"/>
    <w:link w:val="727"/>
    <w:qFormat/>
    <w:uiPriority w:val="0"/>
    <w:rPr>
      <w:b/>
      <w:bCs/>
      <w:i/>
      <w:iCs/>
      <w:color w:val="4F81BD"/>
      <w:sz w:val="24"/>
      <w:szCs w:val="24"/>
    </w:rPr>
  </w:style>
  <w:style w:type="paragraph" w:styleId="727">
    <w:name w:val="Intense Quote"/>
    <w:basedOn w:val="1"/>
    <w:next w:val="1"/>
    <w:link w:val="726"/>
    <w:qFormat/>
    <w:uiPriority w:val="0"/>
    <w:pPr>
      <w:pBdr>
        <w:bottom w:val="single" w:color="4F81BD" w:sz="4" w:space="4"/>
      </w:pBdr>
      <w:spacing w:before="200" w:after="280" w:line="360" w:lineRule="auto"/>
      <w:ind w:left="936" w:right="936" w:firstLine="200" w:firstLineChars="200"/>
    </w:pPr>
    <w:rPr>
      <w:rFonts w:asciiTheme="minorHAnsi" w:hAnsiTheme="minorHAnsi" w:eastAsiaTheme="minorEastAsia" w:cstheme="minorBidi"/>
      <w:b/>
      <w:bCs/>
      <w:i/>
      <w:iCs/>
      <w:color w:val="4F81BD"/>
      <w:kern w:val="0"/>
      <w:sz w:val="24"/>
      <w:szCs w:val="24"/>
    </w:rPr>
  </w:style>
  <w:style w:type="character" w:customStyle="1" w:styleId="728">
    <w:name w:val="明显引用 Char1"/>
    <w:basedOn w:val="74"/>
    <w:qFormat/>
    <w:uiPriority w:val="30"/>
    <w:rPr>
      <w:rFonts w:ascii="Calibri" w:hAnsi="Calibri" w:eastAsia="宋体" w:cs="Times New Roman"/>
      <w:i/>
      <w:iCs/>
      <w:color w:val="5B9BD5" w:themeColor="accent1"/>
      <w:kern w:val="2"/>
      <w:sz w:val="21"/>
      <w:szCs w:val="21"/>
      <w14:textFill>
        <w14:solidFill>
          <w14:schemeClr w14:val="accent1"/>
        </w14:solidFill>
      </w14:textFill>
    </w:rPr>
  </w:style>
  <w:style w:type="character" w:customStyle="1" w:styleId="729">
    <w:name w:val="Char Char Char1 Char Char Char Char Char Char Char Char Char Char Char Char Char Char Char Char Char Char Char Char Char Char Char Char Char Char Char Char"/>
    <w:link w:val="730"/>
    <w:qFormat/>
    <w:uiPriority w:val="0"/>
    <w:rPr>
      <w:sz w:val="24"/>
      <w:szCs w:val="24"/>
    </w:rPr>
  </w:style>
  <w:style w:type="paragraph" w:customStyle="1" w:styleId="730">
    <w:name w:val="Char Char Char1 Char Char Char Char Char Char Char Char Char Char Char Char Char Char Char Char Char Char Char Char Char Char Char Char Char Char Char1"/>
    <w:basedOn w:val="1"/>
    <w:link w:val="729"/>
    <w:qFormat/>
    <w:uiPriority w:val="0"/>
    <w:pPr>
      <w:spacing w:line="360" w:lineRule="auto"/>
      <w:ind w:firstLine="723" w:firstLineChars="200"/>
      <w:jc w:val="left"/>
    </w:pPr>
    <w:rPr>
      <w:rFonts w:asciiTheme="minorHAnsi" w:hAnsiTheme="minorHAnsi" w:eastAsiaTheme="minorEastAsia" w:cstheme="minorBidi"/>
      <w:kern w:val="0"/>
      <w:sz w:val="24"/>
      <w:szCs w:val="24"/>
    </w:rPr>
  </w:style>
  <w:style w:type="character" w:customStyle="1" w:styleId="731">
    <w:name w:val="样式 表头4 + 段前: 0.5 行 段后: 1.8 磅 Char"/>
    <w:link w:val="732"/>
    <w:qFormat/>
    <w:uiPriority w:val="0"/>
    <w:rPr>
      <w:rFonts w:cs="宋体"/>
      <w:b/>
      <w:bCs/>
      <w:sz w:val="28"/>
    </w:rPr>
  </w:style>
  <w:style w:type="paragraph" w:customStyle="1" w:styleId="732">
    <w:name w:val="样式 表头4 + 段前: 0.5 行 段后: 1.8 磅"/>
    <w:basedOn w:val="1"/>
    <w:link w:val="731"/>
    <w:qFormat/>
    <w:uiPriority w:val="0"/>
    <w:pPr>
      <w:snapToGrid w:val="0"/>
      <w:spacing w:before="25" w:beforeLines="25" w:after="36" w:line="520" w:lineRule="atLeast"/>
      <w:ind w:firstLine="723" w:firstLineChars="200"/>
      <w:jc w:val="left"/>
    </w:pPr>
    <w:rPr>
      <w:rFonts w:cs="宋体" w:asciiTheme="minorHAnsi" w:hAnsiTheme="minorHAnsi" w:eastAsiaTheme="minorEastAsia"/>
      <w:b/>
      <w:bCs/>
      <w:kern w:val="0"/>
      <w:sz w:val="28"/>
      <w:szCs w:val="20"/>
    </w:rPr>
  </w:style>
  <w:style w:type="character" w:customStyle="1" w:styleId="733">
    <w:name w:val="正文new Char Char"/>
    <w:link w:val="734"/>
    <w:qFormat/>
    <w:uiPriority w:val="0"/>
    <w:rPr>
      <w:color w:val="FF0000"/>
      <w:sz w:val="24"/>
      <w:szCs w:val="24"/>
    </w:rPr>
  </w:style>
  <w:style w:type="paragraph" w:customStyle="1" w:styleId="734">
    <w:name w:val="正文new Char"/>
    <w:basedOn w:val="1"/>
    <w:next w:val="1"/>
    <w:link w:val="733"/>
    <w:qFormat/>
    <w:uiPriority w:val="0"/>
    <w:pPr>
      <w:spacing w:line="460" w:lineRule="exact"/>
      <w:ind w:firstLine="480" w:firstLineChars="200"/>
    </w:pPr>
    <w:rPr>
      <w:rFonts w:asciiTheme="minorHAnsi" w:hAnsiTheme="minorHAnsi" w:eastAsiaTheme="minorEastAsia" w:cstheme="minorBidi"/>
      <w:color w:val="FF0000"/>
      <w:kern w:val="0"/>
      <w:sz w:val="24"/>
      <w:szCs w:val="24"/>
    </w:rPr>
  </w:style>
  <w:style w:type="character" w:customStyle="1" w:styleId="735">
    <w:name w:val="一级条 Char"/>
    <w:qFormat/>
    <w:uiPriority w:val="0"/>
    <w:rPr>
      <w:rFonts w:ascii="宋体" w:eastAsia="黑体"/>
      <w:caps/>
      <w:sz w:val="24"/>
      <w:lang w:val="en-US" w:eastAsia="zh-CN" w:bidi="ar-SA"/>
    </w:rPr>
  </w:style>
  <w:style w:type="character" w:customStyle="1" w:styleId="736">
    <w:name w:val="样式 表头4 + 段前: 0.5 行1 Char"/>
    <w:link w:val="737"/>
    <w:qFormat/>
    <w:uiPriority w:val="0"/>
    <w:rPr>
      <w:rFonts w:cs="宋体"/>
      <w:b/>
      <w:bCs/>
      <w:sz w:val="28"/>
      <w:szCs w:val="24"/>
    </w:rPr>
  </w:style>
  <w:style w:type="paragraph" w:customStyle="1" w:styleId="737">
    <w:name w:val="样式 表头4 + 段前: 0.5 行1"/>
    <w:basedOn w:val="710"/>
    <w:link w:val="736"/>
    <w:qFormat/>
    <w:uiPriority w:val="0"/>
    <w:pPr>
      <w:spacing w:beforeLines="25"/>
    </w:pPr>
    <w:rPr>
      <w:rFonts w:cs="宋体"/>
      <w:bCs/>
    </w:rPr>
  </w:style>
  <w:style w:type="character" w:customStyle="1" w:styleId="738">
    <w:name w:val="正文首行缩进2字符! Char"/>
    <w:link w:val="739"/>
    <w:qFormat/>
    <w:uiPriority w:val="0"/>
    <w:rPr>
      <w:rFonts w:ascii="宋体" w:hAnsi="宋体"/>
      <w:sz w:val="28"/>
    </w:rPr>
  </w:style>
  <w:style w:type="paragraph" w:customStyle="1" w:styleId="739">
    <w:name w:val="正文首行缩进2字符!"/>
    <w:basedOn w:val="1"/>
    <w:link w:val="738"/>
    <w:qFormat/>
    <w:uiPriority w:val="0"/>
    <w:pPr>
      <w:adjustRightInd w:val="0"/>
      <w:snapToGrid w:val="0"/>
      <w:spacing w:line="360" w:lineRule="auto"/>
      <w:ind w:firstLine="560" w:firstLineChars="200"/>
      <w:jc w:val="left"/>
    </w:pPr>
    <w:rPr>
      <w:rFonts w:ascii="宋体" w:hAnsi="宋体" w:eastAsiaTheme="minorEastAsia" w:cstheme="minorBidi"/>
      <w:kern w:val="0"/>
      <w:sz w:val="28"/>
      <w:szCs w:val="20"/>
    </w:rPr>
  </w:style>
  <w:style w:type="character" w:customStyle="1" w:styleId="740">
    <w:name w:val="ps361"/>
    <w:basedOn w:val="74"/>
    <w:qFormat/>
    <w:uiPriority w:val="0"/>
  </w:style>
  <w:style w:type="character" w:customStyle="1" w:styleId="741">
    <w:name w:val="paragraph1"/>
    <w:qFormat/>
    <w:uiPriority w:val="0"/>
    <w:rPr>
      <w:color w:val="000000"/>
      <w:spacing w:val="28"/>
      <w:sz w:val="18"/>
      <w:szCs w:val="18"/>
    </w:rPr>
  </w:style>
  <w:style w:type="character" w:customStyle="1" w:styleId="742">
    <w:name w:val="ft01"/>
    <w:qFormat/>
    <w:uiPriority w:val="0"/>
    <w:rPr>
      <w:sz w:val="34"/>
      <w:szCs w:val="34"/>
    </w:rPr>
  </w:style>
  <w:style w:type="character" w:customStyle="1" w:styleId="743">
    <w:name w:val="明显强调1"/>
    <w:qFormat/>
    <w:uiPriority w:val="0"/>
    <w:rPr>
      <w:b/>
      <w:bCs/>
      <w:i/>
      <w:iCs/>
      <w:color w:val="4F81BD"/>
    </w:rPr>
  </w:style>
  <w:style w:type="character" w:customStyle="1" w:styleId="744">
    <w:name w:val="articlebody21"/>
    <w:qFormat/>
    <w:uiPriority w:val="0"/>
    <w:rPr>
      <w:sz w:val="21"/>
      <w:szCs w:val="21"/>
    </w:rPr>
  </w:style>
  <w:style w:type="character" w:customStyle="1" w:styleId="745">
    <w:name w:val="不明显参考1"/>
    <w:qFormat/>
    <w:uiPriority w:val="0"/>
    <w:rPr>
      <w:smallCaps/>
      <w:color w:val="C0504D"/>
      <w:u w:val="single"/>
    </w:rPr>
  </w:style>
  <w:style w:type="character" w:customStyle="1" w:styleId="746">
    <w:name w:val="下标 Char"/>
    <w:qFormat/>
    <w:uiPriority w:val="0"/>
    <w:rPr>
      <w:rFonts w:eastAsia="宋体"/>
      <w:sz w:val="24"/>
      <w:szCs w:val="24"/>
      <w:vertAlign w:val="subscript"/>
      <w:lang w:val="en-US" w:eastAsia="zh-CN" w:bidi="ar-SA"/>
    </w:rPr>
  </w:style>
  <w:style w:type="character" w:customStyle="1" w:styleId="747">
    <w:name w:val="标题 2 Char Char"/>
    <w:qFormat/>
    <w:uiPriority w:val="0"/>
    <w:rPr>
      <w:rFonts w:ascii="Arial" w:hAnsi="Arial" w:eastAsia="黑体"/>
      <w:b/>
      <w:sz w:val="32"/>
    </w:rPr>
  </w:style>
  <w:style w:type="character" w:customStyle="1" w:styleId="748">
    <w:name w:val="样式 小四"/>
    <w:qFormat/>
    <w:uiPriority w:val="0"/>
    <w:rPr>
      <w:rFonts w:eastAsia="宋体"/>
      <w:sz w:val="24"/>
      <w:szCs w:val="24"/>
    </w:rPr>
  </w:style>
  <w:style w:type="character" w:customStyle="1" w:styleId="749">
    <w:name w:val="样式 题注 + 首行缩进:  2 字符2 Char"/>
    <w:link w:val="750"/>
    <w:qFormat/>
    <w:uiPriority w:val="0"/>
    <w:rPr>
      <w:rFonts w:ascii="宋体" w:hAnsi="宋体" w:eastAsia="黑体"/>
      <w:sz w:val="24"/>
      <w:szCs w:val="24"/>
    </w:rPr>
  </w:style>
  <w:style w:type="paragraph" w:customStyle="1" w:styleId="750">
    <w:name w:val="样式 题注 + 首行缩进:  2 字符2"/>
    <w:basedOn w:val="19"/>
    <w:link w:val="749"/>
    <w:qFormat/>
    <w:uiPriority w:val="0"/>
    <w:pPr>
      <w:spacing w:line="360" w:lineRule="auto"/>
      <w:ind w:firstLine="723" w:firstLineChars="200"/>
      <w:jc w:val="center"/>
      <w:textAlignment w:val="auto"/>
    </w:pPr>
    <w:rPr>
      <w:rFonts w:ascii="宋体" w:hAnsi="宋体" w:eastAsia="黑体"/>
      <w:spacing w:val="0"/>
      <w:kern w:val="0"/>
      <w:sz w:val="24"/>
      <w:szCs w:val="24"/>
    </w:rPr>
  </w:style>
  <w:style w:type="character" w:customStyle="1" w:styleId="751">
    <w:name w:val="Char Char8"/>
    <w:qFormat/>
    <w:uiPriority w:val="0"/>
    <w:rPr>
      <w:rFonts w:eastAsia="黑体"/>
      <w:sz w:val="28"/>
      <w:szCs w:val="24"/>
    </w:rPr>
  </w:style>
  <w:style w:type="character" w:customStyle="1" w:styleId="752">
    <w:name w:val="可研-正文首行缩进 Char2"/>
    <w:qFormat/>
    <w:uiPriority w:val="0"/>
    <w:rPr>
      <w:rFonts w:ascii="楷体_GB2312" w:eastAsia="宋体" w:cs="楷体_GB2312"/>
      <w:kern w:val="2"/>
      <w:sz w:val="21"/>
      <w:szCs w:val="21"/>
      <w:lang w:val="en-US" w:eastAsia="zh-CN" w:bidi="ar-SA"/>
    </w:rPr>
  </w:style>
  <w:style w:type="character" w:customStyle="1" w:styleId="753">
    <w:name w:val="Char Char11"/>
    <w:qFormat/>
    <w:uiPriority w:val="0"/>
    <w:rPr>
      <w:rFonts w:ascii="Times New Roman" w:hAnsi="Times New Roman" w:eastAsia="宋体" w:cs="Times New Roman"/>
      <w:sz w:val="18"/>
      <w:szCs w:val="18"/>
    </w:rPr>
  </w:style>
  <w:style w:type="character" w:customStyle="1" w:styleId="754">
    <w:name w:val="ps381"/>
    <w:basedOn w:val="74"/>
    <w:qFormat/>
    <w:uiPriority w:val="0"/>
  </w:style>
  <w:style w:type="character" w:customStyle="1" w:styleId="755">
    <w:name w:val="公正文 Char"/>
    <w:link w:val="756"/>
    <w:qFormat/>
    <w:uiPriority w:val="0"/>
    <w:rPr>
      <w:rFonts w:ascii="宋体" w:hAnsi="宋体" w:eastAsia="仿宋_GB2312"/>
      <w:sz w:val="28"/>
      <w:szCs w:val="24"/>
    </w:rPr>
  </w:style>
  <w:style w:type="paragraph" w:customStyle="1" w:styleId="756">
    <w:name w:val="公正文"/>
    <w:basedOn w:val="18"/>
    <w:link w:val="755"/>
    <w:qFormat/>
    <w:uiPriority w:val="0"/>
    <w:pPr>
      <w:adjustRightInd w:val="0"/>
      <w:snapToGrid w:val="0"/>
      <w:spacing w:line="355" w:lineRule="auto"/>
      <w:ind w:firstLine="200"/>
    </w:pPr>
    <w:rPr>
      <w:rFonts w:ascii="宋体" w:hAnsi="宋体" w:eastAsia="仿宋_GB2312" w:cstheme="minorBidi"/>
      <w:kern w:val="0"/>
      <w:sz w:val="28"/>
      <w:szCs w:val="24"/>
    </w:rPr>
  </w:style>
  <w:style w:type="character" w:customStyle="1" w:styleId="757">
    <w:name w:val="图名、表名 Char"/>
    <w:link w:val="758"/>
    <w:qFormat/>
    <w:uiPriority w:val="0"/>
    <w:rPr>
      <w:rFonts w:eastAsia="黑体"/>
      <w:color w:val="000000"/>
      <w:spacing w:val="4"/>
      <w:sz w:val="24"/>
      <w:szCs w:val="28"/>
    </w:rPr>
  </w:style>
  <w:style w:type="paragraph" w:customStyle="1" w:styleId="758">
    <w:name w:val="图名、表名"/>
    <w:basedOn w:val="1"/>
    <w:link w:val="757"/>
    <w:qFormat/>
    <w:uiPriority w:val="0"/>
    <w:pPr>
      <w:snapToGrid w:val="0"/>
      <w:spacing w:line="480" w:lineRule="exact"/>
      <w:ind w:firstLine="200" w:firstLineChars="200"/>
      <w:jc w:val="center"/>
    </w:pPr>
    <w:rPr>
      <w:rFonts w:eastAsia="黑体" w:asciiTheme="minorHAnsi" w:hAnsiTheme="minorHAnsi" w:cstheme="minorBidi"/>
      <w:color w:val="000000"/>
      <w:spacing w:val="4"/>
      <w:kern w:val="0"/>
      <w:sz w:val="24"/>
      <w:szCs w:val="28"/>
    </w:rPr>
  </w:style>
  <w:style w:type="character" w:customStyle="1" w:styleId="759">
    <w:name w:val="样式 样式 正文文本缩进 2 + 首行缩进:  2 字符 + Times New Roman 四号 首行缩进:  2 字符... Char"/>
    <w:link w:val="760"/>
    <w:qFormat/>
    <w:uiPriority w:val="0"/>
    <w:rPr>
      <w:rFonts w:ascii="宋体"/>
      <w:sz w:val="28"/>
    </w:rPr>
  </w:style>
  <w:style w:type="paragraph" w:customStyle="1" w:styleId="760">
    <w:name w:val="样式 样式 正文文本缩进 2 + 首行缩进:  2 字符 + Times New Roman 四号 首行缩进:  2 字符..."/>
    <w:basedOn w:val="1"/>
    <w:link w:val="759"/>
    <w:qFormat/>
    <w:uiPriority w:val="0"/>
    <w:pPr>
      <w:adjustRightInd w:val="0"/>
      <w:snapToGrid w:val="0"/>
      <w:spacing w:line="480" w:lineRule="exact"/>
      <w:ind w:firstLine="200" w:firstLineChars="200"/>
      <w:jc w:val="left"/>
      <w:textAlignment w:val="baseline"/>
    </w:pPr>
    <w:rPr>
      <w:rFonts w:ascii="宋体" w:hAnsiTheme="minorHAnsi" w:eastAsiaTheme="minorEastAsia" w:cstheme="minorBidi"/>
      <w:kern w:val="0"/>
      <w:sz w:val="28"/>
      <w:szCs w:val="20"/>
    </w:rPr>
  </w:style>
  <w:style w:type="character" w:customStyle="1" w:styleId="761">
    <w:name w:val="标题 1 Char1"/>
    <w:qFormat/>
    <w:uiPriority w:val="0"/>
    <w:rPr>
      <w:rFonts w:ascii="Times New Roman" w:hAnsi="Times New Roman" w:eastAsia="宋体" w:cs="Times New Roman"/>
      <w:b/>
      <w:bCs/>
      <w:kern w:val="44"/>
      <w:sz w:val="36"/>
      <w:szCs w:val="32"/>
    </w:rPr>
  </w:style>
  <w:style w:type="character" w:customStyle="1" w:styleId="762">
    <w:name w:val="unnamed21"/>
    <w:qFormat/>
    <w:uiPriority w:val="0"/>
    <w:rPr>
      <w:color w:val="000000"/>
      <w:sz w:val="18"/>
      <w:szCs w:val="18"/>
      <w:u w:val="none"/>
    </w:rPr>
  </w:style>
  <w:style w:type="character" w:customStyle="1" w:styleId="763">
    <w:name w:val="可研-正文首行缩进 Char"/>
    <w:qFormat/>
    <w:uiPriority w:val="0"/>
    <w:rPr>
      <w:rFonts w:ascii="宋体" w:hAnsi="宋体" w:eastAsia="宋体" w:cs="Times New Roman"/>
      <w:color w:val="000000"/>
      <w:kern w:val="0"/>
      <w:sz w:val="28"/>
      <w:szCs w:val="28"/>
    </w:rPr>
  </w:style>
  <w:style w:type="character" w:customStyle="1" w:styleId="764">
    <w:name w:val="样式 正文缩进文本条款文本条款 Char Char Char Char Char Char Char Char文本条款 C...1 Char"/>
    <w:link w:val="765"/>
    <w:qFormat/>
    <w:uiPriority w:val="0"/>
    <w:rPr>
      <w:rFonts w:cs="宋体"/>
      <w:sz w:val="28"/>
    </w:rPr>
  </w:style>
  <w:style w:type="paragraph" w:customStyle="1" w:styleId="765">
    <w:name w:val="样式 正文缩进文本条款文本条款 Char Char Char Char Char Char Char Char文本条款 C...1"/>
    <w:basedOn w:val="18"/>
    <w:link w:val="764"/>
    <w:qFormat/>
    <w:uiPriority w:val="0"/>
    <w:pPr>
      <w:snapToGrid w:val="0"/>
      <w:spacing w:line="520" w:lineRule="atLeast"/>
      <w:ind w:firstLine="560"/>
    </w:pPr>
    <w:rPr>
      <w:rFonts w:cs="宋体" w:asciiTheme="minorHAnsi" w:hAnsiTheme="minorHAnsi" w:eastAsiaTheme="minorEastAsia"/>
      <w:kern w:val="0"/>
      <w:sz w:val="28"/>
      <w:szCs w:val="20"/>
    </w:rPr>
  </w:style>
  <w:style w:type="character" w:customStyle="1" w:styleId="766">
    <w:name w:val="正文-初步设计 Char"/>
    <w:link w:val="767"/>
    <w:qFormat/>
    <w:uiPriority w:val="0"/>
    <w:rPr>
      <w:rFonts w:hAnsi="宋体" w:cs="宋体"/>
      <w:color w:val="000000"/>
      <w:sz w:val="24"/>
    </w:rPr>
  </w:style>
  <w:style w:type="paragraph" w:customStyle="1" w:styleId="767">
    <w:name w:val="正文-初步设计"/>
    <w:basedOn w:val="28"/>
    <w:link w:val="766"/>
    <w:qFormat/>
    <w:uiPriority w:val="0"/>
    <w:pPr>
      <w:spacing w:before="0" w:beforeAutospacing="0" w:after="100" w:line="480" w:lineRule="exact"/>
      <w:ind w:left="0" w:leftChars="0" w:firstLine="480" w:firstLineChars="200"/>
    </w:pPr>
    <w:rPr>
      <w:rFonts w:hAnsi="宋体" w:cs="宋体" w:asciiTheme="minorHAnsi" w:eastAsiaTheme="minorEastAsia"/>
      <w:color w:val="000000"/>
      <w:kern w:val="0"/>
      <w:sz w:val="24"/>
      <w:szCs w:val="20"/>
    </w:rPr>
  </w:style>
  <w:style w:type="character" w:customStyle="1" w:styleId="768">
    <w:name w:val="正文文本缩进 Char1"/>
    <w:basedOn w:val="74"/>
    <w:qFormat/>
    <w:uiPriority w:val="99"/>
  </w:style>
  <w:style w:type="paragraph" w:customStyle="1" w:styleId="769">
    <w:name w:val="Char Char Char Char Char Char1 Char"/>
    <w:basedOn w:val="1"/>
    <w:qFormat/>
    <w:uiPriority w:val="99"/>
    <w:pPr>
      <w:spacing w:line="360" w:lineRule="auto"/>
      <w:ind w:firstLine="723" w:firstLineChars="200"/>
      <w:jc w:val="left"/>
    </w:pPr>
    <w:rPr>
      <w:rFonts w:ascii="Times New Roman" w:hAnsi="Times New Roman"/>
      <w:sz w:val="24"/>
      <w:szCs w:val="24"/>
    </w:rPr>
  </w:style>
  <w:style w:type="paragraph" w:customStyle="1" w:styleId="770">
    <w:name w:val="wzj"/>
    <w:basedOn w:val="1"/>
    <w:qFormat/>
    <w:uiPriority w:val="0"/>
    <w:pPr>
      <w:tabs>
        <w:tab w:val="left" w:pos="0"/>
      </w:tabs>
      <w:adjustRightInd w:val="0"/>
      <w:snapToGrid w:val="0"/>
      <w:spacing w:line="360" w:lineRule="auto"/>
      <w:ind w:firstLine="480" w:firstLineChars="200"/>
    </w:pPr>
    <w:rPr>
      <w:rFonts w:ascii="Times New Roman" w:hAnsi="Times New Roman"/>
      <w:sz w:val="24"/>
      <w:szCs w:val="20"/>
    </w:rPr>
  </w:style>
  <w:style w:type="paragraph" w:customStyle="1" w:styleId="771">
    <w:name w:val="Char21"/>
    <w:basedOn w:val="22"/>
    <w:qFormat/>
    <w:uiPriority w:val="0"/>
    <w:pPr>
      <w:adjustRightInd w:val="0"/>
      <w:spacing w:line="436" w:lineRule="exact"/>
      <w:ind w:left="357" w:firstLine="723" w:firstLineChars="200"/>
      <w:jc w:val="left"/>
      <w:outlineLvl w:val="3"/>
    </w:pPr>
    <w:rPr>
      <w:rFonts w:ascii="Tahoma" w:hAnsi="Tahoma" w:cstheme="minorBidi"/>
      <w:b/>
      <w:sz w:val="44"/>
      <w:szCs w:val="21"/>
    </w:rPr>
  </w:style>
  <w:style w:type="paragraph" w:customStyle="1" w:styleId="772">
    <w:name w:val="pg"/>
    <w:basedOn w:val="1"/>
    <w:qFormat/>
    <w:uiPriority w:val="0"/>
    <w:pPr>
      <w:widowControl/>
      <w:spacing w:before="100" w:beforeAutospacing="1" w:after="100" w:afterAutospacing="1" w:line="360" w:lineRule="auto"/>
      <w:ind w:firstLine="723" w:firstLineChars="200"/>
      <w:jc w:val="left"/>
    </w:pPr>
    <w:rPr>
      <w:rFonts w:ascii="宋体" w:hAnsi="宋体" w:cs="宋体"/>
      <w:color w:val="000000"/>
      <w:kern w:val="0"/>
      <w:sz w:val="24"/>
      <w:szCs w:val="24"/>
    </w:rPr>
  </w:style>
  <w:style w:type="paragraph" w:customStyle="1" w:styleId="773">
    <w:name w:val="图和表标题"/>
    <w:next w:val="5"/>
    <w:qFormat/>
    <w:uiPriority w:val="0"/>
    <w:pPr>
      <w:spacing w:line="440" w:lineRule="exact"/>
      <w:jc w:val="center"/>
    </w:pPr>
    <w:rPr>
      <w:rFonts w:ascii="黑体" w:hAnsi="Times New Roman" w:eastAsia="黑体" w:cs="Times New Roman"/>
      <w:sz w:val="24"/>
      <w:lang w:val="en-US" w:eastAsia="zh-CN" w:bidi="ar-SA"/>
    </w:rPr>
  </w:style>
  <w:style w:type="paragraph" w:customStyle="1" w:styleId="774">
    <w:name w:val="表标题"/>
    <w:basedOn w:val="1"/>
    <w:qFormat/>
    <w:uiPriority w:val="0"/>
    <w:pPr>
      <w:jc w:val="center"/>
    </w:pPr>
    <w:rPr>
      <w:rFonts w:ascii="Times New Roman" w:hAnsi="Times New Roman"/>
      <w:b/>
      <w:sz w:val="24"/>
      <w:szCs w:val="24"/>
    </w:rPr>
  </w:style>
  <w:style w:type="paragraph" w:customStyle="1" w:styleId="775">
    <w:name w:val="样式 表头小四 + 加粗"/>
    <w:basedOn w:val="1"/>
    <w:qFormat/>
    <w:uiPriority w:val="0"/>
    <w:pPr>
      <w:adjustRightInd w:val="0"/>
      <w:snapToGrid w:val="0"/>
      <w:spacing w:beforeLines="50" w:afterLines="30" w:line="500" w:lineRule="atLeast"/>
      <w:ind w:firstLine="723" w:firstLineChars="200"/>
    </w:pPr>
    <w:rPr>
      <w:rFonts w:ascii="宋体" w:hAnsi="宋体"/>
      <w:b/>
      <w:bCs/>
      <w:sz w:val="24"/>
      <w:szCs w:val="24"/>
    </w:rPr>
  </w:style>
  <w:style w:type="paragraph" w:customStyle="1" w:styleId="776">
    <w:name w:val="文章标题2"/>
    <w:basedOn w:val="1"/>
    <w:qFormat/>
    <w:uiPriority w:val="0"/>
    <w:pPr>
      <w:spacing w:line="440" w:lineRule="exact"/>
      <w:ind w:firstLine="723" w:firstLineChars="200"/>
    </w:pPr>
    <w:rPr>
      <w:b/>
      <w:sz w:val="28"/>
      <w:szCs w:val="24"/>
    </w:rPr>
  </w:style>
  <w:style w:type="paragraph" w:customStyle="1" w:styleId="777">
    <w:name w:val="正文缩"/>
    <w:basedOn w:val="1"/>
    <w:qFormat/>
    <w:uiPriority w:val="0"/>
    <w:pPr>
      <w:adjustRightInd w:val="0"/>
      <w:snapToGrid w:val="0"/>
      <w:spacing w:line="480" w:lineRule="atLeast"/>
      <w:ind w:firstLine="567" w:firstLineChars="200"/>
      <w:textAlignment w:val="baseline"/>
    </w:pPr>
    <w:rPr>
      <w:rFonts w:ascii="宋体" w:hAnsi="Times New Roman"/>
      <w:spacing w:val="6"/>
      <w:kern w:val="0"/>
      <w:sz w:val="28"/>
      <w:szCs w:val="20"/>
    </w:rPr>
  </w:style>
  <w:style w:type="paragraph" w:customStyle="1" w:styleId="778">
    <w:name w:val="aa"/>
    <w:basedOn w:val="1"/>
    <w:qFormat/>
    <w:uiPriority w:val="0"/>
    <w:pPr>
      <w:spacing w:line="360" w:lineRule="auto"/>
      <w:ind w:firstLine="723" w:firstLineChars="200"/>
    </w:pPr>
    <w:rPr>
      <w:rFonts w:ascii="Times New Roman" w:hAnsi="Times New Roman"/>
      <w:sz w:val="24"/>
      <w:szCs w:val="24"/>
    </w:rPr>
  </w:style>
  <w:style w:type="paragraph" w:customStyle="1" w:styleId="779">
    <w:name w:val="三级条"/>
    <w:basedOn w:val="1"/>
    <w:qFormat/>
    <w:uiPriority w:val="0"/>
    <w:pPr>
      <w:spacing w:line="440" w:lineRule="exact"/>
      <w:ind w:firstLine="723" w:firstLineChars="200"/>
      <w:jc w:val="left"/>
    </w:pPr>
    <w:rPr>
      <w:rFonts w:ascii="宋体" w:hAnsi="Times New Roman"/>
      <w:kern w:val="0"/>
      <w:sz w:val="24"/>
      <w:szCs w:val="20"/>
    </w:rPr>
  </w:style>
  <w:style w:type="paragraph" w:customStyle="1" w:styleId="780">
    <w:name w:val="二级条"/>
    <w:next w:val="1"/>
    <w:qFormat/>
    <w:uiPriority w:val="0"/>
    <w:pPr>
      <w:widowControl w:val="0"/>
      <w:spacing w:line="440" w:lineRule="exact"/>
    </w:pPr>
    <w:rPr>
      <w:rFonts w:ascii="宋体" w:hAnsi="Times New Roman" w:eastAsia="宋体" w:cs="Times New Roman"/>
      <w:sz w:val="24"/>
      <w:lang w:val="en-US" w:eastAsia="zh-CN" w:bidi="ar-SA"/>
    </w:rPr>
  </w:style>
  <w:style w:type="paragraph" w:customStyle="1" w:styleId="781">
    <w:name w:val="p20"/>
    <w:basedOn w:val="1"/>
    <w:qFormat/>
    <w:uiPriority w:val="0"/>
    <w:pPr>
      <w:widowControl/>
      <w:spacing w:after="120" w:line="480" w:lineRule="auto"/>
      <w:ind w:left="420" w:firstLine="480" w:firstLineChars="200"/>
    </w:pPr>
    <w:rPr>
      <w:rFonts w:cs="宋体"/>
      <w:kern w:val="0"/>
      <w:sz w:val="24"/>
      <w:szCs w:val="24"/>
    </w:rPr>
  </w:style>
  <w:style w:type="paragraph" w:customStyle="1" w:styleId="782">
    <w:name w:val="样式 标题 2 + (西文) Times New Roman (中文) 宋体 加粗 段后: 2 磅 行距: 单倍行距"/>
    <w:basedOn w:val="3"/>
    <w:qFormat/>
    <w:uiPriority w:val="0"/>
    <w:pPr>
      <w:keepNext w:val="0"/>
      <w:keepLines w:val="0"/>
      <w:numPr>
        <w:ilvl w:val="0"/>
        <w:numId w:val="0"/>
      </w:numPr>
      <w:adjustRightInd/>
      <w:snapToGrid/>
      <w:spacing w:before="100" w:beforeAutospacing="1" w:line="500" w:lineRule="atLeast"/>
    </w:pPr>
    <w:rPr>
      <w:rFonts w:ascii="宋体" w:hAnsi="宋体" w:eastAsia="宋体"/>
      <w:b/>
      <w:kern w:val="2"/>
      <w:sz w:val="28"/>
      <w:szCs w:val="28"/>
    </w:rPr>
  </w:style>
  <w:style w:type="paragraph" w:customStyle="1" w:styleId="783">
    <w:name w:val="样式 表格5 + 段前: 0.1 行 段后: 0.1 行1"/>
    <w:basedOn w:val="1"/>
    <w:qFormat/>
    <w:uiPriority w:val="0"/>
    <w:pPr>
      <w:snapToGrid w:val="0"/>
      <w:spacing w:beforeLines="10" w:afterLines="10" w:line="320" w:lineRule="atLeast"/>
      <w:ind w:firstLine="723" w:firstLineChars="200"/>
    </w:pPr>
    <w:rPr>
      <w:rFonts w:ascii="Times New Roman" w:hAnsi="Times New Roman" w:cs="宋体"/>
      <w:sz w:val="24"/>
      <w:szCs w:val="20"/>
    </w:rPr>
  </w:style>
  <w:style w:type="paragraph" w:customStyle="1" w:styleId="784">
    <w:name w:val="题栏"/>
    <w:basedOn w:val="1"/>
    <w:qFormat/>
    <w:uiPriority w:val="0"/>
    <w:pPr>
      <w:tabs>
        <w:tab w:val="center" w:pos="4153"/>
        <w:tab w:val="right" w:pos="8306"/>
      </w:tabs>
      <w:snapToGrid w:val="0"/>
      <w:spacing w:line="360" w:lineRule="auto"/>
      <w:ind w:firstLine="723" w:firstLineChars="200"/>
      <w:jc w:val="center"/>
    </w:pPr>
    <w:rPr>
      <w:rFonts w:ascii="Times New Roman" w:hAnsi="Times New Roman"/>
      <w:sz w:val="24"/>
      <w:szCs w:val="20"/>
    </w:rPr>
  </w:style>
  <w:style w:type="paragraph" w:customStyle="1" w:styleId="785">
    <w:name w:val="文章标题3"/>
    <w:basedOn w:val="1"/>
    <w:qFormat/>
    <w:uiPriority w:val="0"/>
    <w:pPr>
      <w:tabs>
        <w:tab w:val="left" w:pos="360"/>
        <w:tab w:val="left" w:pos="1260"/>
      </w:tabs>
      <w:spacing w:line="440" w:lineRule="exact"/>
      <w:ind w:left="360" w:firstLine="200" w:firstLineChars="200"/>
    </w:pPr>
    <w:rPr>
      <w:b/>
      <w:sz w:val="28"/>
      <w:szCs w:val="24"/>
    </w:rPr>
  </w:style>
  <w:style w:type="paragraph" w:customStyle="1" w:styleId="786">
    <w:name w:val="_Style 2"/>
    <w:basedOn w:val="1"/>
    <w:qFormat/>
    <w:uiPriority w:val="0"/>
    <w:pPr>
      <w:ind w:firstLine="723" w:firstLineChars="200"/>
    </w:pPr>
    <w:rPr>
      <w:rFonts w:ascii="Times New Roman" w:hAnsi="Times New Roman"/>
    </w:rPr>
  </w:style>
  <w:style w:type="paragraph" w:customStyle="1" w:styleId="787">
    <w:name w:val="默认段落字体 Para Char Char Char Char Char Char Char Char Char Char Char Char Char Char Char Char"/>
    <w:basedOn w:val="1"/>
    <w:qFormat/>
    <w:uiPriority w:val="0"/>
    <w:pPr>
      <w:spacing w:line="360" w:lineRule="auto"/>
      <w:ind w:firstLine="723" w:firstLineChars="200"/>
    </w:pPr>
    <w:rPr>
      <w:rFonts w:ascii="Times New Roman" w:hAnsi="Times New Roman"/>
      <w:sz w:val="24"/>
      <w:szCs w:val="24"/>
    </w:rPr>
  </w:style>
  <w:style w:type="paragraph" w:customStyle="1" w:styleId="788">
    <w:name w:val="3级标题"/>
    <w:basedOn w:val="1"/>
    <w:qFormat/>
    <w:uiPriority w:val="0"/>
    <w:pPr>
      <w:keepNext/>
      <w:keepLines/>
      <w:spacing w:before="140" w:after="140" w:line="416" w:lineRule="auto"/>
      <w:outlineLvl w:val="2"/>
    </w:pPr>
    <w:rPr>
      <w:rFonts w:eastAsia="黑体"/>
      <w:bCs/>
      <w:sz w:val="24"/>
      <w:szCs w:val="32"/>
    </w:rPr>
  </w:style>
  <w:style w:type="paragraph" w:customStyle="1" w:styleId="789">
    <w:name w:val="表头四号 + 段前: 0.5 行 + 段前: 0.5 行"/>
    <w:basedOn w:val="1"/>
    <w:qFormat/>
    <w:uiPriority w:val="0"/>
    <w:pPr>
      <w:adjustRightInd w:val="0"/>
      <w:snapToGrid w:val="0"/>
      <w:spacing w:before="25" w:beforeLines="25" w:line="500" w:lineRule="atLeast"/>
      <w:ind w:firstLine="723" w:firstLineChars="200"/>
    </w:pPr>
    <w:rPr>
      <w:rFonts w:ascii="宋体" w:hAnsi="宋体" w:cs="宋体"/>
      <w:b/>
      <w:bCs/>
      <w:sz w:val="28"/>
      <w:szCs w:val="20"/>
    </w:rPr>
  </w:style>
  <w:style w:type="paragraph" w:customStyle="1" w:styleId="790">
    <w:name w:val="公标题2"/>
    <w:basedOn w:val="703"/>
    <w:qFormat/>
    <w:uiPriority w:val="0"/>
    <w:pPr>
      <w:spacing w:before="50" w:beforeLines="50" w:after="50" w:afterLines="50"/>
      <w:outlineLvl w:val="1"/>
    </w:pPr>
    <w:rPr>
      <w:sz w:val="32"/>
    </w:rPr>
  </w:style>
  <w:style w:type="paragraph" w:customStyle="1" w:styleId="791">
    <w:name w:val="Char7"/>
    <w:basedOn w:val="1"/>
    <w:qFormat/>
    <w:uiPriority w:val="0"/>
    <w:pPr>
      <w:spacing w:line="360" w:lineRule="auto"/>
      <w:ind w:firstLine="723" w:firstLineChars="200"/>
    </w:pPr>
    <w:rPr>
      <w:rFonts w:ascii="Times New Roman" w:hAnsi="Times New Roman"/>
      <w:sz w:val="24"/>
      <w:szCs w:val="24"/>
    </w:rPr>
  </w:style>
  <w:style w:type="paragraph" w:customStyle="1" w:styleId="792">
    <w:name w:val="样式 正文首行缩进 + 首行缩进:  2 字符"/>
    <w:basedOn w:val="6"/>
    <w:qFormat/>
    <w:uiPriority w:val="0"/>
    <w:pPr>
      <w:adjustRightInd/>
      <w:spacing w:line="520" w:lineRule="atLeast"/>
      <w:ind w:firstLine="549"/>
    </w:pPr>
    <w:rPr>
      <w:rFonts w:ascii="楷体_GB2312" w:cs="宋体" w:hAnsiTheme="minorHAnsi"/>
      <w:bCs/>
      <w:sz w:val="28"/>
      <w:szCs w:val="20"/>
    </w:rPr>
  </w:style>
  <w:style w:type="paragraph" w:customStyle="1" w:styleId="793">
    <w:name w:val="默认段落字体 Para Char Char Char Char"/>
    <w:basedOn w:val="1"/>
    <w:qFormat/>
    <w:uiPriority w:val="99"/>
    <w:pPr>
      <w:spacing w:line="360" w:lineRule="auto"/>
      <w:ind w:firstLine="723" w:firstLineChars="200"/>
    </w:pPr>
    <w:rPr>
      <w:rFonts w:ascii="Times New Roman" w:hAnsi="Times New Roman"/>
      <w:sz w:val="24"/>
      <w:szCs w:val="24"/>
    </w:rPr>
  </w:style>
  <w:style w:type="paragraph" w:customStyle="1" w:styleId="794">
    <w:name w:val="Char Char Char3"/>
    <w:basedOn w:val="1"/>
    <w:qFormat/>
    <w:uiPriority w:val="0"/>
    <w:pPr>
      <w:spacing w:line="360" w:lineRule="auto"/>
      <w:ind w:firstLine="723" w:firstLineChars="200"/>
    </w:pPr>
    <w:rPr>
      <w:rFonts w:ascii="Times New Roman" w:hAnsi="Times New Roman"/>
      <w:sz w:val="24"/>
      <w:szCs w:val="24"/>
    </w:rPr>
  </w:style>
  <w:style w:type="paragraph" w:customStyle="1" w:styleId="795">
    <w:name w:val="Char Char Char Char Char Char Char Char Char Char Char Char Char1"/>
    <w:basedOn w:val="1"/>
    <w:qFormat/>
    <w:uiPriority w:val="0"/>
    <w:pPr>
      <w:snapToGrid w:val="0"/>
      <w:spacing w:line="360" w:lineRule="auto"/>
      <w:ind w:firstLine="200" w:firstLineChars="200"/>
    </w:pPr>
    <w:rPr>
      <w:rFonts w:ascii="Times New Roman" w:hAnsi="Times New Roman"/>
      <w:sz w:val="24"/>
      <w:szCs w:val="24"/>
    </w:rPr>
  </w:style>
  <w:style w:type="paragraph" w:customStyle="1" w:styleId="796">
    <w:name w:val="编号1"/>
    <w:basedOn w:val="1"/>
    <w:qFormat/>
    <w:uiPriority w:val="0"/>
    <w:pPr>
      <w:tabs>
        <w:tab w:val="left" w:pos="-735"/>
        <w:tab w:val="left" w:pos="-630"/>
        <w:tab w:val="left" w:pos="-420"/>
        <w:tab w:val="left" w:pos="-210"/>
        <w:tab w:val="left" w:pos="0"/>
        <w:tab w:val="left" w:pos="210"/>
        <w:tab w:val="left" w:pos="420"/>
        <w:tab w:val="left" w:pos="814"/>
        <w:tab w:val="left" w:pos="840"/>
      </w:tabs>
      <w:spacing w:line="360" w:lineRule="auto"/>
      <w:ind w:left="851" w:firstLine="200" w:firstLineChars="200"/>
    </w:pPr>
    <w:rPr>
      <w:rFonts w:ascii="Times New Roman" w:hAnsi="Times New Roman"/>
      <w:sz w:val="24"/>
      <w:szCs w:val="24"/>
    </w:rPr>
  </w:style>
  <w:style w:type="paragraph" w:customStyle="1" w:styleId="797">
    <w:name w:val="五级条"/>
    <w:basedOn w:val="1"/>
    <w:qFormat/>
    <w:uiPriority w:val="0"/>
    <w:pPr>
      <w:spacing w:line="440" w:lineRule="exact"/>
      <w:ind w:firstLine="723" w:firstLineChars="200"/>
      <w:outlineLvl w:val="5"/>
    </w:pPr>
    <w:rPr>
      <w:rFonts w:ascii="宋体" w:hAnsi="Times New Roman"/>
      <w:sz w:val="24"/>
      <w:szCs w:val="20"/>
    </w:rPr>
  </w:style>
  <w:style w:type="paragraph" w:customStyle="1" w:styleId="798">
    <w:name w:val="小4"/>
    <w:basedOn w:val="7"/>
    <w:qFormat/>
    <w:uiPriority w:val="0"/>
    <w:pPr>
      <w:snapToGrid w:val="0"/>
      <w:spacing w:beforeLines="15" w:afterLines="15" w:line="320" w:lineRule="atLeast"/>
      <w:ind w:firstLine="723" w:firstLineChars="200"/>
    </w:pPr>
    <w:rPr>
      <w:rFonts w:ascii="Times New Roman" w:hAnsiTheme="minorHAnsi"/>
      <w:sz w:val="24"/>
      <w:szCs w:val="24"/>
    </w:rPr>
  </w:style>
  <w:style w:type="paragraph" w:customStyle="1" w:styleId="799">
    <w:name w:val="表头1"/>
    <w:basedOn w:val="1"/>
    <w:next w:val="18"/>
    <w:qFormat/>
    <w:uiPriority w:val="0"/>
    <w:pPr>
      <w:adjustRightInd w:val="0"/>
      <w:snapToGrid w:val="0"/>
      <w:spacing w:beforeLines="35" w:line="520" w:lineRule="atLeast"/>
      <w:ind w:firstLine="723" w:firstLineChars="200"/>
    </w:pPr>
    <w:rPr>
      <w:rFonts w:ascii="Times New Roman" w:hAnsi="Times New Roman"/>
      <w:b/>
      <w:sz w:val="28"/>
      <w:szCs w:val="24"/>
    </w:rPr>
  </w:style>
  <w:style w:type="paragraph" w:customStyle="1" w:styleId="800">
    <w:name w:val="标准"/>
    <w:basedOn w:val="1"/>
    <w:qFormat/>
    <w:uiPriority w:val="0"/>
    <w:pPr>
      <w:adjustRightInd w:val="0"/>
      <w:spacing w:line="480" w:lineRule="exact"/>
      <w:ind w:firstLine="723" w:firstLineChars="200"/>
      <w:textAlignment w:val="baseline"/>
    </w:pPr>
    <w:rPr>
      <w:rFonts w:ascii="Times New Roman" w:hAnsi="Times New Roman"/>
      <w:kern w:val="0"/>
      <w:sz w:val="28"/>
      <w:szCs w:val="20"/>
      <w:lang w:val="en-GB"/>
    </w:rPr>
  </w:style>
  <w:style w:type="paragraph" w:customStyle="1" w:styleId="801">
    <w:name w:val="Char Char Char Char1"/>
    <w:basedOn w:val="1"/>
    <w:qFormat/>
    <w:uiPriority w:val="0"/>
    <w:pPr>
      <w:widowControl/>
      <w:spacing w:after="160" w:line="240" w:lineRule="exact"/>
      <w:ind w:firstLine="723" w:firstLineChars="200"/>
      <w:jc w:val="left"/>
    </w:pPr>
    <w:rPr>
      <w:rFonts w:ascii="Verdana" w:hAnsi="Verdana" w:eastAsia="仿宋_GB2312"/>
      <w:kern w:val="0"/>
      <w:sz w:val="24"/>
      <w:szCs w:val="20"/>
      <w:lang w:eastAsia="en-US"/>
    </w:rPr>
  </w:style>
  <w:style w:type="paragraph" w:customStyle="1" w:styleId="802">
    <w:name w:val="样式 标题 3 + 小四 加粗 黑色 左侧:  -0.04 厘米 行距: 固定值 24 磅"/>
    <w:basedOn w:val="4"/>
    <w:qFormat/>
    <w:uiPriority w:val="0"/>
    <w:pPr>
      <w:numPr>
        <w:ilvl w:val="0"/>
        <w:numId w:val="0"/>
      </w:numPr>
      <w:adjustRightInd/>
      <w:snapToGrid/>
      <w:spacing w:line="480" w:lineRule="exact"/>
      <w:ind w:left="-24"/>
    </w:pPr>
    <w:rPr>
      <w:rFonts w:eastAsia="黑体" w:cs="宋体"/>
      <w:bCs w:val="0"/>
      <w:color w:val="000000"/>
      <w:szCs w:val="20"/>
    </w:rPr>
  </w:style>
  <w:style w:type="paragraph" w:customStyle="1" w:styleId="803">
    <w:name w:val="样式 样式 样式 标题 4款标题1.1.1.1 + 段前: 0.25 行 段后: 0.25 行 + 段前: 0.25 行 段后:...3"/>
    <w:basedOn w:val="1"/>
    <w:qFormat/>
    <w:uiPriority w:val="0"/>
    <w:pPr>
      <w:tabs>
        <w:tab w:val="left" w:pos="283"/>
      </w:tabs>
      <w:spacing w:line="360" w:lineRule="auto"/>
      <w:ind w:firstLine="480" w:firstLineChars="200"/>
      <w:contextualSpacing/>
    </w:pPr>
    <w:rPr>
      <w:rFonts w:ascii="Times New Roman" w:hAnsi="Times New Roman" w:cs="宋体"/>
      <w:bCs/>
      <w:sz w:val="24"/>
      <w:szCs w:val="24"/>
    </w:rPr>
  </w:style>
  <w:style w:type="paragraph" w:customStyle="1" w:styleId="804">
    <w:name w:val="公表文"/>
    <w:basedOn w:val="1"/>
    <w:qFormat/>
    <w:uiPriority w:val="0"/>
    <w:pPr>
      <w:adjustRightInd w:val="0"/>
      <w:snapToGrid w:val="0"/>
      <w:spacing w:before="30" w:beforeLines="30" w:after="30" w:afterLines="30" w:line="360" w:lineRule="auto"/>
      <w:ind w:firstLine="723" w:firstLineChars="200"/>
      <w:jc w:val="center"/>
    </w:pPr>
    <w:rPr>
      <w:rFonts w:ascii="宋体" w:hAnsi="Swis721 Lt BT" w:eastAsia="楷体_GB2312"/>
      <w:sz w:val="24"/>
      <w:szCs w:val="28"/>
    </w:rPr>
  </w:style>
  <w:style w:type="paragraph" w:customStyle="1" w:styleId="805">
    <w:name w:val="样式 表格五号 +"/>
    <w:basedOn w:val="363"/>
    <w:qFormat/>
    <w:uiPriority w:val="0"/>
    <w:pPr>
      <w:spacing w:line="360" w:lineRule="exact"/>
      <w:ind w:firstLine="723" w:firstLineChars="200"/>
    </w:pPr>
    <w:rPr>
      <w:rFonts w:cstheme="minorBidi"/>
      <w:kern w:val="0"/>
    </w:rPr>
  </w:style>
  <w:style w:type="paragraph" w:customStyle="1" w:styleId="806">
    <w:name w:val="标题6"/>
    <w:basedOn w:val="1"/>
    <w:next w:val="6"/>
    <w:qFormat/>
    <w:uiPriority w:val="0"/>
    <w:pPr>
      <w:spacing w:line="360" w:lineRule="auto"/>
      <w:ind w:firstLine="567" w:firstLineChars="200"/>
      <w:jc w:val="left"/>
    </w:pPr>
    <w:rPr>
      <w:rFonts w:ascii="Times New Roman" w:hAnsi="Times New Roman"/>
      <w:sz w:val="28"/>
      <w:szCs w:val="24"/>
    </w:rPr>
  </w:style>
  <w:style w:type="paragraph" w:customStyle="1" w:styleId="807">
    <w:name w:val="一级条标题"/>
    <w:next w:val="780"/>
    <w:qFormat/>
    <w:uiPriority w:val="0"/>
    <w:pPr>
      <w:widowControl w:val="0"/>
      <w:spacing w:line="440" w:lineRule="exact"/>
      <w:outlineLvl w:val="1"/>
    </w:pPr>
    <w:rPr>
      <w:rFonts w:ascii="宋体" w:hAnsi="Times New Roman" w:eastAsia="宋体" w:cs="Times New Roman"/>
      <w:sz w:val="24"/>
      <w:lang w:val="en-US" w:eastAsia="zh-CN" w:bidi="ar-SA"/>
    </w:rPr>
  </w:style>
  <w:style w:type="paragraph" w:customStyle="1" w:styleId="808">
    <w:name w:val="Char Char Char Char Char Char1 Char1"/>
    <w:basedOn w:val="1"/>
    <w:qFormat/>
    <w:uiPriority w:val="0"/>
    <w:pPr>
      <w:spacing w:line="360" w:lineRule="auto"/>
      <w:ind w:firstLine="723" w:firstLineChars="200"/>
    </w:pPr>
    <w:rPr>
      <w:rFonts w:ascii="Times New Roman" w:hAnsi="Times New Roman"/>
      <w:sz w:val="24"/>
      <w:szCs w:val="24"/>
    </w:rPr>
  </w:style>
  <w:style w:type="paragraph" w:customStyle="1" w:styleId="809">
    <w:name w:val="Char Char Char1 Char Char Char Char Char Char Char Char Char Char Char Char Char Char Char Char Char Char Char Char Char Char Char Char Char Char Char"/>
    <w:basedOn w:val="1"/>
    <w:qFormat/>
    <w:uiPriority w:val="0"/>
    <w:pPr>
      <w:spacing w:line="360" w:lineRule="auto"/>
      <w:ind w:firstLine="723" w:firstLineChars="200"/>
      <w:jc w:val="left"/>
    </w:pPr>
    <w:rPr>
      <w:rFonts w:ascii="Times New Roman" w:hAnsi="Times New Roman"/>
      <w:sz w:val="24"/>
      <w:szCs w:val="24"/>
    </w:rPr>
  </w:style>
  <w:style w:type="paragraph" w:customStyle="1" w:styleId="810">
    <w:name w:val="样式 表格小四 + 字距调整二号"/>
    <w:basedOn w:val="720"/>
    <w:qFormat/>
    <w:uiPriority w:val="0"/>
    <w:pPr>
      <w:spacing w:line="400" w:lineRule="exact"/>
    </w:pPr>
    <w:rPr>
      <w:kern w:val="44"/>
    </w:rPr>
  </w:style>
  <w:style w:type="paragraph" w:customStyle="1" w:styleId="811">
    <w:name w:val="默认段落字体 Para Char Char Char Char Char Char1 Char Char Char Char Char Char Char Char Char Char"/>
    <w:basedOn w:val="1"/>
    <w:qFormat/>
    <w:uiPriority w:val="0"/>
    <w:pPr>
      <w:spacing w:line="360" w:lineRule="auto"/>
      <w:ind w:firstLine="723" w:firstLineChars="200"/>
    </w:pPr>
    <w:rPr>
      <w:rFonts w:ascii="Times New Roman" w:hAnsi="Times New Roman"/>
      <w:sz w:val="24"/>
      <w:szCs w:val="24"/>
    </w:rPr>
  </w:style>
  <w:style w:type="paragraph" w:customStyle="1" w:styleId="812">
    <w:name w:val="页号"/>
    <w:basedOn w:val="42"/>
    <w:qFormat/>
    <w:uiPriority w:val="0"/>
    <w:pPr>
      <w:tabs>
        <w:tab w:val="center" w:pos="4320"/>
        <w:tab w:val="right" w:pos="8640"/>
        <w:tab w:val="clear" w:pos="4153"/>
        <w:tab w:val="clear" w:pos="8306"/>
      </w:tabs>
      <w:adjustRightInd w:val="0"/>
      <w:snapToGrid/>
      <w:spacing w:line="360" w:lineRule="auto"/>
      <w:ind w:firstLine="723" w:firstLineChars="200"/>
      <w:jc w:val="center"/>
      <w:textAlignment w:val="baseline"/>
    </w:pPr>
    <w:rPr>
      <w:rFonts w:ascii="宋体" w:hAnsi="Arial"/>
      <w:spacing w:val="3"/>
      <w:kern w:val="24"/>
      <w:sz w:val="24"/>
      <w:szCs w:val="20"/>
    </w:rPr>
  </w:style>
  <w:style w:type="paragraph" w:customStyle="1" w:styleId="813">
    <w:name w:val="公标题3"/>
    <w:basedOn w:val="790"/>
    <w:qFormat/>
    <w:uiPriority w:val="0"/>
    <w:pPr>
      <w:spacing w:before="30" w:beforeLines="30" w:after="30" w:afterLines="30"/>
      <w:outlineLvl w:val="2"/>
    </w:pPr>
    <w:rPr>
      <w:rFonts w:ascii="宋体" w:eastAsia="方正小标宋简体"/>
      <w:sz w:val="28"/>
    </w:rPr>
  </w:style>
  <w:style w:type="paragraph" w:customStyle="1" w:styleId="814">
    <w:name w:val="王涵 正文"/>
    <w:basedOn w:val="1"/>
    <w:qFormat/>
    <w:uiPriority w:val="0"/>
    <w:pPr>
      <w:spacing w:line="360" w:lineRule="auto"/>
      <w:ind w:firstLine="480" w:firstLineChars="200"/>
    </w:pPr>
    <w:rPr>
      <w:rFonts w:ascii="Times New Roman" w:hAnsi="Times New Roman" w:cs="宋体"/>
      <w:sz w:val="24"/>
      <w:szCs w:val="20"/>
    </w:rPr>
  </w:style>
  <w:style w:type="paragraph" w:customStyle="1" w:styleId="815">
    <w:name w:val="文章标题1"/>
    <w:basedOn w:val="1"/>
    <w:qFormat/>
    <w:uiPriority w:val="0"/>
    <w:pPr>
      <w:tabs>
        <w:tab w:val="left" w:pos="360"/>
        <w:tab w:val="left" w:pos="480"/>
      </w:tabs>
      <w:spacing w:line="440" w:lineRule="exact"/>
      <w:ind w:left="360" w:firstLine="200" w:firstLineChars="200"/>
    </w:pPr>
    <w:rPr>
      <w:b/>
      <w:sz w:val="28"/>
      <w:szCs w:val="24"/>
    </w:rPr>
  </w:style>
  <w:style w:type="paragraph" w:customStyle="1" w:styleId="816">
    <w:name w:val="表格小4"/>
    <w:basedOn w:val="1"/>
    <w:next w:val="7"/>
    <w:qFormat/>
    <w:uiPriority w:val="0"/>
    <w:pPr>
      <w:adjustRightInd w:val="0"/>
      <w:snapToGrid w:val="0"/>
      <w:spacing w:before="60" w:after="60" w:line="320" w:lineRule="atLeast"/>
      <w:ind w:firstLine="723" w:firstLineChars="200"/>
    </w:pPr>
    <w:rPr>
      <w:rFonts w:ascii="Times New Roman" w:hAnsi="Times New Roman" w:cs="宋体"/>
      <w:sz w:val="24"/>
      <w:szCs w:val="20"/>
    </w:rPr>
  </w:style>
  <w:style w:type="paragraph" w:customStyle="1" w:styleId="817">
    <w:name w:val="表格文字小"/>
    <w:basedOn w:val="1"/>
    <w:qFormat/>
    <w:uiPriority w:val="0"/>
    <w:pPr>
      <w:spacing w:line="320" w:lineRule="exact"/>
      <w:ind w:firstLine="723" w:firstLineChars="200"/>
      <w:jc w:val="center"/>
    </w:pPr>
    <w:rPr>
      <w:rFonts w:ascii="Times New Roman" w:hAnsi="Times New Roman"/>
      <w:kern w:val="0"/>
      <w:sz w:val="24"/>
      <w:szCs w:val="24"/>
    </w:rPr>
  </w:style>
  <w:style w:type="paragraph" w:customStyle="1" w:styleId="818">
    <w:name w:val="Char1 Char Char Char Char Char Char Char Char Char Char Char Char Char Char Char Char Char Char Char Char Char"/>
    <w:basedOn w:val="1"/>
    <w:qFormat/>
    <w:uiPriority w:val="0"/>
    <w:pPr>
      <w:spacing w:line="360" w:lineRule="auto"/>
      <w:ind w:firstLine="723" w:firstLineChars="200"/>
      <w:jc w:val="center"/>
    </w:pPr>
    <w:rPr>
      <w:rFonts w:ascii="仿宋_GB2312" w:hAnsi="宋体" w:eastAsia="仿宋_GB2312" w:cs="宋体"/>
      <w:b/>
      <w:kern w:val="0"/>
      <w:sz w:val="24"/>
      <w:szCs w:val="24"/>
    </w:rPr>
  </w:style>
  <w:style w:type="paragraph" w:customStyle="1" w:styleId="819">
    <w:name w:val="kkk"/>
    <w:basedOn w:val="1"/>
    <w:qFormat/>
    <w:uiPriority w:val="0"/>
    <w:pPr>
      <w:widowControl/>
      <w:spacing w:line="360" w:lineRule="auto"/>
      <w:ind w:firstLine="200" w:firstLineChars="200"/>
    </w:pPr>
    <w:rPr>
      <w:rFonts w:ascii="宋体" w:hAnsi="Times New Roman"/>
      <w:spacing w:val="16"/>
      <w:sz w:val="24"/>
      <w:szCs w:val="20"/>
    </w:rPr>
  </w:style>
  <w:style w:type="paragraph" w:customStyle="1" w:styleId="820">
    <w:name w:val="In Table"/>
    <w:basedOn w:val="1"/>
    <w:qFormat/>
    <w:uiPriority w:val="0"/>
    <w:pPr>
      <w:tabs>
        <w:tab w:val="left" w:pos="2200"/>
        <w:tab w:val="left" w:pos="3960"/>
        <w:tab w:val="left" w:pos="5280"/>
      </w:tabs>
      <w:spacing w:before="96" w:after="96" w:line="0" w:lineRule="atLeast"/>
      <w:ind w:firstLine="723" w:firstLineChars="200"/>
      <w:jc w:val="center"/>
    </w:pPr>
    <w:rPr>
      <w:rFonts w:ascii="Tahoma" w:hAnsi="Tahoma" w:eastAsia="华文中宋"/>
      <w:sz w:val="24"/>
      <w:szCs w:val="20"/>
    </w:rPr>
  </w:style>
  <w:style w:type="paragraph" w:customStyle="1" w:styleId="821">
    <w:name w:val="mmc-正文"/>
    <w:basedOn w:val="1"/>
    <w:qFormat/>
    <w:uiPriority w:val="0"/>
    <w:pPr>
      <w:adjustRightInd w:val="0"/>
      <w:snapToGrid w:val="0"/>
      <w:spacing w:line="520" w:lineRule="exact"/>
      <w:ind w:firstLine="480" w:firstLineChars="200"/>
      <w:jc w:val="left"/>
    </w:pPr>
    <w:rPr>
      <w:rFonts w:ascii="Times New Roman" w:hAnsi="Times New Roman"/>
      <w:kern w:val="0"/>
      <w:sz w:val="24"/>
      <w:szCs w:val="24"/>
      <w:lang w:bidi="en-US"/>
    </w:rPr>
  </w:style>
  <w:style w:type="paragraph" w:customStyle="1" w:styleId="822">
    <w:name w:val="样式 正文缩进文本条款表格标题正文（首行缩进两字） Char Char Char Char Char Char Char...3"/>
    <w:basedOn w:val="18"/>
    <w:qFormat/>
    <w:uiPriority w:val="0"/>
    <w:pPr>
      <w:snapToGrid w:val="0"/>
      <w:spacing w:line="520" w:lineRule="atLeast"/>
      <w:ind w:firstLine="200"/>
    </w:pPr>
    <w:rPr>
      <w:rFonts w:cs="宋体" w:asciiTheme="minorHAnsi" w:hAnsiTheme="minorHAnsi"/>
      <w:sz w:val="28"/>
      <w:szCs w:val="20"/>
    </w:rPr>
  </w:style>
  <w:style w:type="paragraph" w:customStyle="1" w:styleId="823">
    <w:name w:val="文-1"/>
    <w:basedOn w:val="1"/>
    <w:qFormat/>
    <w:uiPriority w:val="0"/>
    <w:pPr>
      <w:tabs>
        <w:tab w:val="right" w:leader="dot" w:pos="8789"/>
      </w:tabs>
      <w:spacing w:before="120" w:line="360" w:lineRule="auto"/>
      <w:ind w:left="851" w:firstLine="482" w:firstLineChars="200"/>
    </w:pPr>
    <w:rPr>
      <w:rFonts w:ascii="Times New Roman" w:hAnsi="Times New Roman"/>
      <w:sz w:val="24"/>
      <w:szCs w:val="20"/>
    </w:rPr>
  </w:style>
  <w:style w:type="paragraph" w:customStyle="1" w:styleId="824">
    <w:name w:val="Char Char8 Char Char"/>
    <w:basedOn w:val="1"/>
    <w:qFormat/>
    <w:uiPriority w:val="0"/>
    <w:pPr>
      <w:spacing w:line="360" w:lineRule="auto"/>
      <w:ind w:firstLine="723" w:firstLineChars="200"/>
    </w:pPr>
    <w:rPr>
      <w:rFonts w:ascii="Times New Roman" w:hAnsi="Times New Roman"/>
      <w:sz w:val="24"/>
      <w:szCs w:val="24"/>
    </w:rPr>
  </w:style>
  <w:style w:type="paragraph" w:customStyle="1" w:styleId="825">
    <w:name w:val="表格格式"/>
    <w:basedOn w:val="1"/>
    <w:qFormat/>
    <w:uiPriority w:val="0"/>
    <w:pPr>
      <w:widowControl/>
      <w:snapToGrid w:val="0"/>
      <w:spacing w:line="360" w:lineRule="exact"/>
      <w:jc w:val="center"/>
    </w:pPr>
    <w:rPr>
      <w:rFonts w:asciiTheme="minorHAnsi" w:hAnsiTheme="minorHAnsi" w:eastAsiaTheme="minorEastAsia" w:cstheme="minorBidi"/>
      <w:kern w:val="0"/>
      <w:szCs w:val="24"/>
    </w:rPr>
  </w:style>
  <w:style w:type="paragraph" w:customStyle="1" w:styleId="826">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827">
    <w:name w:val="章标题"/>
    <w:next w:val="1"/>
    <w:qFormat/>
    <w:uiPriority w:val="0"/>
    <w:pPr>
      <w:spacing w:before="50" w:beforeLines="50" w:after="50" w:afterLines="50"/>
      <w:ind w:left="180"/>
      <w:jc w:val="both"/>
      <w:outlineLvl w:val="1"/>
    </w:pPr>
    <w:rPr>
      <w:rFonts w:ascii="黑体" w:hAnsi="Times New Roman" w:eastAsia="黑体" w:cs="Times New Roman"/>
      <w:sz w:val="21"/>
      <w:lang w:val="en-US" w:eastAsia="zh-CN" w:bidi="ar-SA"/>
    </w:rPr>
  </w:style>
  <w:style w:type="paragraph" w:customStyle="1" w:styleId="828">
    <w:name w:val="二级条标题"/>
    <w:basedOn w:val="807"/>
    <w:next w:val="1"/>
    <w:qFormat/>
    <w:uiPriority w:val="0"/>
    <w:pPr>
      <w:widowControl/>
      <w:spacing w:line="240" w:lineRule="auto"/>
      <w:ind w:left="360"/>
      <w:outlineLvl w:val="3"/>
    </w:pPr>
    <w:rPr>
      <w:rFonts w:ascii="Times New Roman" w:eastAsia="黑体"/>
      <w:sz w:val="21"/>
    </w:rPr>
  </w:style>
  <w:style w:type="paragraph" w:customStyle="1" w:styleId="829">
    <w:name w:val="三级条标题"/>
    <w:basedOn w:val="828"/>
    <w:next w:val="1"/>
    <w:qFormat/>
    <w:uiPriority w:val="0"/>
    <w:pPr>
      <w:ind w:left="0"/>
      <w:outlineLvl w:val="4"/>
    </w:pPr>
  </w:style>
  <w:style w:type="paragraph" w:customStyle="1" w:styleId="830">
    <w:name w:val="四级条标题"/>
    <w:basedOn w:val="829"/>
    <w:next w:val="1"/>
    <w:qFormat/>
    <w:uiPriority w:val="0"/>
    <w:pPr>
      <w:outlineLvl w:val="5"/>
    </w:pPr>
  </w:style>
  <w:style w:type="paragraph" w:customStyle="1" w:styleId="831">
    <w:name w:val="五级条标题"/>
    <w:basedOn w:val="830"/>
    <w:next w:val="1"/>
    <w:qFormat/>
    <w:uiPriority w:val="0"/>
    <w:pPr>
      <w:outlineLvl w:val="6"/>
    </w:pPr>
  </w:style>
  <w:style w:type="paragraph" w:customStyle="1" w:styleId="832">
    <w:name w:val="君邦正文"/>
    <w:link w:val="833"/>
    <w:qFormat/>
    <w:uiPriority w:val="0"/>
    <w:pPr>
      <w:spacing w:beforeLines="50" w:afterLines="50" w:line="360" w:lineRule="auto"/>
      <w:ind w:firstLine="480" w:firstLineChars="200"/>
      <w:jc w:val="both"/>
    </w:pPr>
    <w:rPr>
      <w:rFonts w:ascii="Times New Roman" w:hAnsi="Times New Roman" w:eastAsia="宋体" w:cs="Times New Roman"/>
      <w:bCs/>
      <w:snapToGrid w:val="0"/>
      <w:sz w:val="24"/>
      <w:lang w:val="en-US" w:eastAsia="zh-CN" w:bidi="ar-SA"/>
    </w:rPr>
  </w:style>
  <w:style w:type="character" w:customStyle="1" w:styleId="833">
    <w:name w:val="君邦正文 Char2"/>
    <w:link w:val="832"/>
    <w:qFormat/>
    <w:uiPriority w:val="0"/>
    <w:rPr>
      <w:rFonts w:ascii="Times New Roman" w:hAnsi="Times New Roman" w:eastAsia="宋体" w:cs="Times New Roman"/>
      <w:bCs/>
      <w:snapToGrid w:val="0"/>
      <w:sz w:val="24"/>
    </w:rPr>
  </w:style>
  <w:style w:type="paragraph" w:customStyle="1" w:styleId="834">
    <w:name w:val="表头样式1"/>
    <w:basedOn w:val="1"/>
    <w:link w:val="835"/>
    <w:qFormat/>
    <w:uiPriority w:val="0"/>
    <w:pPr>
      <w:widowControl/>
      <w:spacing w:beforeLines="50" w:afterLines="50"/>
      <w:jc w:val="center"/>
    </w:pPr>
    <w:rPr>
      <w:rFonts w:ascii="Times New Roman" w:hAnsi="Times New Roman" w:eastAsia="黑体"/>
      <w:b/>
      <w:sz w:val="24"/>
      <w:szCs w:val="20"/>
    </w:rPr>
  </w:style>
  <w:style w:type="character" w:customStyle="1" w:styleId="835">
    <w:name w:val="表头样式1 Char1"/>
    <w:link w:val="834"/>
    <w:qFormat/>
    <w:uiPriority w:val="0"/>
    <w:rPr>
      <w:rFonts w:ascii="Times New Roman" w:hAnsi="Times New Roman" w:eastAsia="黑体" w:cs="Times New Roman"/>
      <w:b/>
      <w:kern w:val="2"/>
      <w:sz w:val="24"/>
    </w:rPr>
  </w:style>
  <w:style w:type="paragraph" w:customStyle="1" w:styleId="836">
    <w:name w:val="样式正文无级"/>
    <w:basedOn w:val="1"/>
    <w:qFormat/>
    <w:uiPriority w:val="0"/>
    <w:pPr>
      <w:spacing w:line="360" w:lineRule="auto"/>
      <w:ind w:firstLine="480" w:firstLineChars="200"/>
    </w:pPr>
    <w:rPr>
      <w:rFonts w:ascii="Times New Roman" w:hAnsi="Times New Roman"/>
      <w:kern w:val="0"/>
      <w:sz w:val="24"/>
      <w:szCs w:val="24"/>
    </w:rPr>
  </w:style>
  <w:style w:type="paragraph" w:customStyle="1" w:styleId="837">
    <w:name w:val="正文3"/>
    <w:qFormat/>
    <w:uiPriority w:val="0"/>
    <w:pPr>
      <w:jc w:val="both"/>
    </w:pPr>
    <w:rPr>
      <w:rFonts w:ascii="Calibri" w:hAnsi="Calibri" w:eastAsia="宋体" w:cs="宋体"/>
      <w:kern w:val="2"/>
      <w:sz w:val="21"/>
      <w:szCs w:val="21"/>
      <w:lang w:val="en-US" w:eastAsia="zh-CN" w:bidi="ar-SA"/>
    </w:rPr>
  </w:style>
  <w:style w:type="character" w:customStyle="1" w:styleId="838">
    <w:name w:val="纯文本 Char1"/>
    <w:qFormat/>
    <w:uiPriority w:val="0"/>
    <w:rPr>
      <w:rFonts w:ascii="宋体" w:hAnsi="Courier New" w:eastAsia="宋体"/>
      <w:kern w:val="2"/>
      <w:sz w:val="21"/>
      <w:lang w:val="en-US" w:eastAsia="zh-CN" w:bidi="ar-SA"/>
    </w:rPr>
  </w:style>
  <w:style w:type="table" w:customStyle="1" w:styleId="839">
    <w:name w:val="Table Normal"/>
    <w:semiHidden/>
    <w:unhideWhenUsed/>
    <w:qFormat/>
    <w:uiPriority w:val="2"/>
    <w:pPr>
      <w:widowControl w:val="0"/>
      <w:spacing w:beforeLines="50" w:afterLines="50"/>
    </w:pPr>
    <w:rPr>
      <w:sz w:val="22"/>
      <w:szCs w:val="22"/>
      <w:lang w:eastAsia="en-US"/>
    </w:rPr>
    <w:tblPr>
      <w:tblCellMar>
        <w:top w:w="0" w:type="dxa"/>
        <w:left w:w="0" w:type="dxa"/>
        <w:bottom w:w="0" w:type="dxa"/>
        <w:right w:w="0" w:type="dxa"/>
      </w:tblCellMar>
    </w:tblPr>
  </w:style>
  <w:style w:type="table" w:customStyle="1" w:styleId="840">
    <w:name w:val="cmr"/>
    <w:basedOn w:val="71"/>
    <w:qFormat/>
    <w:uiPriority w:val="0"/>
    <w:pPr>
      <w:spacing w:beforeLines="50" w:afterLines="50"/>
      <w:jc w:val="center"/>
    </w:p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paragraph" w:customStyle="1" w:styleId="841">
    <w:name w:val="wxy正文"/>
    <w:basedOn w:val="1"/>
    <w:qFormat/>
    <w:uiPriority w:val="0"/>
    <w:pPr>
      <w:spacing w:line="360" w:lineRule="auto"/>
      <w:ind w:firstLine="480" w:firstLineChars="200"/>
    </w:pPr>
    <w:rPr>
      <w:rFonts w:ascii="Times New Roman" w:hAnsi="Times New Roman"/>
      <w:color w:val="000000"/>
      <w:sz w:val="24"/>
      <w:szCs w:val="24"/>
    </w:rPr>
  </w:style>
  <w:style w:type="paragraph" w:customStyle="1" w:styleId="842">
    <w:name w:val="正文标准"/>
    <w:basedOn w:val="1"/>
    <w:qFormat/>
    <w:uiPriority w:val="0"/>
    <w:pPr>
      <w:snapToGrid w:val="0"/>
      <w:spacing w:line="360" w:lineRule="auto"/>
      <w:ind w:firstLine="482"/>
    </w:pPr>
    <w:rPr>
      <w:rFonts w:ascii="宋体" w:hAnsi="Times New Roman"/>
      <w:snapToGrid w:val="0"/>
      <w:kern w:val="0"/>
      <w:sz w:val="24"/>
      <w:szCs w:val="20"/>
    </w:rPr>
  </w:style>
  <w:style w:type="paragraph" w:customStyle="1" w:styleId="843">
    <w:name w:val="列出段落1"/>
    <w:qFormat/>
    <w:uiPriority w:val="34"/>
    <w:pPr>
      <w:widowControl w:val="0"/>
      <w:snapToGrid w:val="0"/>
      <w:spacing w:line="480" w:lineRule="atLeast"/>
      <w:ind w:firstLine="420"/>
      <w:jc w:val="both"/>
    </w:pPr>
    <w:rPr>
      <w:rFonts w:ascii="Calibri" w:hAnsi="Calibri" w:eastAsia="宋体" w:cs="Times New Roman"/>
      <w:kern w:val="2"/>
      <w:sz w:val="21"/>
      <w:szCs w:val="21"/>
      <w:lang w:val="en-US" w:eastAsia="zh-CN" w:bidi="ar-SA"/>
    </w:rPr>
  </w:style>
  <w:style w:type="paragraph" w:customStyle="1" w:styleId="844">
    <w:name w:val="样式 正文首行缩进 + 黑色 首行缩进:  2 字符 段后: 0 磅"/>
    <w:basedOn w:val="6"/>
    <w:qFormat/>
    <w:uiPriority w:val="0"/>
    <w:pPr>
      <w:widowControl/>
      <w:ind w:firstLine="480"/>
    </w:pPr>
    <w:rPr>
      <w:rFonts w:cs="宋体"/>
      <w:color w:val="000000"/>
      <w:kern w:val="0"/>
    </w:rPr>
  </w:style>
  <w:style w:type="paragraph" w:customStyle="1" w:styleId="845">
    <w:name w:val="正文01"/>
    <w:basedOn w:val="1"/>
    <w:qFormat/>
    <w:uiPriority w:val="0"/>
    <w:pPr>
      <w:spacing w:before="60" w:line="460" w:lineRule="exact"/>
      <w:ind w:firstLine="200" w:firstLineChars="200"/>
    </w:pPr>
    <w:rPr>
      <w:rFonts w:ascii="宋体" w:hAnsi="宋体"/>
      <w:sz w:val="24"/>
      <w:szCs w:val="24"/>
    </w:rPr>
  </w:style>
  <w:style w:type="paragraph" w:customStyle="1" w:styleId="846">
    <w:name w:val="文章正文样式"/>
    <w:basedOn w:val="1"/>
    <w:qFormat/>
    <w:uiPriority w:val="0"/>
    <w:pPr>
      <w:spacing w:line="520" w:lineRule="exact"/>
      <w:ind w:firstLine="480" w:firstLineChars="200"/>
      <w:jc w:val="left"/>
    </w:pPr>
    <w:rPr>
      <w:rFonts w:ascii="宋体" w:hAnsi="宋体" w:cs="宋体"/>
      <w:sz w:val="24"/>
    </w:rPr>
  </w:style>
  <w:style w:type="paragraph" w:customStyle="1" w:styleId="847">
    <w:name w:val="居中"/>
    <w:basedOn w:val="1"/>
    <w:qFormat/>
    <w:uiPriority w:val="0"/>
    <w:pPr>
      <w:spacing w:line="360" w:lineRule="auto"/>
      <w:ind w:firstLine="640" w:firstLineChars="200"/>
      <w:jc w:val="center"/>
    </w:pPr>
    <w:rPr>
      <w:sz w:val="24"/>
      <w:szCs w:val="24"/>
    </w:rPr>
  </w:style>
  <w:style w:type="paragraph" w:customStyle="1" w:styleId="848">
    <w:name w:val="样式 (符号) 宋体 小四 行距: 1.5 倍行距"/>
    <w:basedOn w:val="1"/>
    <w:qFormat/>
    <w:uiPriority w:val="0"/>
    <w:pPr>
      <w:spacing w:line="360" w:lineRule="auto"/>
      <w:ind w:firstLine="480" w:firstLineChars="200"/>
    </w:pPr>
    <w:rPr>
      <w:rFonts w:ascii="宋体" w:hAnsi="宋体"/>
      <w:sz w:val="24"/>
      <w:szCs w:val="24"/>
    </w:rPr>
  </w:style>
  <w:style w:type="paragraph" w:customStyle="1" w:styleId="849">
    <w:name w:val="样式 样式 样式 报告书正文 + 首行缩进:  2 字符1 + 加粗 + 首行缩进:  2 字符"/>
    <w:basedOn w:val="1"/>
    <w:qFormat/>
    <w:uiPriority w:val="0"/>
    <w:pPr>
      <w:adjustRightInd w:val="0"/>
      <w:snapToGrid w:val="0"/>
      <w:spacing w:line="360" w:lineRule="auto"/>
      <w:ind w:firstLine="200" w:firstLineChars="200"/>
    </w:pPr>
    <w:rPr>
      <w:rFonts w:cs="宋体"/>
      <w:sz w:val="24"/>
    </w:rPr>
  </w:style>
  <w:style w:type="paragraph" w:customStyle="1" w:styleId="850">
    <w:name w:val="环科院正文"/>
    <w:basedOn w:val="1"/>
    <w:qFormat/>
    <w:uiPriority w:val="0"/>
    <w:pPr>
      <w:spacing w:line="360" w:lineRule="auto"/>
      <w:ind w:firstLine="600" w:firstLineChars="250"/>
    </w:pPr>
    <w:rPr>
      <w:sz w:val="24"/>
      <w:szCs w:val="24"/>
    </w:rPr>
  </w:style>
  <w:style w:type="paragraph" w:customStyle="1" w:styleId="851">
    <w:name w:val="Normal (Web)"/>
    <w:basedOn w:val="1"/>
    <w:qFormat/>
    <w:uiPriority w:val="0"/>
    <w:pPr>
      <w:widowControl/>
      <w:spacing w:before="100" w:beforeAutospacing="1" w:after="100" w:afterAutospacing="1"/>
      <w:jc w:val="left"/>
    </w:pPr>
    <w:rPr>
      <w:rFonts w:hint="eastAsia" w:ascii="宋体" w:hAnsi="宋体"/>
      <w:sz w:val="24"/>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theme" Target="theme/theme1.xml"/><Relationship Id="rId89" Type="http://schemas.openxmlformats.org/officeDocument/2006/relationships/customXml" Target="../customXml/item1.xml"/><Relationship Id="rId88" Type="http://schemas.openxmlformats.org/officeDocument/2006/relationships/image" Target="media/image62.png"/><Relationship Id="rId87" Type="http://schemas.openxmlformats.org/officeDocument/2006/relationships/image" Target="media/image61.png"/><Relationship Id="rId86" Type="http://schemas.openxmlformats.org/officeDocument/2006/relationships/image" Target="media/image60.wmf"/><Relationship Id="rId85" Type="http://schemas.openxmlformats.org/officeDocument/2006/relationships/image" Target="media/image59.wmf"/><Relationship Id="rId84" Type="http://schemas.openxmlformats.org/officeDocument/2006/relationships/image" Target="media/image58.wmf"/><Relationship Id="rId83" Type="http://schemas.openxmlformats.org/officeDocument/2006/relationships/oleObject" Target="embeddings/oleObject17.bin"/><Relationship Id="rId82" Type="http://schemas.openxmlformats.org/officeDocument/2006/relationships/image" Target="media/image57.wmf"/><Relationship Id="rId81" Type="http://schemas.openxmlformats.org/officeDocument/2006/relationships/oleObject" Target="embeddings/oleObject16.bin"/><Relationship Id="rId80" Type="http://schemas.openxmlformats.org/officeDocument/2006/relationships/image" Target="media/image56.wmf"/><Relationship Id="rId8" Type="http://schemas.openxmlformats.org/officeDocument/2006/relationships/header" Target="header4.xml"/><Relationship Id="rId79" Type="http://schemas.openxmlformats.org/officeDocument/2006/relationships/oleObject" Target="embeddings/oleObject15.bin"/><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wmf"/><Relationship Id="rId75" Type="http://schemas.openxmlformats.org/officeDocument/2006/relationships/oleObject" Target="embeddings/oleObject14.bin"/><Relationship Id="rId74" Type="http://schemas.openxmlformats.org/officeDocument/2006/relationships/image" Target="media/image52.wmf"/><Relationship Id="rId73" Type="http://schemas.openxmlformats.org/officeDocument/2006/relationships/image" Target="media/image51.wmf"/><Relationship Id="rId72" Type="http://schemas.openxmlformats.org/officeDocument/2006/relationships/oleObject" Target="embeddings/oleObject13.bin"/><Relationship Id="rId71" Type="http://schemas.openxmlformats.org/officeDocument/2006/relationships/image" Target="media/image50.wmf"/><Relationship Id="rId70" Type="http://schemas.openxmlformats.org/officeDocument/2006/relationships/oleObject" Target="embeddings/oleObject12.bin"/><Relationship Id="rId7" Type="http://schemas.openxmlformats.org/officeDocument/2006/relationships/header" Target="header3.xml"/><Relationship Id="rId69" Type="http://schemas.openxmlformats.org/officeDocument/2006/relationships/image" Target="media/image49.wmf"/><Relationship Id="rId68" Type="http://schemas.openxmlformats.org/officeDocument/2006/relationships/oleObject" Target="embeddings/oleObject11.bin"/><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footer" Target="foot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2.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wmf"/><Relationship Id="rId46" Type="http://schemas.openxmlformats.org/officeDocument/2006/relationships/oleObject" Target="embeddings/oleObject10.bin"/><Relationship Id="rId45" Type="http://schemas.openxmlformats.org/officeDocument/2006/relationships/image" Target="media/image27.wmf"/><Relationship Id="rId44" Type="http://schemas.openxmlformats.org/officeDocument/2006/relationships/oleObject" Target="embeddings/oleObject9.bin"/><Relationship Id="rId43" Type="http://schemas.openxmlformats.org/officeDocument/2006/relationships/image" Target="media/image26.wmf"/><Relationship Id="rId42" Type="http://schemas.openxmlformats.org/officeDocument/2006/relationships/oleObject" Target="embeddings/oleObject8.bin"/><Relationship Id="rId41" Type="http://schemas.openxmlformats.org/officeDocument/2006/relationships/image" Target="media/image1.png"/><Relationship Id="rId40" Type="http://schemas.openxmlformats.org/officeDocument/2006/relationships/image" Target="media/image25.jpeg"/><Relationship Id="rId4" Type="http://schemas.openxmlformats.org/officeDocument/2006/relationships/header" Target="header1.xml"/><Relationship Id="rId39" Type="http://schemas.openxmlformats.org/officeDocument/2006/relationships/image" Target="media/image24.wmf"/><Relationship Id="rId38" Type="http://schemas.openxmlformats.org/officeDocument/2006/relationships/oleObject" Target="embeddings/oleObject7.bin"/><Relationship Id="rId37" Type="http://schemas.openxmlformats.org/officeDocument/2006/relationships/image" Target="media/image23.wmf"/><Relationship Id="rId36" Type="http://schemas.openxmlformats.org/officeDocument/2006/relationships/oleObject" Target="embeddings/oleObject6.bin"/><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wmf"/><Relationship Id="rId23" Type="http://schemas.openxmlformats.org/officeDocument/2006/relationships/oleObject" Target="embeddings/oleObject5.bin"/><Relationship Id="rId22" Type="http://schemas.openxmlformats.org/officeDocument/2006/relationships/image" Target="media/image10.wmf"/><Relationship Id="rId21" Type="http://schemas.openxmlformats.org/officeDocument/2006/relationships/oleObject" Target="embeddings/oleObject4.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8.wmf"/><Relationship Id="rId17" Type="http://schemas.openxmlformats.org/officeDocument/2006/relationships/oleObject" Target="embeddings/oleObject2.bin"/><Relationship Id="rId16" Type="http://schemas.openxmlformats.org/officeDocument/2006/relationships/image" Target="media/image7.wmf"/><Relationship Id="rId15" Type="http://schemas.openxmlformats.org/officeDocument/2006/relationships/oleObject" Target="embeddings/oleObject1.bin"/><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7E5F95D-1056-7240-A5E1-A68DCA0CA17B}">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246</Pages>
  <Words>30697</Words>
  <Characters>174978</Characters>
  <Lines>1458</Lines>
  <Paragraphs>410</Paragraphs>
  <TotalTime>3</TotalTime>
  <ScaleCrop>false</ScaleCrop>
  <LinksUpToDate>false</LinksUpToDate>
  <CharactersWithSpaces>205265</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2020-04-24T09:41:00Z</dcterms:created>
  <dc:creator>微软用户</dc:creator>
  <cp:lastModifiedBy>周观球</cp:lastModifiedBy>
  <cp:lastPrinted>2020-11-27T02:38:00Z</cp:lastPrinted>
  <dcterms:modified xsi:type="dcterms:W3CDTF">2020-12-10T15:47:47Z</dcterms:modified>
  <cp:revision>141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